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27, 2023</w:t>
      </w:r>
    </w:p>
    <w:p>
      <w:pPr>
        <w:spacing w:after="0" w:line="225" w:lineRule="exact"/>
        <w:rPr>
          <w:sz w:val="24"/>
          <w:szCs w:val="24"/>
          <w:color w:val="auto"/>
        </w:rPr>
      </w:pPr>
    </w:p>
    <w:p>
      <w:pPr>
        <w:ind w:left="9460"/>
        <w:spacing w:after="0"/>
        <w:rPr>
          <w:sz w:val="20"/>
          <w:szCs w:val="20"/>
          <w:color w:val="auto"/>
        </w:rPr>
      </w:pPr>
      <w:r>
        <w:rPr>
          <w:rFonts w:ascii="Arial" w:cs="Arial" w:eastAsia="Arial" w:hAnsi="Arial"/>
          <w:sz w:val="16"/>
          <w:szCs w:val="16"/>
          <w:b w:val="1"/>
          <w:bCs w:val="1"/>
          <w:color w:val="auto"/>
        </w:rPr>
        <w:t>Registration No. 333-</w:t>
      </w: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F-3</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CELESTICA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360" w:type="dxa"/>
        <w:tblCellMar>
          <w:top w:w="0" w:type="dxa"/>
          <w:left w:w="0" w:type="dxa"/>
          <w:bottom w:w="0" w:type="dxa"/>
          <w:right w:w="0" w:type="dxa"/>
        </w:tblCellMar>
      </w:tblPr>
      <w:tr>
        <w:trPr>
          <w:trHeight w:val="220"/>
        </w:trPr>
        <w:tc>
          <w:tcPr>
            <w:tcW w:w="4120" w:type="dxa"/>
            <w:vAlign w:val="bottom"/>
          </w:tcPr>
          <w:p>
            <w:pPr>
              <w:jc w:val="center"/>
              <w:ind w:right="1870"/>
              <w:spacing w:after="0"/>
              <w:rPr>
                <w:sz w:val="20"/>
                <w:szCs w:val="20"/>
                <w:color w:val="auto"/>
              </w:rPr>
            </w:pPr>
            <w:r>
              <w:rPr>
                <w:rFonts w:ascii="Arial" w:cs="Arial" w:eastAsia="Arial" w:hAnsi="Arial"/>
                <w:sz w:val="18"/>
                <w:szCs w:val="18"/>
                <w:b w:val="1"/>
                <w:bCs w:val="1"/>
                <w:color w:val="auto"/>
              </w:rPr>
              <w:t>ONTARIO, CANADA</w:t>
            </w:r>
          </w:p>
        </w:tc>
        <w:tc>
          <w:tcPr>
            <w:tcW w:w="3320" w:type="dxa"/>
            <w:vAlign w:val="bottom"/>
          </w:tcPr>
          <w:p>
            <w:pPr>
              <w:jc w:val="center"/>
              <w:ind w:left="1870"/>
              <w:spacing w:after="0"/>
              <w:rPr>
                <w:sz w:val="20"/>
                <w:szCs w:val="20"/>
                <w:color w:val="auto"/>
              </w:rPr>
            </w:pPr>
            <w:r>
              <w:rPr>
                <w:rFonts w:ascii="Arial" w:cs="Arial" w:eastAsia="Arial" w:hAnsi="Arial"/>
                <w:sz w:val="18"/>
                <w:szCs w:val="18"/>
                <w:b w:val="1"/>
                <w:bCs w:val="1"/>
                <w:color w:val="auto"/>
                <w:w w:val="91"/>
              </w:rPr>
              <w:t>98-0185558</w:t>
            </w:r>
          </w:p>
        </w:tc>
      </w:tr>
      <w:tr>
        <w:trPr>
          <w:trHeight w:val="216"/>
        </w:trPr>
        <w:tc>
          <w:tcPr>
            <w:tcW w:w="4120" w:type="dxa"/>
            <w:vAlign w:val="bottom"/>
          </w:tcPr>
          <w:p>
            <w:pPr>
              <w:jc w:val="center"/>
              <w:ind w:right="1890"/>
              <w:spacing w:after="0"/>
              <w:rPr>
                <w:sz w:val="20"/>
                <w:szCs w:val="20"/>
                <w:color w:val="auto"/>
              </w:rPr>
            </w:pPr>
            <w:r>
              <w:rPr>
                <w:rFonts w:ascii="Arial" w:cs="Arial" w:eastAsia="Arial" w:hAnsi="Arial"/>
                <w:sz w:val="18"/>
                <w:szCs w:val="18"/>
                <w:color w:val="auto"/>
                <w:w w:val="93"/>
              </w:rPr>
              <w:t>(State or other jurisdiction of</w:t>
            </w:r>
          </w:p>
        </w:tc>
        <w:tc>
          <w:tcPr>
            <w:tcW w:w="3320" w:type="dxa"/>
            <w:vAlign w:val="bottom"/>
          </w:tcPr>
          <w:p>
            <w:pPr>
              <w:jc w:val="center"/>
              <w:ind w:left="1870"/>
              <w:spacing w:after="0"/>
              <w:rPr>
                <w:sz w:val="20"/>
                <w:szCs w:val="20"/>
                <w:color w:val="auto"/>
              </w:rPr>
            </w:pPr>
            <w:r>
              <w:rPr>
                <w:rFonts w:ascii="Arial" w:cs="Arial" w:eastAsia="Arial" w:hAnsi="Arial"/>
                <w:sz w:val="18"/>
                <w:szCs w:val="18"/>
                <w:color w:val="auto"/>
                <w:w w:val="93"/>
              </w:rPr>
              <w:t>(I.R.S. Employer</w:t>
            </w:r>
          </w:p>
        </w:tc>
      </w:tr>
      <w:tr>
        <w:trPr>
          <w:trHeight w:val="230"/>
        </w:trPr>
        <w:tc>
          <w:tcPr>
            <w:tcW w:w="4120" w:type="dxa"/>
            <w:vAlign w:val="bottom"/>
          </w:tcPr>
          <w:p>
            <w:pPr>
              <w:jc w:val="center"/>
              <w:ind w:right="1870"/>
              <w:spacing w:after="0"/>
              <w:rPr>
                <w:sz w:val="20"/>
                <w:szCs w:val="20"/>
                <w:color w:val="auto"/>
              </w:rPr>
            </w:pPr>
            <w:r>
              <w:rPr>
                <w:rFonts w:ascii="Arial" w:cs="Arial" w:eastAsia="Arial" w:hAnsi="Arial"/>
                <w:sz w:val="18"/>
                <w:szCs w:val="18"/>
                <w:color w:val="auto"/>
                <w:w w:val="92"/>
              </w:rPr>
              <w:t>incorporation or organization)</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5140 Yonge Street, Suite 1900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Canada M2N 6L7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(416) 448-5800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Arnold &amp; Porter Kaye Scholer LLP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Managing Attorney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West 55th Street, New York, New York 10019-9710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836-8000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1" w:lineRule="exact"/>
        <w:rPr>
          <w:sz w:val="24"/>
          <w:szCs w:val="24"/>
          <w:color w:val="auto"/>
        </w:rPr>
      </w:pPr>
    </w:p>
    <w:tbl>
      <w:tblPr>
        <w:tblLayout w:type="fixed"/>
        <w:tblInd w:w="160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Copies to:</w:t>
            </w:r>
          </w:p>
        </w:tc>
      </w:tr>
      <w:tr>
        <w:trPr>
          <w:trHeight w:val="414"/>
        </w:trPr>
        <w:tc>
          <w:tcPr>
            <w:tcW w:w="320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Joel I. Greenberg, Esq.</w:t>
            </w:r>
          </w:p>
        </w:tc>
        <w:tc>
          <w:tcPr>
            <w:tcW w:w="5040" w:type="dxa"/>
            <w:vAlign w:val="bottom"/>
          </w:tcPr>
          <w:p>
            <w:pPr>
              <w:jc w:val="center"/>
              <w:ind w:left="2550"/>
              <w:spacing w:after="0"/>
              <w:rPr>
                <w:sz w:val="20"/>
                <w:szCs w:val="20"/>
                <w:color w:val="auto"/>
              </w:rPr>
            </w:pPr>
            <w:r>
              <w:rPr>
                <w:rFonts w:ascii="Arial" w:cs="Arial" w:eastAsia="Arial" w:hAnsi="Arial"/>
                <w:sz w:val="18"/>
                <w:szCs w:val="18"/>
                <w:b w:val="1"/>
                <w:bCs w:val="1"/>
                <w:color w:val="auto"/>
                <w:w w:val="93"/>
              </w:rPr>
              <w:t>Matthew Merkley, Esq.</w:t>
            </w:r>
          </w:p>
        </w:tc>
      </w:tr>
      <w:tr>
        <w:trPr>
          <w:trHeight w:val="216"/>
        </w:trPr>
        <w:tc>
          <w:tcPr>
            <w:tcW w:w="320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Sara Adler, Esq.</w:t>
            </w:r>
          </w:p>
        </w:tc>
        <w:tc>
          <w:tcPr>
            <w:tcW w:w="5040" w:type="dxa"/>
            <w:vAlign w:val="bottom"/>
          </w:tcPr>
          <w:p>
            <w:pPr>
              <w:jc w:val="center"/>
              <w:ind w:left="2530"/>
              <w:spacing w:after="0"/>
              <w:rPr>
                <w:sz w:val="20"/>
                <w:szCs w:val="20"/>
                <w:color w:val="auto"/>
              </w:rPr>
            </w:pPr>
            <w:r>
              <w:rPr>
                <w:rFonts w:ascii="Arial" w:cs="Arial" w:eastAsia="Arial" w:hAnsi="Arial"/>
                <w:sz w:val="18"/>
                <w:szCs w:val="18"/>
                <w:b w:val="1"/>
                <w:bCs w:val="1"/>
                <w:color w:val="auto"/>
                <w:w w:val="92"/>
              </w:rPr>
              <w:t>Blake, Cassels &amp; Graydon LLP</w:t>
            </w:r>
          </w:p>
        </w:tc>
      </w:tr>
      <w:tr>
        <w:trPr>
          <w:trHeight w:val="216"/>
        </w:trPr>
        <w:tc>
          <w:tcPr>
            <w:tcW w:w="320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Arnold &amp; Porter Kaye Scholer LLP</w:t>
            </w:r>
          </w:p>
        </w:tc>
        <w:tc>
          <w:tcPr>
            <w:tcW w:w="5040" w:type="dxa"/>
            <w:vAlign w:val="bottom"/>
          </w:tcPr>
          <w:p>
            <w:pPr>
              <w:jc w:val="center"/>
              <w:ind w:left="2550"/>
              <w:spacing w:after="0"/>
              <w:rPr>
                <w:sz w:val="20"/>
                <w:szCs w:val="20"/>
                <w:color w:val="auto"/>
              </w:rPr>
            </w:pPr>
            <w:r>
              <w:rPr>
                <w:rFonts w:ascii="Arial" w:cs="Arial" w:eastAsia="Arial" w:hAnsi="Arial"/>
                <w:sz w:val="18"/>
                <w:szCs w:val="18"/>
                <w:b w:val="1"/>
                <w:bCs w:val="1"/>
                <w:color w:val="auto"/>
                <w:w w:val="89"/>
              </w:rPr>
              <w:t>199 Bay Street, Suite 4000</w:t>
            </w:r>
          </w:p>
        </w:tc>
      </w:tr>
      <w:tr>
        <w:trPr>
          <w:trHeight w:val="216"/>
        </w:trPr>
        <w:tc>
          <w:tcPr>
            <w:tcW w:w="320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250 West 55th Street</w:t>
            </w:r>
          </w:p>
        </w:tc>
        <w:tc>
          <w:tcPr>
            <w:tcW w:w="504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Commerce Court West</w:t>
            </w:r>
          </w:p>
        </w:tc>
      </w:tr>
      <w:tr>
        <w:trPr>
          <w:trHeight w:val="216"/>
        </w:trPr>
        <w:tc>
          <w:tcPr>
            <w:tcW w:w="320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New York, N.Y. 10019-9710</w:t>
            </w:r>
          </w:p>
        </w:tc>
        <w:tc>
          <w:tcPr>
            <w:tcW w:w="5040" w:type="dxa"/>
            <w:vAlign w:val="bottom"/>
          </w:tcPr>
          <w:p>
            <w:pPr>
              <w:jc w:val="center"/>
              <w:ind w:left="2550"/>
              <w:spacing w:after="0"/>
              <w:rPr>
                <w:sz w:val="20"/>
                <w:szCs w:val="20"/>
                <w:color w:val="auto"/>
              </w:rPr>
            </w:pPr>
            <w:r>
              <w:rPr>
                <w:rFonts w:ascii="Arial" w:cs="Arial" w:eastAsia="Arial" w:hAnsi="Arial"/>
                <w:sz w:val="18"/>
                <w:szCs w:val="18"/>
                <w:b w:val="1"/>
                <w:bCs w:val="1"/>
                <w:color w:val="auto"/>
                <w:w w:val="94"/>
              </w:rPr>
              <w:t>Toronto, Ontario M5L 1A9</w:t>
            </w:r>
          </w:p>
        </w:tc>
      </w:tr>
      <w:tr>
        <w:trPr>
          <w:trHeight w:val="216"/>
        </w:trPr>
        <w:tc>
          <w:tcPr>
            <w:tcW w:w="320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(212) 836-8000</w:t>
            </w:r>
          </w:p>
        </w:tc>
        <w:tc>
          <w:tcPr>
            <w:tcW w:w="5040" w:type="dxa"/>
            <w:vAlign w:val="bottom"/>
          </w:tcPr>
          <w:p>
            <w:pPr>
              <w:jc w:val="center"/>
              <w:ind w:left="2550"/>
              <w:spacing w:after="0"/>
              <w:rPr>
                <w:sz w:val="20"/>
                <w:szCs w:val="20"/>
                <w:color w:val="auto"/>
              </w:rPr>
            </w:pPr>
            <w:r>
              <w:rPr>
                <w:rFonts w:ascii="Arial" w:cs="Arial" w:eastAsia="Arial" w:hAnsi="Arial"/>
                <w:sz w:val="18"/>
                <w:szCs w:val="18"/>
                <w:b w:val="1"/>
                <w:bCs w:val="1"/>
                <w:color w:val="auto"/>
                <w:w w:val="92"/>
              </w:rPr>
              <w:t>Canada</w:t>
            </w:r>
          </w:p>
        </w:tc>
      </w:tr>
      <w:tr>
        <w:trPr>
          <w:trHeight w:val="234"/>
        </w:trPr>
        <w:tc>
          <w:tcPr>
            <w:tcW w:w="3200" w:type="dxa"/>
            <w:vAlign w:val="bottom"/>
          </w:tcPr>
          <w:p>
            <w:pPr>
              <w:spacing w:after="0"/>
              <w:rPr>
                <w:sz w:val="20"/>
                <w:szCs w:val="20"/>
                <w:color w:val="auto"/>
              </w:rPr>
            </w:pPr>
          </w:p>
        </w:tc>
        <w:tc>
          <w:tcPr>
            <w:tcW w:w="504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(416) 863-2400</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Approximate date of commencement of proposed sale to the public: </w:t>
      </w:r>
      <w:r>
        <w:rPr>
          <w:rFonts w:ascii="Arial" w:cs="Arial" w:eastAsia="Arial" w:hAnsi="Arial"/>
          <w:sz w:val="17"/>
          <w:szCs w:val="17"/>
          <w:b w:val="1"/>
          <w:bCs w:val="1"/>
          <w:color w:val="auto"/>
        </w:rPr>
        <w:t>From time to time after the effective date of this Registration Statement.</w:t>
      </w:r>
    </w:p>
    <w:p>
      <w:pPr>
        <w:spacing w:after="0" w:line="19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I.C. or a post-effective amendment thereto that shall become effective upon filing with the Commission pursuant to Rule 462(e) under the Securities Act, check the following box. x</w:t>
      </w:r>
    </w:p>
    <w:p>
      <w:pPr>
        <w:spacing w:after="0" w:line="1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8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6" w:lineRule="exact"/>
        <w:rPr>
          <w:sz w:val="24"/>
          <w:szCs w:val="24"/>
          <w:color w:val="auto"/>
        </w:rPr>
      </w:pPr>
    </w:p>
    <w:p>
      <w:pPr>
        <w:ind w:firstLine="8"/>
        <w:spacing w:after="0" w:line="277" w:lineRule="auto"/>
        <w:tabs>
          <w:tab w:leader="none" w:pos="17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712"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Registrant is filing this Registration Statement to replace its registration statement on Form F-3 (File No. 333-241513) filed on August 6, 2020 (the “2020 Registration Statement”), which is expiring pursuant to Rule 415(a)(5) of the U.S. Securities Act of 1933, as amended (“Securities Act”). This Registration Statement includes and carries forward $2,710,944,308 of unsold securities previously registered by the Registrant under the 2020 Registration Statement. In accordance with Rule 415(a)(6) of the Securities Act, $663,273.84 of filing fees previously paid in connection with such unsold securities will continue to be applied to such unsold securities, and the effectiveness of this Registration Statement will be deemed to terminate the 2020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154305</wp:posOffset>
            </wp:positionV>
            <wp:extent cx="2657475" cy="1122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5747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Subordinate Voting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Preference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and sell from time to time, in one or more offerings: subordinate voting shares, preference shares, debt securities and/or warrants to purchase subordinate voting shares, preference shares, debt securities or other securities. In this prospectus, we refer to all of the foregoing securities collectively as securities. This prospectus may also be used by our shareholders to offer our subordinate voting shares.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prospectus describes some of the general terms that may apply to the securities. Each time we (or any selling shareholder) offer to sell any securities, we will provide specific terms of such securities and the offering in a supplement to this prospectus and/or a free writing prospectus. We may not use this prospectus to sell securities unless we also give prospective investors a supplement to this prospectus and/or a free writing prospectus. The prospectus supplement and/or free writing prospectus may also add, update or change information contained in this prospectus. You should read this prospectus and the applicable prospectus supplement and/or free writing prospectus carefully before you invest in our securities. All references in this prospectus to a prospectus supplement include references to a free writing prospectus if a free writing prospectus is filed to set forth any terms of any securities offering hereunder.</w:t>
      </w:r>
    </w:p>
    <w:p>
      <w:pPr>
        <w:spacing w:after="0" w:line="191" w:lineRule="exact"/>
        <w:rPr>
          <w:sz w:val="20"/>
          <w:szCs w:val="20"/>
          <w:color w:val="auto"/>
        </w:rPr>
      </w:pPr>
    </w:p>
    <w:p>
      <w:pPr>
        <w:jc w:val="both"/>
        <w:spacing w:after="0" w:line="386" w:lineRule="auto"/>
        <w:rPr>
          <w:sz w:val="20"/>
          <w:szCs w:val="20"/>
          <w:color w:val="auto"/>
        </w:rPr>
      </w:pPr>
      <w:r>
        <w:rPr>
          <w:rFonts w:ascii="Arial" w:cs="Arial" w:eastAsia="Arial" w:hAnsi="Arial"/>
          <w:sz w:val="15"/>
          <w:szCs w:val="15"/>
          <w:b w:val="1"/>
          <w:bCs w:val="1"/>
          <w:color w:val="auto"/>
        </w:rPr>
        <w:t>Investing in our securities involves risk. See the “Risk Factors” section on page 3 of this prospectus, in any applicable prospectus supplement, and in any documents we incorporate by reference in this prospectus or any applicable prospectus supplement(s) before investing in our securities.</w:t>
      </w:r>
    </w:p>
    <w:p>
      <w:pPr>
        <w:spacing w:after="0" w:line="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(or any selling shareholder) may offer the securities for sale in a number of different ways, including directly to purchasers, through one or more agents, or to or through underwriters or dealers, or through a combination of these methods, on a delayed or continuous basis. For additional information, you should refer to the section entitled “Plan of Distribution” in this prospectus. If any agents, underwriters or dealers are involved in the sale of any of our securities, their names, and any applicable purchase price, fee, commission or discount arrangement between or among them, will be set forth in the applicable prospectus supplement or other offering materials. Any selling shareholder will be named in a supplement to this prospectus.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subordinate voting shares are listed on the New York Stock Exchange and the Toronto Stock Exchange and trade under the symbol “CLS.” Our principal executive offices are located at 5140 Yonge Street, Suite 1900, Toronto, Ontario, Canada M2N 6L7 and our telephone number is (416) 448-5800.</w:t>
      </w:r>
    </w:p>
    <w:p>
      <w:pPr>
        <w:spacing w:after="0" w:line="18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Neither the Securities and Exchange Commission of the United States nor any U.S. state securities commission has approved or disapproved of these securities or determined if this prospectus is truthful or complete. Any representation to the contrary is a criminal offense.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40" w:type="dxa"/>
            <w:vAlign w:val="bottom"/>
            <w:gridSpan w:val="3"/>
          </w:tcPr>
          <w:p>
            <w:pPr>
              <w:ind w:left="78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ABOUT THIS PROSPECTUS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1</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PROSPECTUS SUMMARY</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3</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CAUTIONARY NOTE ON FORWARD-LOOKING STATEMENTS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3</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PRESENTATION OF FINANCIAL INFORMATION</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6</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OUR COMPANY</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6</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INFORMATION ABOUT THE OFFERING</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7</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CAPITALIZATION AND INDEBTEDNESS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8</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9</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MARKET INFORMATION</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9</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PLAN OF DISTRIBUTION</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10</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DESCRIPTION OF CAPITAL STOCK</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12</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DESCRIPTION OF OTHER SECURITIES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14</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RECENT DEVELOPMENTS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22</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MATERIAL INCOME TAX CONSEQUENCES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22</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INCORPORATION OF CERTAIN INFORMATION BY REFERENCE</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22</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23</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LEGAL MATTERS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24</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ENFORCEABILITY OF CIVIL LIABILITIES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24</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EXPERTS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24</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EXPENSES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25</w:t>
            </w:r>
          </w:p>
        </w:tc>
      </w:tr>
      <w:tr>
        <w:trPr>
          <w:trHeight w:val="648"/>
        </w:trPr>
        <w:tc>
          <w:tcPr>
            <w:tcW w:w="7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54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this prospectus, unless otherwise noted, “Celestica,” the “Company,” “we,” “us” and “our” refer to Celestica Inc. and its subsidiaries.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This prospectus is part of an “automatic shelf” registration statement on Form F-3 that we filed with the Securities and Exchange Commission (referred to in this prospectus as the Commission) as a “well known seasoned issuer” using the “shelf” registration process. Under this shelf registration process, using this prospectus, we may offer and sell, from time to time, in one or more offerings, any of the securities described in this prospectus (and our shareholders may offer and sell our subordinate voting shares). This prospectus provides a general description of the securities we may offer, as well as other information you should know before investing in our securities. Each time we or selling shareholders sell securities under this prospectus, we will provide a prospectus supplement and/or free writing prospectus that contains specific information about the terms of the offering and of the securities being offered. The prospectus supplement or free writing prospectus may also add, clarify, update or change information contained in this prospectus, and accordingly, to the extent any statement we make in that prospectus supplement or free writing prospectus is inconsistent with statements made in this prospectus, the statements made in this prospectus will be deemed modified or superseded by those made in such prospectus supplement or free writing prospectus. No limit exists on the aggregate amount of the securities we or selling shareholders may sell pursuant to the registration statement of which this prospectus is a part. You should read this prospectus, any applicable prospectus supplements or free writing prospectuses, together with additional information described below under the captions “Where You Can Find More Information” and “Incorporation of Certain Information by Reference” below, before you decide whether to invest in our securities. </w:t>
      </w:r>
      <w:r>
        <w:rPr>
          <w:rFonts w:ascii="Arial" w:cs="Arial" w:eastAsia="Arial" w:hAnsi="Arial"/>
          <w:sz w:val="16"/>
          <w:szCs w:val="16"/>
          <w:i w:val="1"/>
          <w:iCs w:val="1"/>
          <w:color w:val="auto"/>
        </w:rPr>
        <w:t>All references in this prospectus to a prospectus supplement include references to a free writing</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prospectus if a free writing prospectus is filed to set forth any terms of any securities offering hereunder.</w:t>
      </w:r>
    </w:p>
    <w:p>
      <w:pPr>
        <w:spacing w:after="0" w:line="167"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5"/>
          <w:szCs w:val="15"/>
          <w:b w:val="1"/>
          <w:bCs w:val="1"/>
          <w:color w:val="auto"/>
        </w:rPr>
        <w:t>You should rely only on the information we provide or incorporate by reference in this prospectus or any applicable prospectus supplement. We have not authorized anyone to provide you with different or additional information. You should not assume that the information contained in this prospectus, any prospectus supplement, or any other document we incorporate by reference herein or therein is accurate as of any date other than the date of such documents, regardless of the time of delivery of the prospectus, prospectus supplement, or any sale of the securities. Our business, financial condition, results of operations and prospects, as well as other information, may have changed since such dates.</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does not contain all of the information included in the registration statement of which it is a part. We urge you to read that registration statement in its entirety, including all amendments, exhibits, schedules and supplements to that registration statement, which can be obtained from the Commission as described below under the caption “Where You Can Find More Information.” You may also obtain the information we incorporate by reference into this prospectus without charge by following the instructions below under the caption “Incorporation of Certain Information by Reference.”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distribution of this prospectus may be restricted by law in certain jurisdictions. You should inform yourself about and observe any of these restrictions. We are not (and any selling shareholders are not), making an offer to sell or soliciting an offer to buy these securities in any jurisdiction where the offer or sale is not permitted, or where the person making the offer or solicitation is not qualified to do so, or to any person to whom it is unlawful to make the offer or solicitation.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making an investment decision, you must rely on your own examination of our Company and the terms of the offering and the securities, including the merits and risks involved.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making any representation to any purchaser of the securities registered hereby regarding the legality of an investment in the securities by such purchaser. You should not consider any information in this prospectus to be legal, business or tax advice, and you should consult your own legal, business and tax advisors for advice regarding an investment in the securities offered hereby.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Canada has no system of exchange controls. There are no Canadian exchange restrictions on the repatriation of capital or earnings of a Canadian public company to non-resident investors or affecting the remittance of dividends, interest or similar payments to non-resident holders of our securities, although there may be Canadian and other foreign tax considerations.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this prospectus, unless we state otherwise, all dollar amounts in this prospectus are expressed in United States (U.S.) dollars, and all references to “U.S.$” or “$” are to U.S. dollars.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972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972425"/>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section summarizes some of the information that is contained later in this prospectus or in other documents incorporated by reference into this prospectus. As an investor or prospective investor, you should review carefully the risk factors and the more detailed information that appears later in this prospectus or is contained in the documents that we incorporate by reference into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Celestica delivers innovative supply chain solutions globally to customers in two operating and reporting segments: Advanced Technology Solutions (“ATS”) and Connectivity &amp; Cloud Solutions (“CCS”). Celestica’s ATS segment consists of its ATS end market, and is comprised of its Aerospace &amp; Defense (“A&amp;D”), Industrial, HealthTech, and Capital Equipment businesses. The CCS segment consists of Celestica’s Communications and Enterprise (servers and storage) end markets. Celestica’s customers include original equipment manufacturers, cloud-based and other service providers, including hyperscalers, and other companies in a wide range of industries. The Company’s global headquarters is located in Toronto, Ontario, Canada. Celestica operates a network of sites and centers of excellence strategically located in North America, Europe and Asia, with specialized end-to-end supply chain capabilities tailored to meet specific market and customer product lifecycle requirements.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Celestica offers a comprehensive range of product manufacturing and related supply chain services to customers in both of its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The Company’s Hardware Platform Solutions (“HPS”) offering, within the CCS segment, includes the development of infrastructure platforms, hardware and software design solutions and services that can be used as-is, or customized for specific applications in collaboration with Celestica’s customers, and management of program design and aspects of the supply chain, manufacturing, and after-market support.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Information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Celestica was incorporated in Ontario, Canada on September 27, 1996 and it operates under the Business Corporations Act (Ontario). Celestica’s principal executive offices are located at 5140 Yonge Street, Suite 1900, Toronto, Ontario, Canada M2N 6L7, telephone number is (416) 448-5800.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its incorporation, Celestica was an IBM manufacturing unit that provided manufacturing services to IBM for more than 75 years. In 1993, Celestica began providing electronics manufacturing services to non-IBM customers. In October 1996, Celestica was purchased from IBM by an investor group led by Onex Corporation (“Onex”), and in 1998, Celestica completed its initial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Securities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use this prospectus to offer: subordinate voting shares; preference shares; debt securities; and/or warrants to purchase subordinate voting shares, preference shares, debt securities or other securities. This prospectus may also be used by our shareholders to offer our subordinate voting shares. Our debt securities may be guaranteed by one or more of our subsidiaries.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prospectus supplement will describe the specific types, amounts, prices, and detailed terms of any of these offered securities and may describe certain risks in addition to those described herein associated with an investment in the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securities are to be listed or quoted on a securities exchange or quotation system, the applicable prospectus supplement will say 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Proceeds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in an accompanying prospectus supplement, we will use the net proceeds from our sale of any securities for general corporate purposes. We will not receive any proceeds from the sale of our subordinate voting shares by any selling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8, 2023, Onex completed an underwritten secondary public offering of 12,000,000 of the Company’s subordinate voting shares (“Secondary Offering”). The fees and expenses of the Secondary Offering, excluding underwriting discounts and commissions, were approximately $1,700,000, approximately $950,000 of which were paid or are payable by the Company and approximately $750,000 of which are payable by Onex. The Company did not sell any shares in the Secondary Offering and did not receive any proceeds therefrom.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1134"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Before making an investment decision, you should carefully consider the risks described in the section captioned “Risk Factors” in any applicable prospectus supplement, as well as those set forth in documents we incorporate by reference in this prospectus and any applicable prospectus supplement, including the “Risk Factors” section of our most recent Annual Report on Form 20-F, and any updates to those Risk Factors in subsequent reports on Form 6-K we incorporate by reference in this prospectus and any applicable prospectus supplement, together with all of the other information appearing in this prospectus and any applicable prospectus supplement. Each of the risks described in these sections and documents could materially and adversely affect our business, financial condition, results of operations and prospects. Additional unknown risks and uncertainties, or those that we deem immaterial, may also impair our business, financial condition, results of operations and prospects. The trading price of our securities could decline due to any of these risks, and you may lose all or part of your investment.</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Please see “Where You Can Find More Information” and “Incorporation of Certain Information by Reference” for information on where you can find the documents we have filed with or furnished to the Commission and which documents are incorporated into this prospectus by reference.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addition to historical information, this prospectus (and any prospectus supplement) and the documents we incorporate by reference in this prospectus (and in any prospectus supplement) contain forward-looking statements within the meaning of Section 27A of the Securities Act, Section 21E of the U.S. Securities Exchange Act of 1934, as amended (referred to in this prospectus as the Exchange Act), and forward-looking information within the meaning of applicable Canadian securities laws. Such forward-looking statements include, without limitation, statements related to: our priorities, intended areas of focus, targets, objectives and goals; trends in the electronics manufacturing services (“EMS”) industry and our segments (and/or their constituent businesses), and their anticipated impact; the anticipated impact of current market conditions on each of our segments (and/or their constituent businesses) and near-term expectations; anticipated and potential restructuring and potential divestiture actions; our anticipated financial and/or operating results and outlook; our expectations with respect to insurance recoveries for tangible losses in connection with a June 2022 fire at our Batam facility in Indonesia (“Batam Fire”); our strategies; our credit risk; the potential impact of acquisitions, or program wins, transfers, losses or disengagements; materials, component and supply chain constraints; coronavirus disease 2019 (“COVID-19”) resurgences or mutations; shipping delays; anticipated expenses, capital expenditures, other working capital requirements and contractual obligations (and intended methods of funding our cash requirements); our intended repatriation of certain undistributed earnings from foreign subsidiaries (and amounts we do not intend to repatriate in the foreseeable future); diversity and inclusion, employee engagement, and other environmental, social and governance (“ESG”) matters; the potential impact of international tax reform; the potential impact of tax and litigation outcomes; our ability to use certain tax losses; intended investments in our business; the potential impact of the pace of technological changes, customer outsourcing, program transfers, and the global economic environment; the impact of our outstanding indebtedness; liquidity and the sufficiency of our capital resources; our intention (when in our discretion) to settle outstanding equity awards with subordinate voting shares; our financial statement estimates and assumptions; recently-adopted accounting pronouncements and amendments; the impact of price reductions and longer payment terms; our compliance with covenants under our credit facility; refinancing debt at maturity; interest rates and expense; the potential adverse impacts of events outside of our control; mandatory prepayments under our credit facility; pension plan funding requirements and obligations, and the impact of annuity purchases; income tax incentives; accounts payable cash flow levels; accounts receivable sales; our controlling shareholder; our cash generating units with goodwill; our future warranty obligations; cybersecurity threats and incidents; our intentions with respect to environmental assessments for newly-leased or acquired properties; our expectations with respect to expiring leases; the pay-for-performance alignment of our executive compensation program; our intention to retain earnings for general corporate purposes; and costs in connection with our pursuit of acquisitions and strategic transactions. Also, documents which we subsequently file with (or furnish to) the Commission and are incorporated herein by reference will contain such forward-looking statements. Forward-looking statements may, without limitation, be preceded by, followed by, or include words such as "believes," "expects," "anticipates," "estimates," "intends," "plans," "continues," "target," "goal," "project," "potential," "possible," "contemplate," "seek," or similar expressions, or may employ such future or conditional verbs as "may," "might," "will," "could," "should" or "would," or may otherwise be indicated as forward-looking statements by grammatical construction, phrasing or context. In addition, any statements concerning future financial performance, ongoing business strategies or prospects, and possible future actions, which may be provided, are also forward-looking statements. For forward-looking statements, we claim the protection of the safe harbor for forward-looking statements contained in the U.S. Private Securities Litigation Reform Act of 1995, and for forward-looking information under applicable Canadian securities laws.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96" w:lineRule="auto"/>
        <w:rPr>
          <w:sz w:val="20"/>
          <w:szCs w:val="20"/>
          <w:color w:val="auto"/>
        </w:rPr>
      </w:pPr>
      <w:r>
        <w:rPr>
          <w:rFonts w:ascii="Arial" w:cs="Arial" w:eastAsia="Arial" w:hAnsi="Arial"/>
          <w:sz w:val="16"/>
          <w:szCs w:val="16"/>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conclusions, forecasts or projections expressed or implied in such forward-looking statements, including, as is described in further detail in the documents incorporated by reference herein, and in addition to risk factors relating to us or to a particular offering discussed or incorporated by reference in any applicable prospectus supplement, risks related to:</w:t>
      </w:r>
    </w:p>
    <w:p>
      <w:pPr>
        <w:spacing w:after="0" w:line="16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and segment concentration;</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challenges of replacing revenue from completed, lost or non-renewed programs or customer disengagements;</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managing our business during uncertain market, political and economic conditions, including among others, global inflation and/or recession, and geopolitical and other risks associated with our international operations, including military actions, protectionism and reactive countermeasures, economic or other sanctions or trade barriers, including in relation to the Russia/Ukraine conflict;</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managing changes in customer demand; our customers' ability to compete and succeed using our products and services;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in the delivery and availability of components, services and/or materials, as well as their costs and quality;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inventory levels and practices;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cyclical and volatile nature of our semiconductor business;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mix of customers and/or the types of products or services we provide, including negative impacts of higher concentrations of lower margin programs;</w:t>
      </w:r>
    </w:p>
    <w:p>
      <w:pPr>
        <w:jc w:val="both"/>
        <w:ind w:left="660" w:hanging="652"/>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margin pressures, and other competitive factors and adverse market conditions affecting, and the highly competitive nature of, the EMS and original design manufacturer (“ODM”) industries in general and our segments in particular (including the risk that anticipated market conditions do not materialize);</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challenges associated with new customers or programs, or the provision of new services;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rising commodity, materials and component costs as well as rising labor costs and changing labor conditions;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U.S. policies or legislation;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relationships with emerging companies;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recruiting or retaining skilled talent;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adequately protect intellectual property and confidential information;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variability of revenue and operating results;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disruptions to our cash flows;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deterioration in financial markets or the macro-economic environment, including as a result of global inflation and/or recession;</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maintaining sufficient financial resources to fund currently anticipated financial actions and obligations and to pursue desirable business opportunities;</w:t>
      </w: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expansion or consolidation of our operations;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to maintain adequate utilization of our workforce;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integrating and achieving the anticipated benefits from acquisitions and "operate-in-place" arrangements;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execution and/or quality issues (including our ability to successfully resolve these challenges);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non-performance by counterparties;</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impacts on our business resulting from any significant uses of cash, securities issuances, and/or additional increases in third-party indebtedness (including as a result of an inability to sell desired amounts under our uncommitted accounts receivable sales program or supplier financing programs);</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disruptions to our operations, or those of our customers, component suppliers and/or logistics partners, including as a result of events outside of our control (including those described under "External factors that may impact our business" in our most recent Management’s Discussion and Analysis of Financial Condition and Results of Operations);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defects or deficiencies in our products, services or designs;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in the commercial aerospace industry;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customer-driven policies and standards, and third-party certification requirements;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impacts on our business resulting from our third-party indebtedness;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duration and impact of materials constraints;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COVID-19 mutations or resurgences;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declines in U.S. and other government budgets, changes in government spending or budgetary priorities, or delays in contract awards;</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military conflict between Russia and Ukraine;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our operating model;</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currency volatility;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global operations and supply chain;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bid selection processes;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industries affected by rapid technological change;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rapidly evolving and changing technologies, and changes in our customers' business or outsourcing strategies;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taxes (including as a result of global tax reform), tax audits, and challenges of defending our tax positions;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obtaining, renewing or meeting the conditions of tax incentives and credits;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management of our information technology systems, and the fact that while we have not been materially impacted by computer viruses, malware, ransomware, hacking incidents or outages, we have been (and may in the future be) the target of such events;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restructuring actions and/or productivity initiatives, including a failure to achieve anticipated benefits therefrom;</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of future restructuring charges, impairment charges, other unrecovered write-downs of assets (including inventory) or operating losses;</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prevent or detect all errors or fraud;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applicable laws and regulations;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pension and other benefit plan obligations;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judgments, estimates and assumptions;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credit facility covenants;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total return swap agreement;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refinance our indebtedness from time to time;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rating;</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interest and actions of our controlling shareholder;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eligibility for foreign private issuer status;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activist shareholders;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or future litigation, governmental actions, and/or changes in legislation or accounting standards;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subordinate voting share price;</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impermissibility of subordinate voting share repurchases, or a determination not to repurchase subordinate voting shares, under any normal course issuer bid (“NCIB”);</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unenforceability of judgments;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climate change;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ESG targets and goals, including with respect to climate change and greenhouse gas emissions reduction.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forward-looking statements are based on various assumptions, many of which involve factors that are beyond our control. Our material assumptions include: continued growth in our end markets; growth in manufacturing outsourcing from customers in diversified markets; no significant unforeseen negative impacts to our operations (including from mutations or resurgences of COVID-19); no unforeseen materials price increases, margin pressures, or other competitive factors affecting the EMS or ODM industries in general or our segments in particular, as well as those related to the following:</w:t>
      </w:r>
    </w:p>
    <w:p>
      <w:pPr>
        <w:spacing w:after="0" w:line="18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and duration of materials constraints (</w:t>
      </w:r>
      <w:r>
        <w:rPr>
          <w:rFonts w:ascii="Arial" w:cs="Arial" w:eastAsia="Arial" w:hAnsi="Arial"/>
          <w:sz w:val="16"/>
          <w:szCs w:val="16"/>
          <w:i w:val="1"/>
          <w:iCs w:val="1"/>
          <w:color w:val="auto"/>
        </w:rPr>
        <w:t>i.e.</w:t>
      </w:r>
      <w:r>
        <w:rPr>
          <w:rFonts w:ascii="Arial" w:cs="Arial" w:eastAsia="Arial" w:hAnsi="Arial"/>
          <w:sz w:val="16"/>
          <w:szCs w:val="16"/>
          <w:color w:val="auto"/>
        </w:rPr>
        <w:t>, that they do not materially worsen), and their impact on our sites, customers and suppliers;</w:t>
      </w:r>
    </w:p>
    <w:p>
      <w:pPr>
        <w:spacing w:after="0" w:line="46"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fully recover our tangible losses caused by the Batam Fire through insurance claims;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 of production schedules from our customers in terms of volume and mix of products or services;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execution of, and investments associated with, ramping new business;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customers' products;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programs and customers;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stability of currency exchange rates;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supplier performance and quality, pricing and terms;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by third parties with their contractual obligations;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availability of components, materials, services, equipment, labor, energy and transportation;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our customers will retain liability for product/component tariffs and countermeasures;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tax legislation changes;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rapidly changing technological developments;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execution and effect of restructuring actions;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resolution of quality issues that arise from time to time;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components of our leverage ratio (as defined in our credit facility);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diversify our customer base and develop new capabilities;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capital resources for, and the permissibility under our credit facility of, repurchases of outstanding subordinate voting shares under our current NCIB and compliance with applicable laws and regulations pertaining to NCIBs;</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applicable credit facility covenants;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demand levels across our businesses;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anticipated market conditions on our businesses;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global inflation and/or recession will not have a material impact on our revenues or expenses; and</w:t>
      </w:r>
    </w:p>
    <w:p>
      <w:pPr>
        <w:spacing w:after="0" w:line="9"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maintenance of sufficient financial resources to fund currently anticipated financial actions and obligations and to pursue desirable business opportunities.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assumptions and estimates are based on management’s current views with respect to current plans and events, and are and will be subject to the risks and uncertainties discussed above. While management believes these assumptions to be reasonable under current circumstances, they may prove to be inaccurate, which could cause actual results to differ materially (and adversely) from those that would have been achieved had such assumptions been accurate.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57" w:lineRule="auto"/>
        <w:rPr>
          <w:sz w:val="20"/>
          <w:szCs w:val="20"/>
          <w:color w:val="auto"/>
        </w:rPr>
      </w:pPr>
      <w:r>
        <w:rPr>
          <w:rFonts w:ascii="Arial" w:cs="Arial" w:eastAsia="Arial" w:hAnsi="Arial"/>
          <w:sz w:val="18"/>
          <w:szCs w:val="18"/>
          <w:color w:val="auto"/>
        </w:rPr>
        <w:t>Forward-looking statements speak only as of the date on which they are made, and except as required by applicable law, we disclaim any intention or obligation to update or revise any forward-looking statements, whether as a result of new information, future events or otherwise. You should read this prospectus, and any applicable prospectus supplements, and the documents we incorporate by reference herein and therein, with the understanding that our actual future results may be materially different from what we expect. All forward-looking statements attributable to us are expressly qualified by these cautionary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consolidated financial statements are presented in U.S. dollars, and in accordance with International Financial Reporting Standards (IFRS) as issued by the International Accounting Standards Board (IASB).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were incorporated in Ontario, Canada on September 27, 1996. Our legal and commercial name is Celestica Inc. We are a corporation domiciled in the Province of Ontario, Canada and operate under the Business Corporations Act (Ontario). Our principal executive offices are located at 5140 Yonge Street, Suite 1900, Toronto, Ontario, Canada M2N 6L7 and our telephone number is (416) 448-5800. Our website is www.celestica.com. Information on our website is not incorporated by reference into this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Celestica does: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deliver innovative supply chain solutions globally to customers in two operating and reportable segments: ATS and CCS. Our ATS segment consists of our ATS end market, and is comprised of our A&amp;D, Industrial, HealthTech, and Capital Equipment businesses. Our Capital Equipment business is comprised of our semiconductor, display, and robotics equipment businesses. Our CCS segment consists of our Communications and Enterprise (servers and storage) end markets. Our customers include original equipment manufacturers (OEMs), cloud-based and other service providers, including hyperscalers, and other companies in a wide range of industries.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global headquarters is located in Toronto, Ontario, Canada. We operate a network of sites and centers of excellence strategically located in North America, Europe and Asia, with specialized end-to-end supply chain capabilities tailored to meet specific market and customer product lifecycle requirements. 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Our HPS offering (within our CCS segment) includes the development of infrastructure platforms, hardware and software design solutions and services that can be used as-is, or customized for specific applications in collaboration with our customers, and management of program design and aspects of the supply chain, manufacturing, and after-market support.</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full product development in the areas of telematics, human machine interface, Internet-of-Things and embedded systems;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businesses in our CCS segment. Products and services in our CCS segment consist predominantly of enterprise-level data communications and information processing infrastructure products and systems, and can include routers, switches, data center interconnects, edge solutions, servers and storage-related products used by a wide range of businesses and cloud-based and other service providers to manage digital connectivity, commerce and social media applications. Our CCS segment businesses have lower margin profiles, lower working capital requirements, and higher volumes than the businesses in our ATS segment. Within our CCS segment, however, our HPS business (which includes firmware/software enablement across all primary IT infrastructure data center technologies and after-market services) typically has a higher margin profile than our traditional CCS businesses, but also requires specific investments (including research and development) and higher working capital. In recent periods, we have experienced an increasing shift in the mix of our programs towards cloud-based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3920"/>
        <w:spacing w:after="0"/>
        <w:rPr>
          <w:sz w:val="20"/>
          <w:szCs w:val="20"/>
          <w:color w:val="auto"/>
        </w:rPr>
      </w:pPr>
      <w:r>
        <w:rPr>
          <w:rFonts w:ascii="Arial" w:cs="Arial" w:eastAsia="Arial" w:hAnsi="Arial"/>
          <w:sz w:val="18"/>
          <w:szCs w:val="18"/>
          <w:b w:val="1"/>
          <w:bCs w:val="1"/>
          <w:color w:val="auto"/>
        </w:rPr>
        <w:t>INFORMATION ABOUT THE OFFERING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use this prospectus to offer, from time to time, in one or more series or issuances:</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subordinate voting shares;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preference shares;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debt securities (consisting of senior or subordinated, and/or secured or unsecured, debentures, notes or other evidences of indebtedness); and/or</w:t>
      </w:r>
    </w:p>
    <w:p>
      <w:pPr>
        <w:spacing w:after="0" w:line="32" w:lineRule="exact"/>
        <w:rPr>
          <w:rFonts w:ascii="Arial" w:cs="Arial" w:eastAsia="Arial" w:hAnsi="Arial"/>
          <w:sz w:val="16"/>
          <w:szCs w:val="16"/>
          <w:color w:val="auto"/>
        </w:rPr>
      </w:pPr>
    </w:p>
    <w:p>
      <w:pPr>
        <w:ind w:left="660" w:right="3360" w:hanging="652"/>
        <w:spacing w:after="0" w:line="55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warrants to purchase subordinate voting shares, preference shares, debt securities or other securities. In addition, our shareholders may use this prospectus to offer subordinate voting shares.</w:t>
      </w:r>
    </w:p>
    <w:p>
      <w:pPr>
        <w:jc w:val="both"/>
        <w:ind w:firstLine="648"/>
        <w:spacing w:after="0" w:line="275" w:lineRule="auto"/>
        <w:rPr>
          <w:sz w:val="20"/>
          <w:szCs w:val="20"/>
          <w:color w:val="auto"/>
        </w:rPr>
      </w:pPr>
      <w:r>
        <w:rPr>
          <w:rFonts w:ascii="Arial" w:cs="Arial" w:eastAsia="Arial" w:hAnsi="Arial"/>
          <w:sz w:val="17"/>
          <w:szCs w:val="17"/>
          <w:color w:val="auto"/>
        </w:rPr>
        <w:t>We will set forth in an applicable prospectus supplement a description of the specific types of securities that may be offered under this prospectus. The terms of the offering of securities, the initial offering price and the net proceeds to us will be contained in the prospectus supplement and other offering material relating to such offer. The prospectus supplement may also add, update or change information contained in this prospectus, and/or describe certain risks in addition to those referred to herein associated with an investment in the specific securities offered. You should carefully read this prospectus and any applicable prospectus supplement before you invest in any of our securities.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These securities may be offered directly to one or more purchasers, through agents, or to or through underwriters or dealers. The names of these parties, any securities to be purchased by or through these parties, the compensation of these parties and other special terms in connection with the offering and sale of these securities will be detailed in a prospectus supplement. Please also refer to “Plan of Distribution” below.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following table sets forth our capitalization and indebtedness (other than intra-company indebtedness), determined in accordance with IFRS, as of June 30, 2023. You should read this table in conjunction with our audited consolidated financial statements and the related notes thereto for the year ended December 31, 2022 included in our </w:t>
      </w:r>
      <w:hyperlink r:id="rId25">
        <w:r>
          <w:rPr>
            <w:rFonts w:ascii="Arial" w:cs="Arial" w:eastAsia="Arial" w:hAnsi="Arial"/>
            <w:sz w:val="18"/>
            <w:szCs w:val="18"/>
            <w:u w:val="single" w:color="auto"/>
            <w:color w:val="0000EE"/>
          </w:rPr>
          <w:t>Annual Report on Form 20-F for the year ended December 31, 2022</w:t>
        </w:r>
      </w:hyperlink>
      <w:r>
        <w:rPr>
          <w:rFonts w:ascii="Arial" w:cs="Arial" w:eastAsia="Arial" w:hAnsi="Arial"/>
          <w:sz w:val="18"/>
          <w:szCs w:val="18"/>
          <w:color w:val="auto"/>
        </w:rPr>
        <w:t xml:space="preserve">, and our unaudited interim condensed consolidated financial statements for the three and six-month periods ended June 30, 2023 included as </w:t>
      </w:r>
      <w:hyperlink r:id="rId26">
        <w:r>
          <w:rPr>
            <w:rFonts w:ascii="Arial" w:cs="Arial" w:eastAsia="Arial" w:hAnsi="Arial"/>
            <w:sz w:val="18"/>
            <w:szCs w:val="18"/>
            <w:u w:val="single" w:color="auto"/>
            <w:color w:val="0000EE"/>
          </w:rPr>
          <w:t>Exhibit 99.2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Report on Form 6-K furnished to the Commission on July 26, 2023 (“Interim Q2 2023 Financials”), each of which we incorporate by reference in this prospectus, as described in “Incorporation of Certain Information by Reference”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As at June 30, 2023</w:t>
            </w:r>
          </w:p>
        </w:tc>
      </w:tr>
      <w:tr>
        <w:trPr>
          <w:trHeight w:val="209"/>
        </w:trPr>
        <w:tc>
          <w:tcPr>
            <w:tcW w:w="9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18"/>
                <w:szCs w:val="18"/>
                <w:color w:val="auto"/>
              </w:rPr>
            </w:pPr>
          </w:p>
        </w:tc>
      </w:tr>
      <w:tr>
        <w:trPr>
          <w:trHeight w:val="243"/>
        </w:trPr>
        <w:tc>
          <w:tcPr>
            <w:tcW w:w="9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shd w:val="clear" w:color="auto" w:fill="CCEEFF"/>
          </w:tcPr>
          <w:p>
            <w:pPr>
              <w:spacing w:after="0"/>
              <w:rPr>
                <w:sz w:val="21"/>
                <w:szCs w:val="2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9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180"/>
              <w:spacing w:after="0"/>
              <w:rPr>
                <w:sz w:val="20"/>
                <w:szCs w:val="20"/>
                <w:color w:val="auto"/>
              </w:rPr>
            </w:pPr>
            <w:r>
              <w:rPr>
                <w:rFonts w:ascii="Arial" w:cs="Arial" w:eastAsia="Arial" w:hAnsi="Arial"/>
                <w:sz w:val="18"/>
                <w:szCs w:val="18"/>
                <w:color w:val="auto"/>
              </w:rPr>
              <w:t>Lease Obligations*(1)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8"/>
                <w:szCs w:val="18"/>
                <w:color w:val="auto"/>
              </w:rPr>
            </w:pPr>
          </w:p>
        </w:tc>
      </w:tr>
      <w:tr>
        <w:trPr>
          <w:trHeight w:val="216"/>
        </w:trPr>
        <w:tc>
          <w:tcPr>
            <w:tcW w:w="93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under Credit Facility* (2)</w:t>
            </w:r>
          </w:p>
        </w:tc>
        <w:tc>
          <w:tcPr>
            <w:tcW w:w="1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360" w:type="dxa"/>
            <w:vAlign w:val="bottom"/>
          </w:tcPr>
          <w:p>
            <w:pPr>
              <w:ind w:left="340"/>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18"/>
                <w:szCs w:val="18"/>
                <w:color w:val="auto"/>
              </w:rPr>
            </w:pPr>
          </w:p>
        </w:tc>
      </w:tr>
      <w:tr>
        <w:trPr>
          <w:trHeight w:val="216"/>
        </w:trPr>
        <w:tc>
          <w:tcPr>
            <w:tcW w:w="9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r>
      <w:tr>
        <w:trPr>
          <w:trHeight w:val="216"/>
        </w:trPr>
        <w:tc>
          <w:tcPr>
            <w:tcW w:w="9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Surplus</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180"/>
              <w:spacing w:after="0"/>
              <w:rPr>
                <w:sz w:val="20"/>
                <w:szCs w:val="20"/>
                <w:color w:val="auto"/>
              </w:rPr>
            </w:pPr>
            <w:r>
              <w:rPr>
                <w:rFonts w:ascii="Arial" w:cs="Arial" w:eastAsia="Arial" w:hAnsi="Arial"/>
                <w:sz w:val="18"/>
                <w:szCs w:val="18"/>
                <w:color w:val="auto"/>
              </w:rPr>
              <w:t>Deficit</w:t>
            </w:r>
          </w:p>
        </w:tc>
        <w:tc>
          <w:tcPr>
            <w:tcW w:w="10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(996.4)</w:t>
            </w:r>
          </w:p>
        </w:tc>
      </w:tr>
      <w:tr>
        <w:trPr>
          <w:trHeight w:val="229"/>
        </w:trPr>
        <w:tc>
          <w:tcPr>
            <w:tcW w:w="9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0"/>
        </w:trPr>
        <w:tc>
          <w:tcPr>
            <w:tcW w:w="9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936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1,680.6</w:t>
            </w:r>
          </w:p>
        </w:tc>
        <w:tc>
          <w:tcPr>
            <w:tcW w:w="100" w:type="dxa"/>
            <w:vAlign w:val="bottom"/>
          </w:tcPr>
          <w:p>
            <w:pPr>
              <w:spacing w:after="0"/>
              <w:rPr>
                <w:sz w:val="19"/>
                <w:szCs w:val="19"/>
                <w:color w:val="auto"/>
              </w:rPr>
            </w:pPr>
          </w:p>
        </w:tc>
      </w:tr>
      <w:tr>
        <w:trPr>
          <w:trHeight w:val="230"/>
        </w:trPr>
        <w:tc>
          <w:tcPr>
            <w:tcW w:w="93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2,467.1</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secured by certain assets of the Company</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These lease obligations represent the present value of unpaid lease payment obligations recognized as liabilities as of June 30, 2023, which have been discounted using our incremental borrowing rate on the lease commencement dates. In addition to these lease obligations, we have commitments under additional real property leases not recognized as liabilities as of June 30, 2023 because such leases had not yet commenced as of such date. A description of these leases and minimum lease obligations thereunder are disclosed in note 24 to our audited consolidated financial statements for the year ended December 31, 2022, included in our </w:t>
      </w:r>
      <w:hyperlink r:id="rId25">
        <w:r>
          <w:rPr>
            <w:rFonts w:ascii="Arial" w:cs="Arial" w:eastAsia="Arial" w:hAnsi="Arial"/>
            <w:sz w:val="18"/>
            <w:szCs w:val="18"/>
            <w:u w:val="single" w:color="auto"/>
            <w:color w:val="0000EE"/>
          </w:rPr>
          <w:t>Annual Report on Form 20-F for the year ended December 31, 2022</w:t>
        </w:r>
      </w:hyperlink>
      <w:r>
        <w:rPr>
          <w:rFonts w:ascii="Arial" w:cs="Arial" w:eastAsia="Arial" w:hAnsi="Arial"/>
          <w:sz w:val="18"/>
          <w:szCs w:val="18"/>
          <w:color w:val="auto"/>
        </w:rPr>
        <w:t>, which is incorporated herein by reference.</w:t>
      </w:r>
    </w:p>
    <w:p>
      <w:pPr>
        <w:spacing w:after="0" w:line="19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credit facility is comprised of a term loan in the original principal amount of $350.0 million (“Initial Term Loan”), a term loan in the original principal amount of $365.0 million (“Incremental Term Loan”), and a $600.0 million revolving credit facility (“Revolver”). The Initial Term Loan matures on June 27, 2025. The Incremental Term Loan and the Revolver each mature on March 28, 2025, unless either (i) the Initial Term Loan has been prepaid or refinanced or (ii) commitments under the Revolver are available and have been reserved to repay the Initial Term Loan in full, in which case such obligations mature on December 6, 2026. The amounts in the table represent aggregate remaining term loan amounts outstanding as of June 30, 2023 (as of such date, other than ordinary course letters of credit described below, there were no amounts outstanding under the Revolver). In addition, at June 30, 2023, we had $33.1 million outstanding in letters of credit and surety bonds, including $17.3 million letters of credit that were issued under our credit facility.</w:t>
      </w:r>
    </w:p>
    <w:p>
      <w:pPr>
        <w:spacing w:after="0" w:line="178" w:lineRule="exact"/>
        <w:rPr>
          <w:rFonts w:ascii="Arial" w:cs="Arial" w:eastAsia="Arial" w:hAnsi="Arial"/>
          <w:sz w:val="17"/>
          <w:szCs w:val="17"/>
          <w:color w:val="auto"/>
        </w:rPr>
      </w:pPr>
    </w:p>
    <w:p>
      <w:pPr>
        <w:jc w:val="both"/>
        <w:ind w:left="660" w:hanging="328"/>
        <w:spacing w:after="0" w:line="288" w:lineRule="auto"/>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Our authorized capital consists of an unlimited number of preference shares, issuable in series, without nominal or par value, an unlimited number of subordinate voting shares, without nominal or par value (which entitle the holder to one vote per share), and an unlimited number of multiple voting shares, without nominal or par value (which entitle the holder to 25 votes per share). At June 30, 2023, no preference shares, 112,520,339 subordinate voting shares and 6,808,623 multiple voting shares were issued and outstanding (all of which are fully paid). As of such date, we also had 393,472 outstanding stock options, 4,129,754 outstanding restricted share units (“RSUs”), 4,834,886 outstanding performance share units (“PSUs”), representing 100% of the target amount granted (amounts that will vest range from 0% to 200% of the target amount granted), and 1,407,181 outstanding deferred share units (DSUs”), each vested option or unit entitling the holder thereof to receive one subordinate voting share (or in certain cases, cash) pursuant to the terms thereof (subject to certain time or performance-based vesting conditions). See “Recent Developments” below for a description of the Secondary Offering, which closed on June 8, 2023. Immediately prior to the Secondary Offering, there were 100,721,798 subordinate voting shares outstanding and 18,600,193 multiple voting shares outstanding.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right="20"/>
        <w:spacing w:after="0" w:line="263" w:lineRule="auto"/>
        <w:rPr>
          <w:sz w:val="20"/>
          <w:szCs w:val="20"/>
          <w:color w:val="auto"/>
        </w:rPr>
      </w:pPr>
      <w:r>
        <w:rPr>
          <w:rFonts w:ascii="Arial" w:cs="Arial" w:eastAsia="Arial" w:hAnsi="Arial"/>
          <w:sz w:val="18"/>
          <w:szCs w:val="18"/>
          <w:color w:val="auto"/>
        </w:rPr>
        <w:t>The following table sets forth information with respect to stock options outstanding as at June 30, 2023 (all of which were granted under our Amended and Restated Long Term Incentive Plan). The options are held by one executive officer and one employee. No other Celestica employees hold outstanding stock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gridSpan w:val="5"/>
          </w:tcPr>
          <w:p>
            <w:pPr>
              <w:ind w:left="1160"/>
              <w:spacing w:after="0"/>
              <w:rPr>
                <w:sz w:val="20"/>
                <w:szCs w:val="20"/>
                <w:color w:val="auto"/>
              </w:rPr>
            </w:pPr>
            <w:r>
              <w:rPr>
                <w:rFonts w:ascii="Arial" w:cs="Arial" w:eastAsia="Arial" w:hAnsi="Arial"/>
                <w:sz w:val="18"/>
                <w:szCs w:val="18"/>
                <w:b w:val="1"/>
                <w:bCs w:val="1"/>
                <w:color w:val="auto"/>
              </w:rPr>
              <w:t>Outstanding Options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Subordinate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Voting Shares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Beneficial Holders</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Under Option</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Exercise 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Date/Year of Issuance</w:t>
            </w:r>
          </w:p>
        </w:tc>
        <w:tc>
          <w:tcPr>
            <w:tcW w:w="100" w:type="dxa"/>
            <w:vAlign w:val="bottom"/>
          </w:tcPr>
          <w:p>
            <w:pPr>
              <w:spacing w:after="0"/>
              <w:rPr>
                <w:sz w:val="20"/>
                <w:szCs w:val="20"/>
                <w:color w:val="auto"/>
              </w:rPr>
            </w:pPr>
          </w:p>
        </w:tc>
        <w:tc>
          <w:tcPr>
            <w:tcW w:w="16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Date of Expiry</w:t>
            </w:r>
          </w:p>
        </w:tc>
      </w:tr>
      <w:tr>
        <w:trPr>
          <w:trHeight w:val="209"/>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94,518</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November 5, 2021</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November 5, 2031</w:t>
            </w:r>
          </w:p>
        </w:tc>
      </w:tr>
      <w:tr>
        <w:trPr>
          <w:trHeight w:val="216"/>
        </w:trPr>
        <w:tc>
          <w:tcPr>
            <w:tcW w:w="2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298,954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w:t>
            </w: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August 1, 2015</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August 1, 2025</w:t>
            </w:r>
          </w:p>
        </w:tc>
      </w:tr>
      <w:tr>
        <w:trPr>
          <w:trHeight w:val="216"/>
        </w:trPr>
        <w:tc>
          <w:tcPr>
            <w:tcW w:w="3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4"/>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 References to “C$” are to Canadian</w:t>
            </w:r>
          </w:p>
        </w:tc>
        <w:tc>
          <w:tcPr>
            <w:tcW w:w="740" w:type="dxa"/>
            <w:vAlign w:val="bottom"/>
          </w:tcPr>
          <w:p>
            <w:pPr>
              <w:spacing w:after="0"/>
              <w:rPr>
                <w:sz w:val="20"/>
                <w:szCs w:val="20"/>
                <w:color w:val="auto"/>
              </w:rPr>
            </w:pPr>
            <w:r>
              <w:rPr>
                <w:rFonts w:ascii="Arial" w:cs="Arial" w:eastAsia="Arial" w:hAnsi="Arial"/>
                <w:sz w:val="18"/>
                <w:szCs w:val="18"/>
                <w:color w:val="auto"/>
              </w:rPr>
              <w:t>dollars.</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the notes to our Interim Q2 2023 Financials (incorporated by reference herein as described below), there have been no subsequent events between June 30, 2023 and the date of this document that would have a material impact on our authorized or issued share capital or the total debt reported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retain broad discretion over the use of the net proceeds from the sale of our securities under this prospectus. Unless we specify otherwise in any prospectus supplement, we intend to use the net proceeds from the sale of the securities covered by this prospectus for general corporate purposes, including, without limitation, working capital, the repayment of existing debt, and/or financing capital investments or acquisitions. We may temporarily invest funds that we do not need immediately for these purposes in short-term marketable securities. We will not receive any proceeds from the sale of subordinate voting shares by any selling shareholders.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subordinate voting shares are listed on the New York Stock Exchange and the Toronto Stock Exchange, and trade under the symbol “CLS”.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or any selling shareholder may sell the securities described in this prospectus from time to time in one or more of the following ways:</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 efforts basis;</w:t>
      </w:r>
    </w:p>
    <w:p>
      <w:pPr>
        <w:spacing w:after="0" w:line="23"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Through a block trade in which the broker or dealer so engaged will attempt to sell the shares as agent, but may position and resell a portion of the block as principal to facilitate the transaction (including crosses in which the same broker acts as agent for both sides of the transaction);</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purchases by a broker or dealer as principal and resale by the broker or dealer for its account pursuant to this prospectus;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ordinary brokerage transactions and transactions in which the broker solicits purchasers;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sales “at the market” or to or through a market maker or into an existing trading market;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direct sales to one or more purchasers, including our affiliates, or to a single purchaser;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an exchange distribution in accordance with the rules of the applicable exchange;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options, swaps, derivatives, or hedging transactions, whether through an options exchange or otherwise;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privately negotiated transactions;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making short sales or in transactions to cover short sales;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Through transactions on any national securities exchange or quotation service on which the securities may be listed or quoted at the time of sale;</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put or call option transactions;</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trading plans entered into pursuant to Rule 10b5-1 under the Exchange Act, that are in place at the time of any offering pursuant to this prospectus and any applicable prospectus supplement hereto, that provide for periodic sales of our securities on the basis of parameters described in such trading plans;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other types of transactions permitted by applicable law;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any combination of the above-listed methods of sale.</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prospectus supplement with respect to any offered securities will describe the terms of the offering, including the following: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method of distribution, including the name or names of any underwriters or agents;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net proceeds to us from such sale;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or selling shareholders;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delayed delivery arrangements;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or the selling shareholders may distribute the securities from time to time in one or more of the following ways: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prevailing market prices at the time of sale or prices relating to prevailing market prices at the time of sale;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Agents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designate agents who agree to use their reasonable efforts to solicit purchases for the period of their appointment or to sell securities on a continuing basis. Any agent involved will be named, and any commissions payable by us to such agent will be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securities will be acquired by the underwriters for their own account and may be resold from time to time in one or more transactions, including negotiated transactions, at a fixed public offering price or at varying prices determined at the time of sale. The underwriter or underwriters with respect to a particular underwritten offering of securities, or, if an underwriting syndicate is used, the managing underwriter or underwriters, will be set forth on the cover of the applicable prospectus supplement. Unless otherwise set forth in the prospectus supplement relating thereto, the obligations of the underwriters to purchase the securities will be subject to certain conditions and the underwriters will be obligated to purchase all of the securities if any are purchased. We may change from time to time any initial public offering price and any discounts or concessions the underwriters allow or re-allow or pay to dealers. We may use underwriters with whom we have a material relationship. We will describe in the prospectus supplement naming the underwriter the nature of any such relationship.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We may grant to the underwriters an option to purchase additional offered securities, to cover over-allotments, if any, at the public offering price (with additional underwriting discounts or commissions), as may be set forth in the related prospectus supplement, or if applicable, the pricing supplement. If we grant any over-allotment options, the terms of the over-allotment option will be set forth in the prospectus supplement relating to such offered securities.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Until the distribution of the securities is completed, rules of the Commission may limit the ability of underwriters and other participants in the offering to bid for and purchase the securities. As an exception to these rules, the underwriters in certain circumstances are permitted to engage in certain transactions that stabilize the price of the securities. Such transactions consist of bids or purchases for the purpose of pegging, fixing or maintaining the price of the securities. If the underwriters create a short position in the securities in connection with the offering by selling more securities than are set forth on the cover page of the applicable prospectus supplement or in the term sheet, the underwriters may reduce that short position by purchasing securities in the open market. The underwriters also may impose a penalty bid on certain underwriters. This means that if the underwriters purchase the securities in the open market to reduce the underwriters’ short position or to stabilize the price of the securities, they may reclaim the amount of the selling concession from the underwriters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dealers are used, and if so specified in the applicable prospectus supplement, we will sell such securities to the dealers as principals. The dealers may then resell such securities to the public or other dealers at fixed or varying prices to be determined by such dealers at the time of resale. The names of the dealers and the terms of any such transaction will be set forth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Securities may also be sold directly by us. In this case, no underwriters, dealers or agents would be involved. Except as set forth in the related prospectus supplement, none of our directors, officers or employees will solicit or receive a commission in connection with those direct sales. Those persons may respond to inquiries by potential purchasers and perform ministerial and clerical work in connection with direct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authorize underwriters, dealers and agents to solicit offers by certain institutions to purchase securities pursuant to delayed delivery contracts providing for payment and delivery on a future date specified in the applicable prospectus supplement. Institutions with which delayed delivery contracts may be made include commercial and savings banks, insurance companies, educational and charitable institutions and other institutions we may approve. The obligations of any purchaser under any delayed delivery contract will not be subject to any conditions except that any related sale of offered securities to underwriters shall have occurred and the purchase by an institution of the securities covered by its delayed delivery contract shall not at the time of delivery be prohibited under the laws of any jurisdiction in the United States to which that institution is subject. Any commission paid to underwriters, dealers and agents soliciting purchases of securities pursuant to delayed delivery contracts accepted by us will be detailed in a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selling shareholder may offer subordinate voting shares using any of the methods described above, through agents, underwriters, dealers or in direct sales or delayed delivery contracts. The applicable prospectus supplement will describe the selling shareholder’s method of distribution, will name any agent, underwriter or dealer of the selling shareholder and will describe the compensation to be paid to any of these parties. In addition to distribution as outlined above, any selling shareholders may sell their subordinate voting shares pursuant to Rule 144 under the Securities Act, if applicable and available, or any other available exemption from registration under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we state otherwise in a prospectus supplement, we will bear the costs relating to the securities being registered under this registration statement.</w:t>
      </w:r>
    </w:p>
    <w:p>
      <w:pPr>
        <w:spacing w:after="0" w:line="16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Subordinate Voting Shares and Multiple Voting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subordinate voting shares and multiple voting shares are entitled to notice of and to attend all meetings of shareholders and to vote at all such meetings together as a single class, except in respect of matters where only the holders of shares of one class or series of shares are entitled to vote separately pursuant to applicable law. At any meeting at which the holders of subordinate voting shares and the holders of multiple voting shares are entitled to vote together, the subordinate voting shares carry one vote per share and the multiple voting shares carry 25 votes per share. Generally, all matters to be voted on by shareholders must be approved by a simple majority (or, in the case of election of directors where the number of candidates nominated for election exceeds the number of directors to be elected, by a plurality, and in the case of an amalgamation or amendments to our articles, by two-thirds) of the votes cast in respect of multiple voting shares and subordinate voting shares held by persons present in person or by proxy, voting together as a single class. The holders of multiple voting shares are entitled to one vote per share held at meetings of holders of multiple voting shares at which they are entitled to vote separately as a class. The holders of subordinate voting shares are entitled to one vote per share held at meetings of holders of subordinate voting shares at which they are entitled to vote separately as a class.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subordinate voting shares and the multiple voting shares are entitled to share ratably, as a single class, in any dividends declared by our board of directors, subject to any preferential rights of any outstanding preference shares in respect of the payment of dividends. Dividends consisting of subordinate voting shares and multiple voting shares may be paid only as follows: (i) subordinate voting shares may be paid only to holders of subordinate voting shares, and multiple voting shares may be paid only to holders of multiple voting shares; and (ii) the number of multiple voting shares declared and paid as a dividend with respect to each outstanding multiple voting share shall be equal to the number of subordinate voting shares declared and paid as a dividend with respect to each outstanding subordinate voting share.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multiple voting share is convertible at any time at the option of the holder thereof into one subordinate voting share.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Restated Articles of Incorporation provide “coat-tail” protection to the holders of the subordinate voting shares by providing that the multiple voting shares will be converted automatically into subordinate voting shares upon any transfer thereof, except: (i) a transfer to Onex or any affiliate of Onex, or (ii) a transfer of 100% of the outstanding multiple voting shares to a purchaser who also has offered to purchase all of the outstanding subordinate voting shares for a per share consideration identical to, and otherwise on the same terms as, that offered for the multiple voting shares and the multiple voting shares held by such purchaser thereafter shall be subject to the provisions relating to conversion as if all references to Onex were references to such purchaser. In addition, if (i) any holder of any multiple voting shares ceases to be an affiliate of Onex, or (ii) Onex and its affiliates collectively cease to have the right, in all cases, to exercise the votes attached to, or to direct the voting of, any of the multiple voting shares held by Onex and its affiliates, such multiple voting shares shall convert automatically into subordinate voting shares on a one-for-one basis. For these purposes: (i) “Onex”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multiple voting shares beneficially owned directly or indirectly by Onex immediately prior to such transaction and is controlled by the same person or persons as controlled Onex prior to the consummation of such transaction; (ii) a corporation shall be deemed to be a subsidiary of another corporation if, but only if (a) it is controlled by that other, or that other and one or more corporations each of which is controlled by that other, or two or more corporations each of which is controlled by that other, or (b) it is a subsidiary of a corporation that is that other’s subsidiary; (iii) “affiliate” means a subsidiary of Onex or a corporation controlled by the same person or company that controls Onex; and (iv) “control”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controlled by such person.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In addition, if at any time the number of outstanding multiple voting shares shall represent less than 5% of the aggregate number of the outstanding multiple voting shares and subordinate voting shares, all of the outstanding multiple voting shares shall be automatically converted at such time into subordinate voting shares on a one-for-one basis.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Onex, which beneficially owns, controls or directs, directly or indirectly, all of our outstanding multiple voting shares, has entered into an agreement with the Company and Computershare Trust Company of Canada (as successor to the Montreal Trust Company of Canada), as trustee for the benefit of the holders of the subordinate voting shares, for the purpose of ensuring that the holders of subordinate voting shares will not be deprived of any rights under applicable take-over bid legislation to which they would be otherwise entitled in the event of a take-over bid (as that term is defined in applicable securities legislation) for the multiple voting shares under circumstances in which any applicable securities legislation would have required the same offer or a follow-up offer to be made to holders of subordinate voting shares if the sale had been a sale of subordinate voting shares rather than multiple voting shares, but otherwise on the same terms. Subject to certain permitted forms of sale, such as identical or better offers to all holders of subordinate voting shares, Onex has agreed that it, and any of its affiliates that may hold multiple voting shares from time to time, will not sell any multiple voting shares, directly or indirectly, pursuant to such a take-over bid.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Modification, Subdivision and Consolidation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modification to the provisions attaching to either the subordinate voting shares or the multiple voting shares requires the separate affirmative vote of two-thirds of the votes cast by the holders of subordinate voting shares and multiple voting shares, respectively, voting as separate classes. The Company may not subdivide or consolidate the subordinate voting shares or the multiple voting shares without at the same time proportionally subdividing or consolidating the shares of the other class.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Creation of Other Voting Shares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not create any class or series of shares, or issue any shares of any class or series (other than subordinate voting shares) having the right to vote generally on all matters that may be submitted to a vote of shareholders (except matters for which applicable law requires the approval of holders of another class or series of shares voting separately as a class or series) without the separate affirmative vote of two-thirds of the votes cast by the holders of the subordinate voting shares and the multiple voting shares, respectively, voting as separate classes.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on Liquidation or Dissolution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respect to a distribution of assets in the event of a liquidation, dissolution or winding-up of the Company, whether voluntary or involuntary, or any other distribution of the assets of the Company among its shareholders for the purposes of winding up its affairs, holders of subordinate voting shares and multiple voting shares will share ratably as a single class in the assets available for distribution to holders of subordinate voting shares and multiple voting shares after payment in full of the amounts required to be paid to holders of preference shares, if any.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the subordinate voting shares nor the multiple voting shares are redeemable, nor do the holders of such shares have pre-emptive purchase rights. Directors do not stand for re-election at staggered intervals.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Preference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may issue preference shares from time to time in one or more series, and (subject to the provisions of our Restated Articles of Incorporation) determine the designation of, and the rights, privileges, restrictions and conditions attaching to, such shares (including, without limitation, dividend rights, cancellation, retraction or redemption rights, voting rights, conversion or exchange rights, sinking fund provisions and/or other provisions). Preference shares of each series will rank as to dividends (to the extent cumulative dividends are applicable) and capital on a parity with preference shares of every other series. Preference shares of each series will rank as to dividends and capital senior to the subordinate voting shares and the multiple voting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72" w:lineRule="auto"/>
        <w:rPr>
          <w:sz w:val="20"/>
          <w:szCs w:val="20"/>
          <w:color w:val="auto"/>
        </w:rPr>
      </w:pPr>
      <w:r>
        <w:rPr>
          <w:rFonts w:ascii="Arial" w:cs="Arial" w:eastAsia="Arial" w:hAnsi="Arial"/>
          <w:sz w:val="17"/>
          <w:szCs w:val="17"/>
          <w:color w:val="auto"/>
        </w:rPr>
        <w:t>With respect to a distribution of assets in the event of a liquidation, dissolution or winding-up of the Company, whether voluntary or involuntary, or any other distribution of the assets of the Company for the purpose of winding up its affairs, holders of preference shares of each series will be entitled to receive from the assets of the Company in respect of each such share held a sum equal to the amount in the stated capital account for such series divided by the number of shares in such series then outstanding, together with any accrued (in the case of cumulative dividends) or declared (in the case of non-cumulative dividends) and unpaid dividends thereon, before any amount shall be paid or any assets are distributed to the holders of subordinate voting shares or multiple voting shares. Upon the receipt of such sum, the holders of preference shares shall not be entitled to share in the distribution of our remaining assets and their preference shares will be canceled.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currently no preference 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material terms of any preference shares that we offer through a prospectus supplement will be described in that prospectus supplement.</w:t>
      </w:r>
    </w:p>
    <w:p>
      <w:pPr>
        <w:spacing w:after="0" w:line="237" w:lineRule="exact"/>
        <w:rPr>
          <w:sz w:val="20"/>
          <w:szCs w:val="20"/>
          <w:color w:val="auto"/>
        </w:rPr>
      </w:pPr>
    </w:p>
    <w:p>
      <w:pPr>
        <w:jc w:val="both"/>
        <w:ind w:firstLine="648"/>
        <w:spacing w:after="0" w:line="259" w:lineRule="auto"/>
        <w:rPr>
          <w:rFonts w:ascii="Arial" w:cs="Arial" w:eastAsia="Arial" w:hAnsi="Arial"/>
          <w:sz w:val="18"/>
          <w:szCs w:val="18"/>
          <w:color w:val="000000"/>
        </w:rPr>
      </w:pPr>
      <w:r>
        <w:rPr>
          <w:rFonts w:ascii="Arial" w:cs="Arial" w:eastAsia="Arial" w:hAnsi="Arial"/>
          <w:sz w:val="18"/>
          <w:szCs w:val="18"/>
          <w:color w:val="auto"/>
        </w:rPr>
        <w:t xml:space="preserve">Additional information concerning the rights and limitations of shareholders can be found in our Restated Articles of Incorporation, attached as </w:t>
      </w:r>
      <w:hyperlink r:id="rId34">
        <w:r>
          <w:rPr>
            <w:rFonts w:ascii="Arial" w:cs="Arial" w:eastAsia="Arial" w:hAnsi="Arial"/>
            <w:sz w:val="18"/>
            <w:szCs w:val="18"/>
            <w:u w:val="single" w:color="auto"/>
            <w:color w:val="0000EE"/>
          </w:rPr>
          <w:t>Exhibit 1.10</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Annual Report on Form 20-F (File No. 001-14832) filed with the Commission on March 23, 2010, which such Articles we incorporate</w:t>
      </w:r>
      <w:r>
        <w:rPr>
          <w:rFonts w:ascii="Arial" w:cs="Arial" w:eastAsia="Arial" w:hAnsi="Arial"/>
          <w:sz w:val="18"/>
          <w:szCs w:val="18"/>
          <w:color w:val="0000EE"/>
        </w:rPr>
        <w:t xml:space="preserve"> </w:t>
      </w:r>
      <w:r>
        <w:rPr>
          <w:rFonts w:ascii="Arial" w:cs="Arial" w:eastAsia="Arial" w:hAnsi="Arial"/>
          <w:sz w:val="18"/>
          <w:szCs w:val="18"/>
          <w:color w:val="000000"/>
        </w:rPr>
        <w:t xml:space="preserve">by reference in this prospectus, as well as in Item 10B of our Annual Report on Form 20-F for the year ended December 31, 2022, and </w:t>
      </w:r>
      <w:hyperlink r:id="rId35">
        <w:r>
          <w:rPr>
            <w:rFonts w:ascii="Arial" w:cs="Arial" w:eastAsia="Arial" w:hAnsi="Arial"/>
            <w:sz w:val="18"/>
            <w:szCs w:val="18"/>
            <w:u w:val="single" w:color="auto"/>
            <w:color w:val="0000EE"/>
          </w:rPr>
          <w:t>Exhibit 2.3</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attached thereto, each of which we incorporate by reference in this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OTHER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Debt Securities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is a general description of the debt securities which may be issued from time to time by us under this prospectus. The particular terms of any debt securities offered will be described in a prospectus supplement.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Indenture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debt securities covered by this prospectus may be issued in one or more series under an indenture dated as of a date on or prior to the issuance of the debt securities to which it relates between us and the trustee named therein, and pursuant to an applicable prospectus supplement. The form of the indenture has been filed as an exhibit to the registration statement of which this prospectus is a part. If we issue debt securities, we will file any final indenture and any supplemental indenture or officer’s certificate related to the particular series of debt securities issued with the Commission, and you should read those documents for further information about the terms and provisions of such debt securities. See “Where You Can Find More Information.” We refer to such indenture, as amended or supplemented from time to time, as the “Indenture.” The Indenture will be subject to, and governed by, the United States Trust Indenture Act of 1939, as amended (which we refer to as the Trust Indenture Act).</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description sets forth certain general terms and provisions of the debt securities and the Indenture. The statements below are not complete and are subject to, and are qualified in their entirety by reference to, all of the provisions of the Indenture. This summary is also subject to, and qualified by, the description of the particular terms and provisions of the debt securities included in the applicable prospectus supplement. The applicable prospectus supplement may add to, update or change the general terms described below. Accordingly, you should read the summary below, the applicable prospectus supplement, the provisions of the Indenture (including any applicable supplement thereto), and any related documents before investing in our debt securities. If there is any inconsistency between the terms presented here and those in the applicable prospectus supplement, the terms of the prospectus supplement will supersede the terms presented here.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our subsidiaries may guarantee the debt securities we offer. Those guarantees may or may not be secured by liens, mortgages, and security interests in the assets of those subsidiaries. The terms and conditions of any such subsidiary guarantees, and a description of any such liens, mortgages or security interests, will be set forth in a prospectus supplement.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requirement under the Indenture that future issues of our debt securities be issued under such Indenture, and we will be free to use other indentures or documentation containing provisions different from those included in the Indenture or applicable to one or more series of debt securities, in connection with future issues of such other debt securities.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References to “us” or “we” in this description of debt securities means Celestica Inc., but not any of our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Indenture permits us to issue from time to time senior or subordinated, secured or unsecured, debentures, notes or other evidences of indebtedness, issuable in one or more series (with the same or various maturities, at par, at a premium or at a discount), which may be convertible into or exchangeable for any securities of any person (including us). The Indenture permits us to establish the terms of each series of debt securities at the time of issuance, and does not limit the aggregate amount of debt securities that we may issue thereunder. The prospectus supplement relating to any series of debt securities that we may offer will contain the specific terms of the debt securities. Those specific terms will include the following:</w:t>
      </w:r>
    </w:p>
    <w:p>
      <w:pPr>
        <w:spacing w:after="0" w:line="16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or prices at which we will issue the debt securities;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or prices at which we will issue the debt securities;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we will pay the principal of the debt securities;</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such rate or rates (including, but not limited to, any commodity, commodity index, stock exchange index or financial index) at which the debt securities will bear interest, the date or dates from which such interest, if any, will accrue, the date or dates on which such interest, if any, will commence and be payable and any regular record date for the interest payable on any interest payment date;</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the principal of, premium, if any, and interest, if any, on the debt securities will be payable;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upon which we may redeem the debt securities;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thereof;</w:t>
      </w: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dates on which and the price or prices at which we will repurchase the debt securities at the option of the holders thereof and other detailed terms and provisions of any such repurchase obligations;</w:t>
      </w: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issuable, if other than minimum denominations of $2,000 and integral multiples of $1,000 in excess thereof;</w:t>
      </w: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will be issued in bearer or fully registered form (and, if in fully registered form, whether the debt securities will be issuable as global debt securities);</w:t>
      </w: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that will be payable upon declaration of acceleration of the maturity date;</w:t>
      </w: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will be “original issue discount” securities for United States federal income tax purposes;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of the currency or currencies in which payment of the principal of, premium and interest, if any, on the debt securities will be made if other than United States dollars;</w:t>
      </w:r>
    </w:p>
    <w:p>
      <w:pPr>
        <w:jc w:val="both"/>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under what circumstances, and the currency in which the Company will pay certain additional amounts to holders who are not Canadian persons in respect of specified tax, assessment or governmental charges and, if so, whether we will have the option to redeem such debt securities rather than pay such additional amounts (and the terms of any such option);</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will be senior debt securities or subordinated debt securities, and if they are subordinated, the terms of the subordination;</w:t>
      </w: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payments on the debt securities may be made, at our or the holder’s election, in a currency other than that in which such debt securities are stated to be payable, and the manner of determining the applicable exchange rate;</w:t>
      </w: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any guarantee of payment obligations with respect to the debt securities and any corresponding changes to the provisions of this Indenture as then in effect;</w:t>
      </w: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debt securities are to be convertible into or exchangeable for any securities (including those of the Company), the terms and conditions of any such conversion or exchange;</w:t>
      </w: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electronic issuances of debt securities or debt securities in uncertificated form;</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or the acceleration provisions described in the Indenture with respect to the debt securities;</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the Indenture with respect to the debt securities;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selling restrictions applicable to the debt securities, if any;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other terms of the debt securities which may modify or delete any provision of the Indenture as it applies to such debt securities; and</w:t>
      </w:r>
    </w:p>
    <w:p>
      <w:pPr>
        <w:spacing w:after="0" w:line="20" w:lineRule="exact"/>
        <w:rPr>
          <w:rFonts w:ascii="Arial" w:cs="Arial" w:eastAsia="Arial" w:hAnsi="Arial"/>
          <w:sz w:val="17"/>
          <w:szCs w:val="17"/>
          <w:color w:val="auto"/>
        </w:rPr>
      </w:pPr>
    </w:p>
    <w:p>
      <w:pPr>
        <w:ind w:left="660" w:hanging="652"/>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 if other than those appointed in the Indenture.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86" w:lineRule="auto"/>
        <w:rPr>
          <w:sz w:val="20"/>
          <w:szCs w:val="20"/>
          <w:color w:val="auto"/>
        </w:rPr>
      </w:pPr>
      <w:r>
        <w:rPr>
          <w:rFonts w:ascii="Arial" w:cs="Arial" w:eastAsia="Arial" w:hAnsi="Arial"/>
          <w:sz w:val="17"/>
          <w:szCs w:val="17"/>
          <w:color w:val="auto"/>
        </w:rPr>
        <w:t>We may issue additional debt securities of a particular series without the consent of the holders of the debt securities of such series outstanding at the time of issuance. In addition, we will describe in the applicable prospectus supplement material U.S. federal tax considerations and any other special considerations for any debt securities we sell which are denominated in a currency or currency unit other than U.S. dollars.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specifically described in the applicable prospectus supplement, the Indenture does not contain any covenants designed to protect holders of the debt securities against a reduction in our creditworthiness in the event of a highly leveraged transaction or to prohibit other transactions which may adversely affect holders of the debt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securities may be transferred or exchanged at the office of the registrar or co-registrar designated by 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redemption of debt securities of any series, we will not be required to:</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security of that series during a specified period before sending a notice of redemption; or</w:t>
      </w:r>
    </w:p>
    <w:p>
      <w:pPr>
        <w:spacing w:after="0" w:line="46"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called or being called for redemption, in whole or in part, except the unredeemed portion of any series being redeemed in part.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initially appoint the trustee as the registrar. Any transfer agent, in addition to the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registered in the name of a depositary that we will identify in a prospectus supplement;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deposited with the trustee as custodian for the depositary or its nominee;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ind w:left="660" w:hanging="652"/>
        <w:spacing w:after="0" w:line="274"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 and in either case we fail to appoint a successor depositary registered as a clearing agency under the Exchange Act within 90 days of such event;</w:t>
      </w: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execute and deliver to the trustee an officer’s certificate to the effect that such global securities shall be so exchangeable; 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securities shall have occurred and be continuing.</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8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registered in their names;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 not be entitled to physical delivery of certificated debt securities;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 not be considered to be holders of those debt securities under the Indenture.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depositary’s policies and procedures may change from time to time. Neither we nor the trustee will have any responsibility or liability for the depositary’s acts or omissions or any participant’s records with respect to beneficial interests in a global security.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Payment and Paying Agent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provisions of this subsection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Subject to any applicable abandoned property law, all moneys paid by us to a paying agent for payment on any debt security that remain unclaimed at the end of two years after such payment was due will be repaid to us. Thereafter, the holder may look only to us for such payment.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series of debt securities may have covenants in addition to or differing from those included in the Indenture, limiting or restricting, among other things: our ability to incur either secured or unsecured debt, or both; our ability to make certain payments, dividends, redemptions or repurchases; our ability to create dividend and other payment restrictions affecting our subsidiaries; our ability to make investments; mergers and consolidations by us or our subsidiaries; sales of assets by us; our ability to enter into transactions with affiliates; our ability to incur liens; and/or sale and leaseback transactions. Any such additional or different covenants will be described in the applicable prospectus supplement.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following constitutes an event of default for a series of debt securities unless it is either inapplicable to a particular series or it is specifically deleted or modified:</w:t>
      </w:r>
    </w:p>
    <w:p>
      <w:pPr>
        <w:spacing w:after="0" w:line="17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for 30 days in the payment of any interest when due;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default in the payment of principal, or premium, if any, when due at maturity, upon acceleration, declaration or redemption or otherwise;</w:t>
      </w:r>
    </w:p>
    <w:p>
      <w:pPr>
        <w:spacing w:after="0" w:line="20" w:lineRule="exact"/>
        <w:rPr>
          <w:rFonts w:ascii="Arial" w:cs="Arial" w:eastAsia="Arial" w:hAnsi="Arial"/>
          <w:sz w:val="17"/>
          <w:szCs w:val="17"/>
          <w:color w:val="auto"/>
        </w:rPr>
      </w:pPr>
    </w:p>
    <w:p>
      <w:pPr>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Indenture (or applicable board resolution or officer’s certificate) for 90 days after specified written notice;</w:t>
      </w: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86" w:lineRule="auto"/>
        <w:rPr>
          <w:sz w:val="20"/>
          <w:szCs w:val="20"/>
          <w:color w:val="auto"/>
        </w:rPr>
      </w:pPr>
      <w:r>
        <w:rPr>
          <w:rFonts w:ascii="Arial" w:cs="Arial" w:eastAsia="Arial" w:hAnsi="Arial"/>
          <w:sz w:val="17"/>
          <w:szCs w:val="17"/>
          <w:color w:val="auto"/>
        </w:rPr>
        <w:t>We are required to furnish the trustee annually with an officer’s certificate as to our compliance with all conditions and covenants under the Indenture. The Indenture provides that the trustee may withhold notice to holders of debt securities of any default, except in respect of the payment of the principal of, premium, if any, or interest on the debt securities, if it considers it in the interests of the holders of the debt securities to do so.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an Event of Default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an event of default exists with respect to debt securities of any series (other than an event of default in the case of certain events of bankruptcy set forth in the Indenture), the trustee or the holders of a specified percentage in aggregate principal amount of such series outstanding may declare the principal amount of, and all accrued but unpaid interest, if any, on all outstanding debt securities of that series to be due and payable immediately, by a notice in writing to us, and to the trustee if given by holders. Upon that declaration, such amounts will become immediately due and payable. However, at any time after a declaration of acceleration has been made, but before a judgment or decree for payment of the money due has been obtained, the holders of a majority in principal amount of the outstanding securities of that series, by written notice to us and the trustee, may rescind and annul such declaration and consequences, subject to conditions specified in the Indenture. If an event of default in the case of certain events of bankruptcy, insolvency or reorganization exists, the principal amount of, and accrued and unpaid interest, if any, on all debt securities outstanding under the Indenture shall automatically, and without any declaration or other action on the part of the trustee or any holder of such outstanding debt, become immediately due and payable.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 and Enforcement of Right to Payment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Holders of any series of debt securities may not pursue any remedy with respect to the Indenture or such debt securities unless: (i) they have given to the trustee written notice of a continuing event of default with respect to debt securities of that series; (ii) holders of a specified percentage of the aggregate principal amount of the then-outstanding debt securities of that series make a written request to the trustee to pursue the remedy; (iii) such holders must have offered and, if requested, provide to the trustee security or indemnity satisfactory to the trustee against any loss, liability or expense,</w:t>
      </w:r>
    </w:p>
    <w:p>
      <w:pPr>
        <w:spacing w:after="0" w:line="1" w:lineRule="exact"/>
        <w:rPr>
          <w:sz w:val="20"/>
          <w:szCs w:val="20"/>
          <w:color w:val="auto"/>
        </w:rPr>
      </w:pPr>
    </w:p>
    <w:p>
      <w:pPr>
        <w:jc w:val="both"/>
        <w:ind w:firstLine="8"/>
        <w:spacing w:after="0" w:line="253" w:lineRule="auto"/>
        <w:tabs>
          <w:tab w:leader="none" w:pos="3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a specified number of days after receipt of the request and the offer, and if requested, the provision or security or indemnity; and (v) during such period the holders of a majority in aggregate principal amount of the then-outstanding debt securities of such series do not give the trustee a direction inconsistent with that request. However, holders of debt securities will have an absolute and unconditional right to receive payment of the principal of, premium, if any, and interest, if any, thereon on the due dates expressed therein and to institute a suit for the enforcement of that payment.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Indenture will cease to be of further effect with respect to any series of debt securities (except as to certain limited surviving rights), when</w:t>
      </w:r>
    </w:p>
    <w:p>
      <w:pPr>
        <w:spacing w:after="0" w:line="24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securities of such series that have been authenticated and delivered (except lost, stolen or destroyed securities that have been replaced or paid and securities for whose payment money has been deposited in trust and thereafter repaid to the Company), have been delivered to the trustee for cancellation; or</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securities of such series that have not been delivered to the trustee for cancellation have become due and payable or will become due and payable within one year, and we have irrevocably deposited or caused to be deposited with the trustee the requisite amounts to pay and discharge the entire indebtedness on such securities;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            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material instrument to which we are, or any guarantor is, as applicable, a party or by which we are, or any guarantor is, as applicable, bound;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we have or any guarantor of such Notes has paid or caused to be paid all applicable sums payable under this Indenture;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            we have delivered irrevocable instructions to the trustee to apply the deposited money toward the payment of the securities of such series at maturity or on the redemption date, as the case may be;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            we have delivered to the trustee an officer’s certificate and an opinion of counsel, each stating that all conditions precedent relating to the satisfaction and discharge of the Indenture as to such series have been complied with.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and the trustee may amend and/or supplement the Indenture with the consent of the holders of a majority in aggregate principal amount of the outstanding debt securities of each series affected. However, without the consent of each holder affected, an amendment or waiver (described below) may not, with respect to any debt securities held by a non-consenting holder:</w:t>
      </w:r>
    </w:p>
    <w:p>
      <w:pPr>
        <w:spacing w:after="0" w:line="184" w:lineRule="exact"/>
        <w:rPr>
          <w:sz w:val="20"/>
          <w:szCs w:val="20"/>
          <w:color w:val="auto"/>
        </w:rPr>
      </w:pPr>
    </w:p>
    <w:p>
      <w:pPr>
        <w:ind w:left="660" w:hanging="652"/>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amount, any premium or change the stated maturity of any debt security or alter or waive any of the provisions with respect to the redemption or repurchase of such debt security;</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rate (or alter the method of computation) of or extend the time for payment of interest, including defaulted interest, on any debt security;</w:t>
      </w:r>
    </w:p>
    <w:p>
      <w:pPr>
        <w:jc w:val="both"/>
        <w:ind w:left="660" w:hanging="652"/>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waive a default or event of default in the payment of principal of or premium, if any, or interest on such debt securities, except a rescission of acceleration of such securities by the holders of at least a majority in aggregate principal amount of the then outstanding securities of the applicable series with respect to a nonpayment default and a waiver of the payment default that resulted from such acceleration;</w:t>
      </w: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the principal of or premium, if any or interest on any debt security payable in currency other than that stated therein;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any place of payment where the debt securities or interest thereon is payable;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any debt security;</w:t>
      </w:r>
    </w:p>
    <w:p>
      <w:pPr>
        <w:spacing w:after="0" w:line="9"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make any change in the provisions of the Indenture relating to waivers of past defaults or the rights of holders of the debt securities to receive payments of principal of, premium, or interest, if any, thereon and/or to institute suit for the enforcement of any such payments;</w:t>
      </w: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any obligation of the Company to pay specified additional amounts;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 or</w:t>
      </w:r>
    </w:p>
    <w:p>
      <w:pPr>
        <w:spacing w:after="0" w:line="9"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percentage in principal amount of any debt securities, the consent of the holders of which is required for any of the foregoing modifications or otherwise necessary to modify or amend the Indenture or to waive any past defaults.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restrictions set forth above, the holders of a majority in aggregate principal amount of the outstanding debt securities of a series may, on behalf of the holders of all debt securities of that series, waive compliance by us with any provision of the Indenture or the debt securities with respect to such series.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holders of a majority in aggregate principal amount of the outstanding debt securities of a series may, on behalf of the holders of all debt securities of that series, generally waive any past default under the Indenture and the consequences of such default. However, a default in respect of a covenant or provision of the Indenture that cannot be modified or amended without the consent of the holder of each outstanding debt security affected, or a default in the payment of the principal of, or premium, if any, or any interest on, any debt security, cannot be so waived.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Merger, Consolidation or Transfer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not consolidate or amalgamate with or merge into or enter into any statutory arrangement with any other person or entity or sell, convey, transfer, lease or otherwise dispose of all or substantially all of our and our subsidiaries’ properties and assets, taken as a whole (referred to as a Transfer), to any person or entity, unless:</w:t>
      </w:r>
    </w:p>
    <w:p>
      <w:pPr>
        <w:spacing w:after="0" w:line="18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            the entity formed by such consolidation or amalgamation or into which we are merged, or to which such Transfer is made: (i) is a corporation, limited liability company, partnership, trust or other entity organized and existing under the laws of Canada or any province or territory thereof, the United States, any state thereof or the District of Columbia; and (ii) expressly assumes all of our obligations under the outstanding debt securities and the Indenture, pursuant to a supplemental Indenture in form reasonably satisfactory to the trustee;</w:t>
      </w:r>
    </w:p>
    <w:p>
      <w:pPr>
        <w:spacing w:after="0" w:line="17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(b)            immediately after giving effect to such transaction, no default or event of default under the Indenture shall have occurred and be continuing; and</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            we (or the surviving entity) shall have delivered to the trustee an officer’s certificate and an opinion of counsel, each stating that all conditions precedent relating to such transaction have been complied with.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308" w:lineRule="auto"/>
        <w:rPr>
          <w:sz w:val="20"/>
          <w:szCs w:val="20"/>
          <w:color w:val="auto"/>
        </w:rPr>
      </w:pPr>
      <w:r>
        <w:rPr>
          <w:rFonts w:ascii="Arial" w:cs="Arial" w:eastAsia="Arial" w:hAnsi="Arial"/>
          <w:sz w:val="17"/>
          <w:szCs w:val="17"/>
          <w:color w:val="auto"/>
        </w:rPr>
        <w:t>The requirements of paragraphs (a) and (b) above do not apply to (1) any merger, amalgamation or consolidation in which we are the surviving corporation or (2) any Transfer by us to a direct or indirect wholly owned subsidiary that is a guarantor or obligor of the debt securities.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Certain Covenants with respect to Canadian Taxes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specified pursuant to the Indenture, all payments made by us under or with respect to the securities of any series will be made free and clear of and without withholding or deduction for or on account of any present or future tax, duty, levy, impost, assessment or other governmental charge (including penalties, interest and other liabilities related thereto) imposed or levied by or on behalf of the Government of Canada or of any province or territory thereof or by any authority or agency therein or thereof having power to tax (referred to as Canadian Taxes), unless we are required to withhold or deduct Canadian Taxes by law or by the interpretation or administration thereof by the relevant governmental authority or agency. If we are so required to withhold or deduct any amount for or on account of Canadian Taxes from any payment made under or with respect to the securities, we will pay such additional amounts as may be necessary so that the net amount received by each holder (including additional amounts) after such withholding or deduction will not be less than the amount the holder would have received if such Canadian Taxes had not been withheld or deducted (a similar payment will also be made to holders that are exempt from withholding but are required to pay tax directly on amounts otherwise subject to withholding); provided that no additional amounts will be payable:</w:t>
      </w:r>
    </w:p>
    <w:p>
      <w:pPr>
        <w:spacing w:after="0" w:line="185" w:lineRule="exact"/>
        <w:rPr>
          <w:sz w:val="20"/>
          <w:szCs w:val="20"/>
          <w:color w:val="auto"/>
        </w:rPr>
      </w:pPr>
    </w:p>
    <w:p>
      <w:pPr>
        <w:ind w:left="660" w:hanging="652"/>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such taxes are required to be withheld or deducted as a result of such person or entity not dealing at arm’s length with us (within the meaning of the Income Tax Act (Canada)) at the time of the making of such payment;</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such taxes are required to be withheld or deducted as a result of such person or entity being, or not dealing at arm’s length with, a “specified shareholder” of the Company (within the meaning of the Income Tax Act (Canada));</w:t>
      </w:r>
    </w:p>
    <w:p>
      <w:pPr>
        <w:jc w:val="both"/>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person or entity by reason of their being connected with Canada (otherwise than merely by holding or ownership of any series of securities or receiving any payments or exercising any rights thereunder), including without limitation a nonresident insurer who carries on an insurance business in Canada and in a country other than Canada;</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or on account of any tax, assessment or other governmental charge which would not have been so imposed but for the presentation by the holder of such security or coupon for payment on a date more than 10 days after the date on which such payment became due and payable or the date on which payment thereof is duly provided for, whichever occurs later;</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or on account of any estate, inheritance, gift, sales, transfer, personal property tax or any similar tax, assessment or other governmental charge;</w:t>
      </w:r>
    </w:p>
    <w:p>
      <w:pPr>
        <w:spacing w:after="0" w:line="32"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or on account of any tax, assessment or other governmental charge required to be withheld by any paying agent from any payment to a person or entity in respect of any security, if such payment can be made without such withholding by at least one other paying agent the identity of which is provided to such person or entity;</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or on account of any tax, assessment or other governmental charge which is payable otherwise than by withholding from a payment in respect of such security;</w:t>
      </w:r>
    </w:p>
    <w:p>
      <w:pPr>
        <w:jc w:val="both"/>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person or entity which is subject to such Canadian Taxes by reason of its failure to comply with any certification, identification, information, documentation or other reporting requirement if compliance is required by law, regulation, administrative practice or an applicable treaty as a precondition to (or to reasonably evidence) exemption from, or a reduction in the rate of deduction or withholding of, such Canadian Taxes; or</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any combination of items (1) - (8) above;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nor will additional amounts be paid with respect to any payment on a security to a holder who is a fiduciary or partnership or other than the sole beneficial owner of such payment to the extent such payment would be required by the laws of Canada (or any political subdivision thereof) to be included in the income for Canadian federal income tax purposes of a beneficiary or settlor with respect to such fiduciary or a member of such partnership or a beneficial owner who would not have been entitled to payment of the additional amounts had such beneficiary, settlor, member or beneficial owner been the holder of such security.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discharge all of our obligations with respect to any series of debt securities at any time, and we may also be released from our obligations under certain covenants and from certain other obligations, and elect not to comply with those covenants and obligations without creating an event of default. Discharge under the first procedure is called “defeasance” and under the second procedure is called “covenant defeasance.”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Defeasance or covenant defeasance may be effected only if:</w:t>
      </w:r>
    </w:p>
    <w:p>
      <w:pPr>
        <w:spacing w:after="0" w:line="225" w:lineRule="exact"/>
        <w:rPr>
          <w:sz w:val="20"/>
          <w:szCs w:val="20"/>
          <w:color w:val="auto"/>
        </w:rPr>
      </w:pPr>
    </w:p>
    <w:p>
      <w:pPr>
        <w:jc w:val="both"/>
        <w:ind w:left="660" w:hanging="652"/>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irrevocably deposit with the trustee: an amount (in the currency in which such securities are then specified as payable at maturity); specified government obligations; or a combination thereof, sufficient, in the written opinion of a nationally recognized investment bank, appraisal firm, or firm of independent public accountants delivered to the trustee, to pay the principal of (and premium, if any) and interest, if any, on the applicable securities at maturity (or redemption date, if applicable);</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any material agreement or instrument (other than the Indenture) to which we are a party or are bound;</w:t>
      </w:r>
    </w:p>
    <w:p>
      <w:pPr>
        <w:jc w:val="both"/>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 defeasance election by us, we shall have delivered to the trustee an opinion of counsel stating that (x) we have received from, or there has been published by, the U.S. Internal Revenue Service a ruling, or (y) since the date of execution of the Indenture, there has been a change in the applicable U.S. federal income tax law, in either case to the effect that, and based thereon such opinion of counsel will confirm that, the beneficial owners of such securities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2"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 covenant defeasance election by us, we shall have delivered to the trustee an opinion of counsel confirming that the beneficial owners of such securities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delivered to the trustee either an opinion of Canadian counsel or a ruling from the Canada Revenue Agency, in either case to the effect that the holders of such securities will not recognize income, gain or loss for Canadian federal, provincial or territorial income tax or other tax purposes as a result of such defeasance or covenant defeasance and will be subject to Canadian federal or provincial income tax and other tax on the same amounts, in the same manner and at the same times as would have been the case had such defeasance or covenant defeasance not occurred (and for the purposes of such opinion of counsel, such Canadian counsel shall assume that holders include holders who are not resident in Canada);</w:t>
      </w:r>
    </w:p>
    <w:p>
      <w:pPr>
        <w:spacing w:after="0" w:line="2"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stating that the deposit was not made by us with the intent of preferring the holders of such debt securities over our other creditors with the intent of defeating, delaying or defrauding any creditors of the Company or others;</w:t>
      </w:r>
    </w:p>
    <w:p>
      <w:pPr>
        <w:jc w:val="both"/>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not an “insolvent person” within the meaning of the Bankruptcy and Insolvency Act (Canada) on the date of such deposit or at any time during a specified period after the date of such deposit (it being understood that this condition shall not be deemed satisfied until the expiration of such period); and</w:t>
      </w:r>
    </w:p>
    <w:p>
      <w:pPr>
        <w:spacing w:after="0" w:line="1"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each stating that all conditions precedent relating to either the defeasance or the covenant defeasance have been complied with.</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 and the debt securities shall be governed by and construed in accordance with the laws of the State of New York without regard to its principles of conflict of laws. The Indenture is subject to the provisions of the Trust Indenture Act that are required to be a part of the Indenture and shall, to the extent applicable, be governed by such provisions.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will have all the duties and responsibilities of an indenture trustee specified in the Trust Indenture Act with respect to any debt securities issued under the Indenture. The trustee will not be required to expend or risk its own funds or otherwise incur financial liability in performing its duties or exercising its rights and powers if it reasonably believes that it is not reasonably assured of repayment or adequate indemnity.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Description of Warrants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warrants in one or more series to purchase subordinate voting shares, preference shares, debt securities or other securities under this prospectus.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We expect that such terms will include, among others:</w:t>
      </w:r>
    </w:p>
    <w:p>
      <w:pPr>
        <w:spacing w:after="0" w:line="18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type of securities purchasable upon exercise of such warrants;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at which our securities purchasable upon exercise of such warrants may be purchased;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any material U.S. federal or Canadian income tax considerations;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Schedule 13D/A filed by Mr. Gerald W. Schwartz on March 14, 2023 disclosed that Onex intends to convert our multiple voting shares then beneficially owned by it into our subordinate voting shares (on a one-for-one basis) in approximately 6 months from such date, and is taking steps (and is requesting the Company to take steps) to put itself in a position to effect the sale, from time to time, before or after conversion, of some or all of its investment in the Company in an efficient and expeditious manner should it determine to do so.</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June 5, 2023, the Company and Onex entered into an underwriting agreement (the “Underwriting Agreement”) with RBC Capital Markets, LLC (the “Underwriter”), relating to an underwritten secondary public offering by Onex of 12,000,000 of our subordinate voting shares at a price to Onex of $12.26 per subordinate voting share (the “Secondary Offering”), which closed on June 8, 2023. The fees and expenses of the Secondary Offering, excluding underwriting discounts and commissions of $1,680,000 paid by Onex, were approximately $1,700,000, approximately $950,000 of which were paid or are payable by the Company and approximately $750,000 of which are payable by Onex. The subordinate voting shares sold by Onex included:</w:t>
      </w:r>
    </w:p>
    <w:p>
      <w:pPr>
        <w:spacing w:after="0" w:line="2" w:lineRule="exact"/>
        <w:rPr>
          <w:sz w:val="20"/>
          <w:szCs w:val="20"/>
          <w:color w:val="auto"/>
        </w:rPr>
      </w:pPr>
    </w:p>
    <w:p>
      <w:pPr>
        <w:jc w:val="both"/>
        <w:ind w:firstLine="8"/>
        <w:spacing w:after="0" w:line="287" w:lineRule="auto"/>
        <w:tabs>
          <w:tab w:leader="none" w:pos="25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11,791,570 of our subordinate voting shares issued prior to the completion of the Secondary Offering pursuant to the conversion of an equal amount of our multiple voting shares and (b) 208,430 subordinate voting shares acquired by Onex from its affiliates and associates prior to the completion of the Secondary Offering at a price per share equal to the net price received by Onex in the Secondary Offering after applicable expenses, including 75,734 subordinate voting shares held by a personal holding company of Mr. Schwartz and acquired by Onex pursuant to a share transfer agreement. The Company did not sell any shares in the Secondary Offering and did not receive any proceeds therefrom. The Underwriting Agreement contains customary representations, warranties, covenants, and other customary obligations of the parties in agreements of this type. In connection with the Secondary Offering, the Company agreed to indemnify the Underwriter and Onex against certain claims, including claims under the Securities Act and applicable Canadian securities laws, based on the related U.S. registration statement and related U.S. and Canadian prospectuses.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INCOME TAX CONSEQUENCES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summary of any material Canadian federal income tax considerations and United States federal income tax consequences generally applicable to persons investing in the securities offered by this prospectus will be set forth in an applicable prospectus supplement. The summary will be presented for information purposes only, however, and will not be intended as legal or tax advice to prospective purchasers. Prospective purchasers of our securities are urged to consult their own tax advisors prior to any acquisition of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incorporate by reference in this prospectus information from other documents we file with or furnish to the Commission, which means that we can disclose important information to you by referring to those documents. The information we incorporate by reference is an important part of this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We incorporate by reference into this prospectus the following documents we have filed with or furnished to the Commission:</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Our Annual Report on Form 20-F for the fiscal year ended December 31, 2022, filed with the Commission on March 13, 2023;</w:t>
        </w:r>
      </w:hyperlink>
    </w:p>
    <w:p>
      <w:pPr>
        <w:spacing w:after="0" w:line="23" w:lineRule="exact"/>
        <w:rPr>
          <w:rFonts w:ascii="Arial" w:cs="Arial" w:eastAsia="Arial" w:hAnsi="Arial"/>
          <w:sz w:val="18"/>
          <w:szCs w:val="18"/>
          <w:u w:val="single" w:color="auto"/>
          <w:color w:val="0000EE"/>
        </w:rPr>
      </w:pPr>
    </w:p>
    <w:p>
      <w:pPr>
        <w:jc w:val="both"/>
        <w:ind w:left="660" w:hanging="652"/>
        <w:spacing w:after="0" w:line="281" w:lineRule="auto"/>
        <w:tabs>
          <w:tab w:leader="none" w:pos="660" w:val="left"/>
        </w:tabs>
        <w:numPr>
          <w:ilvl w:val="0"/>
          <w:numId w:val="22"/>
        </w:numPr>
        <w:rPr>
          <w:rFonts w:ascii="Arial" w:cs="Arial" w:eastAsia="Arial" w:hAnsi="Arial"/>
          <w:sz w:val="16"/>
          <w:szCs w:val="16"/>
          <w:color w:val="0000EE"/>
        </w:rPr>
      </w:pPr>
      <w:hyperlink r:id="rId45">
        <w:r>
          <w:rPr>
            <w:rFonts w:ascii="Arial" w:cs="Arial" w:eastAsia="Arial" w:hAnsi="Arial"/>
            <w:sz w:val="16"/>
            <w:szCs w:val="16"/>
            <w:u w:val="single" w:color="auto"/>
            <w:color w:val="0000EE"/>
          </w:rPr>
          <w:t>Exhibit 99.1</w:t>
        </w:r>
        <w:r>
          <w:rPr>
            <w:rFonts w:ascii="Arial" w:cs="Arial" w:eastAsia="Arial" w:hAnsi="Arial"/>
            <w:sz w:val="16"/>
            <w:szCs w:val="16"/>
            <w:color w:val="0000EE"/>
          </w:rPr>
          <w:t xml:space="preserve">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46">
        <w:r>
          <w:rPr>
            <w:rFonts w:ascii="Arial" w:cs="Arial" w:eastAsia="Arial" w:hAnsi="Arial"/>
            <w:sz w:val="16"/>
            <w:szCs w:val="16"/>
            <w:u w:val="single" w:color="auto"/>
            <w:color w:val="0000EE"/>
          </w:rPr>
          <w:t xml:space="preserve">Exhibit 99.2 </w:t>
        </w:r>
      </w:hyperlink>
      <w:r>
        <w:rPr>
          <w:rFonts w:ascii="Arial" w:cs="Arial" w:eastAsia="Arial" w:hAnsi="Arial"/>
          <w:sz w:val="16"/>
          <w:szCs w:val="16"/>
          <w:color w:val="000000"/>
        </w:rPr>
        <w:t>to</w:t>
      </w:r>
      <w:r>
        <w:rPr>
          <w:rFonts w:ascii="Arial" w:cs="Arial" w:eastAsia="Arial" w:hAnsi="Arial"/>
          <w:sz w:val="16"/>
          <w:szCs w:val="16"/>
          <w:color w:val="0000EE"/>
        </w:rPr>
        <w:t xml:space="preserve"> </w:t>
      </w:r>
      <w:r>
        <w:rPr>
          <w:rFonts w:ascii="Arial" w:cs="Arial" w:eastAsia="Arial" w:hAnsi="Arial"/>
          <w:sz w:val="16"/>
          <w:szCs w:val="16"/>
          <w:color w:val="000000"/>
        </w:rPr>
        <w:t>our Report on Form 6-K furnished to the Commission on April 26, 2023, containing, respectively, our</w:t>
      </w:r>
      <w:r>
        <w:rPr>
          <w:rFonts w:ascii="Arial" w:cs="Arial" w:eastAsia="Arial" w:hAnsi="Arial"/>
          <w:sz w:val="16"/>
          <w:szCs w:val="16"/>
          <w:color w:val="0000EE"/>
        </w:rPr>
        <w:t xml:space="preserve"> </w:t>
      </w:r>
      <w:r>
        <w:rPr>
          <w:rFonts w:ascii="Arial" w:cs="Arial" w:eastAsia="Arial" w:hAnsi="Arial"/>
          <w:sz w:val="16"/>
          <w:szCs w:val="16"/>
          <w:color w:val="000000"/>
        </w:rPr>
        <w:t>Management’s Discussion and Analysis of Financial Condition and Results of Operations for the three months ended March 31, 2023, and our Unaudited Interim Condensed Consolidated Financial Statements for the three months ended March 31, 2023 and the accompanying notes thereto;</w:t>
      </w:r>
    </w:p>
    <w:p>
      <w:pPr>
        <w:spacing w:after="0" w:line="1" w:lineRule="exact"/>
        <w:rPr>
          <w:rFonts w:ascii="Arial" w:cs="Arial" w:eastAsia="Arial" w:hAnsi="Arial"/>
          <w:sz w:val="16"/>
          <w:szCs w:val="16"/>
          <w:color w:val="0000EE"/>
        </w:rPr>
      </w:pPr>
    </w:p>
    <w:p>
      <w:pPr>
        <w:jc w:val="both"/>
        <w:ind w:left="660" w:hanging="652"/>
        <w:spacing w:after="0" w:line="250" w:lineRule="auto"/>
        <w:tabs>
          <w:tab w:leader="none" w:pos="660" w:val="left"/>
        </w:tabs>
        <w:numPr>
          <w:ilvl w:val="0"/>
          <w:numId w:val="22"/>
        </w:numPr>
        <w:rPr>
          <w:rFonts w:ascii="Arial" w:cs="Arial" w:eastAsia="Arial" w:hAnsi="Arial"/>
          <w:sz w:val="18"/>
          <w:szCs w:val="18"/>
          <w:color w:val="0000EE"/>
        </w:rPr>
      </w:pPr>
      <w:hyperlink r:id="rId47">
        <w:r>
          <w:rPr>
            <w:rFonts w:ascii="Arial" w:cs="Arial" w:eastAsia="Arial" w:hAnsi="Arial"/>
            <w:sz w:val="18"/>
            <w:szCs w:val="18"/>
            <w:u w:val="single" w:color="auto"/>
            <w:color w:val="0000EE"/>
          </w:rPr>
          <w:t>Exhibit 99.1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 xml:space="preserve">Exhibit 99.2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Report on Form 6-K furnished to the Commission on July 26, 2023, containing, respectively, our</w:t>
      </w:r>
      <w:r>
        <w:rPr>
          <w:rFonts w:ascii="Arial" w:cs="Arial" w:eastAsia="Arial" w:hAnsi="Arial"/>
          <w:sz w:val="18"/>
          <w:szCs w:val="18"/>
          <w:color w:val="0000EE"/>
        </w:rPr>
        <w:t xml:space="preserve"> </w:t>
      </w:r>
      <w:r>
        <w:rPr>
          <w:rFonts w:ascii="Arial" w:cs="Arial" w:eastAsia="Arial" w:hAnsi="Arial"/>
          <w:sz w:val="18"/>
          <w:szCs w:val="18"/>
          <w:color w:val="000000"/>
        </w:rPr>
        <w:t>Management’s Discussion and Analysis of Financial Condition and Results of Operations for the three and six months ended June 30, 2023, and our Unaudited Interim Condensed Consolidated Financial Statements for the three and six months ended June 30, 2023 and the accompanying notes thereto; and</w:t>
      </w:r>
    </w:p>
    <w:p>
      <w:pPr>
        <w:spacing w:after="0" w:line="1" w:lineRule="exact"/>
        <w:rPr>
          <w:rFonts w:ascii="Arial" w:cs="Arial" w:eastAsia="Arial" w:hAnsi="Arial"/>
          <w:sz w:val="18"/>
          <w:szCs w:val="18"/>
          <w:color w:val="0000EE"/>
        </w:rPr>
      </w:pPr>
    </w:p>
    <w:p>
      <w:pPr>
        <w:ind w:left="660" w:hanging="652"/>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subordinate voting shares contained in our Registration Statement on Form 8-A, effective as of June 29, 1998, as amended by the description in </w:t>
      </w:r>
      <w:hyperlink r:id="rId35">
        <w:r>
          <w:rPr>
            <w:rFonts w:ascii="Arial" w:cs="Arial" w:eastAsia="Arial" w:hAnsi="Arial"/>
            <w:sz w:val="18"/>
            <w:szCs w:val="18"/>
            <w:u w:val="single" w:color="auto"/>
            <w:color w:val="0000EE"/>
          </w:rPr>
          <w:t>Exhibit 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20-F for the year ended December 31, 2022.</w:t>
      </w:r>
    </w:p>
    <w:p>
      <w:pPr>
        <w:spacing w:after="0" w:line="185" w:lineRule="exact"/>
        <w:rPr>
          <w:rFonts w:ascii="Arial" w:cs="Arial" w:eastAsia="Arial" w:hAnsi="Arial"/>
          <w:sz w:val="18"/>
          <w:szCs w:val="18"/>
          <w:color w:val="0000EE"/>
        </w:rPr>
      </w:pPr>
    </w:p>
    <w:p>
      <w:pPr>
        <w:jc w:val="both"/>
        <w:ind w:firstLine="648"/>
        <w:spacing w:after="0" w:line="279" w:lineRule="auto"/>
        <w:rPr>
          <w:sz w:val="20"/>
          <w:szCs w:val="20"/>
          <w:color w:val="auto"/>
        </w:rPr>
      </w:pPr>
      <w:r>
        <w:rPr>
          <w:rFonts w:ascii="Arial" w:cs="Arial" w:eastAsia="Arial" w:hAnsi="Arial"/>
          <w:sz w:val="17"/>
          <w:szCs w:val="17"/>
          <w:color w:val="auto"/>
        </w:rPr>
        <w:t>We also incorporate by reference each of the following documents we file with or furnish to the Commission after the date of this prospectus and prior to the filing of a post-effective amendment that indicates that all securities offered hereby have been sold or which deregisters all securities then remaining unsold: (i) all Annual Reports on Form 20-F we file with the Commission; and (ii) those portions of any Reports on Form 6-K we furnish to the Commission that we indicate in such reports are to be deemed incorporated by reference into this prospectus.</w:t>
      </w:r>
    </w:p>
    <w:p>
      <w:pPr>
        <w:spacing w:after="0" w:line="171" w:lineRule="exact"/>
        <w:rPr>
          <w:rFonts w:ascii="Arial" w:cs="Arial" w:eastAsia="Arial" w:hAnsi="Arial"/>
          <w:sz w:val="18"/>
          <w:szCs w:val="18"/>
          <w:color w:val="0000EE"/>
        </w:rPr>
      </w:pPr>
    </w:p>
    <w:p>
      <w:pPr>
        <w:jc w:val="both"/>
        <w:ind w:firstLine="648"/>
        <w:spacing w:after="0" w:line="259" w:lineRule="auto"/>
        <w:rPr>
          <w:sz w:val="20"/>
          <w:szCs w:val="20"/>
          <w:color w:val="auto"/>
        </w:rPr>
      </w:pPr>
      <w:r>
        <w:rPr>
          <w:rFonts w:ascii="Arial" w:cs="Arial" w:eastAsia="Arial" w:hAnsi="Arial"/>
          <w:sz w:val="18"/>
          <w:szCs w:val="18"/>
          <w:color w:val="auto"/>
        </w:rPr>
        <w:t>Any statement contained in any document incorporated or deemed to be incorporated by reference herein shall be deemed to be modified or superseded for purposes of this prospectus to the extent that a statement contained herein or in any other subsequently filed or furnished document which also is or is deemed to be incorporated by reference herein modifies or supersedes such statement. Any such statement so modified or superseded shall not be deemed to constitute a part of this prospectus, except as so modified or superseded.</w:t>
      </w:r>
    </w:p>
    <w:p>
      <w:pPr>
        <w:spacing w:after="0" w:line="187" w:lineRule="exact"/>
        <w:rPr>
          <w:rFonts w:ascii="Arial" w:cs="Arial" w:eastAsia="Arial" w:hAnsi="Arial"/>
          <w:sz w:val="18"/>
          <w:szCs w:val="18"/>
          <w:color w:val="0000EE"/>
        </w:rPr>
      </w:pPr>
    </w:p>
    <w:p>
      <w:pPr>
        <w:jc w:val="both"/>
        <w:ind w:firstLine="648"/>
        <w:spacing w:after="0" w:line="311" w:lineRule="auto"/>
        <w:rPr>
          <w:sz w:val="20"/>
          <w:szCs w:val="20"/>
          <w:color w:val="auto"/>
        </w:rPr>
      </w:pPr>
      <w:r>
        <w:rPr>
          <w:rFonts w:ascii="Arial" w:cs="Arial" w:eastAsia="Arial" w:hAnsi="Arial"/>
          <w:sz w:val="16"/>
          <w:szCs w:val="16"/>
          <w:color w:val="auto"/>
        </w:rPr>
        <w:t>Upon written or oral request, we will provide to each person, including any beneficial owner, to whom this prospectus is delivered, a copy of any or all of the information that is incorporated by reference into this prospectus but not delivered with this prospectus (other than exhibits to those documents unless such exhibits are specially incorporated by reference in those documents), at no cost, by writing to or telephoning us at the following address:</w:t>
      </w:r>
    </w:p>
    <w:p>
      <w:pPr>
        <w:spacing w:after="0" w:line="14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Celestica Inc.</w:t>
      </w:r>
    </w:p>
    <w:p>
      <w:pPr>
        <w:spacing w:after="0" w:line="2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5140 Yonge Street, Suite 1900</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Toronto, Ontario</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Canada M2N 6L7</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416-448-5800</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07"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rFonts w:ascii="Arial" w:cs="Arial" w:eastAsia="Arial" w:hAnsi="Arial"/>
          <w:sz w:val="18"/>
          <w:szCs w:val="18"/>
          <w:color w:val="0000EE"/>
        </w:rPr>
      </w:pPr>
    </w:p>
    <w:p>
      <w:pPr>
        <w:jc w:val="both"/>
        <w:ind w:firstLine="648"/>
        <w:spacing w:after="0" w:line="255" w:lineRule="auto"/>
        <w:rPr>
          <w:sz w:val="20"/>
          <w:szCs w:val="20"/>
          <w:color w:val="auto"/>
        </w:rPr>
      </w:pPr>
      <w:r>
        <w:rPr>
          <w:rFonts w:ascii="Arial" w:cs="Arial" w:eastAsia="Arial" w:hAnsi="Arial"/>
          <w:sz w:val="18"/>
          <w:szCs w:val="18"/>
          <w:color w:val="auto"/>
        </w:rPr>
        <w:t>We file and furnish annual, special, and other reports with the Commission, including our Annual Reports on Form 20-F, the exhibits and schedules we file with our Annual Reports on Form 20-F, our Forms 6-K, and the registration statement of which this prospectus forms a part. The Commission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Commission. We began to file electronically with the Commission in November 2000. You may access our Commission filings made on and after November 2000 electronically at the internet site set forth above. These Commission filings are also available to the public from commercial document retrieval services.</w:t>
      </w:r>
    </w:p>
    <w:p>
      <w:pPr>
        <w:spacing w:after="0" w:line="192" w:lineRule="exact"/>
        <w:rPr>
          <w:rFonts w:ascii="Arial" w:cs="Arial" w:eastAsia="Arial" w:hAnsi="Arial"/>
          <w:sz w:val="18"/>
          <w:szCs w:val="18"/>
          <w:color w:val="0000EE"/>
        </w:rPr>
      </w:pPr>
    </w:p>
    <w:p>
      <w:pPr>
        <w:jc w:val="both"/>
        <w:ind w:firstLine="648"/>
        <w:spacing w:after="0" w:line="271" w:lineRule="auto"/>
        <w:rPr>
          <w:sz w:val="20"/>
          <w:szCs w:val="20"/>
          <w:color w:val="auto"/>
        </w:rPr>
      </w:pPr>
      <w:r>
        <w:rPr>
          <w:rFonts w:ascii="Arial" w:cs="Arial" w:eastAsia="Arial" w:hAnsi="Arial"/>
          <w:sz w:val="17"/>
          <w:szCs w:val="17"/>
          <w:color w:val="auto"/>
        </w:rPr>
        <w:t>As a foreign private issuer, we are exempt under the Exchange Act from, among other things, certain rules prescribing the furnishing and content of proxy statements, and our directors, executive officers and principal shareholders are exempt from the reporting and short-swing profit recovery provisions under Section 16 of the Exchange Act. In addition, we are not required under the Exchange Act to file periodic reports and financial statements with the Commission as frequently or as promptly as U.S. companies the securities of which are registered under the Exchange Act, including the filing of quarterly reports on Form 10-Q or current reports on Form 8-K. However, we file our Annual Report on Form 20-F with the Commission, which contains our audited consolidated financial statements and the related notes in accordance with IFRS as issued by the IASB. We also furnish quarterly reports on Form 6-K to the Commission which contain our unaudited interim condensed consolidated financial statements for each fiscal quarter of each fiscal year prepared in accordance with IFRS as issued by the IASB.</w:t>
      </w:r>
    </w:p>
    <w:p>
      <w:pPr>
        <w:spacing w:after="0" w:line="394"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We also file reports, statements and other information with the Canadian Securities Administrators, or the CSA, and these can be accessed electronically at the CSA’s System for Electronic Document Analysis and Retrieval website (</w:t>
      </w:r>
      <w:r>
        <w:rPr>
          <w:rFonts w:ascii="Arial" w:cs="Arial" w:eastAsia="Arial" w:hAnsi="Arial"/>
          <w:sz w:val="18"/>
          <w:szCs w:val="18"/>
          <w:u w:val="single" w:color="auto"/>
          <w:color w:val="auto"/>
        </w:rPr>
        <w:t>http://www.sedar.com</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may access other information about Celestica on our website (http://www.celestica.com). Information on our website is not incorporated by reference into this prospectus.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We have not authorized any other person to provide you with different information. If anyone provides you with different or inconsistent information, you should not rely on it. You should not assume that the information appearing in this prospectus is accurate as of any date other than the date of this prospectus. Our business, financial condition, results of operations and prospects may change after that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Blake, Cassels &amp; Graydon LLP, Canadian counsel for Celestica, will be passing upon certain matters of Canadian law for us with respect to certain securities offered by this prospectus and any prospectus supplement, and Arnold &amp; Porter Kaye Scholer LLP, U.S. counsel for Celestica, will be passing on certain matters of New York and U.S. federal securities law for us with respect to certain securities offered by this prospectus and any prospectus supplement. The attorneys of Blake, Cassels &amp; Graydon LLP beneficially own, directly or indirectly (in the aggregate), less than 1% of any registered or beneficial interests, direct or indirect, in any securities or other property of the Company. An attorney at Arnold &amp; Porter Kaye Scholer LLP involved in the preparation of this registration statement owns 6,000 of Celestica's subordinate voting shares. If any underwriters, dealers or agents named in a prospectus supplement engage their own counsel to pass upon legal matters relating to the securities, that counsel will be named in the prospectus supplement.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incorporated under the laws of the Province of Ontario, Canada. Our controlling persons (and certain experts named in this prospectus), three of our directors, and one of our executive officers, are residents of (or are organized in) Canada. Also, a substantial portion of our assets and the assets of these persons are located outside of the United States. As a result, securityholders may find it difficult to effect service of process within the United States upon these persons who are not residents of the United States, or to enforce judgments in the United States obtained in courts of the United States, because a significant portion of our assets and the assets of these persons are located outside the United States. It may also be difficult for securityholders to enforce a United States judgment in Canada based on the civil liability provisions of the United States federal securities laws or the “blue sky” laws of any state within the United States or to succeed in a lawsuit in Canada based only on United States federal or state securities laws.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consolidated financial statements as at December 31, 2021 and 2022, and for each of the years in the three-year period ended December 31, 2022, incorporated in this prospectus by reference to our </w:t>
      </w:r>
      <w:hyperlink r:id="rId25">
        <w:r>
          <w:rPr>
            <w:rFonts w:ascii="Arial" w:cs="Arial" w:eastAsia="Arial" w:hAnsi="Arial"/>
            <w:sz w:val="18"/>
            <w:szCs w:val="18"/>
            <w:u w:val="single" w:color="auto"/>
            <w:color w:val="0000EE"/>
          </w:rPr>
          <w:t>Annual Report on Form 20-F for the fiscal year ended December 31, 2022</w:t>
        </w:r>
      </w:hyperlink>
      <w:r>
        <w:rPr>
          <w:rFonts w:ascii="Arial" w:cs="Arial" w:eastAsia="Arial" w:hAnsi="Arial"/>
          <w:sz w:val="18"/>
          <w:szCs w:val="18"/>
          <w:color w:val="auto"/>
        </w:rPr>
        <w:t>, and the effectiveness of our internal control over financial reporting as of December 31, 2022, have been audited by KPMG LLP, an independent registered public accounting firm, as set forth in their reports thereon included therein, and incorporated herein by reference. Such consolidated financial statements are incorporated herein in reliance upon the reports of KPMG LLP pertaining to such consolidated financial statements and the effectiveness of our internal control over financial reporting, upon the authority of said firm as experts in auditing and accounting. KPMG LLP is located at: Bay Adelaide Centre, 333 Bay Street, Suite 4600, Toronto, Ontario M5H 2S5, Canada.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statement of the estimated expenses, other than any underwriting discounts and commissions, that we expect to incur in connection with the issuance and distribution of the securities registered under this registration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Commission registration fee</w:t>
            </w:r>
          </w:p>
        </w:tc>
        <w:tc>
          <w:tcPr>
            <w:tcW w:w="1240" w:type="dxa"/>
            <w:vAlign w:val="bottom"/>
            <w:gridSpan w:val="2"/>
            <w:shd w:val="clear" w:color="auto" w:fill="CCEEFF"/>
          </w:tcPr>
          <w:p>
            <w:pPr>
              <w:jc w:val="right"/>
              <w:ind w:right="1067"/>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Trustee fees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23"/>
        </w:trPr>
        <w:tc>
          <w:tcPr>
            <w:tcW w:w="97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9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$663,273.84 has been paid to the Commission and may be used to pay for securities offered pursuant to this prospectus. The payment of any additional</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fees has been deferred in accordance with Rule 456(b) and 457(r) of the Securities Act.</w:t>
      </w:r>
    </w:p>
    <w:p>
      <w:pPr>
        <w:spacing w:after="0" w:line="9" w:lineRule="exact"/>
        <w:rPr>
          <w:sz w:val="20"/>
          <w:szCs w:val="20"/>
          <w:color w:val="auto"/>
        </w:rPr>
      </w:pPr>
    </w:p>
    <w:p>
      <w:pPr>
        <w:ind w:left="340" w:hanging="332"/>
        <w:spacing w:after="0" w:line="26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regarding offering expenses is not currently known, and will be provided by a prospectus supplement or as an exhibit to Report on Form 6-K that is incorporated by reference into this prospectus.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CELESTICA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SUBORDINATE VOTING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PREFERENCE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27,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Business Corporations Act (Ontario), the registrant may indemnify a present or former director or officer or a person who acts or acted at the registrant’s request as a director or officer, or an individual acting in a similar capacity, of another entity, against all costs, charges and expenses, including an amount paid to settle an action or satisfy a judgment, reasonably incurred by that individual in respect of any civil, criminal, administrative, investigative or other proceeding in which the individual is involved because of that association with the registrant or other entity; provided that the individual acted honestly and in good faith with a view to the best interests of the registrant or, as the case may be, to the best interests of such other entity and, in the case of a criminal or administrative action or proceeding that is enforced by a monetary penalty, had reasonable grounds for believing that the individual’s conduct was lawful. Such indemnification may be made in connection with a derivative action only with court approval. An individual is entitled to indemnification from the registrant as a matter of right if the individual was not judged by a court or other competent authority to have committed any fault or omitted to do anything that the individual ought to have done and the individual fulfilled the conditions set forth above. Under such Act, the registrant may advance money to a director, officer or other individual for the costs, charges and expenses of a proceeding referred to above, but the individual must repay the money if the individual does not fulfil the conditions set forth above.</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accordance with and subject to the Business Corporations Act (Ontario), the by-laws of the registrant provide for indemnification of a director or officer of the registrant, a former director or officer of the registrant, or a person who acts or acted at the registrant’s request as a director or officer, or an individual acting in a similar capacity, of another entity, and his heirs and legal representatives, against all costs, charges and expenses, including an amount paid to settle an action or satisfy a judgment, reasonably incurred by him in respect of any civil, criminal, administrative, investigative or other proceeding in which the individual is involved because of that association with the registrant or other entity, if he acted honestly and in good faith with a view to the best interests of the registrant or, as the case may be, to the best interests of the other entity for which he acted as a director or officer or in a similar capacity at the registrant’s request. Also, the by-laws provide that the registrant may advance money to a director, officer or other person for the costs, charges and expenses of a proceeding referred to above, but the person shall repay the money if the person does not fulfil the conditions set forth above.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and officers of the registrant are covered by directors’ and officers’ insurance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Item 10 for the undertakings of the registrant with respect to indemnification for liabilities arising under the Securities Act.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9.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have been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340" w:type="dxa"/>
            <w:vAlign w:val="bottom"/>
            <w:gridSpan w:val="3"/>
          </w:tcPr>
          <w:p>
            <w:pPr>
              <w:ind w:left="20"/>
              <w:spacing w:after="0"/>
              <w:rPr>
                <w:sz w:val="20"/>
                <w:szCs w:val="20"/>
                <w:color w:val="auto"/>
              </w:rPr>
            </w:pPr>
            <w:r>
              <w:rPr>
                <w:rFonts w:ascii="Arial" w:cs="Arial" w:eastAsia="Arial" w:hAnsi="Arial"/>
                <w:sz w:val="18"/>
                <w:szCs w:val="18"/>
                <w:color w:val="auto"/>
                <w:w w:val="93"/>
              </w:rPr>
              <w:t>1.1*</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gridSpan w:val="11"/>
          </w:tcPr>
          <w:p>
            <w:pPr>
              <w:spacing w:after="0"/>
              <w:rPr>
                <w:sz w:val="20"/>
                <w:szCs w:val="20"/>
                <w:color w:val="auto"/>
              </w:rPr>
            </w:pPr>
            <w:r>
              <w:rPr>
                <w:rFonts w:ascii="Arial" w:cs="Arial" w:eastAsia="Arial" w:hAnsi="Arial"/>
                <w:sz w:val="18"/>
                <w:szCs w:val="18"/>
                <w:color w:val="auto"/>
              </w:rPr>
              <w:t>Form of Underwriting Agreement</w:t>
            </w:r>
          </w:p>
        </w:tc>
      </w:tr>
      <w:tr>
        <w:trPr>
          <w:trHeight w:val="190"/>
        </w:trPr>
        <w:tc>
          <w:tcPr>
            <w:tcW w:w="240" w:type="dxa"/>
            <w:vAlign w:val="bottom"/>
            <w:gridSpan w:val="2"/>
          </w:tcPr>
          <w:p>
            <w:pPr>
              <w:ind w:left="20"/>
              <w:spacing w:after="0" w:line="190" w:lineRule="exact"/>
              <w:rPr>
                <w:rFonts w:ascii="Arial" w:cs="Arial" w:eastAsia="Arial" w:hAnsi="Arial"/>
                <w:sz w:val="18"/>
                <w:szCs w:val="18"/>
                <w:color w:val="0000EE"/>
                <w:w w:val="71"/>
              </w:rPr>
            </w:pPr>
            <w:hyperlink r:id="rId53">
              <w:r>
                <w:rPr>
                  <w:rFonts w:ascii="Arial" w:cs="Arial" w:eastAsia="Arial" w:hAnsi="Arial"/>
                  <w:sz w:val="18"/>
                  <w:szCs w:val="18"/>
                  <w:color w:val="0000EE"/>
                  <w:w w:val="71"/>
                </w:rPr>
                <w:t>4.</w:t>
              </w:r>
              <w:r>
                <w:rPr>
                  <w:rFonts w:ascii="Arial" w:cs="Arial" w:eastAsia="Arial" w:hAnsi="Arial"/>
                  <w:sz w:val="18"/>
                  <w:szCs w:val="18"/>
                  <w:u w:val="single" w:color="auto"/>
                  <w:color w:val="0000EE"/>
                  <w:w w:val="71"/>
                </w:rPr>
                <w:t>1</w:t>
              </w:r>
            </w:hyperlink>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60" w:type="dxa"/>
            <w:vAlign w:val="bottom"/>
            <w:gridSpan w:val="11"/>
          </w:tcPr>
          <w:p>
            <w:pPr>
              <w:spacing w:after="0" w:line="190" w:lineRule="exact"/>
              <w:rPr>
                <w:rFonts w:ascii="Arial" w:cs="Arial" w:eastAsia="Arial" w:hAnsi="Arial"/>
                <w:sz w:val="18"/>
                <w:szCs w:val="18"/>
                <w:color w:val="0000EE"/>
              </w:rPr>
            </w:pPr>
            <w:hyperlink r:id="rId53">
              <w:r>
                <w:rPr>
                  <w:rFonts w:ascii="Arial" w:cs="Arial" w:eastAsia="Arial" w:hAnsi="Arial"/>
                  <w:sz w:val="18"/>
                  <w:szCs w:val="18"/>
                  <w:color w:val="0000EE"/>
                </w:rPr>
                <w:t>Form of Subordinate Voting Share Certificate (1)</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240" w:type="dxa"/>
            <w:vAlign w:val="bottom"/>
            <w:gridSpan w:val="2"/>
          </w:tcPr>
          <w:p>
            <w:pPr>
              <w:ind w:left="20"/>
              <w:spacing w:after="0" w:line="196" w:lineRule="exact"/>
              <w:rPr>
                <w:rFonts w:ascii="Arial" w:cs="Arial" w:eastAsia="Arial" w:hAnsi="Arial"/>
                <w:sz w:val="18"/>
                <w:szCs w:val="18"/>
                <w:color w:val="0000EE"/>
                <w:w w:val="71"/>
              </w:rPr>
            </w:pPr>
            <w:hyperlink r:id="rId54">
              <w:r>
                <w:rPr>
                  <w:rFonts w:ascii="Arial" w:cs="Arial" w:eastAsia="Arial" w:hAnsi="Arial"/>
                  <w:sz w:val="18"/>
                  <w:szCs w:val="18"/>
                  <w:color w:val="0000EE"/>
                  <w:w w:val="71"/>
                </w:rPr>
                <w:t>4.</w:t>
              </w:r>
              <w:r>
                <w:rPr>
                  <w:rFonts w:ascii="Arial" w:cs="Arial" w:eastAsia="Arial" w:hAnsi="Arial"/>
                  <w:sz w:val="18"/>
                  <w:szCs w:val="18"/>
                  <w:u w:val="single" w:color="auto"/>
                  <w:color w:val="0000EE"/>
                  <w:w w:val="71"/>
                </w:rPr>
                <w:t>2</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11"/>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Certificate and Restated Articles of Incorporation effective June 25, 2004 (2)</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09"/>
        </w:trPr>
        <w:tc>
          <w:tcPr>
            <w:tcW w:w="240" w:type="dxa"/>
            <w:vAlign w:val="bottom"/>
            <w:gridSpan w:val="2"/>
          </w:tcPr>
          <w:p>
            <w:pPr>
              <w:ind w:left="20"/>
              <w:spacing w:after="0"/>
              <w:rPr>
                <w:rFonts w:ascii="Arial" w:cs="Arial" w:eastAsia="Arial" w:hAnsi="Arial"/>
                <w:sz w:val="18"/>
                <w:szCs w:val="18"/>
                <w:color w:val="0000EE"/>
                <w:w w:val="71"/>
              </w:rPr>
            </w:pPr>
            <w:hyperlink r:id="rId55">
              <w:r>
                <w:rPr>
                  <w:rFonts w:ascii="Arial" w:cs="Arial" w:eastAsia="Arial" w:hAnsi="Arial"/>
                  <w:sz w:val="18"/>
                  <w:szCs w:val="18"/>
                  <w:color w:val="0000EE"/>
                  <w:w w:val="71"/>
                </w:rPr>
                <w:t>4.</w:t>
              </w:r>
              <w:r>
                <w:rPr>
                  <w:rFonts w:ascii="Arial" w:cs="Arial" w:eastAsia="Arial" w:hAnsi="Arial"/>
                  <w:sz w:val="18"/>
                  <w:szCs w:val="18"/>
                  <w:u w:val="single" w:color="auto"/>
                  <w:color w:val="0000EE"/>
                  <w:w w:val="71"/>
                </w:rPr>
                <w:t>3</w:t>
              </w:r>
            </w:hyperlink>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gridSpan w:val="11"/>
          </w:tcPr>
          <w:p>
            <w:pPr>
              <w:spacing w:after="0"/>
              <w:rPr>
                <w:rFonts w:ascii="Arial" w:cs="Arial" w:eastAsia="Arial" w:hAnsi="Arial"/>
                <w:sz w:val="18"/>
                <w:szCs w:val="18"/>
                <w:color w:val="0000EE"/>
              </w:rPr>
            </w:pPr>
            <w:hyperlink r:id="rId55">
              <w:r>
                <w:rPr>
                  <w:rFonts w:ascii="Arial" w:cs="Arial" w:eastAsia="Arial" w:hAnsi="Arial"/>
                  <w:sz w:val="18"/>
                  <w:szCs w:val="18"/>
                  <w:color w:val="0000EE"/>
                </w:rPr>
                <w:t>Bylaw No. 1 (2)</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22"/>
        </w:trPr>
        <w:tc>
          <w:tcPr>
            <w:tcW w:w="340" w:type="dxa"/>
            <w:vAlign w:val="bottom"/>
            <w:gridSpan w:val="3"/>
          </w:tcPr>
          <w:p>
            <w:pPr>
              <w:ind w:left="20"/>
              <w:spacing w:after="0"/>
              <w:rPr>
                <w:sz w:val="20"/>
                <w:szCs w:val="20"/>
                <w:color w:val="auto"/>
              </w:rPr>
            </w:pPr>
            <w:r>
              <w:rPr>
                <w:rFonts w:ascii="Arial" w:cs="Arial" w:eastAsia="Arial" w:hAnsi="Arial"/>
                <w:sz w:val="18"/>
                <w:szCs w:val="18"/>
                <w:color w:val="auto"/>
                <w:w w:val="93"/>
              </w:rPr>
              <w:t>4.4*</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60" w:type="dxa"/>
            <w:vAlign w:val="bottom"/>
            <w:gridSpan w:val="11"/>
          </w:tcPr>
          <w:p>
            <w:pPr>
              <w:spacing w:after="0"/>
              <w:rPr>
                <w:sz w:val="20"/>
                <w:szCs w:val="20"/>
                <w:color w:val="auto"/>
              </w:rPr>
            </w:pPr>
            <w:r>
              <w:rPr>
                <w:rFonts w:ascii="Arial" w:cs="Arial" w:eastAsia="Arial" w:hAnsi="Arial"/>
                <w:sz w:val="18"/>
                <w:szCs w:val="18"/>
                <w:color w:val="auto"/>
              </w:rPr>
              <w:t>Form of Preference Share Certificate</w:t>
            </w:r>
          </w:p>
        </w:tc>
      </w:tr>
      <w:tr>
        <w:trPr>
          <w:trHeight w:val="230"/>
        </w:trPr>
        <w:tc>
          <w:tcPr>
            <w:tcW w:w="340" w:type="dxa"/>
            <w:vAlign w:val="bottom"/>
            <w:gridSpan w:val="3"/>
          </w:tcPr>
          <w:p>
            <w:pPr>
              <w:ind w:left="20"/>
              <w:spacing w:after="0"/>
              <w:rPr>
                <w:sz w:val="20"/>
                <w:szCs w:val="20"/>
                <w:color w:val="auto"/>
              </w:rPr>
            </w:pPr>
            <w:r>
              <w:rPr>
                <w:rFonts w:ascii="Arial" w:cs="Arial" w:eastAsia="Arial" w:hAnsi="Arial"/>
                <w:sz w:val="18"/>
                <w:szCs w:val="18"/>
                <w:color w:val="auto"/>
                <w:w w:val="93"/>
              </w:rPr>
              <w:t>4.5*</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60" w:type="dxa"/>
            <w:vAlign w:val="bottom"/>
            <w:gridSpan w:val="11"/>
          </w:tcPr>
          <w:p>
            <w:pPr>
              <w:spacing w:after="0"/>
              <w:rPr>
                <w:sz w:val="20"/>
                <w:szCs w:val="20"/>
                <w:color w:val="auto"/>
              </w:rPr>
            </w:pPr>
            <w:r>
              <w:rPr>
                <w:rFonts w:ascii="Arial" w:cs="Arial" w:eastAsia="Arial" w:hAnsi="Arial"/>
                <w:sz w:val="18"/>
                <w:szCs w:val="18"/>
                <w:color w:val="auto"/>
              </w:rPr>
              <w:t>Form of Warrant</w:t>
            </w:r>
          </w:p>
        </w:tc>
      </w:tr>
      <w:tr>
        <w:trPr>
          <w:trHeight w:val="190"/>
        </w:trPr>
        <w:tc>
          <w:tcPr>
            <w:tcW w:w="240" w:type="dxa"/>
            <w:vAlign w:val="bottom"/>
            <w:gridSpan w:val="2"/>
          </w:tcPr>
          <w:p>
            <w:pPr>
              <w:ind w:left="20"/>
              <w:spacing w:after="0" w:line="190" w:lineRule="exact"/>
              <w:rPr>
                <w:rFonts w:ascii="Arial" w:cs="Arial" w:eastAsia="Arial" w:hAnsi="Arial"/>
                <w:sz w:val="18"/>
                <w:szCs w:val="18"/>
                <w:color w:val="0000EE"/>
                <w:w w:val="71"/>
              </w:rPr>
            </w:pPr>
            <w:hyperlink r:id="rId56">
              <w:r>
                <w:rPr>
                  <w:rFonts w:ascii="Arial" w:cs="Arial" w:eastAsia="Arial" w:hAnsi="Arial"/>
                  <w:sz w:val="18"/>
                  <w:szCs w:val="18"/>
                  <w:color w:val="0000EE"/>
                  <w:w w:val="71"/>
                </w:rPr>
                <w:t>4.</w:t>
              </w:r>
              <w:r>
                <w:rPr>
                  <w:rFonts w:ascii="Arial" w:cs="Arial" w:eastAsia="Arial" w:hAnsi="Arial"/>
                  <w:sz w:val="18"/>
                  <w:szCs w:val="18"/>
                  <w:u w:val="single" w:color="auto"/>
                  <w:color w:val="0000EE"/>
                  <w:w w:val="71"/>
                </w:rPr>
                <w:t>6</w:t>
              </w:r>
            </w:hyperlink>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60" w:type="dxa"/>
            <w:vAlign w:val="bottom"/>
            <w:gridSpan w:val="11"/>
          </w:tcPr>
          <w:p>
            <w:pPr>
              <w:spacing w:after="0" w:line="190" w:lineRule="exact"/>
              <w:rPr>
                <w:rFonts w:ascii="Arial" w:cs="Arial" w:eastAsia="Arial" w:hAnsi="Arial"/>
                <w:sz w:val="18"/>
                <w:szCs w:val="18"/>
                <w:color w:val="0000EE"/>
              </w:rPr>
            </w:pPr>
            <w:hyperlink r:id="rId56">
              <w:r>
                <w:rPr>
                  <w:rFonts w:ascii="Arial" w:cs="Arial" w:eastAsia="Arial" w:hAnsi="Arial"/>
                  <w:sz w:val="18"/>
                  <w:szCs w:val="18"/>
                  <w:color w:val="0000EE"/>
                </w:rPr>
                <w:t>Form of Indenture (1)</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240" w:type="dxa"/>
            <w:vAlign w:val="bottom"/>
            <w:gridSpan w:val="2"/>
          </w:tcPr>
          <w:p>
            <w:pPr>
              <w:ind w:left="20"/>
              <w:spacing w:after="0" w:line="196" w:lineRule="exact"/>
              <w:rPr>
                <w:sz w:val="20"/>
                <w:szCs w:val="20"/>
                <w:color w:val="auto"/>
              </w:rPr>
            </w:pPr>
            <w:r>
              <w:rPr>
                <w:rFonts w:ascii="Arial" w:cs="Arial" w:eastAsia="Arial" w:hAnsi="Arial"/>
                <w:sz w:val="18"/>
                <w:szCs w:val="18"/>
                <w:color w:val="0000EE"/>
                <w:w w:val="71"/>
              </w:rPr>
              <w:t>5.</w:t>
            </w:r>
            <w:r>
              <w:rPr>
                <w:rFonts w:ascii="Arial" w:cs="Arial" w:eastAsia="Arial" w:hAnsi="Arial"/>
                <w:sz w:val="18"/>
                <w:szCs w:val="18"/>
                <w:u w:val="single" w:color="auto"/>
                <w:color w:val="0000EE"/>
                <w:w w:val="71"/>
              </w:rPr>
              <w:t>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11"/>
          </w:tcPr>
          <w:p>
            <w:pPr>
              <w:spacing w:after="0" w:line="196" w:lineRule="exact"/>
              <w:rPr>
                <w:sz w:val="20"/>
                <w:szCs w:val="20"/>
                <w:color w:val="auto"/>
              </w:rPr>
            </w:pPr>
            <w:r>
              <w:rPr>
                <w:rFonts w:ascii="Arial" w:cs="Arial" w:eastAsia="Arial" w:hAnsi="Arial"/>
                <w:sz w:val="18"/>
                <w:szCs w:val="18"/>
                <w:color w:val="0000EE"/>
              </w:rPr>
              <w:t>Opinion of Blake, Cassels &amp; Graydon LLP</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0"/>
        </w:trPr>
        <w:tc>
          <w:tcPr>
            <w:tcW w:w="240" w:type="dxa"/>
            <w:vAlign w:val="bottom"/>
            <w:gridSpan w:val="2"/>
          </w:tcPr>
          <w:p>
            <w:pPr>
              <w:ind w:left="20"/>
              <w:spacing w:after="0"/>
              <w:rPr>
                <w:sz w:val="20"/>
                <w:szCs w:val="20"/>
                <w:color w:val="auto"/>
              </w:rPr>
            </w:pPr>
            <w:r>
              <w:rPr>
                <w:rFonts w:ascii="Arial" w:cs="Arial" w:eastAsia="Arial" w:hAnsi="Arial"/>
                <w:sz w:val="18"/>
                <w:szCs w:val="18"/>
                <w:color w:val="0000EE"/>
                <w:w w:val="71"/>
              </w:rPr>
              <w:t>5.</w:t>
            </w:r>
            <w:r>
              <w:rPr>
                <w:rFonts w:ascii="Arial" w:cs="Arial" w:eastAsia="Arial" w:hAnsi="Arial"/>
                <w:sz w:val="18"/>
                <w:szCs w:val="18"/>
                <w:u w:val="single" w:color="auto"/>
                <w:color w:val="0000EE"/>
                <w:w w:val="71"/>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gridSpan w:val="11"/>
          </w:tcPr>
          <w:p>
            <w:pPr>
              <w:spacing w:after="0"/>
              <w:rPr>
                <w:sz w:val="20"/>
                <w:szCs w:val="20"/>
                <w:color w:val="auto"/>
              </w:rPr>
            </w:pPr>
            <w:r>
              <w:rPr>
                <w:rFonts w:ascii="Arial" w:cs="Arial" w:eastAsia="Arial" w:hAnsi="Arial"/>
                <w:sz w:val="18"/>
                <w:szCs w:val="18"/>
                <w:color w:val="0000EE"/>
              </w:rPr>
              <w:t>Opinion of Arnold &amp; Porter Kaye Scholer LLP</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40" w:type="dxa"/>
            <w:vAlign w:val="bottom"/>
            <w:gridSpan w:val="3"/>
          </w:tcPr>
          <w:p>
            <w:pPr>
              <w:ind w:left="20"/>
              <w:spacing w:after="0" w:line="19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11"/>
          </w:tcPr>
          <w:p>
            <w:pPr>
              <w:spacing w:after="0" w:line="196" w:lineRule="exact"/>
              <w:rPr>
                <w:sz w:val="20"/>
                <w:szCs w:val="20"/>
                <w:color w:val="auto"/>
              </w:rPr>
            </w:pPr>
            <w:r>
              <w:rPr>
                <w:rFonts w:ascii="Arial" w:cs="Arial" w:eastAsia="Arial" w:hAnsi="Arial"/>
                <w:sz w:val="18"/>
                <w:szCs w:val="18"/>
                <w:color w:val="0000EE"/>
              </w:rPr>
              <w:t>Consent of KPMG LLP, Chartered Professional Accountants, Licensed Public Accountants</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0" w:type="dxa"/>
            <w:vAlign w:val="bottom"/>
            <w:tcBorders>
              <w:left w:val="single" w:sz="8" w:color="0000EE"/>
            </w:tcBorders>
            <w:gridSpan w:val="5"/>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09"/>
        </w:trPr>
        <w:tc>
          <w:tcPr>
            <w:tcW w:w="340" w:type="dxa"/>
            <w:vAlign w:val="bottom"/>
            <w:gridSpan w:val="3"/>
          </w:tcPr>
          <w:p>
            <w:pPr>
              <w:ind w:left="20"/>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gridSpan w:val="11"/>
          </w:tcPr>
          <w:p>
            <w:pPr>
              <w:spacing w:after="0"/>
              <w:rPr>
                <w:sz w:val="20"/>
                <w:szCs w:val="20"/>
                <w:color w:val="auto"/>
              </w:rPr>
            </w:pPr>
            <w:r>
              <w:rPr>
                <w:rFonts w:ascii="Arial" w:cs="Arial" w:eastAsia="Arial" w:hAnsi="Arial"/>
                <w:sz w:val="18"/>
                <w:szCs w:val="18"/>
                <w:color w:val="0000EE"/>
              </w:rPr>
              <w:t>Consent of Blake, Cassels &amp; Graydon LLP (contained in opinion filed as Exhibit 5.1)</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0" w:type="dxa"/>
            <w:vAlign w:val="bottom"/>
            <w:tcBorders>
              <w:left w:val="single" w:sz="8" w:color="0000EE"/>
            </w:tcBorders>
            <w:gridSpan w:val="5"/>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r>
      <w:tr>
        <w:trPr>
          <w:trHeight w:val="196"/>
        </w:trPr>
        <w:tc>
          <w:tcPr>
            <w:tcW w:w="340" w:type="dxa"/>
            <w:vAlign w:val="bottom"/>
            <w:gridSpan w:val="3"/>
          </w:tcPr>
          <w:p>
            <w:pPr>
              <w:ind w:left="20"/>
              <w:spacing w:after="0" w:line="19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11"/>
          </w:tcPr>
          <w:p>
            <w:pPr>
              <w:spacing w:after="0" w:line="196" w:lineRule="exact"/>
              <w:rPr>
                <w:sz w:val="20"/>
                <w:szCs w:val="20"/>
                <w:color w:val="auto"/>
              </w:rPr>
            </w:pPr>
            <w:r>
              <w:rPr>
                <w:rFonts w:ascii="Arial" w:cs="Arial" w:eastAsia="Arial" w:hAnsi="Arial"/>
                <w:sz w:val="18"/>
                <w:szCs w:val="18"/>
                <w:color w:val="0000EE"/>
              </w:rPr>
              <w:t>Consent of Arnold &amp; Porter Kaye Scholer LLP (contained in opinion filed as Exhibit 5.2)</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0" w:type="dxa"/>
            <w:vAlign w:val="bottom"/>
            <w:tcBorders>
              <w:left w:val="single" w:sz="8" w:color="0000EE"/>
            </w:tcBorders>
            <w:gridSpan w:val="5"/>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r>
      <w:tr>
        <w:trPr>
          <w:trHeight w:val="209"/>
        </w:trPr>
        <w:tc>
          <w:tcPr>
            <w:tcW w:w="340" w:type="dxa"/>
            <w:vAlign w:val="bottom"/>
            <w:gridSpan w:val="3"/>
          </w:tcPr>
          <w:p>
            <w:pPr>
              <w:ind w:left="20"/>
              <w:spacing w:after="0"/>
              <w:rPr>
                <w:sz w:val="20"/>
                <w:szCs w:val="20"/>
                <w:color w:val="auto"/>
              </w:rPr>
            </w:pPr>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gridSpan w:val="11"/>
          </w:tcPr>
          <w:p>
            <w:pPr>
              <w:spacing w:after="0"/>
              <w:rPr>
                <w:sz w:val="20"/>
                <w:szCs w:val="20"/>
                <w:color w:val="auto"/>
              </w:rPr>
            </w:pPr>
            <w:r>
              <w:rPr>
                <w:rFonts w:ascii="Arial" w:cs="Arial" w:eastAsia="Arial" w:hAnsi="Arial"/>
                <w:sz w:val="18"/>
                <w:szCs w:val="18"/>
                <w:color w:val="0000EE"/>
              </w:rPr>
              <w:t>Powers of Attorney (included in signature page hereto)</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0" w:type="dxa"/>
            <w:vAlign w:val="bottom"/>
            <w:tcBorders>
              <w:left w:val="single" w:sz="8" w:color="0000EE"/>
            </w:tcBorders>
            <w:gridSpan w:val="5"/>
            <w:shd w:val="clear" w:color="auto" w:fill="0000EE"/>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r>
      <w:tr>
        <w:trPr>
          <w:trHeight w:val="222"/>
        </w:trPr>
        <w:tc>
          <w:tcPr>
            <w:tcW w:w="1120" w:type="dxa"/>
            <w:vAlign w:val="bottom"/>
            <w:gridSpan w:val="4"/>
          </w:tcPr>
          <w:p>
            <w:pPr>
              <w:spacing w:after="0"/>
              <w:rPr>
                <w:sz w:val="20"/>
                <w:szCs w:val="20"/>
                <w:color w:val="auto"/>
              </w:rPr>
            </w:pPr>
            <w:r>
              <w:rPr>
                <w:rFonts w:ascii="Arial" w:cs="Arial" w:eastAsia="Arial" w:hAnsi="Arial"/>
                <w:sz w:val="18"/>
                <w:szCs w:val="18"/>
                <w:color w:val="auto"/>
              </w:rPr>
              <w:t>25.1**</w:t>
            </w:r>
          </w:p>
        </w:tc>
        <w:tc>
          <w:tcPr>
            <w:tcW w:w="10120" w:type="dxa"/>
            <w:vAlign w:val="bottom"/>
            <w:gridSpan w:val="12"/>
          </w:tcPr>
          <w:p>
            <w:pPr>
              <w:ind w:left="240"/>
              <w:spacing w:after="0"/>
              <w:rPr>
                <w:sz w:val="20"/>
                <w:szCs w:val="20"/>
                <w:color w:val="auto"/>
              </w:rPr>
            </w:pPr>
            <w:r>
              <w:rPr>
                <w:rFonts w:ascii="Arial" w:cs="Arial" w:eastAsia="Arial" w:hAnsi="Arial"/>
                <w:sz w:val="18"/>
                <w:szCs w:val="18"/>
                <w:color w:val="auto"/>
              </w:rPr>
              <w:t>T-1 Statement of Eligibility and Qualification of Trustee</w:t>
            </w:r>
          </w:p>
        </w:tc>
      </w:tr>
      <w:tr>
        <w:trPr>
          <w:trHeight w:val="190"/>
        </w:trPr>
        <w:tc>
          <w:tcPr>
            <w:tcW w:w="240" w:type="dxa"/>
            <w:vAlign w:val="bottom"/>
            <w:gridSpan w:val="2"/>
          </w:tcPr>
          <w:p>
            <w:pPr>
              <w:spacing w:after="0" w:line="190" w:lineRule="exact"/>
              <w:rPr>
                <w:sz w:val="20"/>
                <w:szCs w:val="20"/>
                <w:color w:val="auto"/>
              </w:rPr>
            </w:pPr>
            <w:r>
              <w:rPr>
                <w:rFonts w:ascii="Arial" w:cs="Arial" w:eastAsia="Arial" w:hAnsi="Arial"/>
                <w:sz w:val="17"/>
                <w:szCs w:val="17"/>
                <w:color w:val="0000EE"/>
                <w:w w:val="70"/>
              </w:rPr>
              <w:t>107</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120" w:type="dxa"/>
            <w:vAlign w:val="bottom"/>
            <w:gridSpan w:val="12"/>
          </w:tcPr>
          <w:p>
            <w:pPr>
              <w:ind w:left="240"/>
              <w:spacing w:after="0" w:line="190" w:lineRule="exact"/>
              <w:rPr>
                <w:sz w:val="20"/>
                <w:szCs w:val="20"/>
                <w:color w:val="auto"/>
              </w:rPr>
            </w:pPr>
            <w:r>
              <w:rPr>
                <w:rFonts w:ascii="Arial" w:cs="Arial" w:eastAsia="Arial" w:hAnsi="Arial"/>
                <w:sz w:val="18"/>
                <w:szCs w:val="18"/>
                <w:color w:val="0000EE"/>
              </w:rPr>
              <w:t>Filing Fee Table</w:t>
            </w: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6-K incorporated herein by reference.</w:t>
      </w:r>
    </w:p>
    <w:p>
      <w:pPr>
        <w:spacing w:after="0" w:line="2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21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F-3 (File No. 333-221144) filed on October 26, 2017.</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20-F filed on March 23, 2010 (Registration No. 001-14832).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22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 w:lineRule="exact"/>
        <w:rPr>
          <w:rFonts w:ascii="Arial" w:cs="Arial" w:eastAsia="Arial" w:hAnsi="Arial"/>
          <w:sz w:val="18"/>
          <w:szCs w:val="18"/>
          <w:color w:val="auto"/>
        </w:rPr>
      </w:pPr>
    </w:p>
    <w:p>
      <w:pPr>
        <w:jc w:val="both"/>
        <w:ind w:left="1300" w:hanging="644"/>
        <w:spacing w:after="0" w:line="265" w:lineRule="auto"/>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 w:lineRule="exact"/>
        <w:rPr>
          <w:rFonts w:ascii="Arial" w:cs="Arial" w:eastAsia="Arial" w:hAnsi="Arial"/>
          <w:sz w:val="17"/>
          <w:szCs w:val="17"/>
          <w:color w:val="auto"/>
        </w:rPr>
      </w:pPr>
    </w:p>
    <w:p>
      <w:pPr>
        <w:ind w:left="1300" w:hanging="644"/>
        <w:spacing w:after="0" w:line="260"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            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(5)            That, for the purpose of determining liability under the Securities Act to any purchaser:</w:t>
      </w:r>
    </w:p>
    <w:p>
      <w:pPr>
        <w:spacing w:after="0" w:line="225" w:lineRule="exact"/>
        <w:rPr>
          <w:sz w:val="20"/>
          <w:szCs w:val="20"/>
          <w:color w:val="auto"/>
        </w:rPr>
      </w:pPr>
    </w:p>
    <w:p>
      <w:pPr>
        <w:ind w:left="1300" w:hanging="644"/>
        <w:spacing w:after="0" w:line="258"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 w:lineRule="exact"/>
        <w:rPr>
          <w:rFonts w:ascii="Arial" w:cs="Arial" w:eastAsia="Arial" w:hAnsi="Arial"/>
          <w:sz w:val="18"/>
          <w:szCs w:val="18"/>
          <w:color w:val="auto"/>
        </w:rPr>
      </w:pPr>
    </w:p>
    <w:p>
      <w:pPr>
        <w:jc w:val="both"/>
        <w:ind w:left="1300" w:hanging="644"/>
        <w:spacing w:after="0" w:line="267"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(6)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46"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ind w:left="1300" w:hanging="644"/>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left="980" w:hanging="972"/>
        <w:spacing w:after="0" w:line="25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(c) – (g)</w:t>
      </w:r>
      <w:r>
        <w:rPr>
          <w:sz w:val="20"/>
          <w:szCs w:val="20"/>
          <w:color w:val="auto"/>
        </w:rPr>
        <w:tab/>
      </w:r>
      <w:r>
        <w:rPr>
          <w:rFonts w:ascii="Arial" w:cs="Arial" w:eastAsia="Arial" w:hAnsi="Arial"/>
          <w:sz w:val="17"/>
          <w:szCs w:val="17"/>
          <w:color w:val="auto"/>
        </w:rPr>
        <w:t>N/A</w:t>
      </w:r>
    </w:p>
    <w:p>
      <w:pPr>
        <w:spacing w:after="0" w:line="225" w:lineRule="exact"/>
        <w:rPr>
          <w:sz w:val="20"/>
          <w:szCs w:val="20"/>
          <w:color w:val="auto"/>
        </w:rPr>
      </w:pPr>
    </w:p>
    <w:p>
      <w:pPr>
        <w:jc w:val="both"/>
        <w:ind w:left="660" w:hanging="652"/>
        <w:spacing w:after="0" w:line="271"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rFonts w:ascii="Arial" w:cs="Arial" w:eastAsia="Arial" w:hAnsi="Arial"/>
          <w:sz w:val="17"/>
          <w:szCs w:val="17"/>
          <w:color w:val="auto"/>
        </w:rPr>
      </w:pPr>
    </w:p>
    <w:p>
      <w:pPr>
        <w:ind w:left="980" w:hanging="97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3" w:lineRule="exact"/>
        <w:rPr>
          <w:rFonts w:ascii="Arial" w:cs="Arial" w:eastAsia="Arial" w:hAnsi="Arial"/>
          <w:sz w:val="18"/>
          <w:szCs w:val="18"/>
          <w:color w:val="auto"/>
        </w:rPr>
      </w:pPr>
    </w:p>
    <w:p>
      <w:pPr>
        <w:ind w:left="980" w:hanging="97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Toronto, Province of Ontario, Country of Canada, on the 26th day of July, 2023.</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CELESTICA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A. Mionis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person whose signature appears below hereby authorizes and appoints Robert A. Mionis, Mandeep Chawla and/or Robert Ellis and each of them, any of whom may act without the joinder of any other, as his or her true and lawful attorney-in-fact and agent, with full power of substitution and re-substitution, for him or her and in his or her name, place and stead, to sign and file on his or her behalf, individually and in any capacity, any amendments and post-effective amendments to this registration statement, with exhibits thereto, and all other documents in connection therewith, including registration statements filed in connection with this offering pursuant to Rule 462(b) under the Securities Act, with the Commission, granting unto said attorneys-in-fact and agents full power and authority to do everything necessary to accomplish the foregoing, as fully to all intents and purposes as he or she might or could do in person, and each of the undersigned does hereby ratify and confirm all that each of said attorneys-in-fact and agents, or their substitutes, shall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1060"/>
              <w:spacing w:after="0"/>
              <w:rPr>
                <w:sz w:val="20"/>
                <w:szCs w:val="20"/>
                <w:color w:val="auto"/>
              </w:rPr>
            </w:pPr>
            <w:r>
              <w:rPr>
                <w:rFonts w:ascii="Arial" w:cs="Arial" w:eastAsia="Arial" w:hAnsi="Arial"/>
                <w:sz w:val="18"/>
                <w:szCs w:val="18"/>
                <w:b w:val="1"/>
                <w:bCs w:val="1"/>
                <w:color w:val="auto"/>
              </w:rPr>
              <w:t>SIGNATURE</w:t>
            </w:r>
          </w:p>
        </w:tc>
        <w:tc>
          <w:tcPr>
            <w:tcW w:w="5440" w:type="dxa"/>
            <w:vAlign w:val="bottom"/>
          </w:tcPr>
          <w:p>
            <w:pPr>
              <w:ind w:left="2860"/>
              <w:spacing w:after="0"/>
              <w:rPr>
                <w:sz w:val="20"/>
                <w:szCs w:val="20"/>
                <w:color w:val="auto"/>
              </w:rPr>
            </w:pPr>
            <w:r>
              <w:rPr>
                <w:rFonts w:ascii="Arial" w:cs="Arial" w:eastAsia="Arial" w:hAnsi="Arial"/>
                <w:sz w:val="18"/>
                <w:szCs w:val="18"/>
                <w:b w:val="1"/>
                <w:bCs w:val="1"/>
                <w:color w:val="auto"/>
              </w:rPr>
              <w:t>TITLE</w:t>
            </w:r>
          </w:p>
        </w:tc>
        <w:tc>
          <w:tcPr>
            <w:tcW w:w="2640" w:type="dxa"/>
            <w:vAlign w:val="bottom"/>
          </w:tcPr>
          <w:p>
            <w:pPr>
              <w:ind w:left="1500"/>
              <w:spacing w:after="0"/>
              <w:rPr>
                <w:sz w:val="20"/>
                <w:szCs w:val="20"/>
                <w:color w:val="auto"/>
              </w:rPr>
            </w:pPr>
            <w:r>
              <w:rPr>
                <w:rFonts w:ascii="Arial" w:cs="Arial" w:eastAsia="Arial" w:hAnsi="Arial"/>
                <w:sz w:val="18"/>
                <w:szCs w:val="18"/>
                <w:b w:val="1"/>
                <w:bCs w:val="1"/>
                <w:color w:val="auto"/>
              </w:rPr>
              <w:t>DATE</w:t>
            </w:r>
          </w:p>
        </w:tc>
      </w:tr>
      <w:tr>
        <w:trPr>
          <w:trHeight w:val="432"/>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Mionis</w:t>
            </w:r>
          </w:p>
        </w:tc>
        <w:tc>
          <w:tcPr>
            <w:tcW w:w="5440" w:type="dxa"/>
            <w:vAlign w:val="bottom"/>
          </w:tcPr>
          <w:p>
            <w:pPr>
              <w:ind w:left="220"/>
              <w:spacing w:after="0"/>
              <w:rPr>
                <w:sz w:val="20"/>
                <w:szCs w:val="20"/>
                <w:color w:val="auto"/>
              </w:rPr>
            </w:pPr>
            <w:r>
              <w:rPr>
                <w:rFonts w:ascii="Arial" w:cs="Arial" w:eastAsia="Arial" w:hAnsi="Arial"/>
                <w:sz w:val="18"/>
                <w:szCs w:val="18"/>
                <w:color w:val="auto"/>
              </w:rPr>
              <w:t>Director, President and Chief Executive Officer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Robert A. Mionis</w:t>
            </w: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Mandeep Chawla</w:t>
            </w:r>
          </w:p>
        </w:tc>
        <w:tc>
          <w:tcPr>
            <w:tcW w:w="544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Mandeep Chawla</w:t>
            </w: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Financial Officer and principal accounting officer)</w:t>
            </w: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M. Wilson</w:t>
            </w:r>
          </w:p>
        </w:tc>
        <w:tc>
          <w:tcPr>
            <w:tcW w:w="5440" w:type="dxa"/>
            <w:vAlign w:val="bottom"/>
          </w:tcPr>
          <w:p>
            <w:pPr>
              <w:ind w:left="220"/>
              <w:spacing w:after="0"/>
              <w:rPr>
                <w:sz w:val="20"/>
                <w:szCs w:val="20"/>
                <w:color w:val="auto"/>
              </w:rPr>
            </w:pPr>
            <w:r>
              <w:rPr>
                <w:rFonts w:ascii="Arial" w:cs="Arial" w:eastAsia="Arial" w:hAnsi="Arial"/>
                <w:sz w:val="18"/>
                <w:szCs w:val="18"/>
                <w:color w:val="auto"/>
              </w:rPr>
              <w:t>Chair of the Board and Director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Michael M. Wilson</w:t>
            </w:r>
          </w:p>
        </w:tc>
        <w:tc>
          <w:tcPr>
            <w:tcW w:w="54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Cascella            </w:t>
            </w:r>
          </w:p>
        </w:tc>
        <w:tc>
          <w:tcPr>
            <w:tcW w:w="54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Robert A. Cascella</w:t>
            </w:r>
          </w:p>
        </w:tc>
        <w:tc>
          <w:tcPr>
            <w:tcW w:w="54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Deepak Chopra            </w:t>
            </w:r>
          </w:p>
        </w:tc>
        <w:tc>
          <w:tcPr>
            <w:tcW w:w="54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Deepak Chopra</w:t>
            </w:r>
          </w:p>
        </w:tc>
        <w:tc>
          <w:tcPr>
            <w:tcW w:w="54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Françoise Colpron            </w:t>
            </w:r>
          </w:p>
        </w:tc>
        <w:tc>
          <w:tcPr>
            <w:tcW w:w="54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Françoise Colpron</w:t>
            </w:r>
          </w:p>
        </w:tc>
        <w:tc>
          <w:tcPr>
            <w:tcW w:w="54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P. DiMaggio            </w:t>
            </w:r>
          </w:p>
        </w:tc>
        <w:tc>
          <w:tcPr>
            <w:tcW w:w="54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Daniel P. DiMaggio</w:t>
            </w:r>
          </w:p>
        </w:tc>
        <w:tc>
          <w:tcPr>
            <w:tcW w:w="54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Kale            </w:t>
            </w:r>
          </w:p>
        </w:tc>
        <w:tc>
          <w:tcPr>
            <w:tcW w:w="54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Jill Kale</w:t>
            </w:r>
          </w:p>
        </w:tc>
        <w:tc>
          <w:tcPr>
            <w:tcW w:w="54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Laurette T. Koellner            </w:t>
            </w:r>
          </w:p>
        </w:tc>
        <w:tc>
          <w:tcPr>
            <w:tcW w:w="54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Laurette T. Koellner</w:t>
            </w:r>
          </w:p>
        </w:tc>
        <w:tc>
          <w:tcPr>
            <w:tcW w:w="54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A. Müller</w:t>
            </w:r>
          </w:p>
        </w:tc>
        <w:tc>
          <w:tcPr>
            <w:tcW w:w="54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Luis A. Müller</w:t>
            </w:r>
          </w:p>
        </w:tc>
        <w:tc>
          <w:tcPr>
            <w:tcW w:w="54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Tawfiq Popatia            </w:t>
            </w:r>
          </w:p>
        </w:tc>
        <w:tc>
          <w:tcPr>
            <w:tcW w:w="54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40" w:type="dxa"/>
            <w:vAlign w:val="bottom"/>
          </w:tcPr>
          <w:p>
            <w:pPr>
              <w:ind w:left="840"/>
              <w:spacing w:after="0"/>
              <w:rPr>
                <w:sz w:val="20"/>
                <w:szCs w:val="20"/>
                <w:color w:val="auto"/>
              </w:rPr>
            </w:pPr>
            <w:r>
              <w:rPr>
                <w:rFonts w:ascii="Arial" w:cs="Arial" w:eastAsia="Arial" w:hAnsi="Arial"/>
                <w:sz w:val="18"/>
                <w:szCs w:val="18"/>
                <w:color w:val="auto"/>
              </w:rPr>
              <w:t>July 26, 2023</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Tawfiq Popatia</w:t>
            </w:r>
          </w:p>
        </w:tc>
        <w:tc>
          <w:tcPr>
            <w:tcW w:w="54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661"/>
        </w:trPr>
        <w:tc>
          <w:tcPr>
            <w:tcW w:w="31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6(a) of the Securities Act, the undersigned has signed this Registration Statement, solely in the capacity of the duly authorized representative of Celestica Inc. in the United States, on the 26th day of July, 2023.</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Celestica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U.S. Representative)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Robert Ellis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28775" cy="643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628775" cy="643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154305</wp:posOffset>
            </wp:positionV>
            <wp:extent cx="1637030" cy="942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63703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July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5140 Yonge Street, Suite 1900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M2N 6L7</w:t>
      </w:r>
    </w:p>
    <w:p>
      <w:pPr>
        <w:sectPr>
          <w:pgSz w:w="11900" w:h="16838" w:orient="portrait"/>
          <w:cols w:equalWidth="0" w:num="1">
            <w:col w:w="11240"/>
          </w:cols>
          <w:pgMar w:left="320" w:top="121"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F-3</w:t>
      </w:r>
    </w:p>
    <w:p>
      <w:pPr>
        <w:spacing w:after="0" w:line="200" w:lineRule="exact"/>
        <w:rPr>
          <w:sz w:val="20"/>
          <w:szCs w:val="20"/>
          <w:color w:val="auto"/>
        </w:rPr>
      </w:pPr>
    </w:p>
    <w:p>
      <w:pPr>
        <w:sectPr>
          <w:pgSz w:w="11900" w:h="16838" w:orient="portrait"/>
          <w:cols w:equalWidth="0" w:num="2">
            <w:col w:w="260" w:space="400"/>
            <w:col w:w="10580"/>
          </w:cols>
          <w:pgMar w:left="320" w:top="121"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Dear Sirs/Mesdames: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acted as Canadian counsel to Celestica Inc. (the “Company”) in connection with the Registration Statement on Form F-3 (the “Registration Statement”) filed on July 27, 2023 by the Company with the U.S. Securities and Exchange Commission (the “Commission”) under the U.S. Securities Act of 1933, as amended (the “Act”), relating to the registration by the Company for its issue and sale from time to time of, among other securities, subordinate voting shares (the “SVS”) and preference shares (the “Preference Shares” and together with the SVS, the “Securities”) in its capital.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opinion letter is being provided at the request of the Company. As Canadian counsel for the Company, we have examined a copy of the Registration Statement.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solicitors qualified to practice law in the Province of Ontario and the opinions expressed herein relate only to the laws of the Province of Ontario and the laws of Canada applicable therein as in effect on the date hereof.</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opinions expressed in this opinion letter, we have considered such questions of law, examined originals or copies of such statutes, regulations, documents, records, certificates and instruments and conducted such other examinations as we have considered necessary. In such examinations, we have assumed the legal capacity of all individuals, the genuineness of all signatures, the authenticity of all documents submitted to us as originals and the conformity to authentic original documents of all documents submitted to us as certified, conformed, photostatic or facsimile copies.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also assumed that at all relevant times:</w:t>
      </w:r>
    </w:p>
    <w:p>
      <w:pPr>
        <w:spacing w:after="0" w:line="225" w:lineRule="exact"/>
        <w:rPr>
          <w:sz w:val="20"/>
          <w:szCs w:val="20"/>
          <w:color w:val="auto"/>
        </w:rPr>
      </w:pPr>
    </w:p>
    <w:p>
      <w:pPr>
        <w:ind w:left="66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is validly existing under the Business Corporations Act (Ontario) and has the necessary corporate power and capacity to own its property and assets and to carry on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117475</wp:posOffset>
            </wp:positionV>
            <wp:extent cx="467169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67169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28775" cy="643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628775" cy="643255"/>
                    </a:xfrm>
                    <a:prstGeom prst="rect">
                      <a:avLst/>
                    </a:prstGeom>
                    <a:noFill/>
                  </pic:spPr>
                </pic:pic>
              </a:graphicData>
            </a:graphic>
          </wp:anchor>
        </w:drawing>
        <w:t>Page 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hanging="652"/>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has the necessary corporate power and capacity to execute, deliver and perform its obligations under the terms and conditions of any purchase, underwriting or other agreement, indenture or instrument relating to the Company’s creation, authentication, issuance, sale and/or delivery of the Securities to which the Company is party (any such agreement, the “Agreement”);</w:t>
      </w:r>
    </w:p>
    <w:p>
      <w:pPr>
        <w:spacing w:after="0" w:line="16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has the necessary corporate power and capacity to authorize, create, authenticate, validly issue, sell and deliver the Securities and perform its obligations under the terms and conditions of the Securities;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necessary corporate action has been taken by the Company to duly authorize the execution and delivery by the Company of the Agreement and the performance of its obligations under the terms and conditions thereof;</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necessary corporate action has been taken by the Company to duly authorize, create, authenticate, sell, deliver and validly issue the Securities and to perform its obligations under the terms and conditions of the Securities;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necessary corporate action has been taken by the Company to duly authorize the terms of the offering of the Securities and related matters;</w:t>
      </w:r>
    </w:p>
    <w:p>
      <w:pPr>
        <w:spacing w:after="0" w:line="248" w:lineRule="exact"/>
        <w:rPr>
          <w:rFonts w:ascii="Arial" w:cs="Arial" w:eastAsia="Arial" w:hAnsi="Arial"/>
          <w:sz w:val="16"/>
          <w:szCs w:val="16"/>
          <w:color w:val="auto"/>
        </w:rPr>
      </w:pPr>
    </w:p>
    <w:p>
      <w:pPr>
        <w:ind w:left="660" w:hanging="652"/>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Agreement (i) has been duly authorized, executed and delivered by all parties thereto and such parties had the capacity to do so; (ii) constitutes a legal, valid and binding obligation of all parties thereto; and (iii) is enforceable in accordance with its terms against all parties thereto;</w:t>
      </w:r>
    </w:p>
    <w:p>
      <w:pPr>
        <w:spacing w:after="0" w:line="12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Securities have been duly authorized, created, authenticated, sold and delivered and validly issued by the Company and any other person signing or authenticating the Securities, as applicable;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the offering of the Securities and related matters have been duly authorized by the Company;</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execution and delivery of the Agreement and the performance by the Company of its obligations under the terms and conditions thereunder do not and will not conflict with and do not and will not result in a breach of or default under, and do not and will not create a state of facts which, after notice or lapse of time or both, will conflict with or result in a breach of or default under any of the terms or conditions of the articles or by-laws of the Company, any resolutions of the Board of Directors or shareholders of the Company, any agreement or obligation of the Company, or applicable law;</w:t>
      </w:r>
    </w:p>
    <w:p>
      <w:pPr>
        <w:spacing w:after="0" w:line="187"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authorization, creation, authentication, sale, delivery and issuance of the Securities and the Company’s performance of its obligations under the terms and conditions of the Securities do not and will not conflict with and do not and will not result in a breach of or default under, and do not and will not create a state of facts which, after notice or lapse of time or both, will conflict with or result in a breach of or default under any of the terms or conditions of the articles or by-laws of the Company, any resolutions of the Board of Directors or shareholders of the Company, any agreement or obligation of the Company, or applicable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745490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128270</wp:posOffset>
            </wp:positionV>
            <wp:extent cx="467169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4671695" cy="18859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28775" cy="643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643255"/>
                    </a:xfrm>
                    <a:prstGeom prst="rect">
                      <a:avLst/>
                    </a:prstGeom>
                    <a:noFill/>
                  </pic:spPr>
                </pic:pic>
              </a:graphicData>
            </a:graphic>
          </wp:anchor>
        </w:drawing>
        <w:t>Page 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652"/>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of the offering of the Securities and related matters do not and will not conflict with and do not and will not result in a breach of or default under, and do not and will not create a state of facts which, after notice or lapse of time or both, will conflict with or result in a breach of or default under any of the terms or conditions of the articles or by-laws of the Company, any resolutions of the Board of Directors or shareholders of the Company, any agreement or obligation of the Company, or applicable law.</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upon payment for the applicable Securities provided for in the applicable Agreement and otherwise in accordance with such Agreement, the Securities will be validly issued, fully paid and non-assessable shares in the capital of the Company.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included in the Registration Statement. In giving this opinion, we do not thereby admit that we are within the category of persons whose consent is required under Section 7 of the U.S. Securities Act of 1933 or the rules and regulations of the U.S. Securities and Exchange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Blake, Cassels &amp; Graydon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151765</wp:posOffset>
            </wp:positionV>
            <wp:extent cx="467169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671695" cy="18859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068955" cy="557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30689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5140 Yonge Street, Suite 1900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M2N 6L7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Re:</w:t>
            </w:r>
          </w:p>
        </w:tc>
        <w:tc>
          <w:tcPr>
            <w:tcW w:w="2600" w:type="dxa"/>
            <w:vAlign w:val="bottom"/>
          </w:tcPr>
          <w:p>
            <w:pPr>
              <w:spacing w:after="0"/>
              <w:rPr>
                <w:sz w:val="20"/>
                <w:szCs w:val="20"/>
                <w:color w:val="auto"/>
              </w:rPr>
            </w:pPr>
            <w:r>
              <w:rPr>
                <w:rFonts w:ascii="Arial" w:cs="Arial" w:eastAsia="Arial" w:hAnsi="Arial"/>
                <w:sz w:val="18"/>
                <w:szCs w:val="18"/>
                <w:color w:val="auto"/>
              </w:rPr>
              <w:t>Celestica Inc.</w:t>
            </w:r>
          </w:p>
        </w:tc>
      </w:tr>
      <w:tr>
        <w:trPr>
          <w:trHeight w:val="190"/>
        </w:trPr>
        <w:tc>
          <w:tcPr>
            <w:tcW w:w="1000" w:type="dxa"/>
            <w:vAlign w:val="bottom"/>
          </w:tcPr>
          <w:p>
            <w:pPr>
              <w:spacing w:after="0"/>
              <w:rPr>
                <w:sz w:val="16"/>
                <w:szCs w:val="16"/>
                <w:color w:val="auto"/>
              </w:rPr>
            </w:pPr>
          </w:p>
        </w:tc>
        <w:tc>
          <w:tcPr>
            <w:tcW w:w="2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Registration Statement on Form F-3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acted as United States counsel to Celestica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 corporation organized under the laws of Ontario, Canada, in connection with the preparation and filing of the Company’s automatic shelf registration statement on Form F-3, filed on July 27, 2023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with the United States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 United States Securities Act of 1933, as amended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relating to the registration by the Company for issue and sale from time to time by the Company of, among other securities, (i) one or more series of debt securities (the “</w:t>
      </w: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and (ii) warrants to purchase the Company’s subordinate voting shares, preference shares, Debt Securities or other securities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together with the Debt Securities,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Debt Securities will be issued in one or more series from time to time pursuant to an indenture that the Company will enter into with a national banking association or other eligible party named therein,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as amended or supplemented from time to time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examined originals or copies, certified or otherwise identified to our satisfaction, of the Registration Statement (including the prospectus included therein), and the form of Indenture, which has been filed with the Commission as an exhibit to the Registration Statement (through incorporation by reference). We have also examined originals or copies, certified or otherwise identified to our satisfaction, of such corporate and other records, agreements, documents and other instruments, and have made such other investigations, as we have deemed relevant and necessary in connection with the opinion hereinafter set forth. As to questions of fact material to this opinion, we have relied upon certificates or comparable documents of public officials and of officers and representatives of the Company, including the opinion of Blake, Cassels &amp; Graydon LLP filed as Exhibit 5.1 to the Registration Statement.</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law covered by the opinion expressed herein is limited to the laws of the State of New York and the federal securities laws of the United States, as in effect on the date 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3980" cy="342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93980" cy="342900"/>
                    </a:xfrm>
                    <a:prstGeom prst="rect">
                      <a:avLst/>
                    </a:prstGeom>
                    <a:noFill/>
                  </pic:spPr>
                </pic:pic>
              </a:graphicData>
            </a:graphic>
          </wp:anchor>
        </w:drawing>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Arnold &amp; Porter Kaye Scholer LLP</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250 West 55th Street </w:t>
      </w:r>
      <w:r>
        <w:rPr>
          <w:rFonts w:ascii="Arial" w:cs="Arial" w:eastAsia="Arial" w:hAnsi="Arial"/>
          <w:sz w:val="18"/>
          <w:szCs w:val="18"/>
          <w:b w:val="1"/>
          <w:bCs w:val="1"/>
          <w:color w:val="auto"/>
        </w:rPr>
        <w:t>|</w:t>
      </w:r>
      <w:r>
        <w:rPr>
          <w:rFonts w:ascii="Arial" w:cs="Arial" w:eastAsia="Arial" w:hAnsi="Arial"/>
          <w:sz w:val="18"/>
          <w:szCs w:val="18"/>
          <w:color w:val="auto"/>
        </w:rPr>
        <w:t xml:space="preserve"> New York, NY 10019-9710 </w:t>
      </w:r>
      <w:r>
        <w:rPr>
          <w:rFonts w:ascii="Arial" w:cs="Arial" w:eastAsia="Arial" w:hAnsi="Arial"/>
          <w:sz w:val="18"/>
          <w:szCs w:val="18"/>
          <w:b w:val="1"/>
          <w:bCs w:val="1"/>
          <w:color w:val="auto"/>
        </w:rPr>
        <w:t>| www.arnoldporter.com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68955" cy="557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3068955" cy="55753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also assumed that: (i) the Company has been duly incorporated and is a validly existing company under the laws of Ontario, Canada and has the necessary corporate power and capacity to own its property and assets and to carry on its business; (ii) the Registration Statement and any amendments thereto (including any post-effective amendments) will have become and remain effective and comply with all applicable laws at the time the Securities are offered or issued as contemplated by the Registration Statement; (iii) a prospectus supplement and/or free writing prospectus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will have been prepared and filed with the Commission describing the Securities offered thereby and will at all relevant times comply with all applicable laws; (iv) the terms of the Securities will have conformed in all material respects to the respective descriptions thereof in the Prospectus Supplement; (v) all Securities will have been issued and sold in compliance with applicable United States federal and state securities laws and in the manner stated in the Registration Statement and the appropriate Prospectus Supplement; (vi) the Company has the necessary corporate power and capacity to execute a definitive purchase, underwriting or similar agreement and any other necessary agreement with respect to any Securities (any such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(vii) all necessary corporate actions will have been taken by the Company to duly authorize the execution and delivery by the Company of the Agreement and the performance of its obligations under the terms and conditions thereof; (viii) the Agreement will have been duly authorized and validly executed and delivered by the Company and the other party or parties thereto; (ix) the Company has the necessary corporate power and capacity to authorize, create, authenticate, validly issue, sell and deliver (as applicable) the Indenture, a warrant agreement and the Securities, and to perform its obligations under the terms and conditions thereof; (x) all necessary corporate action will have been taken by the Company to duly authorize, create, authenticate, sell, deliver and validly issue the Securities and to duly authorize, execute and deliver the Indenture and warrant agreement (if any), and to perform its obligations under the terms and conditions thereof; (xi) the execution, delivery and performance by the Company of the Indenture, the warrant agreement (if any) and Securities do not and will not violate the law of Ontario, Canada or any other applicable laws (except that no such assumption is made with respect to the law of the State of New York and the federal securities laws of the United States); and (xii) the execution, delivery and performance by the Company of the Indenture, the warrant agreement (if any) and Securities do not and will not constitute a breach or violation of the articles of incorporation or by-laws of the Company or any agreement or instrument that is binding upon the Company. In addition, we have assumed that the Indenture, when duly executed thereby, will be the valid and legally binding obligation of the Trustee.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Based on the foregoing, and subject to the qualifications, assumptions and limitations stated herein, we are of the opinion that:</w:t>
      </w:r>
    </w:p>
    <w:p>
      <w:pPr>
        <w:spacing w:after="0" w:line="225" w:lineRule="exact"/>
        <w:rPr>
          <w:sz w:val="20"/>
          <w:szCs w:val="20"/>
          <w:color w:val="auto"/>
        </w:rPr>
      </w:pPr>
    </w:p>
    <w:p>
      <w:pPr>
        <w:jc w:val="both"/>
        <w:ind w:firstLine="8"/>
        <w:spacing w:after="0" w:line="291" w:lineRule="auto"/>
        <w:tabs>
          <w:tab w:leader="none" w:pos="192"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Assuming that, when the specific terms of any particular series of Debt Securities have been duly established in accordance with the Indenture and applicable law and such Debt Securities are sold as contemplated in the Registration Statement, as amended, and the appropriate Prospectus Supplement:</w:t>
      </w: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(a) the Indenture, prior to the issuance of any Debt Securities thereunder, will have been duly authorized, executed and delivered by the Company and the Trustee substantially in the form examined by us and qualified under the Trust Indenture Act of 1939, as amended; (b) all necessary corporate action to approve the creation, issuance and terms of such Debt Securities, the terms of the offering thereof and related matters will have been taken by the Company; and (c) such Debt Securities will have been duly executed, authenticated, issued and delivered, against payment therefor as provided for in the applicable Agreement approved by the Company and otherwise in accordance with the Indenture and such Agreement, the Debt Securities will constitute valid and legally binding obligations of the Company enforceable against the Company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68955" cy="557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3068955" cy="55753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25" w:lineRule="exact"/>
        <w:rPr>
          <w:sz w:val="20"/>
          <w:szCs w:val="20"/>
          <w:color w:val="auto"/>
        </w:rPr>
      </w:pPr>
    </w:p>
    <w:p>
      <w:pPr>
        <w:jc w:val="both"/>
        <w:ind w:firstLine="8"/>
        <w:spacing w:after="0" w:line="269" w:lineRule="auto"/>
        <w:tabs>
          <w:tab w:leader="none" w:pos="1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Assuming that: (a) all necessary corporate action to approve the creation, issuance and terms of the Warrants, the terms of the offering thereof and related matters will have been taken by the Company, (b) the warrant agreement relating to such Warrants, if any, will have been duly authorized and validly executed and delivered by the Company and each other party thereto, (c) the terms of the Warrants will have been established in accordance with such warrant agreement, if any, and the applicable definitive Agreement, and (d) the Warrants will have been duly executed (in the case of certificated Warrants), authenticated and delivered in accordance with the warrant agreement, if any, and the applicable definitive Agreement for the consideration provided for therein and issued and sold as contemplated in the Registration Statement, as amended, and the appropriate Prospectus Supplement, such Warrants will constitute the legal, valid and binding obligations of the Company, enforceable against the Company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respect to Debt Securities denominated in a currency other than United States dollars, if any, we express no opinion as to whether a court would award a judgment in a currency other than United States dollars.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express no opinion concerning the validity or enforceability of any provisions contained in the Indenture that purport to waive or to not give effect to rights to notices, defenses, subrogation or other rights or benefits that cannot be effectively waived under applicable law or the enforceability of indemnification provisions to the extent they purport to relate to liabilities resulting from or based upon negligence or any violation of United States federal or state securities or blue sky laws.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hereby consent to the filing of this opinion as Exhibit 5.2 to the Registration Statement and to the use of our name under the caption “Legal Matters” therein. In giving this opinion, we do not thereby admit that we are within the category of persons whose consent is required under Section 7 of the Securities Act or the rules and regulations of the Commission thereunder.</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Arnold &amp; Porter Kaye Scholer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62990" cy="4629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629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Bay Adelaide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Bay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 M5H 2S5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416-777-8500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416-777-8818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www.kpmg.ca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use of our report dated March 9, 2023 on the consolidated financial statements of Celestica Inc. (the “Entity”), which comprise the consolidated balance sheets as of December 31, 2022 and December 31, 2021, the related consolidated statements of operations, comprehensive income, changes in equity and cash flows for each of the years in the three-year period ended December 31, 2022, and the related notes, and our report dated March 9, 2023 on the effectiveness of internal control over financial reporting as of December 31, 2022 which are incorporated herein by reference, and to the reference to our firm under the heading “Experts” in the prospectus included in the Registration Statement on Form F-3ASR dated July 27, 2023 of the Entity.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27,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211"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KPMG LLP, an Ontario limited liability partnership and member firm of the KPMG global organization of independent member firms affiliated with KPMG International Limited, a private English company limited by guarantee. KPMG Canada provides services to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left="10360"/>
        <w:spacing w:after="0"/>
        <w:rPr>
          <w:sz w:val="20"/>
          <w:szCs w:val="20"/>
          <w:color w:val="auto"/>
        </w:rPr>
      </w:pPr>
      <w:r>
        <w:rPr>
          <w:rFonts w:ascii="Arial" w:cs="Arial" w:eastAsia="Arial" w:hAnsi="Arial"/>
          <w:sz w:val="16"/>
          <w:szCs w:val="16"/>
          <w:b w:val="1"/>
          <w:bCs w:val="1"/>
          <w:color w:val="auto"/>
        </w:rPr>
        <w:t>Exhibit 107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F-3ASR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Celestica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78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10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4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4"/>
              </w:rPr>
              <w:t>Filing Fee</w:t>
            </w:r>
          </w:p>
        </w:tc>
      </w:tr>
      <w:tr>
        <w:trPr>
          <w:trHeight w:val="149"/>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Previously</w:t>
            </w: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Paid In</w:t>
            </w: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Connection</w:t>
            </w: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with</w:t>
            </w: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Fee</w:t>
            </w: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Proposed</w:t>
            </w:r>
          </w:p>
        </w:tc>
        <w:tc>
          <w:tcPr>
            <w:tcW w:w="7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Carry</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Unsold</w:t>
            </w:r>
          </w:p>
        </w:tc>
      </w:tr>
      <w:tr>
        <w:trPr>
          <w:trHeight w:val="149"/>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Calculation</w:t>
            </w: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7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Maximum</w:t>
            </w: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Carry</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Forward</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Securities</w:t>
            </w: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or Carry</w:t>
            </w: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Offering</w:t>
            </w:r>
          </w:p>
        </w:tc>
        <w:tc>
          <w:tcPr>
            <w:tcW w:w="7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5"/>
              </w:rPr>
              <w:t>Aggregate</w:t>
            </w: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Carry</w:t>
            </w: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Forward</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Initial</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to</w:t>
            </w: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8"/>
              </w:rPr>
              <w:t>Security</w:t>
            </w:r>
          </w:p>
        </w:tc>
        <w:tc>
          <w:tcPr>
            <w:tcW w:w="2640" w:type="dxa"/>
            <w:vAlign w:val="bottom"/>
          </w:tcPr>
          <w:p>
            <w:pPr>
              <w:ind w:left="1120"/>
              <w:spacing w:after="0" w:line="149" w:lineRule="exact"/>
              <w:rPr>
                <w:sz w:val="20"/>
                <w:szCs w:val="20"/>
                <w:color w:val="auto"/>
              </w:rPr>
            </w:pPr>
            <w:r>
              <w:rPr>
                <w:rFonts w:ascii="Arial" w:cs="Arial" w:eastAsia="Arial" w:hAnsi="Arial"/>
                <w:sz w:val="14"/>
                <w:szCs w:val="14"/>
                <w:color w:val="auto"/>
              </w:rPr>
              <w:t>Security</w:t>
            </w: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Forward</w:t>
            </w:r>
          </w:p>
        </w:tc>
        <w:tc>
          <w:tcPr>
            <w:tcW w:w="72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Amount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Price Per</w:t>
            </w:r>
          </w:p>
        </w:tc>
        <w:tc>
          <w:tcPr>
            <w:tcW w:w="7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Offering</w:t>
            </w:r>
          </w:p>
        </w:tc>
        <w:tc>
          <w:tcPr>
            <w:tcW w:w="4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Fee</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Registration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Forward</w:t>
            </w: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File</w:t>
            </w:r>
          </w:p>
        </w:tc>
        <w:tc>
          <w:tcPr>
            <w:tcW w:w="6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Effective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be Carried</w:t>
            </w:r>
          </w:p>
        </w:tc>
      </w:tr>
      <w:tr>
        <w:trPr>
          <w:trHeight w:val="167"/>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Type</w:t>
            </w:r>
          </w:p>
        </w:tc>
        <w:tc>
          <w:tcPr>
            <w:tcW w:w="264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Class Title</w:t>
            </w: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Rule</w:t>
            </w:r>
          </w:p>
        </w:tc>
        <w:tc>
          <w:tcPr>
            <w:tcW w:w="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4"/>
              </w:rPr>
              <w:t>Registered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Unit</w:t>
            </w:r>
          </w:p>
        </w:tc>
        <w:tc>
          <w:tcPr>
            <w:tcW w:w="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Price</w:t>
            </w:r>
          </w:p>
        </w:tc>
        <w:tc>
          <w:tcPr>
            <w:tcW w:w="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Fee (3)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Form Type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Forward</w:t>
            </w:r>
          </w:p>
        </w:tc>
      </w:tr>
      <w:tr>
        <w:trPr>
          <w:trHeight w:val="142"/>
        </w:trPr>
        <w:tc>
          <w:tcPr>
            <w:tcW w:w="780" w:type="dxa"/>
            <w:vAlign w:val="bottom"/>
            <w:tcBorders>
              <w:left w:val="single" w:sz="8" w:color="auto"/>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Newly-Registered Securities</w:t>
            </w: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23"/>
        </w:trPr>
        <w:tc>
          <w:tcPr>
            <w:tcW w:w="78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w w:val="97"/>
              </w:rPr>
              <w:t>Fees to Be</w:t>
            </w:r>
          </w:p>
        </w:tc>
        <w:tc>
          <w:tcPr>
            <w:tcW w:w="58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Equity</w:t>
            </w:r>
          </w:p>
        </w:tc>
        <w:tc>
          <w:tcPr>
            <w:tcW w:w="2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456(b) and</w:t>
            </w:r>
          </w:p>
        </w:tc>
        <w:tc>
          <w:tcPr>
            <w:tcW w:w="7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(1)</w:t>
            </w:r>
          </w:p>
        </w:tc>
        <w:tc>
          <w:tcPr>
            <w:tcW w:w="7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w:t>
            </w:r>
          </w:p>
        </w:tc>
        <w:tc>
          <w:tcPr>
            <w:tcW w:w="70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(1)</w:t>
            </w:r>
          </w:p>
        </w:tc>
        <w:tc>
          <w:tcPr>
            <w:tcW w:w="40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(2)</w:t>
            </w:r>
          </w:p>
        </w:tc>
        <w:tc>
          <w:tcPr>
            <w:tcW w:w="8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(2)</w:t>
            </w:r>
          </w:p>
        </w:tc>
        <w:tc>
          <w:tcPr>
            <w:tcW w:w="7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67"/>
        </w:trPr>
        <w:tc>
          <w:tcPr>
            <w:tcW w:w="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Paid</w:t>
            </w:r>
          </w:p>
        </w:tc>
        <w:tc>
          <w:tcPr>
            <w:tcW w:w="5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2"/>
              </w:rPr>
              <w:t>Subordinate Voting Shares without par value</w:t>
            </w: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457(r)</w:t>
            </w:r>
          </w:p>
        </w:tc>
        <w:tc>
          <w:tcPr>
            <w:tcW w:w="7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23"/>
        </w:trPr>
        <w:tc>
          <w:tcPr>
            <w:tcW w:w="78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Equity</w:t>
            </w:r>
          </w:p>
        </w:tc>
        <w:tc>
          <w:tcPr>
            <w:tcW w:w="2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456(b) and</w:t>
            </w:r>
          </w:p>
        </w:tc>
        <w:tc>
          <w:tcPr>
            <w:tcW w:w="7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(1)</w:t>
            </w:r>
          </w:p>
        </w:tc>
        <w:tc>
          <w:tcPr>
            <w:tcW w:w="7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w:t>
            </w:r>
          </w:p>
        </w:tc>
        <w:tc>
          <w:tcPr>
            <w:tcW w:w="70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(1)</w:t>
            </w:r>
          </w:p>
        </w:tc>
        <w:tc>
          <w:tcPr>
            <w:tcW w:w="40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(2)</w:t>
            </w:r>
          </w:p>
        </w:tc>
        <w:tc>
          <w:tcPr>
            <w:tcW w:w="8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(2)</w:t>
            </w:r>
          </w:p>
        </w:tc>
        <w:tc>
          <w:tcPr>
            <w:tcW w:w="7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67"/>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Preference shares without par value</w:t>
            </w: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457(r)</w:t>
            </w:r>
          </w:p>
        </w:tc>
        <w:tc>
          <w:tcPr>
            <w:tcW w:w="7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23"/>
        </w:trPr>
        <w:tc>
          <w:tcPr>
            <w:tcW w:w="78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Debt</w:t>
            </w:r>
          </w:p>
        </w:tc>
        <w:tc>
          <w:tcPr>
            <w:tcW w:w="2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456(b) and</w:t>
            </w:r>
          </w:p>
        </w:tc>
        <w:tc>
          <w:tcPr>
            <w:tcW w:w="7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(1)</w:t>
            </w:r>
          </w:p>
        </w:tc>
        <w:tc>
          <w:tcPr>
            <w:tcW w:w="7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w:t>
            </w:r>
          </w:p>
        </w:tc>
        <w:tc>
          <w:tcPr>
            <w:tcW w:w="70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(1)</w:t>
            </w:r>
          </w:p>
        </w:tc>
        <w:tc>
          <w:tcPr>
            <w:tcW w:w="40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(2)</w:t>
            </w:r>
          </w:p>
        </w:tc>
        <w:tc>
          <w:tcPr>
            <w:tcW w:w="8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(2)</w:t>
            </w:r>
          </w:p>
        </w:tc>
        <w:tc>
          <w:tcPr>
            <w:tcW w:w="7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67"/>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Debt Securities</w:t>
            </w: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457(r)</w:t>
            </w:r>
          </w:p>
        </w:tc>
        <w:tc>
          <w:tcPr>
            <w:tcW w:w="7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23"/>
        </w:trPr>
        <w:tc>
          <w:tcPr>
            <w:tcW w:w="78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Other</w:t>
            </w:r>
          </w:p>
        </w:tc>
        <w:tc>
          <w:tcPr>
            <w:tcW w:w="2640" w:type="dxa"/>
            <w:vAlign w:val="bottom"/>
          </w:tcPr>
          <w:p>
            <w:pPr>
              <w:ind w:left="60"/>
              <w:spacing w:after="0" w:line="123" w:lineRule="exact"/>
              <w:rPr>
                <w:sz w:val="20"/>
                <w:szCs w:val="20"/>
                <w:color w:val="auto"/>
              </w:rPr>
            </w:pPr>
            <w:r>
              <w:rPr>
                <w:rFonts w:ascii="Arial" w:cs="Arial" w:eastAsia="Arial" w:hAnsi="Arial"/>
                <w:sz w:val="14"/>
                <w:szCs w:val="14"/>
                <w:color w:val="auto"/>
              </w:rPr>
              <w:t>Warrants to purchase subordinate voting</w:t>
            </w:r>
          </w:p>
        </w:tc>
        <w:tc>
          <w:tcPr>
            <w:tcW w:w="1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456(b) and</w:t>
            </w:r>
          </w:p>
        </w:tc>
        <w:tc>
          <w:tcPr>
            <w:tcW w:w="7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(1)</w:t>
            </w:r>
          </w:p>
        </w:tc>
        <w:tc>
          <w:tcPr>
            <w:tcW w:w="7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w:t>
            </w:r>
          </w:p>
        </w:tc>
        <w:tc>
          <w:tcPr>
            <w:tcW w:w="70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(1)</w:t>
            </w:r>
          </w:p>
        </w:tc>
        <w:tc>
          <w:tcPr>
            <w:tcW w:w="40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(2)</w:t>
            </w:r>
          </w:p>
        </w:tc>
        <w:tc>
          <w:tcPr>
            <w:tcW w:w="8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(2)</w:t>
            </w:r>
          </w:p>
        </w:tc>
        <w:tc>
          <w:tcPr>
            <w:tcW w:w="7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40" w:type="dxa"/>
            <w:vAlign w:val="bottom"/>
          </w:tcPr>
          <w:p>
            <w:pPr>
              <w:ind w:left="60"/>
              <w:spacing w:after="0" w:line="149" w:lineRule="exact"/>
              <w:rPr>
                <w:sz w:val="20"/>
                <w:szCs w:val="20"/>
                <w:color w:val="auto"/>
              </w:rPr>
            </w:pPr>
            <w:r>
              <w:rPr>
                <w:rFonts w:ascii="Arial" w:cs="Arial" w:eastAsia="Arial" w:hAnsi="Arial"/>
                <w:sz w:val="14"/>
                <w:szCs w:val="14"/>
                <w:color w:val="auto"/>
                <w:w w:val="92"/>
              </w:rPr>
              <w:t>shares, preference shares, debt securities or</w:t>
            </w: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457(r)</w:t>
            </w: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67"/>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 securities</w:t>
            </w: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23"/>
        </w:trPr>
        <w:tc>
          <w:tcPr>
            <w:tcW w:w="78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Fees</w:t>
            </w:r>
          </w:p>
        </w:tc>
        <w:tc>
          <w:tcPr>
            <w:tcW w:w="580" w:type="dxa"/>
            <w:vAlign w:val="bottom"/>
            <w:tcBorders>
              <w:right w:val="single" w:sz="8" w:color="auto"/>
            </w:tcBorders>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49"/>
        </w:trPr>
        <w:tc>
          <w:tcPr>
            <w:tcW w:w="78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Previously</w:t>
            </w:r>
          </w:p>
        </w:tc>
        <w:tc>
          <w:tcPr>
            <w:tcW w:w="580" w:type="dxa"/>
            <w:vAlign w:val="bottom"/>
            <w:tcBorders>
              <w:right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67"/>
        </w:trPr>
        <w:tc>
          <w:tcPr>
            <w:tcW w:w="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Paid</w:t>
            </w:r>
          </w:p>
        </w:tc>
        <w:tc>
          <w:tcPr>
            <w:tcW w:w="58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42"/>
        </w:trPr>
        <w:tc>
          <w:tcPr>
            <w:tcW w:w="780" w:type="dxa"/>
            <w:vAlign w:val="bottom"/>
            <w:tcBorders>
              <w:left w:val="single" w:sz="8" w:color="auto"/>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Carry Forward Securities</w:t>
            </w: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23"/>
        </w:trPr>
        <w:tc>
          <w:tcPr>
            <w:tcW w:w="78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Carry</w:t>
            </w:r>
          </w:p>
        </w:tc>
        <w:tc>
          <w:tcPr>
            <w:tcW w:w="580" w:type="dxa"/>
            <w:vAlign w:val="bottom"/>
            <w:tcBorders>
              <w:right w:val="single" w:sz="8" w:color="auto"/>
            </w:tcBorders>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49"/>
        </w:trPr>
        <w:tc>
          <w:tcPr>
            <w:tcW w:w="78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Forward</w:t>
            </w:r>
          </w:p>
        </w:tc>
        <w:tc>
          <w:tcPr>
            <w:tcW w:w="580" w:type="dxa"/>
            <w:vAlign w:val="bottom"/>
            <w:tcBorders>
              <w:right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333-</w:t>
            </w:r>
          </w:p>
        </w:tc>
        <w:tc>
          <w:tcPr>
            <w:tcW w:w="6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7"/>
              </w:rPr>
              <w:t>August 6,</w:t>
            </w:r>
          </w:p>
        </w:tc>
        <w:tc>
          <w:tcPr>
            <w:tcW w:w="920" w:type="dxa"/>
            <w:vAlign w:val="bottom"/>
            <w:tcBorders>
              <w:right w:val="single" w:sz="8" w:color="auto"/>
            </w:tcBorders>
          </w:tcPr>
          <w:p>
            <w:pPr>
              <w:spacing w:after="0"/>
              <w:rPr>
                <w:sz w:val="12"/>
                <w:szCs w:val="12"/>
                <w:color w:val="auto"/>
              </w:rPr>
            </w:pPr>
          </w:p>
        </w:tc>
      </w:tr>
      <w:tr>
        <w:trPr>
          <w:trHeight w:val="167"/>
        </w:trPr>
        <w:tc>
          <w:tcPr>
            <w:tcW w:w="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Securities</w:t>
            </w:r>
          </w:p>
        </w:tc>
        <w:tc>
          <w:tcPr>
            <w:tcW w:w="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Equity</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2"/>
              </w:rPr>
              <w:t>Subordinate Voting Shares without par value</w:t>
            </w: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415(a)(6)</w:t>
            </w:r>
          </w:p>
        </w:tc>
        <w:tc>
          <w:tcPr>
            <w:tcW w:w="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w:t>
            </w:r>
          </w:p>
        </w:tc>
        <w:tc>
          <w:tcPr>
            <w:tcW w:w="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F-3ASR(3)</w:t>
            </w:r>
          </w:p>
        </w:tc>
        <w:tc>
          <w:tcPr>
            <w:tcW w:w="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241513</w:t>
            </w:r>
          </w:p>
        </w:tc>
        <w:tc>
          <w:tcPr>
            <w:tcW w:w="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2020</w:t>
            </w:r>
          </w:p>
        </w:tc>
        <w:tc>
          <w:tcPr>
            <w:tcW w:w="920" w:type="dxa"/>
            <w:vAlign w:val="bottom"/>
            <w:tcBorders>
              <w:bottom w:val="single" w:sz="8" w:color="auto"/>
              <w:right w:val="single" w:sz="8" w:color="auto"/>
            </w:tcBorders>
          </w:tcPr>
          <w:p>
            <w:pPr>
              <w:jc w:val="right"/>
              <w:ind w:right="628"/>
              <w:spacing w:after="0"/>
              <w:rPr>
                <w:sz w:val="20"/>
                <w:szCs w:val="20"/>
                <w:color w:val="auto"/>
              </w:rPr>
            </w:pPr>
            <w:r>
              <w:rPr>
                <w:rFonts w:ascii="Arial" w:cs="Arial" w:eastAsia="Arial" w:hAnsi="Arial"/>
                <w:sz w:val="14"/>
                <w:szCs w:val="14"/>
                <w:color w:val="auto"/>
              </w:rPr>
              <w:t>(3)</w:t>
            </w:r>
          </w:p>
        </w:tc>
      </w:tr>
      <w:tr>
        <w:trPr>
          <w:trHeight w:val="123"/>
        </w:trPr>
        <w:tc>
          <w:tcPr>
            <w:tcW w:w="78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333-</w:t>
            </w:r>
          </w:p>
        </w:tc>
        <w:tc>
          <w:tcPr>
            <w:tcW w:w="68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w w:val="97"/>
              </w:rPr>
              <w:t>August 6,</w:t>
            </w:r>
          </w:p>
        </w:tc>
        <w:tc>
          <w:tcPr>
            <w:tcW w:w="920" w:type="dxa"/>
            <w:vAlign w:val="bottom"/>
            <w:tcBorders>
              <w:right w:val="single" w:sz="8" w:color="auto"/>
            </w:tcBorders>
          </w:tcPr>
          <w:p>
            <w:pPr>
              <w:spacing w:after="0"/>
              <w:rPr>
                <w:sz w:val="10"/>
                <w:szCs w:val="10"/>
                <w:color w:val="auto"/>
              </w:rPr>
            </w:pPr>
          </w:p>
        </w:tc>
      </w:tr>
      <w:tr>
        <w:trPr>
          <w:trHeight w:val="167"/>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Equity</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Preference shares without par value</w:t>
            </w: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415(a)(6)</w:t>
            </w:r>
          </w:p>
        </w:tc>
        <w:tc>
          <w:tcPr>
            <w:tcW w:w="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w:t>
            </w:r>
          </w:p>
        </w:tc>
        <w:tc>
          <w:tcPr>
            <w:tcW w:w="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F-3ASR(3)</w:t>
            </w:r>
          </w:p>
        </w:tc>
        <w:tc>
          <w:tcPr>
            <w:tcW w:w="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241513</w:t>
            </w:r>
          </w:p>
        </w:tc>
        <w:tc>
          <w:tcPr>
            <w:tcW w:w="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2020</w:t>
            </w:r>
          </w:p>
        </w:tc>
        <w:tc>
          <w:tcPr>
            <w:tcW w:w="920" w:type="dxa"/>
            <w:vAlign w:val="bottom"/>
            <w:tcBorders>
              <w:bottom w:val="single" w:sz="8" w:color="auto"/>
              <w:right w:val="single" w:sz="8" w:color="auto"/>
            </w:tcBorders>
          </w:tcPr>
          <w:p>
            <w:pPr>
              <w:jc w:val="right"/>
              <w:ind w:right="628"/>
              <w:spacing w:after="0"/>
              <w:rPr>
                <w:sz w:val="20"/>
                <w:szCs w:val="20"/>
                <w:color w:val="auto"/>
              </w:rPr>
            </w:pPr>
            <w:r>
              <w:rPr>
                <w:rFonts w:ascii="Arial" w:cs="Arial" w:eastAsia="Arial" w:hAnsi="Arial"/>
                <w:sz w:val="14"/>
                <w:szCs w:val="14"/>
                <w:color w:val="auto"/>
              </w:rPr>
              <w:t>(3)</w:t>
            </w:r>
          </w:p>
        </w:tc>
      </w:tr>
      <w:tr>
        <w:trPr>
          <w:trHeight w:val="123"/>
        </w:trPr>
        <w:tc>
          <w:tcPr>
            <w:tcW w:w="78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333-</w:t>
            </w:r>
          </w:p>
        </w:tc>
        <w:tc>
          <w:tcPr>
            <w:tcW w:w="68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w w:val="97"/>
              </w:rPr>
              <w:t>August 6,</w:t>
            </w:r>
          </w:p>
        </w:tc>
        <w:tc>
          <w:tcPr>
            <w:tcW w:w="920" w:type="dxa"/>
            <w:vAlign w:val="bottom"/>
            <w:tcBorders>
              <w:right w:val="single" w:sz="8" w:color="auto"/>
            </w:tcBorders>
          </w:tcPr>
          <w:p>
            <w:pPr>
              <w:spacing w:after="0"/>
              <w:rPr>
                <w:sz w:val="10"/>
                <w:szCs w:val="10"/>
                <w:color w:val="auto"/>
              </w:rPr>
            </w:pPr>
          </w:p>
        </w:tc>
      </w:tr>
      <w:tr>
        <w:trPr>
          <w:trHeight w:val="167"/>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Debt</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Debt Securities</w:t>
            </w: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415(a)(6)</w:t>
            </w:r>
          </w:p>
        </w:tc>
        <w:tc>
          <w:tcPr>
            <w:tcW w:w="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w:t>
            </w:r>
          </w:p>
        </w:tc>
        <w:tc>
          <w:tcPr>
            <w:tcW w:w="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F-3ASR(3)</w:t>
            </w:r>
          </w:p>
        </w:tc>
        <w:tc>
          <w:tcPr>
            <w:tcW w:w="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241513</w:t>
            </w:r>
          </w:p>
        </w:tc>
        <w:tc>
          <w:tcPr>
            <w:tcW w:w="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2020</w:t>
            </w:r>
          </w:p>
        </w:tc>
        <w:tc>
          <w:tcPr>
            <w:tcW w:w="920" w:type="dxa"/>
            <w:vAlign w:val="bottom"/>
            <w:tcBorders>
              <w:bottom w:val="single" w:sz="8" w:color="auto"/>
              <w:right w:val="single" w:sz="8" w:color="auto"/>
            </w:tcBorders>
          </w:tcPr>
          <w:p>
            <w:pPr>
              <w:jc w:val="right"/>
              <w:ind w:right="628"/>
              <w:spacing w:after="0"/>
              <w:rPr>
                <w:sz w:val="20"/>
                <w:szCs w:val="20"/>
                <w:color w:val="auto"/>
              </w:rPr>
            </w:pPr>
            <w:r>
              <w:rPr>
                <w:rFonts w:ascii="Arial" w:cs="Arial" w:eastAsia="Arial" w:hAnsi="Arial"/>
                <w:sz w:val="14"/>
                <w:szCs w:val="14"/>
                <w:color w:val="auto"/>
              </w:rPr>
              <w:t>(3)</w:t>
            </w:r>
          </w:p>
        </w:tc>
      </w:tr>
      <w:tr>
        <w:trPr>
          <w:trHeight w:val="123"/>
        </w:trPr>
        <w:tc>
          <w:tcPr>
            <w:tcW w:w="78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640" w:type="dxa"/>
            <w:vAlign w:val="bottom"/>
          </w:tcPr>
          <w:p>
            <w:pPr>
              <w:ind w:left="60"/>
              <w:spacing w:after="0" w:line="123" w:lineRule="exact"/>
              <w:rPr>
                <w:sz w:val="20"/>
                <w:szCs w:val="20"/>
                <w:color w:val="auto"/>
              </w:rPr>
            </w:pPr>
            <w:r>
              <w:rPr>
                <w:rFonts w:ascii="Arial" w:cs="Arial" w:eastAsia="Arial" w:hAnsi="Arial"/>
                <w:sz w:val="14"/>
                <w:szCs w:val="14"/>
                <w:color w:val="auto"/>
              </w:rPr>
              <w:t>Warrants to purchase subordinate voting</w:t>
            </w:r>
          </w:p>
        </w:tc>
        <w:tc>
          <w:tcPr>
            <w:tcW w:w="1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49"/>
        </w:trPr>
        <w:tc>
          <w:tcPr>
            <w:tcW w:w="78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40" w:type="dxa"/>
            <w:vAlign w:val="bottom"/>
          </w:tcPr>
          <w:p>
            <w:pPr>
              <w:ind w:left="60"/>
              <w:spacing w:after="0" w:line="149" w:lineRule="exact"/>
              <w:rPr>
                <w:sz w:val="20"/>
                <w:szCs w:val="20"/>
                <w:color w:val="auto"/>
              </w:rPr>
            </w:pPr>
            <w:r>
              <w:rPr>
                <w:rFonts w:ascii="Arial" w:cs="Arial" w:eastAsia="Arial" w:hAnsi="Arial"/>
                <w:sz w:val="14"/>
                <w:szCs w:val="14"/>
                <w:color w:val="auto"/>
                <w:w w:val="92"/>
              </w:rPr>
              <w:t>shares, preference shares, debt securities or</w:t>
            </w: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333-</w:t>
            </w:r>
          </w:p>
        </w:tc>
        <w:tc>
          <w:tcPr>
            <w:tcW w:w="6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7"/>
              </w:rPr>
              <w:t>August 6,</w:t>
            </w:r>
          </w:p>
        </w:tc>
        <w:tc>
          <w:tcPr>
            <w:tcW w:w="920" w:type="dxa"/>
            <w:vAlign w:val="bottom"/>
            <w:tcBorders>
              <w:right w:val="single" w:sz="8" w:color="auto"/>
            </w:tcBorders>
          </w:tcPr>
          <w:p>
            <w:pPr>
              <w:spacing w:after="0"/>
              <w:rPr>
                <w:sz w:val="12"/>
                <w:szCs w:val="12"/>
                <w:color w:val="auto"/>
              </w:rPr>
            </w:pPr>
          </w:p>
        </w:tc>
      </w:tr>
      <w:tr>
        <w:trPr>
          <w:trHeight w:val="167"/>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 securities</w:t>
            </w: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415(a)(6)</w:t>
            </w:r>
          </w:p>
        </w:tc>
        <w:tc>
          <w:tcPr>
            <w:tcW w:w="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w:t>
            </w:r>
          </w:p>
        </w:tc>
        <w:tc>
          <w:tcPr>
            <w:tcW w:w="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F-3ASR(3)</w:t>
            </w:r>
          </w:p>
        </w:tc>
        <w:tc>
          <w:tcPr>
            <w:tcW w:w="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241513</w:t>
            </w:r>
          </w:p>
        </w:tc>
        <w:tc>
          <w:tcPr>
            <w:tcW w:w="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2020</w:t>
            </w:r>
          </w:p>
        </w:tc>
        <w:tc>
          <w:tcPr>
            <w:tcW w:w="920" w:type="dxa"/>
            <w:vAlign w:val="bottom"/>
            <w:tcBorders>
              <w:bottom w:val="single" w:sz="8" w:color="auto"/>
              <w:right w:val="single" w:sz="8" w:color="auto"/>
            </w:tcBorders>
          </w:tcPr>
          <w:p>
            <w:pPr>
              <w:jc w:val="right"/>
              <w:ind w:right="628"/>
              <w:spacing w:after="0"/>
              <w:rPr>
                <w:sz w:val="20"/>
                <w:szCs w:val="20"/>
                <w:color w:val="auto"/>
              </w:rPr>
            </w:pPr>
            <w:r>
              <w:rPr>
                <w:rFonts w:ascii="Arial" w:cs="Arial" w:eastAsia="Arial" w:hAnsi="Arial"/>
                <w:sz w:val="14"/>
                <w:szCs w:val="14"/>
                <w:color w:val="auto"/>
              </w:rPr>
              <w:t>(3)</w:t>
            </w: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w w:val="80"/>
              </w:rPr>
              <w:t>Total Offering</w:t>
            </w:r>
          </w:p>
        </w:tc>
        <w:tc>
          <w:tcPr>
            <w:tcW w:w="7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Amounts</w:t>
            </w:r>
          </w:p>
        </w:tc>
        <w:tc>
          <w:tcPr>
            <w:tcW w:w="7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(1)(3)</w:t>
            </w:r>
          </w:p>
        </w:tc>
        <w:tc>
          <w:tcPr>
            <w:tcW w:w="40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(2)</w:t>
            </w:r>
          </w:p>
        </w:tc>
        <w:tc>
          <w:tcPr>
            <w:tcW w:w="82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(2)</w:t>
            </w:r>
          </w:p>
        </w:tc>
        <w:tc>
          <w:tcPr>
            <w:tcW w:w="78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91"/>
              </w:rPr>
              <w:t>Total Fees Previously Paid</w:t>
            </w:r>
          </w:p>
        </w:tc>
        <w:tc>
          <w:tcPr>
            <w:tcW w:w="7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Total Fee Offsets</w:t>
            </w:r>
          </w:p>
        </w:tc>
        <w:tc>
          <w:tcPr>
            <w:tcW w:w="7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Net Fees Due</w:t>
            </w:r>
          </w:p>
        </w:tc>
        <w:tc>
          <w:tcPr>
            <w:tcW w:w="7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$0(2)(3)</w:t>
            </w:r>
          </w:p>
        </w:tc>
        <w:tc>
          <w:tcPr>
            <w:tcW w:w="78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bl>
    <w:p>
      <w:pPr>
        <w:spacing w:after="0" w:line="130" w:lineRule="exact"/>
        <w:rPr>
          <w:sz w:val="20"/>
          <w:szCs w:val="20"/>
          <w:color w:val="auto"/>
        </w:rPr>
      </w:pPr>
    </w:p>
    <w:p>
      <w:pPr>
        <w:jc w:val="both"/>
        <w:ind w:left="340" w:hanging="332"/>
        <w:spacing w:after="0" w:line="238"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 indeterminate aggregate initial offering price or principal amount or number of securities of each identified class is being registered as may from time to time be offered at indeterminate prices and as may from time to time be issued upon conversion, redemption, exchange, exercise or settlement of any securities registered hereunder, including under any applicable anti-dilution provisions.</w:t>
      </w:r>
    </w:p>
    <w:p>
      <w:pPr>
        <w:spacing w:after="0" w:line="115" w:lineRule="exact"/>
        <w:rPr>
          <w:rFonts w:ascii="Arial" w:cs="Arial" w:eastAsia="Arial" w:hAnsi="Arial"/>
          <w:sz w:val="14"/>
          <w:szCs w:val="14"/>
          <w:color w:val="auto"/>
        </w:rPr>
      </w:pPr>
    </w:p>
    <w:p>
      <w:pPr>
        <w:jc w:val="both"/>
        <w:ind w:left="340" w:hanging="332"/>
        <w:spacing w:after="0" w:line="238"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 accordance with Rules 456(b) and 457(r) under the U.S. Securities Act of 1933, as amended (the “Securities Act”), the Registrant is deferring payments of all of the registration fees (except with respect to the carry forward securities identified in the table above and footnote (3) below, with respect to which registration fees have already been paid). Any subsequent registration fees will be paid on a pay-as-you-go basis based on the fee rate in effect on the date of such fee payment.</w:t>
      </w:r>
    </w:p>
    <w:p>
      <w:pPr>
        <w:spacing w:after="0" w:line="115"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Pursuant to Rule 415(a)(6) of the Securities Act, this Registration Statement includes and carries forward $2,710,944,308 of unsold subordinate voting shares, preference shares, debt securities and warrants to purchase Subordinate Voting Shares, preference shares, debt securities or other securities (“Unsold Securities”) that were previously registered by the Registrant pursuant to its registration statement on Form F-3 (File No. 333-241513) with the Securities and Exchange Commission on August 6, 2020 (the “2020 Registration Statement”); filing fees of $663,273.84 have already been paid with respect to such unsold securities (Unutilized Fees”). In accordance with Rule 415(a)(6) of the Securities Act, the Unutilized Fees will continue to be applied to such Unsold Securities and are being carried forward to this Registration Statement. The Registrant will pay any further required registration fees subsequently in advance or on a pay-as-you-go basis and the effectiveness of this Registration Statement will be deemed to terminate the 2020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lvl w:ilvl="1">
      <w:lvlJc w:val="left"/>
      <w:lvlText w:val="(%2)"/>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lowerRoman"/>
      <w:start w:val="4"/>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decimal"/>
      <w:start w:val="1"/>
    </w:lvl>
    <w:lvl w:ilvl="1">
      <w:lvlJc w:val="left"/>
      <w:lvlText w:val="(%2)"/>
      <w:numFmt w:val="lowerRoman"/>
      <w:start w:val="1"/>
    </w:lvl>
  </w:abstractNum>
  <w:abstractNum w:abstractNumId="29">
    <w:nsid w:val="419AC241"/>
    <w:multiLevelType w:val="hybridMultilevel"/>
    <w:lvl w:ilvl="0">
      <w:lvlJc w:val="left"/>
      <w:lvlText w:val="(%1)"/>
      <w:numFmt w:val="lowerRoman"/>
      <w:start w:val="1"/>
    </w:lvl>
  </w:abstractNum>
  <w:abstractNum w:abstractNumId="30">
    <w:nsid w:val="5577F8E1"/>
    <w:multiLevelType w:val="hybridMultilevel"/>
    <w:lvl w:ilvl="0">
      <w:lvlJc w:val="left"/>
      <w:lvlText w:val="(%1)"/>
      <w:numFmt w:val="lowerRoman"/>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8"/>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2"/>
    </w:lvl>
  </w:abstractNum>
  <w:abstractNum w:abstractNumId="35">
    <w:nsid w:val="7724C67E"/>
    <w:multiLevelType w:val="hybridMultilevel"/>
    <w:lvl w:ilvl="0">
      <w:lvlJc w:val="left"/>
      <w:lvlText w:val="%1."/>
      <w:numFmt w:val="decimal"/>
      <w:start w:val="12"/>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2"/>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jpeg"/><Relationship Id="rId65" Type="http://schemas.openxmlformats.org/officeDocument/2006/relationships/image" Target="media/image47.jpeg"/><Relationship Id="rId66" Type="http://schemas.openxmlformats.org/officeDocument/2006/relationships/image" Target="media/image48.png"/><Relationship Id="rId67" Type="http://schemas.openxmlformats.org/officeDocument/2006/relationships/image" Target="media/image49.jpeg"/><Relationship Id="rId68" Type="http://schemas.openxmlformats.org/officeDocument/2006/relationships/image" Target="media/image50.jpeg"/><Relationship Id="rId69" Type="http://schemas.openxmlformats.org/officeDocument/2006/relationships/image" Target="media/image51.png"/><Relationship Id="rId70" Type="http://schemas.openxmlformats.org/officeDocument/2006/relationships/image" Target="media/image52.jpeg"/><Relationship Id="rId71" Type="http://schemas.openxmlformats.org/officeDocument/2006/relationships/image" Target="media/image53.jpeg"/><Relationship Id="rId72" Type="http://schemas.openxmlformats.org/officeDocument/2006/relationships/image" Target="media/image54.png"/><Relationship Id="rId73" Type="http://schemas.openxmlformats.org/officeDocument/2006/relationships/image" Target="media/image55.jpeg"/><Relationship Id="rId74" Type="http://schemas.openxmlformats.org/officeDocument/2006/relationships/image" Target="media/image56.jpeg"/><Relationship Id="rId75" Type="http://schemas.openxmlformats.org/officeDocument/2006/relationships/image" Target="media/image57.jpeg"/><Relationship Id="rId76" Type="http://schemas.openxmlformats.org/officeDocument/2006/relationships/image" Target="media/image58.png"/><Relationship Id="rId77" Type="http://schemas.openxmlformats.org/officeDocument/2006/relationships/image" Target="media/image59.jpeg"/><Relationship Id="rId78" Type="http://schemas.openxmlformats.org/officeDocument/2006/relationships/image" Target="media/image60.png"/><Relationship Id="rId79" Type="http://schemas.openxmlformats.org/officeDocument/2006/relationships/image" Target="media/image61.jpeg"/><Relationship Id="rId80" Type="http://schemas.openxmlformats.org/officeDocument/2006/relationships/image" Target="media/image62.png"/><Relationship Id="rId81" Type="http://schemas.openxmlformats.org/officeDocument/2006/relationships/image" Target="media/image63.jpeg"/><Relationship Id="rId82" Type="http://schemas.openxmlformats.org/officeDocument/2006/relationships/image" Target="media/image64.png"/><Relationship Id="rId83" Type="http://schemas.openxmlformats.org/officeDocument/2006/relationships/image" Target="media/image65.png"/><Relationship Id="rId25" Type="http://schemas.openxmlformats.org/officeDocument/2006/relationships/hyperlink" Target="https://www.sec.gov/ix?doc=/Archives/edgar/data/1030894/000103089423000008/cls-20221231.htm" TargetMode="External"/><Relationship Id="rId26" Type="http://schemas.openxmlformats.org/officeDocument/2006/relationships/hyperlink" Target="https://www.sec.gov/Archives/edgar/data/1030894/000103089423000016/cls-20230630xfs.htm" TargetMode="External"/><Relationship Id="rId34" Type="http://schemas.openxmlformats.org/officeDocument/2006/relationships/hyperlink" Target="https://www.sec.gov/Archives/edgar/data/1030894/000104746910002628/a2196681zex-1_10.htm" TargetMode="External"/><Relationship Id="rId35" Type="http://schemas.openxmlformats.org/officeDocument/2006/relationships/hyperlink" Target="https://www.sec.gov/Archives/edgar/data/1030894/000103089423000008/exhibit232022.htm" TargetMode="External"/><Relationship Id="rId45" Type="http://schemas.openxmlformats.org/officeDocument/2006/relationships/hyperlink" Target="https://www.sec.gov/Archives/edgar/data/1030894/000103089423000011/cls-20230331xmda.htm" TargetMode="External"/><Relationship Id="rId46" Type="http://schemas.openxmlformats.org/officeDocument/2006/relationships/hyperlink" Target="https://www.sec.gov/Archives/edgar/data/1030894/000103089423000011/cls-20230331xfs.htm" TargetMode="External"/><Relationship Id="rId47" Type="http://schemas.openxmlformats.org/officeDocument/2006/relationships/hyperlink" Target="https://www.sec.gov/Archives/edgar/data/1030894/000103089423000016/cls-20230630xmda.htm" TargetMode="External"/><Relationship Id="rId53" Type="http://schemas.openxmlformats.org/officeDocument/2006/relationships/hyperlink" Target="https://www.sec.gov/Archives/edgar/data/1030894/000110465917064049/a17-22993_1ex4d1.htm" TargetMode="External"/><Relationship Id="rId54" Type="http://schemas.openxmlformats.org/officeDocument/2006/relationships/hyperlink" Target="http://www.sec.gov/Archives/edgar/data/1030894/000104746910002628/a2196681zex-1_10.htm" TargetMode="External"/><Relationship Id="rId55" Type="http://schemas.openxmlformats.org/officeDocument/2006/relationships/hyperlink" Target="https://www.sec.gov/Archives/edgar/data/1030894/000104746910002628/a2196681zex-1_11.htm" TargetMode="External"/><Relationship Id="rId56" Type="http://schemas.openxmlformats.org/officeDocument/2006/relationships/hyperlink" Target="https://www.sec.gov/Archives/edgar/data/1030894/000110465917064049/a17-22993_1ex4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2023-07-27T08:05:28Z</dcterms:created>
  <dcterms:modified xsi:type="dcterms:W3CDTF">2023-07-27T08:05:28Z</dcterms:modified>
</cp:coreProperties>
</file>