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FORM 6-K</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Pursuant to Rule 13a-16 or 15d-16 of</w:t>
      </w: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April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CELESTICA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12 Concorde Place, 5th Floor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Toronto, Ontario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Canada M3C 3R8</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(416) 448-5800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420"/>
        <w:spacing w:after="0"/>
        <w:tabs>
          <w:tab w:leader="none" w:pos="81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0" w:lineRule="exact"/>
        <w:rPr>
          <w:sz w:val="24"/>
          <w:szCs w:val="24"/>
          <w:color w:val="auto"/>
        </w:rPr>
      </w:pPr>
    </w:p>
    <w:p>
      <w:pPr>
        <w:ind w:left="2700"/>
        <w:spacing w:after="0"/>
        <w:tabs>
          <w:tab w:leader="none" w:pos="84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Month of April 2008</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The following information filed with this Form 6-K is incorporated by reference in Celestica’s registration statements, the prospectuses included therein, and any registration statement subsequently filed by Celestica with the Securities and Exchange Commission:</w:t>
      </w:r>
    </w:p>
    <w:p>
      <w:pPr>
        <w:spacing w:after="0" w:line="170" w:lineRule="exact"/>
        <w:rPr>
          <w:sz w:val="24"/>
          <w:szCs w:val="24"/>
          <w:color w:val="auto"/>
        </w:rPr>
      </w:pPr>
    </w:p>
    <w:p>
      <w:pPr>
        <w:ind w:left="660" w:right="38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Press Release, dated April 24, 2008, the text of which is attached hereto as Exhibit 99.1, including Celestica Inc.’s first quarter 2008 consolidated financial information.</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99.1  -  Press Release, dated April 24, 2008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700" w:type="dxa"/>
            <w:vAlign w:val="bottom"/>
            <w:gridSpan w:val="3"/>
          </w:tcPr>
          <w:p>
            <w:pPr>
              <w:ind w:left="2320"/>
              <w:spacing w:after="0"/>
              <w:rPr>
                <w:sz w:val="20"/>
                <w:szCs w:val="20"/>
                <w:color w:val="auto"/>
              </w:rPr>
            </w:pPr>
            <w:r>
              <w:rPr>
                <w:rFonts w:ascii="Arial" w:cs="Arial" w:eastAsia="Arial" w:hAnsi="Arial"/>
                <w:sz w:val="18"/>
                <w:szCs w:val="18"/>
                <w:color w:val="auto"/>
              </w:rPr>
              <w:t>CELESTICA INC.</w:t>
            </w:r>
          </w:p>
        </w:tc>
        <w:tc>
          <w:tcPr>
            <w:tcW w:w="40" w:type="dxa"/>
            <w:vAlign w:val="bottom"/>
          </w:tcPr>
          <w:p>
            <w:pPr>
              <w:spacing w:after="0"/>
              <w:rPr>
                <w:sz w:val="20"/>
                <w:szCs w:val="20"/>
                <w:color w:val="auto"/>
              </w:rPr>
            </w:pPr>
          </w:p>
        </w:tc>
      </w:tr>
      <w:tr>
        <w:trPr>
          <w:trHeight w:val="648"/>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April 24, 2008</w:t>
            </w:r>
          </w:p>
        </w:tc>
        <w:tc>
          <w:tcPr>
            <w:tcW w:w="7700" w:type="dxa"/>
            <w:vAlign w:val="bottom"/>
            <w:gridSpan w:val="3"/>
          </w:tcPr>
          <w:p>
            <w:pPr>
              <w:ind w:left="2320"/>
              <w:spacing w:after="0"/>
              <w:rPr>
                <w:sz w:val="20"/>
                <w:szCs w:val="20"/>
                <w:color w:val="auto"/>
              </w:rPr>
            </w:pPr>
            <w:r>
              <w:rPr>
                <w:rFonts w:ascii="Arial" w:cs="Arial" w:eastAsia="Arial" w:hAnsi="Arial"/>
                <w:sz w:val="18"/>
                <w:szCs w:val="18"/>
                <w:color w:val="auto"/>
              </w:rPr>
              <w:t>BY:  /s/ Elizabeth L. DelBianco</w:t>
            </w:r>
          </w:p>
        </w:tc>
        <w:tc>
          <w:tcPr>
            <w:tcW w:w="40" w:type="dxa"/>
            <w:vAlign w:val="bottom"/>
          </w:tcPr>
          <w:p>
            <w:pPr>
              <w:spacing w:after="0"/>
              <w:rPr>
                <w:sz w:val="24"/>
                <w:szCs w:val="24"/>
                <w:color w:val="auto"/>
              </w:rPr>
            </w:pPr>
          </w:p>
        </w:tc>
      </w:tr>
      <w:tr>
        <w:trPr>
          <w:trHeight w:val="195"/>
        </w:trPr>
        <w:tc>
          <w:tcPr>
            <w:tcW w:w="5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Elizabeth L. DelBianco</w:t>
            </w:r>
          </w:p>
        </w:tc>
        <w:tc>
          <w:tcPr>
            <w:tcW w:w="4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80"/>
              <w:spacing w:after="0"/>
              <w:rPr>
                <w:sz w:val="20"/>
                <w:szCs w:val="20"/>
                <w:color w:val="auto"/>
              </w:rPr>
            </w:pPr>
            <w:r>
              <w:rPr>
                <w:rFonts w:ascii="Arial" w:cs="Arial" w:eastAsia="Arial" w:hAnsi="Arial"/>
                <w:sz w:val="18"/>
                <w:szCs w:val="18"/>
                <w:color w:val="auto"/>
              </w:rPr>
              <w:t>Chief Legal Officer</w:t>
            </w:r>
          </w:p>
        </w:tc>
        <w:tc>
          <w:tcPr>
            <w:tcW w:w="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20" w:type="dxa"/>
            <w:vAlign w:val="bottom"/>
          </w:tcPr>
          <w:p>
            <w:pPr>
              <w:jc w:val="right"/>
              <w:ind w:right="69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4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30" w:right="199" w:bottom="59" w:gutter="0" w:footer="0" w:header="0"/>
        </w:sectPr>
      </w:pPr>
    </w:p>
    <w:bookmarkStart w:id="1" w:name="page2"/>
    <w:bookmarkEnd w:id="1"/>
    <w:p>
      <w:pPr>
        <w:jc w:val="right"/>
        <w:ind w:right="3839"/>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  Press Release, dated April 24, 2008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6"/>
          <w:szCs w:val="16"/>
          <w:b w:val="1"/>
          <w:bCs w:val="1"/>
          <w:color w:val="auto"/>
        </w:rPr>
        <w:t>Thursday, April 24, 2008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U.S. dollars.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 share information based on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unless noted otherwise.)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ANNOUNCES FIRST QUARTER 2008 FINANCIAL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Quarter Summary</w:t>
      </w:r>
    </w:p>
    <w:p>
      <w:pPr>
        <w:spacing w:after="0" w:line="229"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$1,836 million compared to $1,842 million for the same period last year</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earnings of $0.13 per share compared to a loss of ($0.15) per share last year</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net earnings of $0.15 per share compared to a loss of ($0.04) per share a year ago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margin of 2.7%, gross margin of 6.3%</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Inventory turnover of 8.6 turns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 on invested capital including intangibles of 10.5% compared to 1.1% last year</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Free cash flow of $33 million, cash balance of $1.149 billion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Q2/08 revenue guidance $1.8 - $2.0 billion, adjusted net earnings per share of $0.13 - - $0.19</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TORONTO, Canada - Celestica Inc. (NYSE, TSX: CLS), a global provider of electronics manufacturing services (EMS), today announced financial results for the first quarter ended March 31, 2008.</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 was $1,836 million compared to $1,842 million in the first quarter of 2007. Net earnings on a GAAP basis for the first quarter was $29.8 million or $0.13 per share, compared to GAAP net loss of ($34.3) million or ($0.15) per share for the same period last year. Restructuring charges in the quarter were $3.3 million compared to $8.0 million for the same period last year.</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Adjusted net earnings for the quarter were $35.4 million or $0.15 per share, compared to adjusted net loss of ($9.1) million or ($0.04) per share for the same period last year. Adjusted net earnings (loss) is defined as net earnings before other charges, amortization of intangible assets, integration costs related to acquisitions, option expense, option exchange costs and gains or losses on the repurchase of shares and debt, net of tax and significant deferred tax write-offs or recovery (detailed GAAP financial statements and supplementary information related to adjusted net earnings appear at the end of this press release).</w:t>
      </w:r>
    </w:p>
    <w:p>
      <w:pPr>
        <w:spacing w:after="0" w:line="15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These results compare with the company’s guidance for the first quarter, announced on January 31, 2008 of revenue of $1.7 billion to $1.9 billion and adjusted net earnings per share of $0.06 to $0.11.</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“Celestica delivered another strong performance in the first quarter of 2008 in all of its key financial and operating metrics,” said Craig Muhlhauser, President and Chief Executive Officer, Celestica. “With our strong financial position and continuously improving operational performance, we feel Celestica is well positioned for continued progress in 2008 and beyond.”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second quarter ending June 30, 2008, the company anticipates revenue to be in the range of $1.8 billion to $2.0 billion, and adjusted net earnings per share to range from $0.13 to $0.19.</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and Annual Shareholders Meeting Webcasts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Management will host its quarterly results conference call today at 8:00 a.m. Eastern Time. The webcast can be accessed at www.celestica.com.</w:t>
      </w:r>
    </w:p>
    <w:p>
      <w:pPr>
        <w:spacing w:after="0" w:line="23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company’s Annual Meeting of Shareholders will be held today at 10:00 a.m. at The Dominion Club, 1 King St. West, Toronto. A live webcast of management’s presentation can also be heard at www.celestica.com at approximately 10:10 a.m. Eastern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Supplementary Information</w:t>
      </w:r>
    </w:p>
    <w:p>
      <w:pPr>
        <w:spacing w:after="0" w:line="229"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In addition to disclosing detailed results in accordance with Canadian generally accepted accounting principles (GAAP), Celestica also provides supplementary non-GAAP measures as a method to evaluate the company’s operating performance.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 uses adjusted net earnings as a measure of enterprise-wide performance. As a result of restructuring activities, acquisitions made by the company, fair value accounting for stock options and securities repurchases, management believes adjusted net earnings is a useful measure for the company as well as its investors to facilitate period-to-period operating comparisons and allow the comparison of operating results with its competitors in the U.S. and Asia. Adjusted net earnings excludes the effects of other charges (most significantly, restructuring costs and the write-down of goodwill and long-lived assets), acquisition-related charges (amortization of intangible assets and integration costs related to acquisitions), option expense and option exchange costs, gains or losses on the repurchase of shares or debt and the related income tax effect of these adjustments and any significant deferred tax write-offs or recovery. Adjusted net earnings does not have any standardized meaning prescribed by GAAP and is not necessarily comparable to similar measures presented by other companies. Adjusted net earnings is not a measure of performance under Canadian or U.S. GAAP and should not be considered in isolation or as a substitute for net earnings (loss) prepared in accordance with Canadian or U.S. GAAP. The company has provided a reconciliation of adjusted net earnings (loss) to Canadian GAAP net earnings (loss)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Celestica</w:t>
      </w:r>
    </w:p>
    <w:p>
      <w:pPr>
        <w:sectPr>
          <w:pgSz w:w="11900" w:h="16838" w:orient="portrait"/>
          <w:cols w:equalWidth="0" w:num="1">
            <w:col w:w="11420"/>
          </w:cols>
          <w:pgMar w:left="240" w:top="121" w:right="239" w:bottom="144" w:gutter="0" w:footer="0" w:header="0"/>
        </w:sectPr>
      </w:pPr>
    </w:p>
    <w:bookmarkStart w:id="3" w:name="page4"/>
    <w:bookmarkEnd w:id="3"/>
    <w:p>
      <w:pPr>
        <w:jc w:val="both"/>
        <w:ind w:right="120"/>
        <w:spacing w:after="0" w:line="279" w:lineRule="auto"/>
        <w:rPr>
          <w:sz w:val="20"/>
          <w:szCs w:val="20"/>
          <w:color w:val="auto"/>
        </w:rPr>
      </w:pPr>
      <w:r>
        <w:rPr>
          <w:rFonts w:ascii="Arial" w:cs="Arial" w:eastAsia="Arial" w:hAnsi="Arial"/>
          <w:sz w:val="17"/>
          <w:szCs w:val="17"/>
          <w:color w:val="auto"/>
        </w:rPr>
        <w:t>Celestica is dedicated to delivering end-to-end product lifecycle solutions to drive our customers’ success. Through our simplified global operations network and information technology platform, we are solid partners who deliver informed, flexible solutions that enable our customers to succeed in the markets they serve. Committed to providing a truly differentiated customer experience, our agile and adaptive employees share a proud history of demonstrated expertise and creativity that provides our customers with the ability to overcome any challenge.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Celestica, visit its website at http://www.celestica.com.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security filings can also be accessed at http://www.sedar.com and http://www.sec.gov.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Safe Harbour and Fair Disclosure Statement</w:t>
      </w:r>
    </w:p>
    <w:p>
      <w:pPr>
        <w:spacing w:after="0" w:line="225"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i w:val="1"/>
          <w:iCs w:val="1"/>
          <w:color w:val="auto"/>
        </w:rPr>
        <w:t>This news release contains forward-looking statements related to our future growth, trends in our industry, our financial and or operational results, and our financial or operational performance. Such forward-looking statements are predictive in nature, and may be based on current expectations, forecasts or assumptions involving risks and uncertainties that could cause actual outcomes and results to differ materially from the forward-looking statements themselves. Such forward-looking statements may, without limitation, be preceded by, followed by, or include words such as “believes”, “expects”, “anticipates”, “estimates”, “intends”, “plans”, or similar expressions, or may employ such future or conditional verbs as “may”, “will”, “should” or “would”, or may otherwise be indicated as forward-looking statements by grammatical construction, phrasing or context. The risks and uncertainties referred to above include, but are not limited to: variability of operating results among periods; inability to retain or grow our business due to execution problems resulting from significant headcount reductions, plant closures and product transfers associated with major restructuring activities; the effects of price competition and other business and competitive factors generally affecting the EMS industry; the challenges of effectively managing our operations during uncertain economic conditions; our dependence on a limited number of customers; our dependence on industries affected by rapid technological change; the challenge of responding to lower-than-expected customer demand; our ability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successfully manage our international operations; and the delays in the delivery and/or general availability of various components used in our manufacturing process. These and other risks and uncertainties and factors are discussed in the Company’s various public filings at www.sedar.com and www.sec.gov, including our Form 20-F and subsequent reports on Form 6-K filed with the Securities and Exchange Commission. Forward-looking statements are provided for the purpose of providing information about management’s current expectations and plans relating to the future. Readers are cautioned that such information may not be appropriate for other purposes.</w:t>
      </w:r>
    </w:p>
    <w:p>
      <w:pPr>
        <w:spacing w:after="0" w:line="18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As of its date, this press release contains any material information associated with the company’s financial results for the first quarter ended March 31, 2008 and revenue and adjusted net earnings guidance for the second quarter ending June 30, 2008. Revenue and earnings guidance is reviewed by the company’s board of directors. Our revenue and earnings guidance is based on various assumptions by management, which management believes are reasonable under the current circumstances, but may prove to be inaccurate, and many of which involve factors that are beyond the control of the Company. The material assumptions may include assumptions regarding the following: forecasts from our customers, which range from 30 to 90 days; investments associated with ramping new business; general economic and market conditions: currency exchange rates, product pricing levels and competition; anticipated customer demand; supplier performance and pricing; operational and financial matters; technological developments; and the execution of our restructuring plan. These assumptions are based on management’s current views with respect to current plans and events, and are and will be subject to the risks and uncertainties referred to above. It is Celestica’s policy that revenue and earnings guidance is effective on the date given, and will only be updated through a public announcement.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3900" w:type="dxa"/>
            <w:vAlign w:val="bottom"/>
          </w:tcPr>
          <w:p>
            <w:pPr>
              <w:spacing w:after="0"/>
              <w:rPr>
                <w:sz w:val="18"/>
                <w:szCs w:val="18"/>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Laurie Flanagan</w:t>
            </w:r>
          </w:p>
        </w:tc>
        <w:tc>
          <w:tcPr>
            <w:tcW w:w="3900" w:type="dxa"/>
            <w:vAlign w:val="bottom"/>
          </w:tcPr>
          <w:p>
            <w:pPr>
              <w:ind w:left="1880"/>
              <w:spacing w:after="0"/>
              <w:rPr>
                <w:sz w:val="20"/>
                <w:szCs w:val="20"/>
                <w:color w:val="auto"/>
              </w:rPr>
            </w:pPr>
            <w:r>
              <w:rPr>
                <w:rFonts w:ascii="Arial" w:cs="Arial" w:eastAsia="Arial" w:hAnsi="Arial"/>
                <w:sz w:val="18"/>
                <w:szCs w:val="18"/>
                <w:color w:val="auto"/>
              </w:rPr>
              <w:t>Paul Carpino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Celestica Global Communications</w:t>
            </w:r>
          </w:p>
        </w:tc>
        <w:tc>
          <w:tcPr>
            <w:tcW w:w="3900" w:type="dxa"/>
            <w:vAlign w:val="bottom"/>
          </w:tcPr>
          <w:p>
            <w:pPr>
              <w:ind w:left="1880"/>
              <w:spacing w:after="0"/>
              <w:rPr>
                <w:sz w:val="20"/>
                <w:szCs w:val="20"/>
                <w:color w:val="auto"/>
              </w:rPr>
            </w:pPr>
            <w:r>
              <w:rPr>
                <w:rFonts w:ascii="Arial" w:cs="Arial" w:eastAsia="Arial" w:hAnsi="Arial"/>
                <w:sz w:val="18"/>
                <w:szCs w:val="18"/>
                <w:color w:val="auto"/>
                <w:w w:val="89"/>
              </w:rPr>
              <w:t>Celestica Investor Relations</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(416) 448-2200</w:t>
            </w:r>
          </w:p>
        </w:tc>
        <w:tc>
          <w:tcPr>
            <w:tcW w:w="3900" w:type="dxa"/>
            <w:vAlign w:val="bottom"/>
          </w:tcPr>
          <w:p>
            <w:pPr>
              <w:ind w:left="1880"/>
              <w:spacing w:after="0"/>
              <w:rPr>
                <w:sz w:val="20"/>
                <w:szCs w:val="20"/>
                <w:color w:val="auto"/>
              </w:rPr>
            </w:pPr>
            <w:r>
              <w:rPr>
                <w:rFonts w:ascii="Arial" w:cs="Arial" w:eastAsia="Arial" w:hAnsi="Arial"/>
                <w:sz w:val="18"/>
                <w:szCs w:val="18"/>
                <w:color w:val="auto"/>
              </w:rPr>
              <w:t>(416) 448-2211</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media@celestica.com</w:t>
            </w:r>
          </w:p>
        </w:tc>
        <w:tc>
          <w:tcPr>
            <w:tcW w:w="3900" w:type="dxa"/>
            <w:vAlign w:val="bottom"/>
          </w:tcPr>
          <w:p>
            <w:pPr>
              <w:ind w:left="1880"/>
              <w:spacing w:after="0"/>
              <w:rPr>
                <w:sz w:val="20"/>
                <w:szCs w:val="20"/>
                <w:color w:val="auto"/>
              </w:rPr>
            </w:pPr>
            <w:r>
              <w:rPr>
                <w:rFonts w:ascii="Arial" w:cs="Arial" w:eastAsia="Arial" w:hAnsi="Arial"/>
                <w:sz w:val="18"/>
                <w:szCs w:val="18"/>
                <w:color w:val="auto"/>
              </w:rPr>
              <w:t>clsir@celestica.com</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of U.S. dollars)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2"/>
                <w:szCs w:val="12"/>
                <w:color w:val="auto"/>
              </w:rPr>
            </w:pPr>
          </w:p>
        </w:tc>
        <w:tc>
          <w:tcPr>
            <w:tcW w:w="12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2"/>
                <w:szCs w:val="12"/>
                <w:color w:val="auto"/>
              </w:rPr>
            </w:pPr>
          </w:p>
        </w:tc>
        <w:tc>
          <w:tcPr>
            <w:tcW w:w="92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Adjusted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Cost of sales (1)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1,763.7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SG&amp;A (1)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w w:val="94"/>
              </w:rPr>
              <w:t>Integration costs relating to acquisitions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charges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180"/>
              <w:spacing w:after="0"/>
              <w:rPr>
                <w:sz w:val="20"/>
                <w:szCs w:val="20"/>
                <w:color w:val="auto"/>
              </w:rPr>
            </w:pPr>
            <w:r>
              <w:rPr>
                <w:rFonts w:ascii="Arial" w:cs="Arial" w:eastAsia="Arial" w:hAnsi="Arial"/>
                <w:sz w:val="18"/>
                <w:szCs w:val="18"/>
                <w:color w:val="auto"/>
              </w:rPr>
              <w:t>Operating earnings (loss) - EBIAT</w:t>
            </w: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w:t>
            </w: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180"/>
              <w:spacing w:after="0"/>
              <w:rPr>
                <w:sz w:val="20"/>
                <w:szCs w:val="20"/>
                <w:color w:val="auto"/>
              </w:rPr>
            </w:pPr>
            <w:r>
              <w:rPr>
                <w:rFonts w:ascii="Arial" w:cs="Arial" w:eastAsia="Arial" w:hAnsi="Arial"/>
                <w:sz w:val="18"/>
                <w:szCs w:val="18"/>
                <w:color w:val="auto"/>
              </w:rPr>
              <w:t>Net earnings (loss) before tax</w:t>
            </w: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(recovery)</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180"/>
              <w:spacing w:after="0"/>
              <w:rPr>
                <w:sz w:val="20"/>
                <w:szCs w:val="20"/>
                <w:color w:val="auto"/>
              </w:rPr>
            </w:pPr>
            <w:r>
              <w:rPr>
                <w:rFonts w:ascii="Arial" w:cs="Arial" w:eastAsia="Arial" w:hAnsi="Arial"/>
                <w:sz w:val="18"/>
                <w:szCs w:val="18"/>
                <w:color w:val="auto"/>
              </w:rPr>
              <w:t>Net earnings (loss)</w:t>
            </w:r>
          </w:p>
        </w:tc>
        <w:tc>
          <w:tcPr>
            <w:tcW w:w="2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w:t>
            </w:r>
          </w:p>
        </w:tc>
        <w:tc>
          <w:tcPr>
            <w:tcW w:w="2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w w:val="99"/>
              </w:rPr>
              <w:t>W.A. # of shares (in millions) - diluted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228.4</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(loss) per share - diluted</w:t>
            </w: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t>(1) Non - -cash option expense included in cost of sales and SG&amp;A is added back for adjusted net earnings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 SUMMARY</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040" w:type="dxa"/>
            <w:vAlign w:val="bottom"/>
            <w:gridSpan w:val="3"/>
          </w:tcPr>
          <w:p>
            <w:pPr>
              <w:ind w:left="340"/>
              <w:spacing w:after="0"/>
              <w:rPr>
                <w:sz w:val="20"/>
                <w:szCs w:val="20"/>
                <w:color w:val="auto"/>
              </w:rPr>
            </w:pPr>
            <w:r>
              <w:rPr>
                <w:rFonts w:ascii="Arial" w:cs="Arial" w:eastAsia="Arial" w:hAnsi="Arial"/>
                <w:sz w:val="14"/>
                <w:szCs w:val="14"/>
                <w:b w:val="1"/>
                <w:bCs w:val="1"/>
                <w:color w:val="auto"/>
              </w:rPr>
              <w:t>1Q 08 Guidance</w:t>
            </w:r>
          </w:p>
        </w:tc>
        <w:tc>
          <w:tcPr>
            <w:tcW w:w="2000" w:type="dxa"/>
            <w:vAlign w:val="bottom"/>
            <w:gridSpan w:val="2"/>
          </w:tcPr>
          <w:p>
            <w:pPr>
              <w:ind w:left="420"/>
              <w:spacing w:after="0"/>
              <w:rPr>
                <w:sz w:val="20"/>
                <w:szCs w:val="20"/>
                <w:color w:val="auto"/>
              </w:rPr>
            </w:pPr>
            <w:r>
              <w:rPr>
                <w:rFonts w:ascii="Arial" w:cs="Arial" w:eastAsia="Arial" w:hAnsi="Arial"/>
                <w:sz w:val="14"/>
                <w:szCs w:val="14"/>
                <w:b w:val="1"/>
                <w:bCs w:val="1"/>
                <w:color w:val="auto"/>
              </w:rPr>
              <w:t>1Q 08 Actual</w:t>
            </w:r>
          </w:p>
        </w:tc>
        <w:tc>
          <w:tcPr>
            <w:tcW w:w="1780" w:type="dxa"/>
            <w:vAlign w:val="bottom"/>
            <w:gridSpan w:val="3"/>
          </w:tcPr>
          <w:p>
            <w:pPr>
              <w:ind w:left="220"/>
              <w:spacing w:after="0"/>
              <w:rPr>
                <w:sz w:val="20"/>
                <w:szCs w:val="20"/>
                <w:color w:val="auto"/>
              </w:rPr>
            </w:pPr>
            <w:r>
              <w:rPr>
                <w:rFonts w:ascii="Arial" w:cs="Arial" w:eastAsia="Arial" w:hAnsi="Arial"/>
                <w:sz w:val="14"/>
                <w:szCs w:val="14"/>
                <w:b w:val="1"/>
                <w:bCs w:val="1"/>
                <w:color w:val="auto"/>
              </w:rPr>
              <w:t>2Q 08 Guidance (2)</w:t>
            </w:r>
          </w:p>
        </w:tc>
      </w:tr>
      <w:tr>
        <w:trPr>
          <w:trHeight w:val="210"/>
        </w:trPr>
        <w:tc>
          <w:tcPr>
            <w:tcW w:w="4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$1.7B</w:t>
            </w:r>
          </w:p>
        </w:tc>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$1.9B</w:t>
            </w:r>
          </w:p>
        </w:tc>
        <w:tc>
          <w:tcPr>
            <w:tcW w:w="3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$1.8B</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$1.8B</w:t>
            </w: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$2.0B</w:t>
            </w:r>
          </w:p>
        </w:tc>
        <w:tc>
          <w:tcPr>
            <w:tcW w:w="140" w:type="dxa"/>
            <w:vAlign w:val="bottom"/>
            <w:tcBorders>
              <w:top w:val="single" w:sz="8" w:color="CCEEFF"/>
            </w:tcBorders>
            <w:shd w:val="clear" w:color="auto" w:fill="CCEEFF"/>
          </w:tcPr>
          <w:p>
            <w:pPr>
              <w:spacing w:after="0"/>
              <w:rPr>
                <w:sz w:val="18"/>
                <w:szCs w:val="18"/>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Adjusted net EPS</w:t>
            </w: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880" w:type="dxa"/>
            <w:vAlign w:val="bottom"/>
          </w:tcPr>
          <w:p>
            <w:pPr>
              <w:ind w:left="20"/>
              <w:spacing w:after="0"/>
              <w:rPr>
                <w:sz w:val="20"/>
                <w:szCs w:val="20"/>
                <w:color w:val="auto"/>
              </w:rPr>
            </w:pPr>
            <w:r>
              <w:rPr>
                <w:rFonts w:ascii="Arial" w:cs="Arial" w:eastAsia="Arial" w:hAnsi="Arial"/>
                <w:sz w:val="18"/>
                <w:szCs w:val="18"/>
                <w:color w:val="auto"/>
              </w:rPr>
              <w:t>- $0.11</w:t>
            </w:r>
          </w:p>
        </w:tc>
        <w:tc>
          <w:tcPr>
            <w:tcW w:w="380" w:type="dxa"/>
            <w:vAlign w:val="bottom"/>
          </w:tcPr>
          <w:p>
            <w:pPr>
              <w:spacing w:after="0"/>
              <w:rPr>
                <w:sz w:val="20"/>
                <w:szCs w:val="20"/>
                <w:color w:val="auto"/>
              </w:rPr>
            </w:pPr>
          </w:p>
        </w:tc>
        <w:tc>
          <w:tcPr>
            <w:tcW w:w="1640" w:type="dxa"/>
            <w:vAlign w:val="bottom"/>
          </w:tcPr>
          <w:p>
            <w:pPr>
              <w:jc w:val="right"/>
              <w:ind w:right="536"/>
              <w:spacing w:after="0"/>
              <w:rPr>
                <w:sz w:val="20"/>
                <w:szCs w:val="20"/>
                <w:color w:val="auto"/>
              </w:rPr>
            </w:pPr>
            <w:r>
              <w:rPr>
                <w:rFonts w:ascii="Arial" w:cs="Arial" w:eastAsia="Arial" w:hAnsi="Arial"/>
                <w:sz w:val="18"/>
                <w:szCs w:val="18"/>
                <w:color w:val="auto"/>
              </w:rPr>
              <w:t>$0.15</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860" w:type="dxa"/>
            <w:vAlign w:val="bottom"/>
          </w:tcPr>
          <w:p>
            <w:pPr>
              <w:ind w:left="20"/>
              <w:spacing w:after="0"/>
              <w:rPr>
                <w:sz w:val="20"/>
                <w:szCs w:val="20"/>
                <w:color w:val="auto"/>
              </w:rPr>
            </w:pPr>
            <w:r>
              <w:rPr>
                <w:rFonts w:ascii="Arial" w:cs="Arial" w:eastAsia="Arial" w:hAnsi="Arial"/>
                <w:sz w:val="18"/>
                <w:szCs w:val="18"/>
                <w:color w:val="auto"/>
              </w:rPr>
              <w:t>- $0.19</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1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Guidance for the second quarter is provided only on an adjusted net earnings basis. This is due to the difficulty in forecasting the various items impacting GAAP net earnings, such as the amount and timing of our restructuring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Current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941.2</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Prepaid and other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recoverable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466.0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 from business combinations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Intangible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1,029.8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Current portion of long-term debt (note 3)</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Long-term debt (note 3)</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758.3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and post-employment benefits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2,352.3</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(note 10):</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3,585.2</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Contributed surplus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190.3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Deficit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(1,716.3)</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4,470.5</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Guarantees and contingencies (note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These unaudited interim consolidated financial statements should be read in conjunction with the 2007 annual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millions of U.S. dollars, except per share amounts)</w:t>
      </w:r>
    </w:p>
    <w:p>
      <w:pPr>
        <w:sectPr>
          <w:pgSz w:w="11900" w:h="16838" w:orient="portrait"/>
          <w:cols w:equalWidth="0" w:num="1">
            <w:col w:w="11420"/>
          </w:cols>
          <w:pgMar w:left="240" w:top="571" w:right="239" w:bottom="0" w:gutter="0" w:footer="0" w:header="0"/>
        </w:sectPr>
      </w:pPr>
    </w:p>
    <w:bookmarkStart w:id="5" w:name="page6"/>
    <w:bookmarkEnd w:id="5"/>
    <w:p>
      <w:pPr>
        <w:spacing w:after="0" w:line="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3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7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sales</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1,763.7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Integration costs related to acquisitions</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charges (note 4)</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on long-term debt</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 of interest expense</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spacing w:after="0"/>
              <w:rPr>
                <w:sz w:val="20"/>
                <w:szCs w:val="20"/>
                <w:color w:val="auto"/>
              </w:rPr>
            </w:pPr>
            <w:r>
              <w:rPr>
                <w:rFonts w:ascii="Arial" w:cs="Arial" w:eastAsia="Arial" w:hAnsi="Arial"/>
                <w:sz w:val="18"/>
                <w:szCs w:val="18"/>
                <w:color w:val="auto"/>
              </w:rPr>
              <w:t>Earnings (loss) before income taxes</w:t>
            </w:r>
          </w:p>
        </w:tc>
        <w:tc>
          <w:tcPr>
            <w:tcW w:w="2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(recovery):</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Current</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for the period</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2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per share amounts:</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Basic (in millions)</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228.4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(in millions)</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These unaudited interim consolidated financial statements should be read in conjunction with the 2007 annual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255"/>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35"/>
              <w:spacing w:after="0"/>
              <w:rPr>
                <w:sz w:val="20"/>
                <w:szCs w:val="20"/>
                <w:color w:val="auto"/>
              </w:rPr>
            </w:pPr>
            <w:r>
              <w:rPr>
                <w:rFonts w:ascii="Arial" w:cs="Arial" w:eastAsia="Arial" w:hAnsi="Arial"/>
                <w:sz w:val="14"/>
                <w:szCs w:val="14"/>
                <w:b w:val="1"/>
                <w:bCs w:val="1"/>
                <w:color w:val="auto"/>
              </w:rPr>
              <w:t>(unaudited)</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for the period</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gain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Net gain (loss) on derivatives designated as cash flow hedges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on derivatives designated as cash flow hedges reclassified to operations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These unaudited interim consolidated financial statements should be read in conjunction with the 2007 annual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Operations:</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for the period</w:t>
            </w:r>
          </w:p>
        </w:tc>
        <w:tc>
          <w:tcPr>
            <w:tcW w:w="2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Items not affecting cash:</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charge for option issuances</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178"/>
        </w:trPr>
        <w:tc>
          <w:tcPr>
            <w:tcW w:w="56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33"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charges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Changes in non-cash working capital items: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132.2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117.2</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Prepaid and other assets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recoverable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(359.8)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(116.7)</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0"/>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working capital changes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8"/>
                <w:szCs w:val="18"/>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operations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rPr>
          <w:sz w:val="20"/>
          <w:szCs w:val="20"/>
          <w:color w:val="auto"/>
        </w:rPr>
      </w:pPr>
      <w:r>
        <w:rPr>
          <w:rFonts w:ascii="Arial" w:cs="Arial" w:eastAsia="Arial" w:hAnsi="Arial"/>
          <w:sz w:val="18"/>
          <w:szCs w:val="18"/>
          <w:b w:val="1"/>
          <w:bCs w:val="1"/>
          <w:color w:val="auto"/>
        </w:rPr>
        <w:t>Investing:</w:t>
      </w:r>
    </w:p>
    <w:p>
      <w:pPr>
        <w:spacing w:after="0" w:line="27" w:lineRule="exact"/>
        <w:rPr>
          <w:sz w:val="20"/>
          <w:szCs w:val="20"/>
          <w:color w:val="auto"/>
        </w:rPr>
      </w:pPr>
    </w:p>
    <w:p>
      <w:pPr>
        <w:ind w:left="180" w:right="140"/>
        <w:spacing w:after="0" w:line="250" w:lineRule="auto"/>
        <w:rPr>
          <w:sz w:val="20"/>
          <w:szCs w:val="20"/>
          <w:color w:val="auto"/>
        </w:rPr>
      </w:pPr>
      <w:r>
        <w:rPr>
          <w:rFonts w:ascii="Arial" w:cs="Arial" w:eastAsia="Arial" w:hAnsi="Arial"/>
          <w:sz w:val="18"/>
          <w:szCs w:val="18"/>
          <w:color w:val="auto"/>
        </w:rPr>
        <w:t>Purchase of property, plant and equipment Proceeds from sale of assets Other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(used in) investing activities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7" w:lineRule="exact"/>
        <w:rPr>
          <w:sz w:val="20"/>
          <w:szCs w:val="20"/>
          <w:color w:val="auto"/>
        </w:rPr>
      </w:pPr>
    </w:p>
    <w:p>
      <w:pPr>
        <w:ind w:left="180" w:right="1060"/>
        <w:spacing w:after="0" w:line="250" w:lineRule="auto"/>
        <w:rPr>
          <w:sz w:val="20"/>
          <w:szCs w:val="20"/>
          <w:color w:val="auto"/>
        </w:rPr>
      </w:pPr>
      <w:r>
        <w:rPr>
          <w:rFonts w:ascii="Arial" w:cs="Arial" w:eastAsia="Arial" w:hAnsi="Arial"/>
          <w:sz w:val="18"/>
          <w:szCs w:val="18"/>
          <w:color w:val="auto"/>
        </w:rPr>
        <w:t>Repayment of long-term debt Issuance of share capital Other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(used in) financing activities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Increase (decrease) in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beginning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4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(99.6)</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803.7</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-2117725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-1843405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-1568450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-1276985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-1002665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-728345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-436880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-162560</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(note 8)</w:t>
      </w:r>
    </w:p>
    <w:p>
      <w:pPr>
        <w:spacing w:after="0" w:line="200" w:lineRule="exact"/>
        <w:rPr>
          <w:sz w:val="20"/>
          <w:szCs w:val="20"/>
          <w:color w:val="auto"/>
        </w:rPr>
      </w:pPr>
    </w:p>
    <w:p>
      <w:pPr>
        <w:sectPr>
          <w:pgSz w:w="11900" w:h="16838" w:orient="portrait"/>
          <w:cols w:equalWidth="0" w:num="2">
            <w:col w:w="3380" w:space="720"/>
            <w:col w:w="7320"/>
          </w:cols>
          <w:pgMar w:left="240" w:top="140" w:right="239" w:bottom="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These unaudited interim consolidated financial statements should be read in conjunction with the 2007 annual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prepare our financial statements in accordance with generally accepted accounting principles (GAAP) in Canada with a reconciliation to accounting principles generally accepted in the United States, disclosed in note 20 to the 2007 annual consolidated financial statements.</w:t>
      </w:r>
    </w:p>
    <w:p>
      <w:pPr>
        <w:spacing w:after="0" w:line="143"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disclosures contained in these unaudited interim consolidated financial statements do not include all requirements of Canadian GAAP for annual financial statements. These unaudited interim consolidated financial statements should be read in conjunction with the 2007 annual consolidated financial statements. These unaudited interim consolidated financial statements reflect all adjustments which are, in the opinion of management, necessary to present fairly our financial position as at March 31, 2008 and the results of operations and cash flows for the three months ended March 31, 2007 and 2008. These unaudited interim consolidated financial statements are based upon accounting principles consistent with those used and described in the 2007 annual consolidated financial statements, except for the following: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2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Inventories: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January 1, 2008, we adopted CICA Handbook Section 3031, “Inventories,” which requires inventory to be measured at the lower of cost and net realizable value. This standard provides additional guidance on the types of costs that can be capitalized and requires the reversal and disclosure of previous inventory write-downs if economic circumstances have changed to support higher inventory values. The adoption of this standard did not have a material impact on our consolidated financial statements.</w:t>
      </w:r>
    </w:p>
    <w:p>
      <w:pPr>
        <w:spacing w:after="0" w:line="18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 xml:space="preserve">During the first quarter of 2008, we recorded a net inventory provision of </w:t>
      </w:r>
      <w:r>
        <w:rPr>
          <w:rFonts w:ascii="Arial" w:cs="Arial" w:eastAsia="Arial" w:hAnsi="Arial"/>
          <w:sz w:val="15"/>
          <w:szCs w:val="15"/>
          <w:color w:val="auto"/>
        </w:rPr>
        <w:t>$5.4 to</w:t>
      </w:r>
      <w:r>
        <w:rPr>
          <w:rFonts w:ascii="Arial" w:cs="Arial" w:eastAsia="Arial" w:hAnsi="Arial"/>
          <w:sz w:val="16"/>
          <w:szCs w:val="16"/>
          <w:color w:val="auto"/>
        </w:rPr>
        <w:t xml:space="preserve"> write-down the value of our inventory to net realizable value. This net inventory provision is included in cost of sales. There were no significant reversals of previously recorded inventory write-downs during the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Financial instruments: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 xml:space="preserve">Effective January 1, 2008, we adopted CICA Handbook Section 3862, </w:t>
      </w:r>
      <w:r>
        <w:rPr>
          <w:rFonts w:ascii="Arial" w:cs="Arial" w:eastAsia="Arial" w:hAnsi="Arial"/>
          <w:sz w:val="15"/>
          <w:szCs w:val="15"/>
          <w:color w:val="auto"/>
        </w:rPr>
        <w:t>“</w:t>
      </w:r>
      <w:r>
        <w:rPr>
          <w:rFonts w:ascii="Arial" w:cs="Arial" w:eastAsia="Arial" w:hAnsi="Arial"/>
          <w:sz w:val="16"/>
          <w:szCs w:val="16"/>
          <w:color w:val="auto"/>
        </w:rPr>
        <w:t>Financial instruments – disclosures,” and Section 3863, “Financial instruments – presentation.” These standards provide additional guidance on disclosing risks related to recognized and unrecognized financial instruments and how those risks are managed. The adoption of these standards did not have a material impact on our consolidated financial statements.</w:t>
      </w:r>
    </w:p>
    <w:p>
      <w:pPr>
        <w:sectPr>
          <w:pgSz w:w="11900" w:h="16838" w:orient="portrait"/>
          <w:cols w:equalWidth="0" w:num="1">
            <w:col w:w="11420"/>
          </w:cols>
          <w:pgMar w:left="240" w:top="140"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Section 3862 requires us to disclose the classifications of our financial instruments into the following specific categories:</w:t>
      </w:r>
    </w:p>
    <w:p>
      <w:pPr>
        <w:spacing w:after="0" w:line="225" w:lineRule="exact"/>
        <w:rPr>
          <w:sz w:val="20"/>
          <w:szCs w:val="20"/>
          <w:color w:val="auto"/>
        </w:rPr>
      </w:pPr>
    </w:p>
    <w:p>
      <w:pPr>
        <w:spacing w:after="0"/>
        <w:tabs>
          <w:tab w:leader="none" w:pos="6340" w:val="left"/>
        </w:tabs>
        <w:rPr>
          <w:sz w:val="20"/>
          <w:szCs w:val="20"/>
          <w:color w:val="auto"/>
        </w:rPr>
      </w:pPr>
      <w:r>
        <w:rPr>
          <w:rFonts w:ascii="Arial" w:cs="Arial" w:eastAsia="Arial" w:hAnsi="Arial"/>
          <w:sz w:val="18"/>
          <w:szCs w:val="18"/>
          <w:color w:val="auto"/>
        </w:rPr>
        <w:t>· financial assets held-for-trading</w:t>
      </w:r>
      <w:r>
        <w:rPr>
          <w:sz w:val="20"/>
          <w:szCs w:val="20"/>
          <w:color w:val="auto"/>
        </w:rPr>
        <w:tab/>
      </w:r>
      <w:r>
        <w:rPr>
          <w:rFonts w:ascii="Arial" w:cs="Arial" w:eastAsia="Arial" w:hAnsi="Arial"/>
          <w:sz w:val="15"/>
          <w:szCs w:val="15"/>
          <w:color w:val="auto"/>
        </w:rPr>
        <w:t>· loans and receivables</w:t>
      </w:r>
    </w:p>
    <w:p>
      <w:pPr>
        <w:spacing w:after="0" w:line="23" w:lineRule="exact"/>
        <w:rPr>
          <w:sz w:val="20"/>
          <w:szCs w:val="20"/>
          <w:color w:val="auto"/>
        </w:rPr>
      </w:pPr>
    </w:p>
    <w:p>
      <w:pPr>
        <w:spacing w:after="0"/>
        <w:tabs>
          <w:tab w:leader="none" w:pos="6340" w:val="left"/>
        </w:tabs>
        <w:rPr>
          <w:sz w:val="20"/>
          <w:szCs w:val="20"/>
          <w:color w:val="auto"/>
        </w:rPr>
      </w:pPr>
      <w:r>
        <w:rPr>
          <w:rFonts w:ascii="Arial" w:cs="Arial" w:eastAsia="Arial" w:hAnsi="Arial"/>
          <w:sz w:val="18"/>
          <w:szCs w:val="18"/>
          <w:color w:val="auto"/>
        </w:rPr>
        <w:t>· held-for-maturity investments</w:t>
      </w:r>
      <w:r>
        <w:rPr>
          <w:sz w:val="20"/>
          <w:szCs w:val="20"/>
          <w:color w:val="auto"/>
        </w:rPr>
        <w:tab/>
      </w:r>
      <w:r>
        <w:rPr>
          <w:rFonts w:ascii="Arial" w:cs="Arial" w:eastAsia="Arial" w:hAnsi="Arial"/>
          <w:sz w:val="16"/>
          <w:szCs w:val="16"/>
          <w:color w:val="auto"/>
        </w:rPr>
        <w:t>· available-for-sale financial assets</w:t>
      </w:r>
    </w:p>
    <w:p>
      <w:pPr>
        <w:spacing w:after="0" w:line="9" w:lineRule="exact"/>
        <w:rPr>
          <w:sz w:val="20"/>
          <w:szCs w:val="20"/>
          <w:color w:val="auto"/>
        </w:rPr>
      </w:pPr>
    </w:p>
    <w:p>
      <w:pPr>
        <w:spacing w:after="0"/>
        <w:tabs>
          <w:tab w:leader="none" w:pos="6340" w:val="left"/>
        </w:tabs>
        <w:rPr>
          <w:sz w:val="20"/>
          <w:szCs w:val="20"/>
          <w:color w:val="auto"/>
        </w:rPr>
      </w:pPr>
      <w:r>
        <w:rPr>
          <w:rFonts w:ascii="Arial" w:cs="Arial" w:eastAsia="Arial" w:hAnsi="Arial"/>
          <w:sz w:val="18"/>
          <w:szCs w:val="18"/>
          <w:color w:val="auto"/>
        </w:rPr>
        <w:t>· financial liabilities held-for-trading</w:t>
      </w:r>
      <w:r>
        <w:rPr>
          <w:sz w:val="20"/>
          <w:szCs w:val="20"/>
          <w:color w:val="auto"/>
        </w:rPr>
        <w:tab/>
      </w:r>
      <w:r>
        <w:rPr>
          <w:rFonts w:ascii="Arial" w:cs="Arial" w:eastAsia="Arial" w:hAnsi="Arial"/>
          <w:sz w:val="16"/>
          <w:szCs w:val="16"/>
          <w:color w:val="auto"/>
        </w:rPr>
        <w:t>· financial liabilities measured at amortized cost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our financial instruments is as follows: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cash and cash equivalents is comprised of cash and short-term investments. See note 8. Most of our short-term investments are held-to-maturity, except for investments in highly-liquid mutual funds which are held-for-trading. We classify accounts receivable under loans and receivables. Our derivative assets are included in prepaid and other assets, and other long-term assets. Our derivative liabilities are included in accrued liabilities. The majority of our derivative assets and liabilities arise from foreign currency forward contracts and interest rate swap agreements. Our foreign currency forward contracts are recorded at fair value and the majority of our foreign currency forward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contracts are designated as cash flow hedges. Our interest rate swap agreements related to our $500.0 Senior Subordinated Notes due 2011 are recorded at fair value and are designated as fair value hedges. See note 9. Accounts payable and the majority of our accrued liabilities, excluding derivative liabilities, are classified as financial liabilities which are recorded at amortized cost. Our Senior Subordinated Notes, which are recorded in long-term debt, are classified as financial liabilities. See note 3. The carrying values of our Senior Subordinated Notes are comprised of elements recorded at fair value and amortized cost. See note 15 to the 2007 annual consolidated financial statements. We do not currently have any financial assets designated as available-for-sale.</w:t>
      </w:r>
    </w:p>
    <w:p>
      <w:pPr>
        <w:spacing w:after="0" w:line="19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exposed to a variety of financial risks that we face in the normal course of business. Our financial risk management objectives are described in note 15 of the 2007 annual consolidated financial statements. The new disclosures required by Section 3862 are included in note 12.</w:t>
      </w:r>
    </w:p>
    <w:p>
      <w:pPr>
        <w:spacing w:after="0" w:line="14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Effective January 1, 2007, we adopted the CICA standards on financial instruments, hedges and comprehensive income. Section 1530, “Comprehensive income,” Section 3855, “Financial instruments – recognition and measurement,” Section 3861, “Financial instruments – disclosure and presentation,” and Section 3865, “Hedges,” were effective for our first quarter of 2007. These disclosures are included in notes 2(s), 7, 10 and 15 to the 2007 annual consolidated financial statements. On January 1, 2007, we made certain transitional adjustments to our consolidated balance sheet which included an adjustment to opening deficit of $6.4.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Capital disclosures:</w:t>
      </w:r>
    </w:p>
    <w:p>
      <w:pPr>
        <w:spacing w:after="0" w:line="22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Effective January 1, 2008, we adopted CICA Handbook Section 1535, “Capital disclosures,” which provides guidance for disclosing information about an entity’s capital and how it manages its capital. This standard requires the disclosure of the entity’s capital management objectives, policies and processes. See note 13. The adoption of this standard did not have a material impact on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February 2008, the CICA issued Handbook Section 3064, “Goodwill and intangible assets,” which replaces the existing standards. This revised standard establishes guidance for the recognition, measurement and disclosure of goodwill and intangible assets, including internally generated intangible assets. This standard is effective for 2009. We are currently evaluating the impact of adopting this standard on our consolidated financial statements.</w:t>
      </w:r>
    </w:p>
    <w:p>
      <w:pPr>
        <w:spacing w:after="0" w:line="14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Long-term debt:</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Secured, revolving credit facility due 2009 (a)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Senior Subordinated Notes due 2011 (2011 Notes) (b)(c)</w:t>
            </w:r>
          </w:p>
        </w:tc>
        <w:tc>
          <w:tcPr>
            <w:tcW w:w="2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 due 2013 (2013 Notes) (b)</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Embedded prepayment option at fair value (d)</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adjustments on debt obligation (d)</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Unamortized debt issue costs (b)</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adjustment of 2011 Notes attributable to interest rate risks (d)</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r>
      <w:tr>
        <w:trPr>
          <w:trHeight w:val="210"/>
        </w:trPr>
        <w:tc>
          <w:tcPr>
            <w:tcW w:w="7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0"/>
        </w:trPr>
        <w:tc>
          <w:tcPr>
            <w:tcW w:w="7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7"/>
        </w:trPr>
        <w:tc>
          <w:tcPr>
            <w:tcW w:w="78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31" w:lineRule="exact"/>
        <w:rPr>
          <w:sz w:val="20"/>
          <w:szCs w:val="20"/>
          <w:color w:val="auto"/>
        </w:rPr>
      </w:pPr>
    </w:p>
    <w:p>
      <w:pPr>
        <w:ind w:left="340" w:right="260" w:hanging="332"/>
        <w:spacing w:after="0" w:line="286" w:lineRule="auto"/>
        <w:tabs>
          <w:tab w:leader="none" w:pos="351"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a revolving credit facility for $300.0 which matures in April 2009. There were no borrowings outstanding under this facility at March 31, 2008. Commitment fees for the first quarter of 2008 were $0.4. The facility has restrictive covenants relating to debt incurrence and sale of assets and also contains financial covenants that require us to maintain certain financial ratios. We were in compliance with all covenants at</w:t>
      </w:r>
    </w:p>
    <w:p>
      <w:pPr>
        <w:sectPr>
          <w:pgSz w:w="11900" w:h="16838" w:orient="portrait"/>
          <w:cols w:equalWidth="0" w:num="1">
            <w:col w:w="11400"/>
          </w:cols>
          <w:pgMar w:left="240" w:top="125" w:right="259" w:bottom="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31, 2008. Based on the required financial ratios at March 31, 2008, we have full access to the $300.0 available under this facility.</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We also have uncommitted bank overdraft facilities available for operating requirements which total $49.5 at March 31, 2008. There were no borrowings outstanding under these facilities at March 31, 2008.</w:t>
      </w:r>
    </w:p>
    <w:p>
      <w:pPr>
        <w:spacing w:after="0" w:line="170" w:lineRule="exact"/>
        <w:rPr>
          <w:sz w:val="20"/>
          <w:szCs w:val="20"/>
          <w:color w:val="auto"/>
        </w:rPr>
      </w:pPr>
    </w:p>
    <w:p>
      <w:pPr>
        <w:ind w:left="340" w:right="380" w:hanging="332"/>
        <w:spacing w:after="0" w:line="277" w:lineRule="auto"/>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June 2004, we issued the 2011 Notes with an aggregate principal amount of $500.0 and a fixed interest rate of 7.875%. We may redeem the 2011 Notes on July 1, 2008 or later at various premiums above face value.</w:t>
      </w:r>
    </w:p>
    <w:p>
      <w:pPr>
        <w:spacing w:after="0" w:line="170" w:lineRule="exact"/>
        <w:rPr>
          <w:rFonts w:ascii="Arial" w:cs="Arial" w:eastAsia="Arial" w:hAnsi="Arial"/>
          <w:sz w:val="18"/>
          <w:szCs w:val="18"/>
          <w:color w:val="auto"/>
        </w:rPr>
      </w:pPr>
    </w:p>
    <w:p>
      <w:pPr>
        <w:ind w:left="340" w:right="380"/>
        <w:spacing w:after="0" w:line="277" w:lineRule="auto"/>
        <w:rPr>
          <w:rFonts w:ascii="Arial" w:cs="Arial" w:eastAsia="Arial" w:hAnsi="Arial"/>
          <w:sz w:val="18"/>
          <w:szCs w:val="18"/>
          <w:color w:val="auto"/>
        </w:rPr>
      </w:pPr>
      <w:r>
        <w:rPr>
          <w:rFonts w:ascii="Arial" w:cs="Arial" w:eastAsia="Arial" w:hAnsi="Arial"/>
          <w:sz w:val="18"/>
          <w:szCs w:val="18"/>
          <w:color w:val="auto"/>
        </w:rPr>
        <w:t>In June 2005, we issued the 2013 Notes with an aggregate principal amount of $250.0 and a fixed interest rate of 7.625%. We may redeem the 2013 Notes on July 1, 2009 or later at various premiums above face value.</w:t>
      </w:r>
    </w:p>
    <w:p>
      <w:pPr>
        <w:spacing w:after="0" w:line="170" w:lineRule="exact"/>
        <w:rPr>
          <w:rFonts w:ascii="Arial" w:cs="Arial" w:eastAsia="Arial" w:hAnsi="Arial"/>
          <w:sz w:val="18"/>
          <w:szCs w:val="18"/>
          <w:color w:val="auto"/>
        </w:rPr>
      </w:pPr>
    </w:p>
    <w:p>
      <w:pPr>
        <w:ind w:left="340" w:right="360"/>
        <w:spacing w:after="0" w:line="340" w:lineRule="auto"/>
        <w:rPr>
          <w:rFonts w:ascii="Arial" w:cs="Arial" w:eastAsia="Arial" w:hAnsi="Arial"/>
          <w:sz w:val="18"/>
          <w:szCs w:val="18"/>
          <w:color w:val="auto"/>
        </w:rPr>
      </w:pPr>
      <w:r>
        <w:rPr>
          <w:rFonts w:ascii="Arial" w:cs="Arial" w:eastAsia="Arial" w:hAnsi="Arial"/>
          <w:sz w:val="15"/>
          <w:szCs w:val="15"/>
          <w:color w:val="auto"/>
        </w:rPr>
        <w:t>The 2011 and 2013 Notes are unsecured and are subordinated in right of payment to all our senior debt. The 2011 and 2013 Notes have restrictive covenants that limit our ability to pay dividends, repurchase our own stock or repay debt that is subordinated to these Notes. These covenants also place limitations on debt incurrence, the sale of assets and our ability to incur additional debt. We were in compliance with all covenants at March 31, 2008.</w:t>
      </w:r>
    </w:p>
    <w:p>
      <w:pPr>
        <w:spacing w:after="0" w:line="131" w:lineRule="exact"/>
        <w:rPr>
          <w:rFonts w:ascii="Arial" w:cs="Arial" w:eastAsia="Arial" w:hAnsi="Arial"/>
          <w:sz w:val="18"/>
          <w:szCs w:val="18"/>
          <w:color w:val="auto"/>
        </w:rPr>
      </w:pPr>
    </w:p>
    <w:p>
      <w:pPr>
        <w:ind w:left="340" w:right="200" w:hanging="332"/>
        <w:spacing w:after="0" w:line="264" w:lineRule="auto"/>
        <w:tabs>
          <w:tab w:leader="none" w:pos="35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2011 Notes, we entered into agreements to swap the fixed interest rate with a variable interest rate based on LIBOR plus a margin. The average interest rate on the 2011 Notes was 7.7% for the first quarter of 2008 (8.4% – first quarter of 2007). The fair value of the interest rate swap agreements is disclosed in note 9(ii).</w:t>
      </w:r>
    </w:p>
    <w:p>
      <w:pPr>
        <w:spacing w:after="0" w:line="181" w:lineRule="exact"/>
        <w:rPr>
          <w:rFonts w:ascii="Arial" w:cs="Arial" w:eastAsia="Arial" w:hAnsi="Arial"/>
          <w:sz w:val="18"/>
          <w:szCs w:val="18"/>
          <w:color w:val="auto"/>
        </w:rPr>
      </w:pPr>
    </w:p>
    <w:p>
      <w:pPr>
        <w:ind w:left="340" w:right="80" w:hanging="287"/>
        <w:spacing w:after="0" w:line="291" w:lineRule="auto"/>
        <w:tabs>
          <w:tab w:leader="none" w:pos="352"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prepayment options in the 2011 and 2013 Notes qualify as embedded derivatives which must be bifurcated for reporting under the financial instruments standards. As of March 31, 2008, the fair value of the embedded derivative asset is $10.5 and is recorded against long-term debt. The increase in the fair value of the embedded derivative asset of $4.0 for the first quarter of 2008 is recorded as a reduction of interest expense on long-term debt. As a result of bifurcating the prepayment option from these Notes, a basis adjustment is added to the cost of the long-term debt. This basis adjustment is amortized over the term of the debt using the effective interest rate method. The amortization of the basis adjustment of $0.3 for the first quarter of 2008 is recorded as a reduction of interest expense on long-term debt. The change in the fair value of the debt obligation attributable to movement in the benchmark interest rates resulted in a loss of $16.0 for the first quarter of 2008, which increased interest expense on long-term debt.</w:t>
      </w:r>
    </w:p>
    <w:p>
      <w:pPr>
        <w:spacing w:after="0" w:line="16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charges:</w:t>
      </w:r>
    </w:p>
    <w:p>
      <w:pPr>
        <w:spacing w:after="0" w:line="221"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Three months ended</w:t>
      </w:r>
    </w:p>
    <w:p>
      <w:pPr>
        <w:jc w:val="center"/>
        <w:ind w:left="79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78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10"/>
        </w:trPr>
        <w:tc>
          <w:tcPr>
            <w:tcW w:w="7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2001 to 2004 restructuring (a)</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2005 to 2008 restructuring (b)</w:t>
            </w:r>
          </w:p>
        </w:tc>
        <w:tc>
          <w:tcPr>
            <w:tcW w:w="10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restructuring</w:t>
            </w: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78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2001 to 2004 restructuring:</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2001, we announced a restructuring plan in response to the weak end-markets in the enterprise computing and telecommunications industries. In response to the prolonged difficult end-market conditions, we announced a second restructuring plan in July 2002. The weak demand for our manufacturing services resulted in an accelerated move to lower-cost geographies and additional restructuring in the Americas and Europe. In January 2003, we announced further reductions to our manufacturing capacity in Europe. In 2004, we announced plans to further restructure our operations to better align capacity with customers’ requirements.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These restructuring actions were focused on consolidating facilities, reducing the workforce, and transferring programs to lower-cost geographies. The majority of the employees terminated were manufacturing and plant employees. For leased facilities that were no longer used, the lease costs included in the restructuring costs represent future lease payments less estimated sublease recoveries. Adjustments were made to lease and other contractual obligations to reflect incremental cancellation fees paid for terminating certain facility leases and to reflect higher accruals for other leases due to delays in the timing of sublease recoveries and changes in estimated sublease rates, relating principally to facilities in the Americas.</w:t>
      </w:r>
    </w:p>
    <w:p>
      <w:pPr>
        <w:sectPr>
          <w:pgSz w:w="11900" w:h="16838" w:orient="portrait"/>
          <w:cols w:equalWidth="0" w:num="1">
            <w:col w:w="11400"/>
          </w:cols>
          <w:pgMar w:left="240" w:top="341" w:right="259" w:bottom="87"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We have completed the major components of these restructuring plans, except for certain long-term lease and other contractual obligations, which will be paid out over the remaining lease terms through 2015. The restructuring liability is recorded in accrued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lease and other contractual obligations accrual are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980" w:type="dxa"/>
            <w:vAlign w:val="bottom"/>
          </w:tcPr>
          <w:p>
            <w:pPr>
              <w:jc w:val="center"/>
              <w:ind w:left="307"/>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98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89"/>
              </w:rPr>
              <w:t>accrued</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980" w:type="dxa"/>
            <w:vAlign w:val="bottom"/>
          </w:tcPr>
          <w:p>
            <w:pPr>
              <w:jc w:val="center"/>
              <w:ind w:left="307"/>
              <w:spacing w:after="0"/>
              <w:rPr>
                <w:sz w:val="20"/>
                <w:szCs w:val="20"/>
                <w:color w:val="auto"/>
              </w:rPr>
            </w:pPr>
            <w:r>
              <w:rPr>
                <w:rFonts w:ascii="Arial" w:cs="Arial" w:eastAsia="Arial" w:hAnsi="Arial"/>
                <w:sz w:val="14"/>
                <w:szCs w:val="14"/>
                <w:b w:val="1"/>
                <w:bCs w:val="1"/>
                <w:color w:val="auto"/>
                <w:w w:val="99"/>
              </w:rPr>
              <w:t>liability</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charge</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Cash payments</w:t>
            </w:r>
          </w:p>
        </w:tc>
        <w:tc>
          <w:tcPr>
            <w:tcW w:w="9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20"/>
                <w:szCs w:val="20"/>
                <w:color w:val="auto"/>
              </w:rPr>
            </w:pPr>
            <w:r>
              <w:rPr>
                <w:rFonts w:ascii="Arial" w:cs="Arial" w:eastAsia="Arial" w:hAnsi="Arial"/>
                <w:sz w:val="18"/>
                <w:szCs w:val="18"/>
                <w:color w:val="auto"/>
              </w:rPr>
              <w:t>March 31, 2008</w:t>
            </w: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2005 to 2008 restructuring:</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In January 2005, we announced plans to further improve capacity utilization and accelerate margin improvements. These restructuring actions included facility closures and a reduction in workforce, primarily targeting our higher-cost geographies where end-market demand had not recovered to the levels required to achieve sustainable profitability. We expected to complete these restructuring actions by the end of 2006.</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However, in light of our operating results in 2006 and in the course of preparing our 2007 plan in the fourth quarter of 2006, we identified additional restructuring actions. These restructuring actions included additional downsizing of workforces to reflect the volume reductions at certain facilities and to reduce overhead costs, which we expected to complete in 2007.</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course of preparing our 2008 plan in the fourth quarter of 2007, we identified additional restructuring actions to drive further operational improvements throughout our manufacturing network. These restructuring actions will reduce our workforce and will include the closure of certain facilities. We plan to consolidate the programs from the facilities we close into our other facilities. As we complete these restructuring actions, our overall utilization and operating efficiency should improve, allowing us to service our customers through fewer and more cost-effective facilities. When the detailed plans of these restructuring actions are finalized in</w:t>
      </w:r>
    </w:p>
    <w:p>
      <w:pPr>
        <w:spacing w:after="0" w:line="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mid-2008, we will recognize the related charges. We estimate the additional restructuring charges will be in the range of $50 to $75 which will be recorded in 2008. We expect to complete these actions by mid-2009.</w:t>
      </w:r>
    </w:p>
    <w:p>
      <w:pPr>
        <w:spacing w:after="0" w:line="18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March 31, 2008, we have recorded aggregate termination costs, incurred since 2005, relating to approximately 8,700 employees, primarily operations and plant employees. Approximately 8,400 of these employees have been terminated as of March 31, 2008 with the balance of these terminations to occur by the end of 2008. Approximately 60% of employee terminations are in the Americas, 30% in Europe and 10% in Asia. Our lease and other contractual obligations will be paid out over the remaining lease terms through 2010. The restructuring liability is recorded in accrued liabilities.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2008 activity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Lease and</w:t>
            </w:r>
          </w:p>
        </w:tc>
        <w:tc>
          <w:tcPr>
            <w:tcW w:w="180" w:type="dxa"/>
            <w:vAlign w:val="bottom"/>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Facility</w:t>
            </w:r>
          </w:p>
        </w:tc>
        <w:tc>
          <w:tcPr>
            <w:tcW w:w="20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Non-cash</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termination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exit costs</w:t>
            </w:r>
          </w:p>
        </w:tc>
        <w:tc>
          <w:tcPr>
            <w:tcW w:w="20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accrued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costs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obligations</w:t>
            </w: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and other</w:t>
            </w:r>
          </w:p>
        </w:tc>
        <w:tc>
          <w:tcPr>
            <w:tcW w:w="2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liability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charge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charge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March 31, 2008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summary:</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expected to incur restructuring charges of between $50 and $75 for 2008. During the first quarter of 2008, we recorded restructuring charges of $3.3. We expect to record the remainder of these restructuring charges throughout 2008 and to complete these actions by mid-2009.</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2008, we have approximately $25 in assets that are available-for-sale, primarily land and buildings, as a result of the restructuring actions we implemented. We have programs underway to sell these assets.</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non-pension post-employment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the following pension expense:</w:t>
      </w:r>
    </w:p>
    <w:p>
      <w:pPr>
        <w:spacing w:after="0" w:line="217"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79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10"/>
        </w:trPr>
        <w:tc>
          <w:tcPr>
            <w:tcW w:w="7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Pension plans</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 benefit plans</w:t>
            </w:r>
          </w:p>
        </w:tc>
        <w:tc>
          <w:tcPr>
            <w:tcW w:w="9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r>
        <w:trPr>
          <w:trHeight w:val="217"/>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w:t>
            </w:r>
          </w:p>
        </w:tc>
        <w:tc>
          <w:tcPr>
            <w:tcW w:w="98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sectPr>
      </w:pPr>
    </w:p>
    <w:bookmarkStart w:id="10" w:name="page11"/>
    <w:bookmarkEnd w:id="10"/>
    <w:p>
      <w:pPr>
        <w:spacing w:after="0" w:line="6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other stock-based payments: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have granted stock options as part of our long-term incentive plans. The estimated fair value of options is amortized to expense over the vesting period, on a straight-line basis, and was determined using the Black-Scholes option pricing model with the following weighted average assumptions:</w:t>
      </w:r>
    </w:p>
    <w:p>
      <w:pPr>
        <w:spacing w:after="0" w:line="138"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7900" w:type="dxa"/>
            <w:vAlign w:val="bottom"/>
          </w:tcPr>
          <w:p>
            <w:pPr>
              <w:spacing w:after="0"/>
              <w:rPr>
                <w:sz w:val="12"/>
                <w:szCs w:val="12"/>
                <w:color w:val="auto"/>
              </w:rPr>
            </w:pPr>
          </w:p>
        </w:tc>
        <w:tc>
          <w:tcPr>
            <w:tcW w:w="13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2"/>
                <w:szCs w:val="12"/>
                <w:color w:val="auto"/>
              </w:rPr>
            </w:pPr>
          </w:p>
        </w:tc>
      </w:tr>
      <w:tr>
        <w:trPr>
          <w:trHeight w:val="210"/>
        </w:trPr>
        <w:tc>
          <w:tcPr>
            <w:tcW w:w="7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- 2.7%</w:t>
            </w: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0.0%</w:t>
            </w:r>
          </w:p>
        </w:tc>
        <w:tc>
          <w:tcPr>
            <w:tcW w:w="2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 of the expected market price of our shares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- 52%</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- 59%</w:t>
            </w: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740" w:type="dxa"/>
            <w:vAlign w:val="bottom"/>
          </w:tcPr>
          <w:p>
            <w:pPr>
              <w:ind w:left="20"/>
              <w:spacing w:after="0"/>
              <w:rPr>
                <w:sz w:val="20"/>
                <w:szCs w:val="20"/>
                <w:color w:val="auto"/>
              </w:rPr>
            </w:pPr>
            <w:r>
              <w:rPr>
                <w:rFonts w:ascii="Arial" w:cs="Arial" w:eastAsia="Arial" w:hAnsi="Arial"/>
                <w:sz w:val="18"/>
                <w:szCs w:val="18"/>
                <w:color w:val="auto"/>
              </w:rPr>
              <w:t>- 5.5</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740" w:type="dxa"/>
            <w:vAlign w:val="bottom"/>
          </w:tcPr>
          <w:p>
            <w:pPr>
              <w:ind w:left="40"/>
              <w:spacing w:after="0"/>
              <w:rPr>
                <w:sz w:val="20"/>
                <w:szCs w:val="20"/>
                <w:color w:val="auto"/>
              </w:rPr>
            </w:pPr>
            <w:r>
              <w:rPr>
                <w:rFonts w:ascii="Arial" w:cs="Arial" w:eastAsia="Arial" w:hAnsi="Arial"/>
                <w:sz w:val="18"/>
                <w:szCs w:val="18"/>
                <w:color w:val="auto"/>
              </w:rPr>
              <w:t>- 5.5</w:t>
            </w: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$2.54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$3.24</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Compensation expense for the three months ended March 31, 2008 was $1.7 (three months ended March 31, 2007 was $1.6) relating to the fair value of options granted.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stock plans are described in note 9 to the 2007 annual consolidated financial statements.</w:t>
      </w:r>
    </w:p>
    <w:p>
      <w:pPr>
        <w:spacing w:after="0" w:line="22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accounting standards establish the criteria for the disclosure of certain information in the interim and annual financial statements regarding operating segments, products and services and major customers. Operating segments are defined as components of an enterprise for which separate financial information is available that is regularly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evaluated by the chief operating decision maker in deciding how to allocate resources and in assessing performance.</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evaluate financial information for purposes of making decisions and assessing financial performance based on the types of services we offer. We have one operating segment which is comprised of electronics manufacturing services. Our chief operating decision maker is our Chief Executive Officer.</w:t>
      </w:r>
    </w:p>
    <w:p>
      <w:pPr>
        <w:spacing w:after="0" w:line="124" w:lineRule="exact"/>
        <w:rPr>
          <w:sz w:val="20"/>
          <w:szCs w:val="20"/>
          <w:color w:val="auto"/>
        </w:rPr>
      </w:pPr>
    </w:p>
    <w:p>
      <w:pPr>
        <w:ind w:left="380" w:right="100" w:hanging="372"/>
        <w:spacing w:after="0" w:line="26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table indicates revenue by end market as a percentage of total revenue. Our revenue fluctuates from period to period depending on numerous factors, including but not limited to: seasonality of business, the level of business from new, existing and disengaging customers, the level of program wins or losses, the phasing in or out of programs, and changes in customer demand.</w:t>
      </w:r>
    </w:p>
    <w:p>
      <w:pPr>
        <w:spacing w:after="0" w:line="173"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Three months ended</w:t>
      </w:r>
    </w:p>
    <w:p>
      <w:pPr>
        <w:jc w:val="center"/>
        <w:ind w:left="79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78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7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communications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Servers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Storage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Industrial, aerospace and defense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(ii)  For the first quarter of 2008, no customers represented more than 10% of total revenue (first quarter of 2007 — two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Supplemental cash flow information:</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Paid (recovered) during the period:</w:t>
            </w: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gridSpan w:val="2"/>
            <w:vMerge w:val="continue"/>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Taxes (b)</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196850</wp:posOffset>
            </wp:positionV>
            <wp:extent cx="17240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97" w:lineRule="exact"/>
        <w:rPr>
          <w:sz w:val="20"/>
          <w:szCs w:val="20"/>
          <w:color w:val="auto"/>
        </w:rPr>
      </w:pPr>
    </w:p>
    <w:p>
      <w:pPr>
        <w:ind w:left="940" w:right="220" w:hanging="608"/>
        <w:spacing w:after="0" w:line="342" w:lineRule="auto"/>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includes interest paid on the 2011 and 2013 Notes. Interest on these Notes is payable in January and July of each year until maturity. See notes 3 (b) and (c). The interest paid on the 2011 Notes reflect the amounts received or paid relating to the interest rate swap agreements.</w:t>
      </w:r>
    </w:p>
    <w:p>
      <w:pPr>
        <w:spacing w:after="0" w:line="123" w:lineRule="exact"/>
        <w:rPr>
          <w:rFonts w:ascii="Arial" w:cs="Arial" w:eastAsia="Arial" w:hAnsi="Arial"/>
          <w:sz w:val="16"/>
          <w:szCs w:val="16"/>
          <w:color w:val="auto"/>
        </w:rPr>
      </w:pPr>
    </w:p>
    <w:p>
      <w:pPr>
        <w:ind w:left="940" w:hanging="608"/>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taxes paid is net of any income taxes recovered.</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Cash is comprised of the following:</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December 31</w:t>
            </w:r>
          </w:p>
        </w:tc>
        <w:tc>
          <w:tcPr>
            <w:tcW w:w="2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77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788.0</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37"/>
        </w:trPr>
        <w:tc>
          <w:tcPr>
            <w:tcW w:w="77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118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auto"/>
            </w:tcBorders>
            <w:shd w:val="clear" w:color="auto" w:fill="CCEEFF"/>
          </w:tcPr>
          <w:p>
            <w:pPr>
              <w:spacing w:after="0"/>
              <w:rPr>
                <w:sz w:val="3"/>
                <w:szCs w:val="3"/>
                <w:color w:val="auto"/>
              </w:rPr>
            </w:pPr>
          </w:p>
        </w:tc>
        <w:tc>
          <w:tcPr>
            <w:tcW w:w="108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360"/>
          </w:cols>
          <w:pgMar w:left="240" w:top="337" w:right="299" w:bottom="0" w:gutter="0" w:footer="0" w:header="0"/>
        </w:sectPr>
      </w:pPr>
    </w:p>
    <w:bookmarkStart w:id="11" w:name="page12"/>
    <w:bookmarkEnd w:id="11"/>
    <w:p>
      <w:pPr>
        <w:spacing w:after="0" w:line="62" w:lineRule="exact"/>
        <w:rPr>
          <w:sz w:val="20"/>
          <w:szCs w:val="20"/>
          <w:color w:val="auto"/>
        </w:rPr>
      </w:pPr>
    </w:p>
    <w:p>
      <w:pPr>
        <w:ind w:left="8300"/>
        <w:spacing w:after="0"/>
        <w:tabs>
          <w:tab w:leader="none" w:pos="9120" w:val="left"/>
          <w:tab w:leader="none" w:pos="9920" w:val="left"/>
          <w:tab w:leader="none" w:pos="10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1,116.7</w:t>
        <w:tab/>
        <w:t>$</w:t>
      </w:r>
      <w:r>
        <w:rPr>
          <w:sz w:val="20"/>
          <w:szCs w:val="20"/>
          <w:color w:val="auto"/>
        </w:rPr>
        <w:tab/>
      </w:r>
      <w:r>
        <w:rPr>
          <w:rFonts w:ascii="Arial" w:cs="Arial" w:eastAsia="Arial" w:hAnsi="Arial"/>
          <w:sz w:val="16"/>
          <w:szCs w:val="16"/>
          <w:color w:val="auto"/>
        </w:rPr>
        <w:t>1,149.3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15430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w:t>
      </w:r>
    </w:p>
    <w:p>
      <w:pPr>
        <w:spacing w:after="0" w:line="229" w:lineRule="exact"/>
        <w:rPr>
          <w:sz w:val="20"/>
          <w:szCs w:val="20"/>
          <w:color w:val="auto"/>
        </w:rPr>
      </w:pPr>
    </w:p>
    <w:p>
      <w:pPr>
        <w:ind w:left="340" w:right="180" w:hanging="332"/>
        <w:spacing w:after="0" w:line="255" w:lineRule="auto"/>
        <w:tabs>
          <w:tab w:leader="none" w:pos="3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enter into foreign currency contracts to hedge foreign currency risks relating to cash flow. At March 31, 2008, we had forward exchange contracts covering various currencies in an aggregate notional amount of $452.0. All derivative financial instruments are recorded at fair value on our consolidated balance sheet. The fair value of these contracts at March 31, 2008 was a net unrealized gain of $10.1 (December 31, 2007 – net unrealized gain of $20.0). As of March 31, 2008, $14.3 of derivative assets are recorded in prepaid and other assets, $4.1 of derivative liabilities are recorded in accrued liabilities, and $0.1 of derivative liabilities are recorded in other long-term liabilities relating to our hedges against foreign currency risks. The decrease in the fair value of these forward exchange contracts is primarily due to the settlement of certain foreign currency forwards, with significant gains, during the quarter.</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right="120" w:hanging="332"/>
        <w:spacing w:after="0" w:line="276" w:lineRule="auto"/>
        <w:tabs>
          <w:tab w:leader="none" w:pos="371"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connection with the issuance of our 2011 Notes in June 2004, we entered into agreements to swap the fixed rate of interest for a variable interest rate. The notional amount of the agreements is $500.0. The agreements mature in July 2011. See note 3(c). Payments or receipts under the swap agreements are recorded in interest expense on long-term debt. The fair value of the interest rate swap agreements at March 31, 2008 was an unrealized gain of $21.5, which is recorded in other long-term assets (December 31, 2007 – unrealized gain of $8.7). The increase in the fair value of the swap agreements of $12.8 for the first quarter of 2008 is recorded as a reduction of interest expense on long-term debt.</w:t>
      </w:r>
    </w:p>
    <w:p>
      <w:pPr>
        <w:spacing w:after="0" w:line="173" w:lineRule="exact"/>
        <w:rPr>
          <w:sz w:val="20"/>
          <w:szCs w:val="20"/>
          <w:color w:val="auto"/>
        </w:rPr>
      </w:pPr>
    </w:p>
    <w:p>
      <w:pPr>
        <w:ind w:left="340" w:right="80"/>
        <w:spacing w:after="0" w:line="257" w:lineRule="auto"/>
        <w:rPr>
          <w:sz w:val="20"/>
          <w:szCs w:val="20"/>
          <w:color w:val="auto"/>
        </w:rPr>
      </w:pPr>
      <w:r>
        <w:rPr>
          <w:rFonts w:ascii="Arial" w:cs="Arial" w:eastAsia="Arial" w:hAnsi="Arial"/>
          <w:sz w:val="18"/>
          <w:szCs w:val="18"/>
          <w:color w:val="auto"/>
        </w:rPr>
        <w:t>Fair value hedge ineffectiveness arises when the change in the fair values of our swap agreements, hedged debt obligation and its embedded derivatives, and the amortization of the related basis adjustments, do not offset each other during a reporting period. The fair value hedge ineffectiveness for our 2011 Notes is recorded in interest expense on long-term debt and amounted to a gain of $1.0 for the first quarter of 2008. This fair value hedge ineffectiveness is primarily driven by the difference in the credit risk used to value our hedged debt obligation as compared to the credit risk used to value our interest rate swaps.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Capital stock</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Contributed</w:t>
            </w:r>
          </w:p>
        </w:tc>
        <w:tc>
          <w:tcPr>
            <w:tcW w:w="240" w:type="dxa"/>
            <w:vAlign w:val="bottom"/>
          </w:tcPr>
          <w:p>
            <w:pPr>
              <w:spacing w:after="0"/>
              <w:rPr>
                <w:sz w:val="14"/>
                <w:szCs w:val="14"/>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surplus</w:t>
            </w: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2006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Change in accounting policy (note 2(ii))</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Warrants cancelled</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costs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 for 2007</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 December 31, 2007</w:t>
            </w:r>
          </w:p>
        </w:tc>
        <w:tc>
          <w:tcPr>
            <w:tcW w:w="13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Capital stock</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Contributed</w:t>
            </w:r>
          </w:p>
        </w:tc>
        <w:tc>
          <w:tcPr>
            <w:tcW w:w="240" w:type="dxa"/>
            <w:vAlign w:val="bottom"/>
          </w:tcPr>
          <w:p>
            <w:pPr>
              <w:spacing w:after="0"/>
              <w:rPr>
                <w:sz w:val="24"/>
                <w:szCs w:val="24"/>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surplus</w:t>
            </w: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2007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Stock-based costs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earnings for the first quarter of 2008</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2008</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Three months</w:t>
            </w:r>
          </w:p>
        </w:tc>
        <w:tc>
          <w:tcPr>
            <w:tcW w:w="0" w:type="dxa"/>
            <w:vAlign w:val="bottom"/>
          </w:tcPr>
          <w:p>
            <w:pPr>
              <w:spacing w:after="0"/>
              <w:rPr>
                <w:sz w:val="1"/>
                <w:szCs w:val="1"/>
                <w:color w:val="auto"/>
              </w:rPr>
            </w:pPr>
          </w:p>
        </w:tc>
      </w:tr>
      <w:tr>
        <w:trPr>
          <w:trHeight w:val="149"/>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 other comprehensive income, net of tax:</w:t>
            </w: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December 31</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ended March 31</w:t>
            </w:r>
          </w:p>
        </w:tc>
        <w:tc>
          <w:tcPr>
            <w:tcW w:w="0" w:type="dxa"/>
            <w:vAlign w:val="bottom"/>
          </w:tcPr>
          <w:p>
            <w:pPr>
              <w:spacing w:after="0"/>
              <w:rPr>
                <w:sz w:val="1"/>
                <w:szCs w:val="1"/>
                <w:color w:val="auto"/>
              </w:rPr>
            </w:pPr>
          </w:p>
        </w:tc>
      </w:tr>
      <w:tr>
        <w:trPr>
          <w:trHeight w:val="171"/>
        </w:trPr>
        <w:tc>
          <w:tcPr>
            <w:tcW w:w="7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Opening balance of foreign currency translation account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Transitional adjustment – January 1, 2007</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7900" w:type="dxa"/>
            <w:vAlign w:val="bottom"/>
            <w:gridSpan w:val="2"/>
          </w:tcPr>
          <w:p>
            <w:pPr>
              <w:spacing w:after="0"/>
              <w:rPr>
                <w:sz w:val="20"/>
                <w:szCs w:val="20"/>
                <w:color w:val="auto"/>
              </w:rPr>
            </w:pPr>
            <w:r>
              <w:rPr>
                <w:rFonts w:ascii="Arial" w:cs="Arial" w:eastAsia="Arial" w:hAnsi="Arial"/>
                <w:sz w:val="18"/>
                <w:szCs w:val="18"/>
                <w:color w:val="auto"/>
              </w:rPr>
              <w:t>Closing balance</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Opening balance of unrealized net gain on cash flow hedges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97"/>
        </w:trPr>
        <w:tc>
          <w:tcPr>
            <w:tcW w:w="7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2" w:name="page13"/>
    <w:bookmarkEnd w:id="12"/>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Transitional adjustment – January 1, 2007</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gain on cash flow hedges (1)</w:t>
            </w:r>
          </w:p>
        </w:tc>
        <w:tc>
          <w:tcPr>
            <w:tcW w:w="5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37.5</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gain on cash flow hedges reclassified to operations (2)</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Closing balance(3)</w:t>
            </w: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8"/>
                <w:szCs w:val="18"/>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income tax expense of $0.6 for the three months ended March 31, 2008 ($0.2 income tax expense for 2007).</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income tax benefit of $0.3 for the three months ended March 31, 2008 (no income tax for 2007).</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income tax expense of $0.5 as of March 31, 2008 ($0.2 income tax expense as of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Guarantees and contingencies: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have contingent liabilities in the form of letters of credit, letters of guarantee, and surety and performance bonds which we have provided to various third parties. These guarantees cover various payments, including customs and excise taxes, utility commitments and certain bank guarantees. At March 31, 2008, these contingent liabilities amounted to $71.6 (December 31, 2007 – $74.4).</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the above guarantees, we have also provided routine indemnifications, the terms of which range in duration and often are not explicitly defined. These may include indemnifications against adverse impacts due to changes in tax laws and patent infringements by third parties. We have also provided indemnifications in connection with the sale of certain businesses and real property. The maximum potential liability from these indemnifications cannot be reasonably estimated. In some cases, we have recourse against other parties to mitigate our risk of loss from these indemnifications. Historically, we have not made significant payments relating to these types of indemnifications.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normal course of our operations, we are subject to litigation and claims from time to time. We may also be subject to lawsuits, investigations and other claims, including environmental, labor, product, customer disputes and other matters. Management believes that adequate provisions have been recorded in the accounts where required. Although it is not possible to estimate the extent of potential costs, if any, management believes that the ultimate resolution of such contingencies will not have a material adverse impact on our results of operations, financial position or liquidity.</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2007, securities class action lawsuits were commenced against us and our former Chief Executive and Chief Financial Officers, in the United States District Court of the Southern District of New York by individuals who claim they were purchasers of our stock, on behalf of themselves and other purchasers of our stock, during the period January 27, 2005 through January 30, 2007. The plaintiffs allege violations of United States federal securities laws and seek unspecified damages. They allege that during the purported class period we made statements concerning our actual and anticipated future financial results that failed to disclose certain purportedly adverse information with respect to demand and inventory in our Mexican operations and our information technology and communications divisions. In an amended complaint, the plaintiffs have added one of our directors and Onex Corporation as defendants. A parallel class proceeding has recently been issued against us and our former Chief Executive and Chief Financial Officers, in the Ontario Superior Court of Justice, but neither leave nor certification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action has been granted by that court. We believe that the allegations in these claims are without merit and we intend to defend against them vigorously. However, there can be no assurance that the outcome of the litigation will be favorable to us or will not have a material adverse impact on our financial position or liquidity. In addition, we may incur substantial litigation expenses in defending these claims. We have liability insurance coverage that may cover some of the expense of defending these cases, as well as potential judgments or settlement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subject to tax audits by local tax authorities. Tax authorities could challenge the validity of our inter-company financing and transfer pricing policies which generally involve subjective areas of taxation and a significant degree of judgment. If any of these tax authorities is successful in challenging our financing or transfer pricing policies, our income tax expense may be adversely affected and we could also be subject to interest and penalty charges.</w:t>
      </w:r>
    </w:p>
    <w:p>
      <w:pPr>
        <w:spacing w:after="0" w:line="14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In connection with ongoing tax audits in Canada, tax authorities have taken the position that income reported by one of our Canadian subsidiaries in 2001 should have been materially higher as a result of certain inter-company transactions. The successful pursuit of that assertion could result in that subsidiary owing significant amounts of tax, interest and possibly penalties. We believe we have substantial defenses to the asserted position and have adequately accrued for any probable potential adverse tax impact. However, there can be no assurance as to the final resolution of this claim and any resulting proceedings, and if this claim and any ensuing proceedings are determined adversely to us, the amounts we may be required to pay could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 - Financial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exposures to the following financial risks arising from financial instruments.</w:t>
      </w:r>
    </w:p>
    <w:p>
      <w:pPr>
        <w:spacing w:after="0" w:line="225" w:lineRule="exact"/>
        <w:rPr>
          <w:sz w:val="20"/>
          <w:szCs w:val="20"/>
          <w:color w:val="auto"/>
        </w:rPr>
      </w:pPr>
    </w:p>
    <w:p>
      <w:pPr>
        <w:jc w:val="both"/>
        <w:ind w:right="100" w:firstLine="8"/>
        <w:spacing w:after="0" w:line="259" w:lineRule="auto"/>
        <w:tabs>
          <w:tab w:leader="none" w:pos="3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See note 15(a) to the 2007 annual consolidated financial statements. Due to the nature of our international operations, we are exposed to</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 fluctuations on our financial instruments denominated in various foreign currencies. Our major currency exposures, as of March 31, 2008, are summarized in USD equivalents in the following table. The local currency amounts have been converted to USD equivalents using the spot rates as of March 31, 2008.</w:t>
      </w:r>
    </w:p>
    <w:p>
      <w:pPr>
        <w:sectPr>
          <w:pgSz w:w="11900" w:h="16838" w:orient="portrait"/>
          <w:cols w:equalWidth="0" w:num="1">
            <w:col w:w="11400"/>
          </w:cols>
          <w:pgMar w:left="240" w:top="140" w:right="259" w:bottom="0" w:gutter="0" w:footer="0" w:header="0"/>
        </w:sectPr>
      </w:pPr>
    </w:p>
    <w:bookmarkStart w:id="13" w:name="page14"/>
    <w:bookmarkEnd w:id="13"/>
    <w:tbl>
      <w:tblPr>
        <w:tblLayout w:type="fixed"/>
        <w:tblInd w:w="3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Euro</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Chinese</w:t>
            </w:r>
          </w:p>
        </w:tc>
        <w:tc>
          <w:tcPr>
            <w:tcW w:w="18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Canadian</w:t>
            </w:r>
          </w:p>
        </w:tc>
      </w:tr>
      <w:tr>
        <w:trPr>
          <w:trHeight w:val="171"/>
        </w:trPr>
        <w:tc>
          <w:tcPr>
            <w:tcW w:w="4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renminbi</w:t>
            </w:r>
          </w:p>
        </w:tc>
        <w:tc>
          <w:tcPr>
            <w:tcW w:w="18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dollar</w:t>
            </w:r>
          </w:p>
        </w:tc>
      </w:tr>
      <w:tr>
        <w:trPr>
          <w:trHeight w:val="210"/>
        </w:trPr>
        <w:tc>
          <w:tcPr>
            <w:tcW w:w="4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Accounts receivable</w:t>
            </w:r>
          </w:p>
        </w:tc>
        <w:tc>
          <w:tcPr>
            <w:tcW w:w="1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 (i)</w:t>
            </w:r>
          </w:p>
        </w:tc>
        <w:tc>
          <w:tcPr>
            <w:tcW w:w="1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543.6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7,157.0</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 (i)</w:t>
            </w:r>
          </w:p>
        </w:tc>
        <w:tc>
          <w:tcPr>
            <w:tcW w:w="1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(475.9)</w:t>
            </w: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(7,160.3)</w:t>
            </w: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Net financial assets (liabilities)</w:t>
            </w:r>
          </w:p>
        </w:tc>
        <w:tc>
          <w:tcPr>
            <w:tcW w:w="1860" w:type="dxa"/>
            <w:vAlign w:val="bottom"/>
          </w:tcPr>
          <w:p>
            <w:pPr>
              <w:spacing w:after="0"/>
              <w:rPr>
                <w:sz w:val="18"/>
                <w:szCs w:val="18"/>
                <w:color w:val="auto"/>
              </w:rPr>
            </w:pPr>
          </w:p>
        </w:tc>
        <w:tc>
          <w:tcPr>
            <w:tcW w:w="800" w:type="dxa"/>
            <w:vAlign w:val="bottom"/>
            <w:tcBorders>
              <w:top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7"/>
        </w:trPr>
        <w:tc>
          <w:tcPr>
            <w:tcW w:w="4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This includes foreign currency denominated inter-company loans.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one-percentage point strengthening or weakening of the following currencies against the U.S. dollar for our financial instruments denominated in non-functional currencies as of March 31, 2008 has the following impact: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Euro</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center"/>
              <w:ind w:right="316"/>
              <w:spacing w:after="0"/>
              <w:rPr>
                <w:sz w:val="20"/>
                <w:szCs w:val="20"/>
                <w:color w:val="auto"/>
              </w:rPr>
            </w:pPr>
            <w:r>
              <w:rPr>
                <w:rFonts w:ascii="Arial" w:cs="Arial" w:eastAsia="Arial" w:hAnsi="Arial"/>
                <w:sz w:val="14"/>
                <w:szCs w:val="14"/>
                <w:b w:val="1"/>
                <w:bCs w:val="1"/>
                <w:color w:val="auto"/>
                <w:w w:val="88"/>
              </w:rPr>
              <w:t>Chinese</w:t>
            </w:r>
          </w:p>
        </w:tc>
        <w:tc>
          <w:tcPr>
            <w:tcW w:w="3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Canadian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center"/>
              <w:ind w:right="316"/>
              <w:spacing w:after="0"/>
              <w:rPr>
                <w:sz w:val="20"/>
                <w:szCs w:val="20"/>
                <w:color w:val="auto"/>
              </w:rPr>
            </w:pPr>
            <w:r>
              <w:rPr>
                <w:rFonts w:ascii="Arial" w:cs="Arial" w:eastAsia="Arial" w:hAnsi="Arial"/>
                <w:sz w:val="14"/>
                <w:szCs w:val="14"/>
                <w:b w:val="1"/>
                <w:bCs w:val="1"/>
                <w:color w:val="auto"/>
                <w:w w:val="94"/>
              </w:rPr>
              <w:t>renminbi</w:t>
            </w:r>
          </w:p>
        </w:tc>
        <w:tc>
          <w:tcPr>
            <w:tcW w:w="3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dollar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6"/>
              </w:rPr>
              <w:t>Increase (decrease)</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1% Strengthening</w:t>
            </w:r>
          </w:p>
        </w:tc>
        <w:tc>
          <w:tcPr>
            <w:tcW w:w="2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6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0.4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1% Weakening</w:t>
            </w:r>
          </w:p>
        </w:tc>
        <w:tc>
          <w:tcPr>
            <w:tcW w:w="2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0" w:type="dxa"/>
            <w:vAlign w:val="bottom"/>
          </w:tcPr>
          <w:p>
            <w:pPr>
              <w:jc w:val="right"/>
              <w:ind w:right="1030"/>
              <w:spacing w:after="0"/>
              <w:rPr>
                <w:sz w:val="20"/>
                <w:szCs w:val="20"/>
                <w:color w:val="auto"/>
              </w:rPr>
            </w:pPr>
            <w:r>
              <w:rPr>
                <w:rFonts w:ascii="Arial" w:cs="Arial" w:eastAsia="Arial" w:hAnsi="Arial"/>
                <w:sz w:val="18"/>
                <w:szCs w:val="18"/>
                <w:color w:val="auto"/>
              </w:rPr>
              <w:t>17</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See note 15(b) to the 2007 annual consolidated financial statements.</w:t>
      </w:r>
    </w:p>
    <w:p>
      <w:pPr>
        <w:spacing w:after="0" w:line="225" w:lineRule="exact"/>
        <w:rPr>
          <w:rFonts w:ascii="Arial" w:cs="Arial" w:eastAsia="Arial" w:hAnsi="Arial"/>
          <w:sz w:val="18"/>
          <w:szCs w:val="18"/>
          <w:i w:val="1"/>
          <w:iCs w:val="1"/>
          <w:color w:val="auto"/>
        </w:rPr>
      </w:pPr>
    </w:p>
    <w:p>
      <w:pPr>
        <w:ind w:right="120" w:firstLine="8"/>
        <w:spacing w:after="0" w:line="259" w:lineRule="auto"/>
        <w:tabs>
          <w:tab w:leader="none" w:pos="3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See notes 2(e), 15(c) and 18 to the 2007 annual consolidated financial statements. The carrying amount of financial assets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net of any allowances or reserves for losses, represents our estimate of maximum exposure to credit risk. As of March 31, 2008, less than 1% of our gross accounts receivable are over 90 days past due. Accounts receivable are net of an allowance for doubtful accounts of $16.9 at March 31, 2008 (December 31, 2007 – $21.5).</w:t>
      </w:r>
    </w:p>
    <w:p>
      <w:pPr>
        <w:spacing w:after="0" w:line="186" w:lineRule="exact"/>
        <w:rPr>
          <w:rFonts w:ascii="Arial" w:cs="Arial" w:eastAsia="Arial" w:hAnsi="Arial"/>
          <w:sz w:val="18"/>
          <w:szCs w:val="18"/>
          <w:i w:val="1"/>
          <w:iCs w:val="1"/>
          <w:color w:val="auto"/>
        </w:rPr>
      </w:pPr>
    </w:p>
    <w:p>
      <w:pPr>
        <w:ind w:right="60" w:firstLine="8"/>
        <w:spacing w:after="0" w:line="259" w:lineRule="auto"/>
        <w:tabs>
          <w:tab w:leader="none" w:pos="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Liquidity risk</w:t>
      </w:r>
      <w:r>
        <w:rPr>
          <w:rFonts w:ascii="Arial" w:cs="Arial" w:eastAsia="Arial" w:hAnsi="Arial"/>
          <w:sz w:val="18"/>
          <w:szCs w:val="18"/>
          <w:color w:val="auto"/>
        </w:rPr>
        <w:t>: See note 15(d) to the 2007 annual consolidated financial statements. The majority of our financial liabilities recorded in accounts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accrued liabilities are due within 90 days. The repayment schedule of our long-term debt and capital lease obligations is included in note 7 to the 2007 annual consolidated financial statements. Our foreign currency forward contracts generally extend for periods ranging from one to 15 months. See note 15 to the 2007 annual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management:</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main objectives in managing our capital resources are to ensure liquidity and to have funds available for working capital or other investments required to grow our business. Our capital resources consist of cash, short-term investments, access to credit facilities, senior subordinated notes and issued share capital.</w:t>
      </w:r>
    </w:p>
    <w:p>
      <w:pPr>
        <w:spacing w:after="0" w:line="12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manage our capitalization levels and make adjustments, as available, for changes in economic conditions. We have full access to a $300.0 credit facility and we can sell up to $250.0, on a committed basis, under an accounts receivable sales program to provide short-term liquidity. Our credit facility has restrictive covenants relating to debt incurrence and the sale of assets. The facility also contains financial covenants that may limit the available amount of debt that can be incurred under the facility. We closely monitor our business performance to evaluate compliance with our covenants. Our 2011 and 2013 Notes also have restrictions on financing activities. We continue to monitor and review the most cost-effective methods for raising capital, taking into account these restrictions and covenants.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significant changes to our capital structure during the first quarter of 2008. We have not distributed, nor do we currently plan to distribute, any dividends to our shareholders.</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strategy on capital risk management has not changed this quarter. Other than the restrictive covenants associated with our debt obligations noted above, we are not subject to any contractual or regulatorily imposed capital requirements. While some of our international operations are subject to government restrictions on the flow of capital into and out of their jurisdictions, we do not believe that these restrictions will have a material impact on our operations.</w:t>
      </w:r>
    </w:p>
    <w:p>
      <w:pPr>
        <w:sectPr>
          <w:pgSz w:w="11900" w:h="16838" w:orient="portrait"/>
          <w:cols w:equalWidth="0" w:num="1">
            <w:col w:w="11460"/>
          </w:cols>
          <w:pgMar w:left="240" w:top="104" w:right="199" w:bottom="1440" w:gutter="0" w:footer="0" w:header="0"/>
        </w:sect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04"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2"/>
    </w:lvl>
    <w:lvl w:ilvl="1">
      <w:lvlJc w:val="left"/>
      <w:lvlText w:val="(%2)"/>
      <w:numFmt w:val="lowerLetter"/>
      <w:start w:val="4"/>
    </w:lvl>
  </w:abstractNum>
  <w:abstractNum w:abstractNumId="7">
    <w:nsid w:val="3352255A"/>
    <w:multiLevelType w:val="hybridMultilevel"/>
    <w:lvl w:ilvl="0">
      <w:lvlJc w:val="left"/>
      <w:lvlText w:val="%1."/>
      <w:numFmt w:val="decimal"/>
      <w:start w:val="4"/>
    </w:lvl>
  </w:abstractNum>
  <w:abstractNum w:abstractNumId="8">
    <w:nsid w:val="109CF92E"/>
    <w:multiLevelType w:val="hybridMultilevel"/>
    <w:lvl w:ilvl="0">
      <w:lvlJc w:val="left"/>
      <w:lvlText w:val="%1."/>
      <w:numFmt w:val="decimal"/>
      <w:start w:val="5"/>
    </w:lvl>
  </w:abstractNum>
  <w:abstractNum w:abstractNumId="9">
    <w:nsid w:val="DED7263"/>
    <w:multiLevelType w:val="hybridMultilevel"/>
    <w:lvl w:ilvl="0">
      <w:lvlJc w:val="left"/>
      <w:lvlText w:val="%1."/>
      <w:numFmt w:val="decimal"/>
      <w:start w:val="6"/>
    </w:lvl>
  </w:abstractNum>
  <w:abstractNum w:abstractNumId="10">
    <w:nsid w:val="7FDCC233"/>
    <w:multiLevelType w:val="hybridMultilevel"/>
    <w:lvl w:ilvl="0">
      <w:lvlJc w:val="left"/>
      <w:lvlText w:val="%1."/>
      <w:numFmt w:val="decimal"/>
      <w:start w:val="7"/>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1)"/>
      <w:numFmt w:val="lowerRoman"/>
      <w:start w:val="2"/>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2019-12-11T15:27:20Z</dcterms:created>
  <dcterms:modified xsi:type="dcterms:W3CDTF">2019-12-11T15:27:20Z</dcterms:modified>
</cp:coreProperties>
</file>