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28"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190"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32"/>
          <w:szCs w:val="32"/>
          <w:b w:val="1"/>
          <w:bCs w:val="1"/>
          <w:color w:val="auto"/>
        </w:rPr>
        <w:t>Celestica Inc.</w:t>
      </w:r>
    </w:p>
    <w:p>
      <w:pPr>
        <w:spacing w:after="0" w:line="4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ectPr>
          <w:pgSz w:w="11900" w:h="16838" w:orient="portrait"/>
          <w:cols w:equalWidth="0" w:num="1">
            <w:col w:w="10780"/>
          </w:cols>
          <w:pgMar w:left="320" w:top="727" w:right="799" w:bottom="1440" w:gutter="0" w:footer="0" w:header="0"/>
        </w:sectPr>
      </w:pPr>
    </w:p>
    <w:p>
      <w:pPr>
        <w:spacing w:after="0" w:line="20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Ontario, Canada</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1-14832</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98-0185558</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000"/>
          </w:cols>
          <w:pgMar w:left="320" w:top="727" w:right="799" w:bottom="144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5140 Yonge Street, Suite 1900</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Toronto, Canada</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M2N 6L7</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400" w:space="720"/>
            <w:col w:w="2660"/>
          </w:cols>
          <w:pgMar w:left="320" w:top="727" w:right="799" w:bottom="1440" w:gutter="0" w:footer="0" w:header="0"/>
          <w:type w:val="continuous"/>
        </w:sectPr>
      </w:pPr>
    </w:p>
    <w:p>
      <w:pPr>
        <w:spacing w:after="0" w:line="3"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Douglas Parker</w:t>
      </w:r>
    </w:p>
    <w:p>
      <w:pPr>
        <w:spacing w:after="0" w:line="3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Chief Legal Officer and Corporate Secretary</w:t>
      </w:r>
    </w:p>
    <w:p>
      <w:pPr>
        <w:spacing w:after="0" w:line="9"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416-448-5800</w:t>
      </w:r>
    </w:p>
    <w:p>
      <w:pPr>
        <w:spacing w:after="0" w:line="9"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(Name and telephone number, including area code, of the</w:t>
      </w:r>
    </w:p>
    <w:p>
      <w:pPr>
        <w:spacing w:after="0" w:line="9"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person to contact in connection with this report.)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applies:</w:t>
      </w:r>
    </w:p>
    <w:p>
      <w:pPr>
        <w:spacing w:after="0" w:line="20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320" w:top="727" w:right="7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 Minerals Disclosure</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Form SD of Celestica Inc. (the “Company”) is filed pursuant to Rule 13p-1 promulgated under the Securities Exchange Act of 1934, as amended, for the reporting period January 1, 2024 to December 31, 2024.</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copy of the Company’s Conflict Minerals Report is filed as Exhibit 1.01 hereto and is publicly available at www.celestica.com (under “About Us — Compliance and Ethics”). Information on our website is not incorporated by reference into this Form SD or our Conflict Minerals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specified in Section 3, Item 3.01 of this Form SD, the Company is hereby filing its Conflict Minerals Report as Exhibit 1.01 to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submitted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01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Conflict Minerals Report of Celestica Inc. as required by Items 1.01 and 1.02 of this Form.</w:t>
            </w:r>
          </w:p>
        </w:tc>
      </w:tr>
      <w:tr>
        <w:trPr>
          <w:trHeight w:val="695"/>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540" w:type="dxa"/>
            <w:vAlign w:val="bottom"/>
            <w:tcBorders>
              <w:top w:val="single" w:sz="8" w:color="0000EE"/>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Celestica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Douglas Parker</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May 7, 2025</w:t>
            </w:r>
          </w:p>
        </w:tc>
      </w:tr>
      <w:tr>
        <w:trPr>
          <w:trHeight w:val="191"/>
        </w:trPr>
        <w:tc>
          <w:tcPr>
            <w:tcW w:w="340" w:type="dxa"/>
            <w:vAlign w:val="bottom"/>
          </w:tcPr>
          <w:p>
            <w:pPr>
              <w:spacing w:after="0"/>
              <w:rPr>
                <w:sz w:val="16"/>
                <w:szCs w:val="16"/>
                <w:color w:val="auto"/>
              </w:rPr>
            </w:pPr>
          </w:p>
        </w:tc>
        <w:tc>
          <w:tcPr>
            <w:tcW w:w="5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Douglas Parker</w:t>
            </w:r>
          </w:p>
        </w:tc>
        <w:tc>
          <w:tcPr>
            <w:tcW w:w="460" w:type="dxa"/>
            <w:vAlign w:val="bottom"/>
          </w:tcPr>
          <w:p>
            <w:pPr>
              <w:spacing w:after="0"/>
              <w:rPr>
                <w:sz w:val="16"/>
                <w:szCs w:val="16"/>
                <w:color w:val="auto"/>
              </w:rPr>
            </w:pPr>
          </w:p>
        </w:tc>
        <w:tc>
          <w:tcPr>
            <w:tcW w:w="5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r>
      <w:tr>
        <w:trPr>
          <w:trHeight w:val="234"/>
        </w:trPr>
        <w:tc>
          <w:tcPr>
            <w:tcW w:w="58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c>
          <w:tcPr>
            <w:tcW w:w="5380" w:type="dxa"/>
            <w:vAlign w:val="bottom"/>
          </w:tcPr>
          <w:p>
            <w:pPr>
              <w:spacing w:after="0"/>
              <w:rPr>
                <w:sz w:val="20"/>
                <w:szCs w:val="20"/>
                <w:color w:val="auto"/>
              </w:rPr>
            </w:pPr>
          </w:p>
        </w:tc>
      </w:tr>
      <w:tr>
        <w:trPr>
          <w:trHeight w:val="675"/>
        </w:trPr>
        <w:tc>
          <w:tcPr>
            <w:tcW w:w="3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0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Exhibit Index</w:t>
            </w:r>
          </w:p>
        </w:tc>
      </w:tr>
      <w:tr>
        <w:trPr>
          <w:trHeight w:val="4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020" w:type="dxa"/>
            <w:vAlign w:val="bottom"/>
          </w:tcPr>
          <w:p>
            <w:pPr>
              <w:spacing w:after="0"/>
              <w:rPr>
                <w:sz w:val="24"/>
                <w:szCs w:val="24"/>
                <w:color w:val="auto"/>
              </w:rPr>
            </w:pPr>
          </w:p>
        </w:tc>
        <w:tc>
          <w:tcPr>
            <w:tcW w:w="7080" w:type="dxa"/>
            <w:vAlign w:val="bottom"/>
          </w:tcPr>
          <w:p>
            <w:pPr>
              <w:spacing w:after="0"/>
              <w:rPr>
                <w:sz w:val="24"/>
                <w:szCs w:val="24"/>
                <w:color w:val="auto"/>
              </w:rPr>
            </w:pPr>
          </w:p>
        </w:tc>
      </w:t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3020" w:type="dxa"/>
            <w:vAlign w:val="bottom"/>
          </w:tcPr>
          <w:p>
            <w:pPr>
              <w:spacing w:after="0"/>
              <w:rPr>
                <w:sz w:val="20"/>
                <w:szCs w:val="20"/>
                <w:color w:val="auto"/>
              </w:rPr>
            </w:pPr>
          </w:p>
        </w:tc>
        <w:tc>
          <w:tcPr>
            <w:tcW w:w="708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01</w:t>
            </w:r>
          </w:p>
        </w:tc>
        <w:tc>
          <w:tcPr>
            <w:tcW w:w="220" w:type="dxa"/>
            <w:vAlign w:val="bottom"/>
          </w:tcPr>
          <w:p>
            <w:pPr>
              <w:spacing w:after="0"/>
              <w:rPr>
                <w:sz w:val="24"/>
                <w:szCs w:val="24"/>
                <w:color w:val="auto"/>
              </w:rPr>
            </w:pPr>
          </w:p>
        </w:tc>
        <w:tc>
          <w:tcPr>
            <w:tcW w:w="10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Conflict Minerals Report of Celestica Inc.</w:t>
            </w:r>
          </w:p>
        </w:tc>
      </w:tr>
      <w:tr>
        <w:trPr>
          <w:trHeight w:val="695"/>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top w:val="single" w:sz="8" w:color="0000EE"/>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 of Celestica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reporting period from January 1, 2024 to December 31, 2024</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This Conflict Minerals Report (“CMR”) of Celestica Inc. (“Celestica” or the “Company”) has been prepared pursuant to Rule 13p-1 (“Rule 13p-1”) and Form SD promulgated under the Securities Exchange Act of 1934, as amended, for the reporting period of January 1, 2024 to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Rule 13p-1 requires disclosure of certain information when a company manufactures or contracts to manufacture products for which the conflict minerals specified in such Rule are necessary to the functionality or production of those products. “Conflict minerals” are currently defined by the SEC as cassiterite, columbite-tantalite (coltan), gold, wolframite, or their derivatives, which the SEC has currently limited to tantalum, tin and tungsten (the “Conflict Minerals”). The “Covered Countries” for the purposes of Rule 13p-1 are the Democratic Republic of the Congo, the Republic of the Congo, the Central African Republic, South Sudan, Uganda, Rwanda, Burundi, Tanzania, Zambia and Angola.</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Celestica is a multinational electronics manufacturing services (“EMS”), hardware platform and supply chain solutions company headquartered in Toronto, Canada. The Company’s global network consists of approximately 40 sites in 16 countries in North America, Europe and Asia. The Company manufactures, or contracts to manufacture, certain products for which Conflict Minerals are necessary to their functionality or production.</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Celestica builds products for a wide variety of leading original equipment manufacturers (“OEMs”), cloud-based and other service providers (including hyperscalers), and other companies in a wide range of industries, to be marketed under the customers’ brands. Typically, the customer specifies all parts to be included in the product through an Approved Vendor List (“AVL”). As a result, Celestica does not control the selection of suppliers or materials sourced unless specifically instructed to do so by its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Company’s Products Covered by this CMR</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CMR relates to products: (i) for which Conflict Minerals are necessary to the functionality or production of that product; (ii) that were manufactured, or contracted to be manufactured, by the Company; and (iii) for which the manufacture was completed during calendar year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products, which are referred to in this CMR collectively as the “Covered Products,” consist of printed circuit board assemblies and complete system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builds for the following: government certified and highly-specialized manufacturing, electronic and enclosure-related services for aerospace and defense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high-precision semiconductor and display equipment and integrated subsystems; a wide range of industrial automation, controls, test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measurement devices; engineering-focused engagements, including full product development in the areas of telematics, human machine interface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(HMI), Internet-of-Things (IoT) and embedded systems; advanced solutions for surgical instruments, diagnostic imaging and patient monitoring; efficiency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to help manage and monitor the energy and power industries; and routers, switches, data center interconnects, edge solutions, and servers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storage-related products to manage digital connectivity, commerce and social media applications.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Reasonable Country of Origin Inquiry and Due Diligence Process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accordance with Rule 13p-1, the Company has conducted in good faith a reasonable country of origin inquiry (“RCOI”) regarding the Conflict Minerals necessary to the functionality or production of the products it manufactures or contracts to manufacture. This RCOI was reasonably designed to determine whether any of such Conflict Minerals originated in the Covered Countries and whether any of such Conflict Minerals may be from recycled or scrap sources.</w:t>
      </w:r>
    </w:p>
    <w:p>
      <w:pPr>
        <w:spacing w:after="0" w:line="18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Celestica engaged with its immediate (Tier 1) suppliers to collect information about the presence and sourcing of Conflict Minerals used in products and components supplied to the Company. For new Tier 1 suppliers that came on board in 2024, such engagement also included the provision of Celestica’s Responsible Minerals Sourcing Policy (described below) to such suppliers, and education on Celestica’s position regarding Conflict Minerals sourcing practices and the requirements of Rule 13p-1. Information was collected using the Conflict Minerals Reporting Template (“CMRT”), a standardized reporting template developed by the Responsible Minerals Initiative (“RMI”).</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t>Supplier responses were evaluated for plausibility, consistency, and gaps both in terms of which products were stated to contain or not contain necessary Conflict Minerals, as well as their origin. Additional supplier contacts were conducted to address various issues, including implausible statements regarding no presence of Conflict Minerals, incomplete data on the CMRT, responses that did not identify smelters or refiners (“SORS”), responses which indicated a sourcing location without complete supporting information from the supply chain, and organizations that were identified as SORs, but not verified as such through analysis and/or research by such supplier.</w:t>
      </w:r>
    </w:p>
    <w:p>
      <w:pPr>
        <w:spacing w:after="0" w:line="183"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In addition to the RCOI, the Company also exercised due diligence on the source and chain of custody of its necessary Conflict Minerals where the Company, based on its RCOI, had reason to believe that such Conflict Minerals may have originated in the Covered Countries and may not be from recycled or scrap 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criteria were used to determine which supply chains and associated SORs were moved to the due diligence step:</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reported sourcing from Covered Countries;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SOR data indicated sourcing from a mine located in the Covered Countries;</w:t>
      </w:r>
    </w:p>
    <w:p>
      <w:pPr>
        <w:spacing w:after="0" w:line="9" w:lineRule="exact"/>
        <w:rPr>
          <w:rFonts w:ascii="Times New Roman" w:cs="Times New Roman" w:eastAsia="Times New Roman" w:hAnsi="Times New Roman"/>
          <w:sz w:val="18"/>
          <w:szCs w:val="18"/>
          <w:color w:val="auto"/>
        </w:rPr>
      </w:pPr>
    </w:p>
    <w:p>
      <w:pPr>
        <w:ind w:left="660" w:right="620" w:hanging="328"/>
        <w:spacing w:after="0" w:line="265"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Listed SOR has been reported to source from a mine located in the Covered Countries (based on information contained within our internal database, which includes information from independent certification programs, and from Internet research/available public reports);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indication that the SOR sourced from a Covered Country;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provided about the SOR indicated the origin of the materials was not from a known reserve.</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total of 2,425 suppliers were surveyed as part of the RCOI process. Of these suppliers, 2,358 provided responses, and of those, 54.37% responded “yes” as to having one or more of the Conflict Minerals as necessary to the functionality or production of the products they supply to Celestica. An aggregate of 933 individual SORs (treating each smelter identification number as pertaining to a separate SOR) were identified as used by such suppliers; however, the SOR information obtained from suppliers pertained to all customers of such suppliers, and did not correspond specifically to products/components supplied to the Company.</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Company’s due diligence measures were designed to conform to the framework in the Organization for Economic Cooperation and Development’s (OECD) Due Diligence Guidance for Responsible Supply Chains of Minerals from Conflict-Affected and High-Risk Areas: Third Edition (2016) and accompanying Supplements.</w:t>
      </w:r>
    </w:p>
    <w:p>
      <w:pPr>
        <w:spacing w:after="0" w:line="17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Company’s supply chain with respect to the Covered Products is complex, and there are many third parties in the supply chain between the ultimate manufacturer of the Covered Products and the original sources of Conflict Minerals. The Company does not purchase Conflict Minerals directly from mines or SORs. The Company must therefore rely on its suppliers to provide information regarding the origin of Conflict Minerals that are included in the Covered Products. However, because the Company believes that the smelters and refiners of the Conflict Minerals are best situated to identify the sources of Conflict Minerals, the Company has also taken steps to identify the applicable smelters and refiners of Conflict Minerals in the Company’s supply chain.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OECD Guidance identifies five due diligence steps: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1: Establish Strong Company Management Systems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2: Identify and Assess Risks in the Supply Chain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4: Carry out Independent Third-Party Audit of Smelter/Refiner’s Due Diligence Practices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5: Report Annually on Supply Chain Due Diligence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right="840"/>
        <w:spacing w:after="0" w:line="282" w:lineRule="auto"/>
        <w:rPr>
          <w:sz w:val="20"/>
          <w:szCs w:val="20"/>
          <w:color w:val="auto"/>
        </w:rPr>
      </w:pPr>
      <w:r>
        <w:rPr>
          <w:rFonts w:ascii="Times New Roman" w:cs="Times New Roman" w:eastAsia="Times New Roman" w:hAnsi="Times New Roman"/>
          <w:sz w:val="18"/>
          <w:szCs w:val="18"/>
          <w:color w:val="auto"/>
        </w:rPr>
        <w:t>It is important to note that the OECD Guidance was written for both upstream and downstream companies in the supply chain. As Celestica is a downstream company in the supply chain, its due diligence practices were tailored accordingly.</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addition to the RCOI described in detail above, the following constitute the procedures the Company used to identify supply chain risks in relation to Conflict Minerals in the Covered Products, and the due diligence activities undertaken to respond to those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OECD Guidance Step 1: Establish strong company management systems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management system is a framework of policies, procedures, processes and organizational structures that help enable a company to complete all tasks necessary to achieve its objectives. Celestica has established such a system by taking the following steps.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 a conflict minerals policy</w:t>
      </w:r>
    </w:p>
    <w:p>
      <w:pPr>
        <w:spacing w:after="0" w:line="231"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17"/>
          <w:szCs w:val="17"/>
          <w:color w:val="auto"/>
        </w:rPr>
        <w:t>Celestica maintains a policy covering Conflict Minerals (its “Responsible Minerals Sourcing Policy”</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which is publicly available at www.celestica.com (under “About Us — Compliance and Ethics — Responsible Minerals Sourcing Policy and Report — Responsible Minerals Sourcing Policy”), and states:</w:t>
      </w:r>
    </w:p>
    <w:p>
      <w:pPr>
        <w:spacing w:after="0" w:line="200"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color w:val="auto"/>
        </w:rPr>
        <w:t>The mining and trading of Coltan (the metal ore from which Tantalum is extracted), Wolframite (the metal ore from which Tungsten is extracted), Cassiterite (the metal ore from which Tin is extracted), and Gold, and their respective derivatives (collectively, “Conflict Minerals”), originating from the Democratic Republic of Congo (“DRC”) or adjoining countries (the “DRC Region”) has financed conflict, resulting in widespread human rights violations and environmental degradation. Section 1502(b) of the Dodd-Frank Wall Street Reform and Consumer Protection Act (“Conflict Minerals Law”) requires SEC reporting companies to undertake an inquiry as to the source and chain of custody of conflict minerals and to make certain disclosures in connection therewith.</w:t>
      </w:r>
    </w:p>
    <w:p>
      <w:pPr>
        <w:spacing w:after="0" w:line="187"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Similar concerns have been raised with respect to the social and environmental impact of the mining and trading of Cobalt (a magnetic metallic element used in, among other things, alloys, batteries, and electric vehicles), in the DRC (currently the largest producer of Cobalt), including child labour and unsafe working conditions in artisanal Cobalt mining, and other human rights abuses. As a responsible sourcing organization, Celestica supports efforts to prevent human rights abuses associated with Cobalt mining, and intends to utilize associated Responsible Minerals Initiative (“RMI”) programs and tools to help identify the source of Cobalt in its supply chain.</w:t>
      </w:r>
    </w:p>
    <w:p>
      <w:pPr>
        <w:spacing w:after="0" w:line="183"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Celestica fully supports the objectives of the Conflict Minerals Law, as well as industry initiatives related to the mining of Cobalt, which aim to minimize violence and human rights violations in the DRC Region. We will comply with all applicable obligations under Conflict Minerals Law. Celestica expects that all suppliers comply with Conflict Minerals Law and provide all necessary declarations for Conflict Minerals using the RMI Conflict Minerals Reporting Template and for Cobalt using the RMI Extended Minerals Reporting Template. These measures will be used in conjunction with industry initiatives such as the Responsible Minerals Assurance Process (“RMAP”), to reasonably assure that the Tantalum, Tungsten, Tin, Gold and Cobalt in the products we manufacture do not directly or indirectly finance or benefit armed groups in the DRC Region. Celestica will assess future business with suppliers who are noncompliant with this policy.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Celestica is committed to ethical practices and compliance with applicable laws and regulations wherever it does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73" w:lineRule="exact"/>
        <w:rPr>
          <w:sz w:val="20"/>
          <w:szCs w:val="20"/>
          <w:color w:val="auto"/>
        </w:rPr>
      </w:pPr>
    </w:p>
    <w:p>
      <w:pPr>
        <w:ind w:right="100" w:firstLine="8"/>
        <w:spacing w:after="0" w:line="224"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addition to Conflict Minerals, Celestica aims to broaden its minerals assessment efforts to include the identification and mitigation of supply chain risks related to human rights abuses and environmental issues associated with Cobalt mining and processing. In connection therewith, Celestica’s Conflict Minerals Policy, which was first adopted in 2013 to cover Conflict Minerals, was expanded in 2024 to include Cobalt and renamed the “Responsible Minerals Sourcing Policy.” However, this CMR is limited to Celestica’s RCOI and due diligence efforts with respect to Conflict Minerals (as defined herein).</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Assemble an internal team to support supply chain due diligence</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Celestica has established a management system for Conflict Minerals. This management system includes an internal Conflict Minerals steering committee made up of senior management from Corporate Compliance, Finance, Supply Chain Management and Commodity Management functions, and a Supply Chain Management Environmental Engineering team to manage Conflict Minerals activities. The steering committee is updated on the results of Celestica’s due diligence efforts on a regular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Establish a system of controls and transparency over the mineral supply chain</w:t>
      </w:r>
    </w:p>
    <w:p>
      <w:pPr>
        <w:spacing w:after="0" w:line="22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To provide better transparency within Celestica’s mineral supply chains and to facilitate communication of policies and expectations, Celestica has established an internal system to identify suppliers in Celestica’s mineral supply chains and the relationships between them, collect, store, and review information on Conflict Minerals sourcing practices, track information on SORs, and flag risks based on SOR sourcing practices.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Strengthen company engagement with suppliers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Celestica engaged with suppliers through multiple communication outreaches by email and phone to educate suppliers on Celestica’s expectations for sourcing and its Responsible Minerals Sourcing Policy, and the requirements of Rule 13p-1. Suppliers were provided various avenues to obtain additional information and guidance regarding Celestica’s Conflict Minerals compliance program, including on-line access to such policy, and contact email addresses and telephone numbers for obtaining answers to questions and/or guidance on completing Celestica’s information requests.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OECD Guidance Step 2: Identify and Assess Risks in the Supply Chain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steps are recommended by the OECD to identify and assess risks in mineral supply chains.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Identify the SORs in the supply chain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attempted to obtain information on identified SORs using Celestica’s Conflict Minerals database, which includes information</w:t>
      </w:r>
    </w:p>
    <w:p>
      <w:pPr>
        <w:spacing w:after="0" w:line="2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provided through internet searches, other research activities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reviewing government databases and industry and trade organization lists), and contact with suppliers providing SOR information on their reporting templates. The Company also followed up where a sourcing location provided (country of mine origin) is not believed to be a known reserve for the given metal.</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Identified SORs were matched against available lists of processors that have been certified by internationally-recognized industry validation schemes, such as the RMI’s Responsible Minerals Assurance Process (“RMAP”), the London Bullion Market Association’s Responsible Sourcing Programme and the Responsible Jewellery Council’s Chain-of-Custody Certification Program. Suppliers and products associated with certified SORs were assumed to meet the OECD Guidance due diligence standards and responsibly source their materials.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OECD Guidance Step 3: Design and Implement a Strategy to Respond to Identified Risks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Celestica implemented the following measures to address high risk SORs.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 findings to senior management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regular update is provided to Celestica’s Conflict Minerals steering committee on the progress and findings of the RCOI and due diligence.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Devise and adopt a risk management plan, monitor and track risk mitigation, and evaluate supplier relationship</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Celestica builds products for leading OEMs and other companies according to specifications provided by the customer to Celestica. Typically, the customer specifies all parts included in the product through an AVL. As a result, Celestica does not control selection of suppliers or materials sources unless specifically instructed to do so by its customers. If a risk is identified, Celestica will inform the customer of the risk in the supply chain and work with such customer to manage and mitigate the risk.</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parts that Celestica designs or over which Celestica has engineering control, if a risk is identified, Celestica will express its concerns to the relevant suppliers about providing revenue to armed groups within the Covered Countries. Celestica will work with suppliers to provide a roadmap intended to ensure that the Conflict Minerals they supply to Celestica will be responsibly sourced. If a supplier refuses to comply, Celestica will assess future business with the supplier.</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identification of SORS who may be located in countries subject to U.S. sanctions, or who are sanctioned parties, is included in the process described above. If Celestica identifies potential economic sanctions risk as part of its due diligence review process, it works with the relevant suppliers to evaluate and remediate such risks in a manner consistent with applicable sanctions-program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OECD Guidance Step 4: Carry out Independent Third-Party Audit of Smelter/Refiner’s Due Diligence Practices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This OECD step does not require or define audits for downstream companies. However, downstream companies can support these audits by supporting or joining industry organizations.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Celestica does not typically have a direct relationship with Conflict Minerals SORs and does not perform direct audits of these entities within its supply chain. However, as a member of the Responsible Business Alliance (“RBA”), Celestica participates in ongoing discussions and updates of the RMI RMAP, an audit program designed to validate SORs’ sourcing practices. Through the RMAP validation process, which is voluntary, an independent third party audits the procurement and processing activities of a SOR to determine if it has the systems and processes in place to support responsible sourcing of raw materials and can provide evidence to support their sourcing activities.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OECD Guidance Step 5: Report Annually on Supply Chain Due Diligence.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fulfilling this step, Celestica’s Conflict Minerals steering committee:</w:t>
      </w:r>
    </w:p>
    <w:p>
      <w:pPr>
        <w:spacing w:after="0" w:line="225"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management with periodic process updates during the reporting period and through the filing date;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Informed management of due diligence efforts and results; and</w:t>
      </w:r>
    </w:p>
    <w:p>
      <w:pPr>
        <w:spacing w:after="0" w:line="225" w:lineRule="exact"/>
        <w:rPr>
          <w:rFonts w:ascii="Times New Roman" w:cs="Times New Roman" w:eastAsia="Times New Roman" w:hAnsi="Times New Roman"/>
          <w:sz w:val="18"/>
          <w:szCs w:val="18"/>
          <w:color w:val="auto"/>
        </w:rPr>
      </w:pPr>
    </w:p>
    <w:p>
      <w:pPr>
        <w:ind w:left="1300" w:right="150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and filed this Conflict Minerals Report, and the Form SD to which it relates, which are publicly available at www.celestica.com (under “About Us — Compliance and Ethics”).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Results</w:t>
      </w:r>
    </w:p>
    <w:p>
      <w:pPr>
        <w:spacing w:after="0" w:line="229"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Based on the information obtained in the Company’s due diligence process, the Company does not have sufficient information to determine the particular facilities used to process Conflict Minerals in the Covered Products. SOR information was obtained from most (but not all) suppliers, and the SOR information that was obtained from suppliers was at a company or division level, not at a product level, and as a result, we cannot determine which of the identified SORs are actually in Celestica’s supply chain. Therefore, to the extent that any sanctioned entities or countries appear below, this does not indicate actual inclusion in Celestica’s supply chain. With respect to the 933 SORs identified as used by the Company’s suppliers, 259 were certified as Conformant by RMAP or another recognized certification program (London Bullion Market Association’s Responsible Sourcing Programme or Responsible Jewellery Council Chain-of-Custody Certification). In addition, 8 SORs were identified as “active,” i.e., they have committed to undergo a RMAP audit. The 933 SORs that were identified pursuant to the due diligence process, and their certification status, where applicable, are set forth below.</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7"/>
        </w:trPr>
        <w:tc>
          <w:tcPr>
            <w:tcW w:w="60" w:type="dxa"/>
            <w:vAlign w:val="bottom"/>
            <w:tcBorders>
              <w:top w:val="single" w:sz="8" w:color="auto"/>
              <w:left w:val="single" w:sz="8" w:color="auto"/>
              <w:bottom w:val="single" w:sz="8" w:color="auto"/>
            </w:tcBorders>
            <w:shd w:val="clear" w:color="auto" w:fill="D9D9D9"/>
          </w:tcPr>
          <w:p>
            <w:pPr>
              <w:spacing w:after="0"/>
              <w:rPr>
                <w:sz w:val="22"/>
                <w:szCs w:val="22"/>
                <w:color w:val="auto"/>
              </w:rPr>
            </w:pPr>
          </w:p>
        </w:tc>
        <w:tc>
          <w:tcPr>
            <w:tcW w:w="4980" w:type="dxa"/>
            <w:vAlign w:val="bottom"/>
            <w:tcBorders>
              <w:top w:val="single" w:sz="8" w:color="auto"/>
              <w:bottom w:val="single" w:sz="8" w:color="auto"/>
            </w:tcBorders>
            <w:gridSpan w:val="2"/>
            <w:shd w:val="clear" w:color="auto" w:fill="D9D9D9"/>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Facility Name**</w:t>
            </w:r>
          </w:p>
        </w:tc>
        <w:tc>
          <w:tcPr>
            <w:tcW w:w="1720" w:type="dxa"/>
            <w:vAlign w:val="bottom"/>
            <w:tcBorders>
              <w:top w:val="single" w:sz="8" w:color="auto"/>
              <w:bottom w:val="single" w:sz="8" w:color="auto"/>
              <w:right w:val="single" w:sz="8" w:color="auto"/>
            </w:tcBorders>
            <w:shd w:val="clear" w:color="auto" w:fill="D9D9D9"/>
          </w:tcPr>
          <w:p>
            <w:pPr>
              <w:spacing w:after="0"/>
              <w:rPr>
                <w:sz w:val="22"/>
                <w:szCs w:val="22"/>
                <w:color w:val="auto"/>
              </w:rPr>
            </w:pPr>
          </w:p>
        </w:tc>
        <w:tc>
          <w:tcPr>
            <w:tcW w:w="1700" w:type="dxa"/>
            <w:vAlign w:val="bottom"/>
            <w:tcBorders>
              <w:top w:val="single" w:sz="8" w:color="auto"/>
              <w:bottom w:val="single" w:sz="8" w:color="auto"/>
              <w:right w:val="single" w:sz="8" w:color="auto"/>
            </w:tcBorders>
            <w:gridSpan w:val="3"/>
            <w:shd w:val="clear" w:color="auto" w:fill="D9D9D9"/>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Metal</w:t>
            </w:r>
          </w:p>
        </w:tc>
        <w:tc>
          <w:tcPr>
            <w:tcW w:w="20" w:type="dxa"/>
            <w:vAlign w:val="bottom"/>
            <w:tcBorders>
              <w:top w:val="single" w:sz="8" w:color="auto"/>
              <w:bottom w:val="single" w:sz="8" w:color="auto"/>
            </w:tcBorders>
            <w:shd w:val="clear" w:color="auto" w:fill="D9D9D9"/>
          </w:tcPr>
          <w:p>
            <w:pPr>
              <w:spacing w:after="0"/>
              <w:rPr>
                <w:sz w:val="22"/>
                <w:szCs w:val="22"/>
                <w:color w:val="auto"/>
              </w:rPr>
            </w:pPr>
          </w:p>
        </w:tc>
        <w:tc>
          <w:tcPr>
            <w:tcW w:w="2760" w:type="dxa"/>
            <w:vAlign w:val="bottom"/>
            <w:tcBorders>
              <w:top w:val="single" w:sz="8" w:color="auto"/>
              <w:bottom w:val="single" w:sz="8" w:color="auto"/>
              <w:right w:val="single" w:sz="8" w:color="auto"/>
            </w:tcBorders>
            <w:gridSpan w:val="2"/>
            <w:shd w:val="clear" w:color="auto" w:fill="D9D9D9"/>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232"/>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8853 S.p.A.</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RJC</w:t>
            </w:r>
          </w:p>
        </w:tc>
      </w:tr>
      <w:tr>
        <w:trPr>
          <w:trHeight w:val="236"/>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ABC Refinery Pty Ltd.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LBMA</w:t>
            </w: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Academy Precious Metal Materials (Zhaoyuan) Co., Ltd.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Advanced Chemical Company</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*African Gold Refinery</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36"/>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Agosi AG</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Aktyubinsk Copper Company TOO</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RJC</w:t>
            </w:r>
          </w:p>
        </w:tc>
      </w:tr>
      <w:tr>
        <w:trPr>
          <w:trHeight w:val="236"/>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Al Ghaith Gold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Albino Mountinho Lda.</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36"/>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Alexy Metals</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Alpha</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36"/>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Argor-Heraeus S.A.</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ARY Aurum Plus</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ASAHI METALFINE, Inc.</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Asahi Refining Canada Ltd.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Asahi Refining USA Inc.</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Asaka Riken Co., Ltd.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36"/>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Atotech</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36"/>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Attero Recycling Pvt Ltd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AU Traders and Refiners</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36"/>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AURA-II</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Aurubis AG</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Austin Powder</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Baiyin Nonferrous Metals Corporation (BNMC)</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36"/>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Bangalore Refinery</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Bank of Switzerland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Bank of Taiwan Department of Trade</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Bauer Walser AG</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RJC</w:t>
            </w:r>
          </w:p>
        </w:tc>
      </w:tr>
      <w:tr>
        <w:trPr>
          <w:trHeight w:val="673"/>
        </w:trPr>
        <w:tc>
          <w:tcPr>
            <w:tcW w:w="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76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Boliden Ronnskar</w:t>
            </w:r>
          </w:p>
        </w:tc>
        <w:tc>
          <w:tcPr>
            <w:tcW w:w="2000" w:type="dxa"/>
            <w:vAlign w:val="bottom"/>
            <w:tcBorders>
              <w:top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 Hafner GmbH + Co. KG</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 Metales Procesados Industriales SAS</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Caridad</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Cendres + Metaux S.A.</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RJC</w:t>
            </w: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Central Bank of the DPR of Korea</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CGR Metalloys Pvt Ltd.</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Changsanjiao elc. Ltd</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Changzhou Chemical Research Institute Co. Ltd.</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Cheong Hing</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Chimet S.p.A.</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 Gold International Resources Corp. Ltd.</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 GoldDeal Investment Co., Ltd.</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 National Gold Group Corporation</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China's nonferrous mining group co., LTD</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Chin-Leep Enterprise Co., Ltd.</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Chugai Mining</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Codelco</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Coimpa Industrial LTDA</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Colt Refining</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Cooperativa Metalurgica de Rondonia Ltda.</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Daejin Indus Co., Ltd.</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DaeryongENC</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Dai-ichi Seiko</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LBMA</w:t>
            </w: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DODUCO Contacts and Refining GmbH</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Dongguan Standard Electronic Material Co., Ltd</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Dongguanshi Sutande Dianzi Cailiao Youxiangongsi</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Dongwu Gold Group</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Dowa</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DSC (Do Sung Corporation)</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E-Chem Enterprise Corp.</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7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Eldorado Gold Corp.</w:t>
            </w:r>
          </w:p>
        </w:tc>
        <w:tc>
          <w:tcPr>
            <w:tcW w:w="2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673"/>
        </w:trPr>
        <w:tc>
          <w:tcPr>
            <w:tcW w:w="47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7</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96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electro metals</w:t>
            </w:r>
          </w:p>
        </w:tc>
        <w:tc>
          <w:tcPr>
            <w:tcW w:w="1800" w:type="dxa"/>
            <w:vAlign w:val="bottom"/>
            <w:tcBorders>
              <w:top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top w:val="single" w:sz="8" w:color="auto"/>
              <w:bottom w:val="single" w:sz="8" w:color="auto"/>
              <w:right w:val="single" w:sz="8" w:color="auto"/>
            </w:tcBorders>
          </w:tcPr>
          <w:p>
            <w:pPr>
              <w:spacing w:after="0"/>
              <w:rPr>
                <w:sz w:val="21"/>
                <w:szCs w:val="21"/>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Elemetal Refining, LLC</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Elite Industech Co., Ltd.</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Emirates Gold DMCC</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ENTHONE OMI</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ERCEI</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ESG Edelmetallservice GmbH &amp; Co. KG</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Faggi Enrico S.p.A.</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Feinhutte Halsbrucke GmbH</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Ferro Corporation</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Fujairah Gold FZC</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FuYu Electronical Technology (HuaiAn) Co.,Ltd</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Gasabo Gold Refinery Ltd</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Geib Refining Corp.</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GG Refinery Ltd.</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Gold by Gold Colombia</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Gold Coast Refinery</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LBMA</w:t>
            </w:r>
          </w:p>
        </w:tc>
      </w:tr>
      <w:tr>
        <w:trPr>
          <w:trHeight w:val="236"/>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guang dong jin xian gao xin cai liao gong si</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Guangdong Hua Jian Trade Co., Ltd.</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Gwo Chern industrial Co., Ltd.</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Hang Seng Technology</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Heimerdinger</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Heimerle + Meule GmbH</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Henan Province in Gold Investment Management Ltd.</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Henan Yuguang Gold &amp; Lead Co., Ltd.</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Hetai Gold Mine</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HH HANDY &amp; HARMAN REFINING GROUP</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Hop Hing electroplating factory Zhejiang</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9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House of Currency of Brazil (Casa da Moeda do Brazil)</w:t>
            </w: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673"/>
        </w:trPr>
        <w:tc>
          <w:tcPr>
            <w:tcW w:w="49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8</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22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1540" w:type="dxa"/>
            <w:vAlign w:val="bottom"/>
            <w:tcBorders>
              <w:top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top w:val="single" w:sz="8" w:color="auto"/>
              <w:bottom w:val="single" w:sz="8" w:color="auto"/>
              <w:right w:val="single" w:sz="8" w:color="auto"/>
            </w:tcBorders>
          </w:tcPr>
          <w:p>
            <w:pPr>
              <w:spacing w:after="0"/>
              <w:rPr>
                <w:sz w:val="21"/>
                <w:szCs w:val="21"/>
                <w:color w:val="auto"/>
              </w:rPr>
            </w:pP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Hung Cheong Metal Manufacturing Limited</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HwaSeong CJ CO., LTD.</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Impala Platinum - Base Metal Refinery (BMR)</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Impala Platinum - Rustenburg Smelter</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Inca One (Chala One Plant)</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Inca One (Koricancha Plant)</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Inovan GmbH &amp; Co.KG</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I-PEX golden finger</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Istanbul Gold Refinery</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Italpreziosi</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JALAN &amp; Company</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 Mint</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Copper Co., Ltd.</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JIE SHENG</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JinBao Electronic Co.,Ltd.</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Jinlong Copper Co., Ltd.</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*JSC Novosibirsk Refinery</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*JSC Uralelectromed</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JX Advanced Metals Corporation</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 Rasmussen</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Kaloti Precious Metals</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Kazakhmys Smelting LLC</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Kazzinc</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Kee Shing</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Kojima Chemicals Co., Ltd.</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Korea Metal Co., Ltd.</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Korea Zinc Co., Ltd.</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KP Sanghvi International Pvt Ltd</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Kundan Care Products Ltd.</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Kunshan Jinli chemical industry reagents co.,Ltd.</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Kyrgyzaltyn JSC</w:t>
            </w:r>
          </w:p>
        </w:tc>
        <w:tc>
          <w:tcPr>
            <w:tcW w:w="1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LBMA</w:t>
            </w:r>
          </w:p>
        </w:tc>
      </w:tr>
      <w:tr>
        <w:trPr>
          <w:trHeight w:val="673"/>
        </w:trPr>
        <w:tc>
          <w:tcPr>
            <w:tcW w:w="5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9</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54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2220" w:type="dxa"/>
            <w:vAlign w:val="bottom"/>
            <w:tcBorders>
              <w:top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top w:val="single" w:sz="8" w:color="auto"/>
              <w:bottom w:val="single" w:sz="8" w:color="auto"/>
              <w:right w:val="single" w:sz="8" w:color="auto"/>
            </w:tcBorders>
          </w:tcPr>
          <w:p>
            <w:pPr>
              <w:spacing w:after="0"/>
              <w:rPr>
                <w:sz w:val="21"/>
                <w:szCs w:val="21"/>
                <w:color w:val="auto"/>
              </w:rPr>
            </w:pP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Lingbao Gold Co., Ltd.</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L'Orfebre S.A.</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LS MnM Inc.</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LT Metal Ltd.</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Marsam Metals</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Materials Eco-Refining Co., Ltd.</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Materion</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Matsuda Sangyo Co., Ltd.</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MD Overseas</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Mead Metals</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Metahub Industries Sdn. Bhd.</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Metallix Refining Inc.</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Metallo Chimique</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Metalor Technologies S.A.</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Minera Titan del Peru SRL (MTP) - Belen Plant</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MK Electron</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MKS PAMP SA</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MMTC-PAMP India Pvt., Ltd.</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Modeltech Sdn Bhd</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Morris and Watson</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Morris and Watson Gold Coast</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 Chemcat</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NH Recytech Company</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Nihon Material Co., Ltd.</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Nihon Superior Co., Ltd.</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Ningbo Kangqiang Electronics Co., Ltd.</w:t>
            </w:r>
          </w:p>
        </w:tc>
        <w:tc>
          <w:tcPr>
            <w:tcW w:w="22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673"/>
        </w:trPr>
        <w:tc>
          <w:tcPr>
            <w:tcW w:w="45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10</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67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NOBLE METAL SERVICES</w:t>
            </w: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top w:val="single" w:sz="8" w:color="auto"/>
              <w:bottom w:val="single" w:sz="8" w:color="auto"/>
              <w:right w:val="single" w:sz="8" w:color="auto"/>
            </w:tcBorders>
          </w:tcPr>
          <w:p>
            <w:pPr>
              <w:spacing w:after="0"/>
              <w:rPr>
                <w:sz w:val="21"/>
                <w:szCs w:val="21"/>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Nyrstar</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OJSC "The Gulidov Krasnoyarsk Non-Ferrous Metals Plant" (OJSC Krastsvetmet)</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OJSC Kolyma Refinery</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Pease &amp; Curren</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Precious Metals Sales Corp.</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Prima Timah Utama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Timah Tbk Kundur</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PX Precinox S.A.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QG Refining, LLC</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Rand Refinery (Pty)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REMONDIS PMR B.V.</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Republic Metals Corporation</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Rio Tinto Group</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Royal Canadian Mint</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SAAMP</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RJC</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Sabin Metal Corp.</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Safimet S.p.A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RJC</w:t>
            </w: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SAFINA A.S.</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Sai Refinery</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SAM Precious Metals FZ-LLC</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Samduck Precious Metals</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Samwon Metals Corp.</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Sancus ZFS (L’Orfebre, SA)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Sanmenxia Hengsheng science and technology, research and development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SAXONIA Edelmetalle GmbH</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Schoene Edelmetaal B.V.</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Scotia Mocatta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Sellem Industries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Senju Metal Industry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 Tou Shi Yong Yuan Jin Shu Zai Sheng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673"/>
        </w:trPr>
        <w:tc>
          <w:tcPr>
            <w:tcW w:w="67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30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Shandong Hengbang Smelter Co., Ltd.</w:t>
            </w:r>
          </w:p>
        </w:tc>
        <w:tc>
          <w:tcPr>
            <w:tcW w:w="1460" w:type="dxa"/>
            <w:vAlign w:val="bottom"/>
            <w:tcBorders>
              <w:top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top w:val="single" w:sz="8" w:color="auto"/>
              <w:bottom w:val="single" w:sz="8" w:color="auto"/>
              <w:right w:val="single" w:sz="8" w:color="auto"/>
            </w:tcBorders>
          </w:tcPr>
          <w:p>
            <w:pPr>
              <w:spacing w:after="0"/>
              <w:rPr>
                <w:sz w:val="21"/>
                <w:szCs w:val="21"/>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Shandong Jin Jinyin Refining Ltd.</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Shandong penglai gold smelter</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Shandong Yanggu Xiangguang Co., Ltd.</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Shangdong Taishan Steal Group</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Shanghai Gold Exchange</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Shenzhen Heng Zhong Industry Co., Ltd.</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9"/>
              </w:rPr>
              <w:t>SHENZHEN JINJUNWEI RESOURCE COMPREHENSIVE DEVELOPMENT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SHENZHEN TIANCHENG CHEMICAL CO LTD</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Sino-Platinum Metals Co., Ltd.</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 Accurate Group, Inc.</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Sojitz</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Soochow University</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Sovereign Metals</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Speedrise</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 chemical industrial raw material line</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Standard Bank</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 Technology</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Sudan Gold Refinery</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Sumisho Material Corp.</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SungEel HiMetal Co., Ltd.</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Suntain Co., Ltd.</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SuZhou ShenChuang recycling Ltd.</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Suzhou Xingrui Noble</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T.C.A S.p.A</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Tai Perng</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Tai zhou chang san Jiao electron Co.,Ltd</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3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TAIWAN TOTAI CO., LTD.</w:t>
            </w: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673"/>
        </w:trPr>
        <w:tc>
          <w:tcPr>
            <w:tcW w:w="5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12</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90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TAIZHOU CHANGSANJIAO CO.,LTD</w:t>
            </w:r>
          </w:p>
        </w:tc>
        <w:tc>
          <w:tcPr>
            <w:tcW w:w="1860" w:type="dxa"/>
            <w:vAlign w:val="bottom"/>
            <w:tcBorders>
              <w:top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top w:val="single" w:sz="8" w:color="auto"/>
              <w:bottom w:val="single" w:sz="8" w:color="auto"/>
              <w:right w:val="single" w:sz="8" w:color="auto"/>
            </w:tcBorders>
          </w:tcPr>
          <w:p>
            <w:pPr>
              <w:spacing w:after="0"/>
              <w:rPr>
                <w:sz w:val="21"/>
                <w:szCs w:val="21"/>
                <w:color w:val="auto"/>
              </w:rPr>
            </w:pPr>
          </w:p>
        </w:tc>
      </w:tr>
      <w:tr>
        <w:trPr>
          <w:trHeight w:val="236"/>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HUTTI GOLD MINES CO.LTD</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TITAN COMPANY LIMITED, JEWELLERY DIVISION</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Tokuriki Honten Co., Ltd.</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TOO Tau-Ken-Altyn</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Torecom</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Tsai Brother industries</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TSK Pretech</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Umicore Brasil Ltda.</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Universal Precious Metals Refining Zambia</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Uyemura International Corp.</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Valcambi S.A.</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Value Trading</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Viagra Di precious metals (Zhaoyuan) Co., Ltd.</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WATANABE ELECTRIC</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Watanabe Plating Co.</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WEEEREFINING</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WIELAND Edelmetalle GmbH</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Wuzhong Group</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Xiamen JInbo Metal Co., Ltd.</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Yamakin Co., Ltd.</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Yamato Denki Ind. Co., Ltd.</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Yantai Zhaojin Lifu Precious Metals Co., Ltd.</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Yokohama Metal Co., Ltd.</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Yunnan Gold Mining Group Co., Ltd. (YGMG)</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Yunnan Metallurgical Group Co., Ltd.</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Yunnan Tin Group (Holding) Company Limited</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Zhaojun Maifu</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Zhaoyuan Hexi Gold Mine</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Zhapjin Mining Industry Co. Ltd</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Zhe Jiang Guang Yuan Noble Metal Smelting Factory</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Zhongkuang Gold Industry Co., Ltd.</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Zhongshan Hyper-Toxic Substance Monopolized Co., Ltd.</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9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Zhongshan Poison Material Proprietary Co., Ltd.</w:t>
            </w:r>
          </w:p>
        </w:tc>
        <w:tc>
          <w:tcPr>
            <w:tcW w:w="18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673"/>
        </w:trPr>
        <w:tc>
          <w:tcPr>
            <w:tcW w:w="49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13</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04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Zhongshan Public Security Bureau</w:t>
            </w:r>
          </w:p>
        </w:tc>
        <w:tc>
          <w:tcPr>
            <w:tcW w:w="1720" w:type="dxa"/>
            <w:vAlign w:val="bottom"/>
            <w:tcBorders>
              <w:top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top w:val="single" w:sz="8" w:color="auto"/>
              <w:bottom w:val="single" w:sz="8" w:color="auto"/>
              <w:right w:val="single" w:sz="8" w:color="auto"/>
            </w:tcBorders>
          </w:tcPr>
          <w:p>
            <w:pPr>
              <w:spacing w:after="0"/>
              <w:rPr>
                <w:sz w:val="21"/>
                <w:szCs w:val="21"/>
                <w:color w:val="auto"/>
              </w:rPr>
            </w:pP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Zhuhai toxic materials Monopoly Ltd.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Zhuzhou Smelting Group Co., Ltd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Zijin Mining Group Gold Smelting Co. Ltd.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5D Production OU</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A.L.M.T. Corp.</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AGL</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AMG Brasil</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AMG Mining Mibra Mine</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ANHUI HERRMAN IMPEX CO.</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Asaka Riken Co., Ltd.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Avon Specialty Metals Ltd.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BOHLER Schmiedetechn</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 National Gold Group Corporation</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CMT Rare Metal Advanced Materials (Hunan) Co., Ltd.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CP Metals Inc.</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 Block Metals, LLC</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Designed Alloy Products</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Duoluoshan</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E.S.R. Electronics</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Exotech Inc.</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Furuuchi Chemical Corporation</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Gannon &amp; Scott</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Global Advanced Metals</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Global Tungsten &amp; Powders Corp.</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Guixi smelting plant</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Guizhou Zhenhua Xinyun Technology Ltd., Kaili branch</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H.C. Starck GmbH</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H.C. Starck Surface Technology and Ceramic Powders GmbH</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Hi-Temp Specialty Metals, Inc.</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Jade-Sterling</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673"/>
        </w:trPr>
        <w:tc>
          <w:tcPr>
            <w:tcW w:w="5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14</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88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Suns Nonferrous Materials Co. Ltd.</w:t>
            </w:r>
          </w:p>
        </w:tc>
        <w:tc>
          <w:tcPr>
            <w:tcW w:w="1880" w:type="dxa"/>
            <w:vAlign w:val="bottom"/>
            <w:tcBorders>
              <w:top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top w:val="single" w:sz="8" w:color="auto"/>
              <w:bottom w:val="single" w:sz="8" w:color="auto"/>
              <w:right w:val="single" w:sz="8" w:color="auto"/>
            </w:tcBorders>
          </w:tcPr>
          <w:p>
            <w:pPr>
              <w:spacing w:after="0"/>
              <w:rPr>
                <w:sz w:val="21"/>
                <w:szCs w:val="21"/>
                <w:color w:val="auto"/>
              </w:rPr>
            </w:pP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Tungsten Industry Group Co., Ltd.</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Jiujiang Janny New Material Co., Ltd.</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Jiujiang Tanbre Co., Ltd.</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KEMET Blue Powder</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KEMET Corp.</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KEMET de Mexico</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Kennametal Huntsville</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King-Tan Tantalum Industry Ltd.</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Materion</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Materion Newton Inc.</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 Materials</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Mineracao Taboca S.A.</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Nantong Tongjie Electrical Co., Ltd.</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NPM Silmet AS</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Plansee SE Liezen</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PM Kalco Inc</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PowerX Ltd.</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Babel Inti Perkasa</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QSIL Metals Hermsdorf GmbH</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QuantumClean</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RFH Recycling Metals Co., Ltd.</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Rui Da Hung</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Sandvik Material Technology</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Shanghai Jiangxi Metals Co., Ltd.</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Taike Technology (Suzhou) Co.,Ltd.</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Taki Chemical Co., Ltd.</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TANIOBIS Co., Ltd.</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TANIOBIS GmbH</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8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TANIOBIS Japan Co., Ltd.</w:t>
            </w:r>
          </w:p>
        </w:tc>
        <w:tc>
          <w:tcPr>
            <w:tcW w:w="18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673"/>
        </w:trPr>
        <w:tc>
          <w:tcPr>
            <w:tcW w:w="48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15</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12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1640" w:type="dxa"/>
            <w:vAlign w:val="bottom"/>
            <w:tcBorders>
              <w:top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Tantalite Resources</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Telex Metals</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Tranzact, Inc.</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Treibacher Industrie AG</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ULVAC Inc.</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ULVAC TOHOKU</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V&amp;D New Materials (Jiangsu)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XIMEI RESOURCES(GUIZHOU) TECHNOLOGY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Yano Metal</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Yao gang xian mining</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Yichun Jin Yang Rare Metal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Zhuzhou Cemented Carbide Group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5N Plus</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A.L.M.T. Corp.</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A.M.P.E.R.E.</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ABC corporation</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Academy Precious Metal Materials (Zhaoyuan)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AFICA</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AIM Group</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ALLTECH METAL</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Amalgamated Metal Corporation PLC</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American Iron and Metal</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 Thai Minerals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Angelcast Enterprise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Aoki Labatories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Arco Alloys</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Atlas Pacific</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AURA-II</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Aurubis Beerse</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Aurubis Berango</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Aurubis Netherlands</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 T Solders Pvt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Balver Zinn - Josef Jost GmbH &amp; Co.KG</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673"/>
        </w:trPr>
        <w:tc>
          <w:tcPr>
            <w:tcW w:w="5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16</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67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Best Metais</w:t>
            </w: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top w:val="single" w:sz="8" w:color="auto"/>
              <w:bottom w:val="single" w:sz="8" w:color="auto"/>
              <w:right w:val="single" w:sz="8" w:color="auto"/>
            </w:tcBorders>
          </w:tcPr>
          <w:p>
            <w:pPr>
              <w:spacing w:after="0"/>
              <w:rPr>
                <w:sz w:val="21"/>
                <w:szCs w:val="21"/>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Brinkmann Chemie AG</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Cendres + Metaux S.A.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CFC Cooperativa dos Fundidores de Cassiterita da Amazonia Ltda.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Chemtreat Consultant</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CHIA FAR</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 Tin Group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Chofu Works</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CIMSA, S.A.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CNMC (Guangxi) PGMA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Colonial Metals, Inc.</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Cooperativa Metalurgica de Rondonia Ltda.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COPPER 100</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CRM Fundicao De Metais E Comercio De Equipamentos Eletronicos Do Brasil Ltda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CRM Synergies</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CSC Pure Technologies</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CV Ayi Jaya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CV Dua Sekawan</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CV Duta Putra Bangka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CV Gita Pesona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CV Makmur Jaya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CV United Smelting</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CV Venus Inti Perkasa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 Nang Processing Import and Export Joint Stock Company</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DAEWOO INTERNATIONAL CORPORATION</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Dai-ichi Seiko</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Dingnan Jiawang environmental Tin technology Co.</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Dongguan City Xida Soldering Tin Products Co.</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Dowa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Dr.-Ing. Max Schlotter GmbH &amp; Co. KG</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Dragon Silver Holdings Limited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DS Myanmar</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Eagle Brass</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Egli Fischer</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Electroloy Metal Pte</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673"/>
        </w:trPr>
        <w:tc>
          <w:tcPr>
            <w:tcW w:w="67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67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Electro-Mechanical Facility of the Cao Bang Minerals &amp; Metallurgy Joint Stock Company</w:t>
            </w: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top w:val="single" w:sz="8" w:color="auto"/>
              <w:bottom w:val="single" w:sz="8" w:color="auto"/>
              <w:right w:val="single" w:sz="8" w:color="auto"/>
            </w:tcBorders>
          </w:tcPr>
          <w:p>
            <w:pPr>
              <w:spacing w:after="0"/>
              <w:rPr>
                <w:sz w:val="21"/>
                <w:szCs w:val="21"/>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Elemetal Refining, LLC</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 Vinto</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Estanho de Rondonia S.A.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Feinhutte Halsbrucke GmbH</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Fenix Metals</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Fuji Metal Mining Corp.</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Furukawa Electric</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Gaoxin Tin Industry Co.,Ltd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Fengming Metallurgy Chemical Plant</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Jinye Mineral Company</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YE LIAN CHANG</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Yunxi Group Corp.</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Gold Bell Group</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GUANGDONG JIATIAN STANNUM PRODUCTS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GuangDong ZhongShi Metal CO.,LTD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GUANGXI HUA TIN GOLD MINUTE FEE,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Guangxi Nonferrous Metals Group</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Guangxi Zhongshan Jin Yi Smelting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GuanXi HuaXi metal factory</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Guanyang Guida Nonferrous Metal Smelting Plant</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 KRAMER &amp; CO.</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Hawkins, Inc.</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Hayes Metals Pty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HeeSung Metal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Heraeus Precious Metals GmbH &amp; Co. KG</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Hezhou Jinwei Tin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High Quality Technology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HongQiao metal parts</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Hongqiao Metals (Kunshan)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HONGYANG Tin products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673"/>
        </w:trPr>
        <w:tc>
          <w:tcPr>
            <w:tcW w:w="67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18</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67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HUA ENG WIRE&amp;CABLE CO.,LTD</w:t>
            </w: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top w:val="single" w:sz="8" w:color="auto"/>
              <w:bottom w:val="single" w:sz="8" w:color="auto"/>
              <w:right w:val="single" w:sz="8" w:color="auto"/>
            </w:tcBorders>
          </w:tcPr>
          <w:p>
            <w:pPr>
              <w:spacing w:after="0"/>
              <w:rPr>
                <w:sz w:val="21"/>
                <w:szCs w:val="21"/>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Huaxi Smelting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Huichang Jinshunda Tin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Hyundai-Steel</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IBF IND Brasileira de Ferroligas Ltda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IMPAG AG</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 Minera Mexico</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Ing.Josef Korínek</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ISHIHARA CHEMICAL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i-TSCL</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Jau Janq Enterprise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Jean Goldschmidt International (JGI Hydrometal)</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 Xi Jia Wang Technology Tin Products Environmental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Ketai Advanced Material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 Tai Industrial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KARAS PLATING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KIESOW DR. BRINKMANN</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KIHONG T &amp; G</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KME France</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KME Germany</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Kobe Steel,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Koepp Schaum GmbH</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KOKI Company Limited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Koki Products Co.,Ltd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KOVOHUTE PRIBRAM NASTUPNICKA, A.S.</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LIAN JING</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Linqu Xianggui Smelter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Longnan Chuangyue Environmental Protection Technology Development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Luna Smelter,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M&amp;R Claushuis BV</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M/s ECO Tropical Resources</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 An Shan Shu Guang Smelter Corp.</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MacDermid GmbH</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673"/>
        </w:trPr>
        <w:tc>
          <w:tcPr>
            <w:tcW w:w="67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19</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23" w:name="page24"/>
    <w:bookmarkEnd w:id="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72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2040" w:type="dxa"/>
            <w:vAlign w:val="bottom"/>
            <w:tcBorders>
              <w:top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MANAAS MEYERLARGICAL</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Materials Eco-Refining Co., Ltd.</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MBO</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MCP Metalspecialties, Inc</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Medeko Cast S.R.O.</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Melt Metais e Ligas S.A.</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MENG NENG</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Metahub Industries Sdn. Bhd.</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Metallic Resources, Inc.</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Metallum Group Holding NV</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Metallum Metal Trading Company</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Minchali Metal Industry Co., Ltd.</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Mineracao Taboca S.A.</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Mineral-Metal s.r.o.</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Ming Li Jia smelt Metal Factory</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Minmetals Ganzhou Tin Co. Ltd.</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Minsur</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Modeltech Sdn Bhd</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Multiple Xin precision metal electroplating factory</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 Chemcat</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Nathan Trotter &amp; Co INC.</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Neuhaus</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Ney Metals and Alloys</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NIHON GENMA MFG.CO.,LTD.</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Nihon Kagaku Sangyo</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Nihon Superior Co., Ltd.</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Ningbo Jintian copper (Group ) Company Limited</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Ningbo Powerway Alloy Material Co. Ltd.</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Nippon Filler Metals Ltd</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Nippon Steel</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Nohon Superior Co.,</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Nordson EFD</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Nortena de Metales, SA</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*Novosibirsk Tin Combine</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2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673"/>
        </w:trPr>
        <w:tc>
          <w:tcPr>
            <w:tcW w:w="47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20</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9" w:right="339" w:bottom="1440" w:gutter="0" w:footer="0" w:header="0"/>
        </w:sectPr>
      </w:pPr>
    </w:p>
    <w:bookmarkStart w:id="24" w:name="page25"/>
    <w:bookmarkEnd w:id="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28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Ohio Precious Metals, LLC</w:t>
            </w:r>
          </w:p>
        </w:tc>
        <w:tc>
          <w:tcPr>
            <w:tcW w:w="2480" w:type="dxa"/>
            <w:vAlign w:val="bottom"/>
            <w:tcBorders>
              <w:top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top w:val="single" w:sz="8" w:color="auto"/>
              <w:bottom w:val="single" w:sz="8" w:color="auto"/>
              <w:right w:val="single" w:sz="8" w:color="auto"/>
            </w:tcBorders>
          </w:tcPr>
          <w:p>
            <w:pPr>
              <w:spacing w:after="0"/>
              <w:rPr>
                <w:sz w:val="21"/>
                <w:szCs w:val="21"/>
                <w:color w:val="auto"/>
              </w:rPr>
            </w:pPr>
          </w:p>
        </w:tc>
      </w:tr>
      <w:tr>
        <w:trPr>
          <w:trHeight w:val="236"/>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Old City Metals Processing Co., Ltd.</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OMODEO A. E S. METALLEGHE SRL</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 Kay Metal, Inc</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Pan Light Corporation</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PBT</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Phoenix Metal Ltd.</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PIREKS</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POONGSAN CORPORATION</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Posco</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Prifer Com de Sucata</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Alam Lestari Kencana</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Arsed Indonesia</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Artha Cipta Langgeng</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Babel Inti Perkasa</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Bangka Kudai Tin</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Bangka Prima Tin</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Bangka Putra Karya</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Bangka Serumpun</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Bangka Timah Utama Sejahtera</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Bangka Tin Industry</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BilliTin Makmur Lestari</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Bukit Timah</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Cipta Persada Mulia</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Citralogam Alphasejahtera</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DS Jaya Abadi</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Eunindo Usaha Mandiri</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Fang Di MulTindo</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HP Metals Indonesia</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Inti Stania Prima</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Justindo</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Karimun Mining</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Kijang Jaya Mandiri</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Koba Tin</w:t>
            </w:r>
          </w:p>
        </w:tc>
        <w:tc>
          <w:tcPr>
            <w:tcW w:w="2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673"/>
        </w:trPr>
        <w:tc>
          <w:tcPr>
            <w:tcW w:w="42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21</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9" w:right="339" w:bottom="1440" w:gutter="0" w:footer="0" w:header="0"/>
        </w:sectPr>
      </w:pPr>
    </w:p>
    <w:bookmarkStart w:id="25" w:name="page26"/>
    <w:bookmarkEnd w:id="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52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Lautan Harmonis Sejahtera</w:t>
            </w:r>
          </w:p>
        </w:tc>
        <w:tc>
          <w:tcPr>
            <w:tcW w:w="2240" w:type="dxa"/>
            <w:vAlign w:val="bottom"/>
            <w:tcBorders>
              <w:top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top w:val="single" w:sz="8" w:color="auto"/>
              <w:bottom w:val="single" w:sz="8" w:color="auto"/>
              <w:right w:val="single" w:sz="8" w:color="auto"/>
            </w:tcBorders>
          </w:tcPr>
          <w:p>
            <w:pPr>
              <w:spacing w:after="0"/>
              <w:rPr>
                <w:sz w:val="21"/>
                <w:szCs w:val="21"/>
                <w:color w:val="auto"/>
              </w:rPr>
            </w:pPr>
          </w:p>
        </w:tc>
      </w:tr>
      <w:tr>
        <w:trPr>
          <w:trHeight w:val="236"/>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Masbro Alam Stania</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Menara Cipta Mulia</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Mitra Graha Raya</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Mitra Stania Prima</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NATARI</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O.M. Indonesia</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Panca Mega Persada</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Premium Tin Indonesia</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Prima Timah Utama</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Rajehan Ariq</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Refined Bangka Tin</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Seirama Tin Investment</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Singkep Times Utama</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Stanindo Inti Perkasa</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Sukses Inti Makmur (SIM)</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Sumber Jaya Indah</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Supra Sukses Trinusa</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Timah Nusantara</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Timah Tbk</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Timah Tbk Kundur</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Timah Tbk Mentok</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Tinindo Inter Nusa</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Tirus Putra Mandiri</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Tommy Utama</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Wahana Perkit Jaya</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Yinchendo Mining Industry</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Qualitek delta philippines</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Rahman Hydraulic Tin Sdn Bhd</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RedRing Solder (M) Sdn. Bhd</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REYNOLDS</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Rian Resources SDN. BHD.</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ROHM &amp; HAAS</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Rui Da Hung</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5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Samhwa non-ferrorus Metal ind.co.ltd</w:t>
            </w:r>
          </w:p>
        </w:tc>
        <w:tc>
          <w:tcPr>
            <w:tcW w:w="2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673"/>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22</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9" w:right="339" w:bottom="1440" w:gutter="0" w:footer="0" w:header="0"/>
        </w:sectPr>
      </w:pPr>
    </w:p>
    <w:bookmarkStart w:id="26" w:name="page27"/>
    <w:bookmarkEnd w:id="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67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SAN-ETSU METALS</w:t>
            </w: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top w:val="single" w:sz="8" w:color="auto"/>
              <w:bottom w:val="single" w:sz="8" w:color="auto"/>
              <w:right w:val="single" w:sz="8" w:color="auto"/>
            </w:tcBorders>
          </w:tcPr>
          <w:p>
            <w:pPr>
              <w:spacing w:after="0"/>
              <w:rPr>
                <w:sz w:val="21"/>
                <w:szCs w:val="21"/>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SARBAK</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Selayang Solder sdn Bhd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Senju Metal Industry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Sevotrans</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SGS</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 Tou Shi Yong Yuan Jin Shu Zai Sheng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Shanghai Hubao Coppe</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ShangHai YueQiang Metal Products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Shangrao Xuri Smelting Factory</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Shen Mao Solder (M) Sdn. Bhd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Shenzhen Hong Chang Metal Manufacturing Factory</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Shenzhen new jin spring solder products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Shenzhen Yi Cheng Industrial</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Sichuan Guanghan Jiangnan casting smelters</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Sigma Tin Alloy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Sizer Metals PTE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Soft Metais Ltda.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SORIMETAL</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Spectro Alloys Corp.</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Stannol</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Super Ligas</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Suzhou Nuonengda Chemical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swissmetal</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Swopes Salvage</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Tai Perng</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Taicang City Nancang Metal Material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Taiwan high-tech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Taiwan Huanliang</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Taiwan's lofty Enterprises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09"/>
        </w:trPr>
        <w:tc>
          <w:tcPr>
            <w:tcW w:w="6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Takehara PVD Materials Plant / PVD Materials Division of MITSUI MINING &amp;</w:t>
            </w:r>
          </w:p>
        </w:tc>
        <w:tc>
          <w:tcPr>
            <w:tcW w:w="170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r>
      <w:tr>
        <w:trPr>
          <w:trHeight w:val="241"/>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SMELTING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9"/>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Tamura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TCC steel</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Technic</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Teck Metals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TENNANT METAL PTY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Tennessee Aluminum Processors</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Termomecanica</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Thai Nguyen Mining and Metallurgy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673"/>
        </w:trPr>
        <w:tc>
          <w:tcPr>
            <w:tcW w:w="67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23</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9" w:right="339" w:bottom="1440" w:gutter="0" w:footer="0" w:header="0"/>
        </w:sectPr>
      </w:pPr>
    </w:p>
    <w:bookmarkStart w:id="27" w:name="page28"/>
    <w:bookmarkEnd w:id="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84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Thaisarco</w:t>
            </w:r>
          </w:p>
        </w:tc>
        <w:tc>
          <w:tcPr>
            <w:tcW w:w="1920" w:type="dxa"/>
            <w:vAlign w:val="bottom"/>
            <w:tcBorders>
              <w:top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ThyssenKrupp Steel</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Tianjin Hu Di Environmental Technology Co., Ltd.</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Tianshui Ling Bo Technology Co., Ltd.</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TIN PLATING GEJIU</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TODINI AND CO SPA</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Tongding Group</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Top-Team Technology (Shenzhen) Ltd.</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TRATHO Metal Quimica</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Traxys</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Ultracore Co., Ltd.</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 BROS METAL PTE LTD</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UNIFORCE METAL INDUSTRIAL CORP.</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Univertical International (Suzhou) Co., Ltd</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VISHAY</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Vitkovicke slevarny</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Watanabe Plating Co.</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WC Heraeus</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WELLEY</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Westfalenzinn</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Westmetall GmbH &amp; Co. KG</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Wieland Werke AG</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Winter Metalle GmbH</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WUJIANG CITY LUXE TIN FACTORY</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WUXI YUNXI SANYE SOLDER FACTORY</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Xiamen Honglu Tungsten Molybdenum Co., Ltd.</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Xianghualing Tin Industry Co., Ltd.</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Xin Furukawa Metal ( Wuxi ) Co., Ltd.</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XURI</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Yifeng Tin</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Yuecheng Tin Co., Ltd.</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Yunnan Chengo Electric Smelting Plant</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48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Yunnan Copper Zinc Industry Co., Ltd.</w:t>
            </w: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673"/>
        </w:trPr>
        <w:tc>
          <w:tcPr>
            <w:tcW w:w="48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24</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9" w:right="339" w:bottom="1440" w:gutter="0" w:footer="0" w:header="0"/>
        </w:sectPr>
      </w:pPr>
    </w:p>
    <w:bookmarkStart w:id="28" w:name="page29"/>
    <w:bookmarkEnd w:id="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14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Yunnan Dian'xi Tin Mine</w:t>
            </w:r>
          </w:p>
        </w:tc>
        <w:tc>
          <w:tcPr>
            <w:tcW w:w="1620" w:type="dxa"/>
            <w:vAlign w:val="bottom"/>
            <w:tcBorders>
              <w:top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top w:val="single" w:sz="8" w:color="auto"/>
              <w:bottom w:val="single" w:sz="8" w:color="auto"/>
              <w:right w:val="single" w:sz="8" w:color="auto"/>
            </w:tcBorders>
          </w:tcPr>
          <w:p>
            <w:pPr>
              <w:spacing w:after="0"/>
              <w:rPr>
                <w:sz w:val="21"/>
                <w:szCs w:val="21"/>
                <w:color w:val="auto"/>
              </w:rPr>
            </w:pPr>
          </w:p>
        </w:tc>
      </w:tr>
      <w:tr>
        <w:trPr>
          <w:trHeight w:val="236"/>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Yunnan Geiju Smelting Corp.</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Yunnan Industrial Co., Ltd.</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Yunnan Malipo Baiyi Kuangye Co.</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yunnan xi ye gufen youxian gongsi</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Zhangzhou Hiromi Non-ferrous Metals Co., Ltd.</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Zhangzhou Xiangcheng Hongyu Building</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Zhongshan Jinye Smelting Co.,Ltd</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ZhongShi</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Zhuhai Horyison Solder Co., Ltd.</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Zijin Mining Group Co., Ltd. Gold Refinery</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A.L.M.T. Corp.</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ACL Metais Eireli</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Air Products</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Alldyne Powder Technologies</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Alloys Imphy</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Alta Group</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Argor-Heraeus S.A.</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Artek LLC</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Atlantic Metals</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Avon Specialty Metals Ltd.</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AVX Corporation</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AXISMATERIAL LIMITED</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Beijing Zenith Materials</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Bejing Tian-long</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Boliden AB</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Canon-Muskegon Corp</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CB-CERATIZIT</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Ceratizit S.A</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Changchun up-optotech</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 Minmetals Non-ferrous Metals Holding Co., Ltd.</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 National Nonferrous Metals Imp. &amp; Exp. Jiangxi Co., Ltd.</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CNMC (Guangxi) PGMA Co., Ltd.</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CP Metals Inc.</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Cronimet Brasil Ltda</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CWB Materials</w:t>
            </w:r>
          </w:p>
        </w:tc>
        <w:tc>
          <w:tcPr>
            <w:tcW w:w="16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673"/>
        </w:trPr>
        <w:tc>
          <w:tcPr>
            <w:tcW w:w="5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25</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9" w:right="339" w:bottom="1440" w:gutter="0" w:footer="0" w:header="0"/>
        </w:sectPr>
      </w:pPr>
    </w:p>
    <w:bookmarkStart w:id="29" w:name="page30"/>
    <w:bookmarkEnd w:id="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67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DAIDO STEEL</w:t>
            </w: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top w:val="single" w:sz="8" w:color="auto"/>
              <w:bottom w:val="single" w:sz="8" w:color="auto"/>
              <w:right w:val="single" w:sz="8" w:color="auto"/>
            </w:tcBorders>
          </w:tcPr>
          <w:p>
            <w:pPr>
              <w:spacing w:after="0"/>
              <w:rPr>
                <w:sz w:val="21"/>
                <w:szCs w:val="21"/>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Dayu Jincheng Tungsten Industry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Dayu Weiliang Tungsten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DONGKUK INDUSTRIES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Duoluoshan</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Eurotungstene Metal Powders</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Exotech Inc.</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Fort Wayne Wire Die, Inc.</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Fujian Ganmin RareMetal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Fujian Jinxin Tungsten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Ganxian Shirui New Material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Ganzhou Beseem Ferrotungsten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Ganzhou Grand Sea W &amp; Mo Group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Ganzhou Haichuang Tungsten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Ganzhou Hongfei Materials Co.</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Ganzhou Huaxing Tungsten Products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Ganzhou JXTC Summit AT&amp;M New Materials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Ganzhou Non-ferrous Metals Smelting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Ganzhou Sunny Non-Ferrous Metals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Ganzhou Yatai Tungsten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Gerard Daniel Worldwide</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H.C. Starck Group</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H.C. Starck Tungsten GmbH</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HANNAE FOR T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Hitachi</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Hunan Chuangda Vanadium Tungsten Co., Ltd. Wuji</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Hunan Chuangda Vanadium Tungsten Co., Ltd. Yanglin</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Hunan Litian Tungsten Industry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Hunan Shizhuyuan Nonferrous Metals Co., Ltd. Chenzhou Tungsten Products Branch</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*Hydrometallurg, JSC</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ILJIN DIAMOND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Izawa metal Co.,Ltd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673"/>
        </w:trPr>
        <w:tc>
          <w:tcPr>
            <w:tcW w:w="67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26</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9" w:right="339" w:bottom="1440" w:gutter="0" w:footer="0" w:header="0"/>
        </w:sectPr>
      </w:pPr>
    </w:p>
    <w:bookmarkStart w:id="30" w:name="page31"/>
    <w:bookmarkEnd w:id="3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12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 New Metals Co., Ltd.</w:t>
            </w:r>
          </w:p>
        </w:tc>
        <w:tc>
          <w:tcPr>
            <w:tcW w:w="1640" w:type="dxa"/>
            <w:vAlign w:val="bottom"/>
            <w:tcBorders>
              <w:top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Rare Metals Tungsten Holdings Group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Richsea New Materials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Xianglu Tungsten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Xiushui Xianggan Nonferrous Metals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Jiujiang Tanbre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Kanto Denka Kogyo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Kennametal Fallon</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Kennametal Huntsville</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KGETS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LAOS SOUTHERN MINING SMELTING SOLE CO.,LTD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Lianyou Metals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Lianyou Resources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LLC Vostok</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Luoyang Mudu Tungsten &amp; Molybdenum Technology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MALAMET SMELTING SDN. BHD.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Masan High-Tech Materials</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Materion</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Mehra Ferro-Alloys Pvt.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Midwest Tungsten Wire Co.</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Minmetals Ganzhou Tin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Moliren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Nanchang Cemented Carbide Limited Liability Company</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Niagara Refining LLC</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North American Tungsten</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NPP Tyazhmetprom LLC</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*OOO “Technolom” 1</w:t>
            </w:r>
          </w:p>
        </w:tc>
        <w:tc>
          <w:tcPr>
            <w:tcW w:w="16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673"/>
        </w:trPr>
        <w:tc>
          <w:tcPr>
            <w:tcW w:w="5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27</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9" w:right="339" w:bottom="1440" w:gutter="0" w:footer="0" w:header="0"/>
        </w:sectPr>
      </w:pPr>
    </w:p>
    <w:bookmarkStart w:id="31" w:name="page32"/>
    <w:bookmarkEnd w:id="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20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*OOO “Technolom” 2</w:t>
            </w:r>
          </w:p>
        </w:tc>
        <w:tc>
          <w:tcPr>
            <w:tcW w:w="1560" w:type="dxa"/>
            <w:vAlign w:val="bottom"/>
            <w:tcBorders>
              <w:top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top w:val="single" w:sz="8" w:color="auto"/>
              <w:bottom w:val="single" w:sz="8" w:color="auto"/>
              <w:right w:val="single" w:sz="8" w:color="auto"/>
            </w:tcBorders>
          </w:tcPr>
          <w:p>
            <w:pPr>
              <w:spacing w:after="0"/>
              <w:rPr>
                <w:sz w:val="21"/>
                <w:szCs w:val="21"/>
                <w:color w:val="auto"/>
              </w:rPr>
            </w:pP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Plansee Composite Materials GmbH</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Pobedit, JSC</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Stanindo Inti Perkasa</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Timah Tbk Kundur</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Timah Tbk Mentok</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Sandvik Material Technology</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Sanher Tungsten Vietnam Co., Ltd.</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Sincemat Co, Ltd.</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South-East Nonferrous Metal Company Limited of Hengyang City</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TaeguTec</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Tejing (Vietnam) Tungsten Co., Ltd.</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Thaisarco</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Toshiba Material Co., Ltd.</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Tosoh</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Triumph Northwest</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ugitech</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Vietnam Youngsun Tungsten Industry Co., Ltd.</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Voss Metals Company, Inc.</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WOLFRAM Company CJSC</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Woltech Korea Co., Ltd.</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Wuxi Middle Treasure Materials</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Xiamen Golden Egret Special Alloy Co. Ltd.</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Xiamen Honglu Tungsten Molybdenum Co., Ltd.</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Xiamen Tungsten Co., Ltd.</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6"/>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Xinfeng Huarui Tungsten &amp; Molybdenum New Material Co., Ltd.</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Xinhai Rendan Shaoguan Tungsten Co., Ltd.</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7"/>
        </w:trPr>
        <w:tc>
          <w:tcPr>
            <w:tcW w:w="5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Zhangzhou Chuen Bao Apt Smeltery Co., Ltd.</w:t>
            </w: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673"/>
        </w:trPr>
        <w:tc>
          <w:tcPr>
            <w:tcW w:w="5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28</w:t>
            </w:r>
          </w:p>
        </w:tc>
        <w:tc>
          <w:tcPr>
            <w:tcW w:w="1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9" w:right="339" w:bottom="1440" w:gutter="0" w:footer="0" w:header="0"/>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67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Zhuzhou Cemented Carbide</w:t>
            </w: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top w:val="single" w:sz="8" w:color="auto"/>
              <w:bottom w:val="single" w:sz="8" w:color="auto"/>
              <w:right w:val="single" w:sz="8" w:color="auto"/>
            </w:tcBorders>
          </w:tcPr>
          <w:p>
            <w:pPr>
              <w:spacing w:after="0"/>
              <w:rPr>
                <w:sz w:val="21"/>
                <w:szCs w:val="21"/>
                <w:color w:val="auto"/>
              </w:rPr>
            </w:pPr>
          </w:p>
        </w:tc>
      </w:tr>
      <w:tr>
        <w:trPr>
          <w:trHeight w:val="237"/>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Zhuzhou Cemented Carbide Group Co., Ltd.</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p>
        </w:tc>
      </w:tr>
      <w:tr>
        <w:trPr>
          <w:trHeight w:val="236"/>
        </w:trPr>
        <w:tc>
          <w:tcPr>
            <w:tcW w:w="67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Cookson Métaux Précieux - Cookson CLAL</w:t>
            </w: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RJC</w:t>
            </w:r>
          </w:p>
        </w:tc>
      </w:tr>
      <w:tr>
        <w:trPr>
          <w:trHeight w:val="43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**Naming of the Facility is as reflected in the RMI database as of March 25, 2025.</w:t>
            </w:r>
          </w:p>
        </w:tc>
        <w:tc>
          <w:tcPr>
            <w:tcW w:w="1700" w:type="dxa"/>
            <w:vAlign w:val="bottom"/>
          </w:tcPr>
          <w:p>
            <w:pPr>
              <w:spacing w:after="0"/>
              <w:rPr>
                <w:sz w:val="24"/>
                <w:szCs w:val="24"/>
                <w:color w:val="auto"/>
              </w:rPr>
            </w:pPr>
          </w:p>
        </w:tc>
        <w:tc>
          <w:tcPr>
            <w:tcW w:w="2780" w:type="dxa"/>
            <w:vAlign w:val="bottom"/>
          </w:tcPr>
          <w:p>
            <w:pPr>
              <w:spacing w:after="0"/>
              <w:rPr>
                <w:sz w:val="24"/>
                <w:szCs w:val="24"/>
                <w:color w:val="auto"/>
              </w:rPr>
            </w:pPr>
          </w:p>
        </w:tc>
      </w:tr>
    </w:tbl>
    <w:p>
      <w:pPr>
        <w:spacing w:after="0" w:line="1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SORs denoted with an (*) have been sanctioned by the U.S. Department of the Treasury’s Office of Foreign Assets Control (“OFAC”), and were reported as utilized by certain of our Tier 1 suppliers in their supply chains (Celestica has no direct business with these SORs). Celestica subjected each of these suppliers to our escalation process, and as a result, several of such suppliers removed one or more of such applicable SORs from their supply chain. The escalation process remains in progress.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Based on the information obtained in the Company’s due diligence process, the Company does not have sufficient information to determine the country of origin of the Conflict Minerals in the Covered Products. However, the following represent the countries of origin identified by the SORs set forth above. The Company’s efforts to determine the mine(s) or location of origin with the greatest possible specificity are described in the RCOI and due diligence discussion above.</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METALS</w:t>
            </w:r>
          </w:p>
        </w:tc>
        <w:tc>
          <w:tcPr>
            <w:tcW w:w="9860" w:type="dxa"/>
            <w:vAlign w:val="bottom"/>
            <w:tcBorders>
              <w:top w:val="single" w:sz="8" w:color="auto"/>
              <w:bottom w:val="single" w:sz="8" w:color="auto"/>
              <w:right w:val="single" w:sz="8" w:color="auto"/>
            </w:tcBorders>
          </w:tcPr>
          <w:p>
            <w:pPr>
              <w:ind w:left="3960"/>
              <w:spacing w:after="0"/>
              <w:rPr>
                <w:sz w:val="20"/>
                <w:szCs w:val="20"/>
                <w:color w:val="auto"/>
              </w:rPr>
            </w:pPr>
            <w:r>
              <w:rPr>
                <w:rFonts w:ascii="Times New Roman" w:cs="Times New Roman" w:eastAsia="Times New Roman" w:hAnsi="Times New Roman"/>
                <w:sz w:val="18"/>
                <w:szCs w:val="18"/>
                <w:b w:val="1"/>
                <w:bCs w:val="1"/>
                <w:color w:val="auto"/>
              </w:rPr>
              <w:t>COUNTRY OF ORIGIN</w:t>
            </w:r>
          </w:p>
        </w:tc>
        <w:tc>
          <w:tcPr>
            <w:tcW w:w="0" w:type="dxa"/>
            <w:vAlign w:val="bottom"/>
          </w:tcPr>
          <w:p>
            <w:pPr>
              <w:spacing w:after="0"/>
              <w:rPr>
                <w:sz w:val="1"/>
                <w:szCs w:val="1"/>
                <w:color w:val="auto"/>
              </w:rPr>
            </w:pPr>
          </w:p>
        </w:tc>
      </w:tr>
      <w:tr>
        <w:trPr>
          <w:trHeight w:val="207"/>
        </w:trPr>
        <w:tc>
          <w:tcPr>
            <w:tcW w:w="1380" w:type="dxa"/>
            <w:vAlign w:val="bottom"/>
            <w:tcBorders>
              <w:left w:val="single" w:sz="8" w:color="auto"/>
              <w:right w:val="single" w:sz="8" w:color="auto"/>
            </w:tcBorders>
          </w:tcPr>
          <w:p>
            <w:pPr>
              <w:spacing w:after="0"/>
              <w:rPr>
                <w:sz w:val="18"/>
                <w:szCs w:val="18"/>
                <w:color w:val="auto"/>
              </w:rPr>
            </w:pPr>
          </w:p>
        </w:tc>
        <w:tc>
          <w:tcPr>
            <w:tcW w:w="9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ANDORRA, AUSTRALIA, AUSTRIA, BELGIUM, BRAZIL, CANADA, CHILE, CHINA, COLOMBIA, CZECHIA, FRANCE,</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9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 GHANA, INDIA, INDONESIA, ITALY, JAPAN, KAZAKHSTAN, DEMOCRATIC PEOPLE’S REPUBLIC OF</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9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 KOREA, KYRGYZSTAN, LITHUANIA, MALAYSIA, MAURITANIA, MEXICO, NETHERLANDS,</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9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ZEALAND, NORWAY, PERU, PHILIPPINES, POLAND, PORTUGAL, RUSSIAN FEDERATION, RWANDA, SAUDI</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9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ARABIA, SINGAPORE, SOUTH AFRICA, SPAIN, SUDAN, SWEDEN, SWITZERLAND, TAIWAN, TANZANIA, THAILAND,</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9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TURKEY, UGANDA, UNITED ARAB EMIRATES, UNITED STATES OF AMERICA, UNKNOWN, UZBEKISTAN, ZAMBIA,</w:t>
            </w:r>
          </w:p>
        </w:tc>
        <w:tc>
          <w:tcPr>
            <w:tcW w:w="0" w:type="dxa"/>
            <w:vAlign w:val="bottom"/>
          </w:tcPr>
          <w:p>
            <w:pPr>
              <w:spacing w:after="0"/>
              <w:rPr>
                <w:sz w:val="1"/>
                <w:szCs w:val="1"/>
                <w:color w:val="auto"/>
              </w:rPr>
            </w:pPr>
          </w:p>
        </w:tc>
      </w:tr>
      <w:tr>
        <w:trPr>
          <w:trHeight w:val="241"/>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9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ZIMBABWE</w:t>
            </w:r>
          </w:p>
        </w:tc>
        <w:tc>
          <w:tcPr>
            <w:tcW w:w="0" w:type="dxa"/>
            <w:vAlign w:val="bottom"/>
          </w:tcPr>
          <w:p>
            <w:pPr>
              <w:spacing w:after="0"/>
              <w:rPr>
                <w:sz w:val="1"/>
                <w:szCs w:val="1"/>
                <w:color w:val="auto"/>
              </w:rPr>
            </w:pPr>
          </w:p>
        </w:tc>
      </w:tr>
      <w:tr>
        <w:trPr>
          <w:trHeight w:val="211"/>
        </w:trPr>
        <w:tc>
          <w:tcPr>
            <w:tcW w:w="1380" w:type="dxa"/>
            <w:vAlign w:val="bottom"/>
            <w:tcBorders>
              <w:left w:val="single" w:sz="8" w:color="auto"/>
              <w:right w:val="single" w:sz="8" w:color="auto"/>
            </w:tcBorders>
          </w:tcPr>
          <w:p>
            <w:pPr>
              <w:spacing w:after="0"/>
              <w:rPr>
                <w:sz w:val="18"/>
                <w:szCs w:val="18"/>
                <w:color w:val="auto"/>
              </w:rPr>
            </w:pPr>
          </w:p>
        </w:tc>
        <w:tc>
          <w:tcPr>
            <w:tcW w:w="9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AUSTRIA, BRAZIL, CHINA, ESTONIA, GERMANY, INDIA, INDONESIA, JAPAN, KAZAKHSTAN, MALAYSIA, MEXICO,</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9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REPUBLIC OF NORTH MACEDONIA, RUSSIAN FEDERATION, RWANDA, SOUTH AFRICA, SWEDEN, TAIWAN,</w:t>
            </w:r>
          </w:p>
        </w:tc>
        <w:tc>
          <w:tcPr>
            <w:tcW w:w="0" w:type="dxa"/>
            <w:vAlign w:val="bottom"/>
          </w:tcPr>
          <w:p>
            <w:pPr>
              <w:spacing w:after="0"/>
              <w:rPr>
                <w:sz w:val="1"/>
                <w:szCs w:val="1"/>
                <w:color w:val="auto"/>
              </w:rPr>
            </w:pPr>
          </w:p>
        </w:tc>
      </w:tr>
      <w:tr>
        <w:trPr>
          <w:trHeight w:val="126"/>
        </w:trPr>
        <w:tc>
          <w:tcPr>
            <w:tcW w:w="1380" w:type="dxa"/>
            <w:vAlign w:val="bottom"/>
            <w:tcBorders>
              <w:left w:val="single" w:sz="8" w:color="auto"/>
              <w:right w:val="single" w:sz="8" w:color="auto"/>
            </w:tcBorders>
            <w:vMerge w:val="continue"/>
          </w:tcPr>
          <w:p>
            <w:pPr>
              <w:spacing w:after="0"/>
              <w:rPr>
                <w:sz w:val="10"/>
                <w:szCs w:val="10"/>
                <w:color w:val="auto"/>
              </w:rPr>
            </w:pPr>
          </w:p>
        </w:tc>
        <w:tc>
          <w:tcPr>
            <w:tcW w:w="9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THAILAND, UNITED KINGDOM OF GREAT BRITAIN AND NORTHERN IRELAND, UNITED STATES OF AMERICA,</w:t>
            </w:r>
          </w:p>
        </w:tc>
        <w:tc>
          <w:tcPr>
            <w:tcW w:w="0" w:type="dxa"/>
            <w:vAlign w:val="bottom"/>
          </w:tcPr>
          <w:p>
            <w:pPr>
              <w:spacing w:after="0"/>
              <w:rPr>
                <w:sz w:val="1"/>
                <w:szCs w:val="1"/>
                <w:color w:val="auto"/>
              </w:rPr>
            </w:pPr>
          </w:p>
        </w:tc>
      </w:tr>
      <w:tr>
        <w:trPr>
          <w:trHeight w:val="90"/>
        </w:trPr>
        <w:tc>
          <w:tcPr>
            <w:tcW w:w="1380" w:type="dxa"/>
            <w:vAlign w:val="bottom"/>
            <w:tcBorders>
              <w:left w:val="single" w:sz="8" w:color="auto"/>
              <w:right w:val="single" w:sz="8" w:color="auto"/>
            </w:tcBorders>
          </w:tcPr>
          <w:p>
            <w:pPr>
              <w:spacing w:after="0"/>
              <w:rPr>
                <w:sz w:val="7"/>
                <w:szCs w:val="7"/>
                <w:color w:val="auto"/>
              </w:rPr>
            </w:pPr>
          </w:p>
        </w:tc>
        <w:tc>
          <w:tcPr>
            <w:tcW w:w="98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9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UNKNOWN</w:t>
            </w:r>
          </w:p>
        </w:tc>
        <w:tc>
          <w:tcPr>
            <w:tcW w:w="0" w:type="dxa"/>
            <w:vAlign w:val="bottom"/>
          </w:tcPr>
          <w:p>
            <w:pPr>
              <w:spacing w:after="0"/>
              <w:rPr>
                <w:sz w:val="1"/>
                <w:szCs w:val="1"/>
                <w:color w:val="auto"/>
              </w:rPr>
            </w:pPr>
          </w:p>
        </w:tc>
      </w:tr>
      <w:tr>
        <w:trPr>
          <w:trHeight w:val="211"/>
        </w:trPr>
        <w:tc>
          <w:tcPr>
            <w:tcW w:w="1380" w:type="dxa"/>
            <w:vAlign w:val="bottom"/>
            <w:tcBorders>
              <w:left w:val="single" w:sz="8" w:color="auto"/>
              <w:right w:val="single" w:sz="8" w:color="auto"/>
            </w:tcBorders>
          </w:tcPr>
          <w:p>
            <w:pPr>
              <w:spacing w:after="0"/>
              <w:rPr>
                <w:sz w:val="18"/>
                <w:szCs w:val="18"/>
                <w:color w:val="auto"/>
              </w:rPr>
            </w:pPr>
          </w:p>
        </w:tc>
        <w:tc>
          <w:tcPr>
            <w:tcW w:w="9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ALGERIA, AUSTRALIA, BELGIUM, BOLIVIA, BRAZIL, CANADA, CHINA, DEMOCRATIC REPUBLIC OF THE CONGO,</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9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CZECHIA, FRANCE, GERMANY, INDIA, INDONESIA, ITALY, JAPAN, REPUBLIC OF KOREA, LUXEMBOURG, MALAYSIA,</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9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 MYANMAR, NETHERLANDS, NEW ZEALAND, PERU, PHILIPPINES, POLAND, RUSSIAN FEDERATION,</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9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 SINGAPORE, SLOVAKIA, SPAIN, SWITZERLAND, TAIWAN, THAILAND, TURKEY, UGANDA, UNITED</w:t>
            </w:r>
          </w:p>
        </w:tc>
        <w:tc>
          <w:tcPr>
            <w:tcW w:w="0" w:type="dxa"/>
            <w:vAlign w:val="bottom"/>
          </w:tcPr>
          <w:p>
            <w:pPr>
              <w:spacing w:after="0"/>
              <w:rPr>
                <w:sz w:val="1"/>
                <w:szCs w:val="1"/>
                <w:color w:val="auto"/>
              </w:rPr>
            </w:pPr>
          </w:p>
        </w:tc>
      </w:tr>
      <w:tr>
        <w:trPr>
          <w:trHeight w:val="241"/>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9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KINGDOM, UNITED STATES OF AMERICA, UNKNOWN, VIETNAM</w:t>
            </w:r>
          </w:p>
        </w:tc>
        <w:tc>
          <w:tcPr>
            <w:tcW w:w="0" w:type="dxa"/>
            <w:vAlign w:val="bottom"/>
          </w:tcPr>
          <w:p>
            <w:pPr>
              <w:spacing w:after="0"/>
              <w:rPr>
                <w:sz w:val="1"/>
                <w:szCs w:val="1"/>
                <w:color w:val="auto"/>
              </w:rPr>
            </w:pPr>
          </w:p>
        </w:tc>
      </w:tr>
      <w:tr>
        <w:trPr>
          <w:trHeight w:val="211"/>
        </w:trPr>
        <w:tc>
          <w:tcPr>
            <w:tcW w:w="1380" w:type="dxa"/>
            <w:vAlign w:val="bottom"/>
            <w:tcBorders>
              <w:left w:val="single" w:sz="8" w:color="auto"/>
              <w:right w:val="single" w:sz="8" w:color="auto"/>
            </w:tcBorders>
          </w:tcPr>
          <w:p>
            <w:pPr>
              <w:spacing w:after="0"/>
              <w:rPr>
                <w:sz w:val="18"/>
                <w:szCs w:val="18"/>
                <w:color w:val="auto"/>
              </w:rPr>
            </w:pPr>
          </w:p>
        </w:tc>
        <w:tc>
          <w:tcPr>
            <w:tcW w:w="9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AUSTRIA, BRAZIL, CANADA, CHINA, FRANCE, GERMANY, INDIA, INDONESIA, REPUBLIC OF KOREA, LAOS,</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9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LUXEMBOURG, MALAYSIA, PHILIPPINES, RUSSIAN FEDERATION, SWEDEN, TAIWAN, THAILAND, UNITED KINGDOM</w:t>
            </w:r>
          </w:p>
        </w:tc>
        <w:tc>
          <w:tcPr>
            <w:tcW w:w="0" w:type="dxa"/>
            <w:vAlign w:val="bottom"/>
          </w:tcPr>
          <w:p>
            <w:pPr>
              <w:spacing w:after="0"/>
              <w:rPr>
                <w:sz w:val="1"/>
                <w:szCs w:val="1"/>
                <w:color w:val="auto"/>
              </w:rPr>
            </w:pPr>
          </w:p>
        </w:tc>
      </w:tr>
      <w:tr>
        <w:trPr>
          <w:trHeight w:val="241"/>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9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 GREAT BRITAIN AND NORTHERN IRELAND, UNITED STATES OF AMERICA, UNKNOWN, VIETNAM</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Given that not all of the SORs identified by the Company’s suppliers are certified by an independent third-party, that the SOR information obtained from suppliers did not correspond specifically to products/components supplied to the Company (and may therefore include SORs and/or countries of origin that are not applicable to the Conflict Minerals used in our products), that a few surveyed suppliers either did not respond to our requests for information or did not provide SOR information, and because necessary Conflict Minerals in a particular Covered Product may be sourced from multiple SORs, although the Company reasonably believes that certain of its necessary Conflict Minerals in the Covered Products may be from Covered Countries (as described above), it could not determine the country of origin for necessary Conflict Minerals in its Covered Products. In addition, based on the foregoing, the Company was unable to determine whether the necessary Conflict Minerals in the Covered Products that may be from the Covered Countries were from recycled or scrap sources, or came from sources that directly or indirectly financed or benefitted armed groups in the Covered Countries, as such term is defined in Rule 13p-</w:t>
      </w:r>
    </w:p>
    <w:p>
      <w:pPr>
        <w:spacing w:after="0" w:line="1" w:lineRule="exact"/>
        <w:rPr>
          <w:sz w:val="20"/>
          <w:szCs w:val="20"/>
          <w:color w:val="auto"/>
        </w:rPr>
      </w:pPr>
    </w:p>
    <w:p>
      <w:pPr>
        <w:ind w:right="160" w:firstLine="8"/>
        <w:spacing w:after="0" w:line="255"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of all responding suppliers in the Company’s due diligence process, none indicated (at any point during the RCOI or due diligence process) that it had sourced Conflict Minerals to the Company that directly or indirectly benefited or financed armed groups (as that term is defined in Rule 13p-1) in the Covered Countries.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3" w:name="page34"/>
    <w:bookmarkEnd w:id="33"/>
    <w:p>
      <w:pPr>
        <w:spacing w:after="0" w:line="266" w:lineRule="auto"/>
        <w:rPr>
          <w:sz w:val="20"/>
          <w:szCs w:val="20"/>
          <w:color w:val="auto"/>
        </w:rPr>
      </w:pPr>
      <w:r>
        <w:rPr>
          <w:rFonts w:ascii="Times New Roman" w:cs="Times New Roman" w:eastAsia="Times New Roman" w:hAnsi="Times New Roman"/>
          <w:sz w:val="18"/>
          <w:szCs w:val="18"/>
          <w:color w:val="auto"/>
        </w:rPr>
        <w:t>Celestica intends to undertake the following steps during the next compliance period to improve the due diligence conducted to further determine whether necessary Conflict Minerals in its Covered Products are sourced from the Covered Countries, or are from recycled or scrap sources, and to mitigate the risk that its necessary Conflict Minerals sourced from Covered Countries finance or benefit armed groups, including:</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suppliers that responded in 2024 to refresh and update sourcing information as appropriate;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update the list of products and associated suppliers designated as “in-scope”;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suppliers to implement responsible sourcing;</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outreach efforts with suppliers who listed OFAC-sanctioned SORs in their CMRT to have these SORs removed from their supply chain; and</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industry initiatives encouraging “conflict-free” supply chains.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Cautionary Note Concerning Forward-Looking Statements</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Certain statements in this report are “forward-looking” within the meaning of the Private Securities Litigation Reform Act of 1995. Words such as “intends,” “expects,” “plans,” “believes,” “estimates,” “anticipates,” and similar expressions are used to identify these forward-looking statements. Examples of forward-looking statements include statements relating to our future plans, and any other statement that does not directly relate to any historical or current fact. Forward-looking statements are based on our current expectations and assumptions, which may not prove to be accurate. These statements are not guarantees and are subject to risks, uncertainties and changes in circumstances that are difficult to predict, including, but not limited to, regulatory changes and judicial developments related to the Conflict Minerals rule; changes in or developments related to our products or supply chain; and/or industry developments relating to supply chain diligence, disclosure and other practices. Actual outcomes and results may differ materially from these forward-looking statements. As a result, these statements speak only as of the date they are made and we undertake no obligation to update or revise any forward-looking statement, except as required by law.</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2025-05-07T08:13:50Z</dcterms:created>
  <dcterms:modified xsi:type="dcterms:W3CDTF">2025-05-07T08:13:50Z</dcterms:modified>
</cp:coreProperties>
</file>