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1852930</wp:posOffset>
            </wp:positionH>
            <wp:positionV relativeFrom="page">
              <wp:posOffset>600710</wp:posOffset>
            </wp:positionV>
            <wp:extent cx="3843655" cy="12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43655" cy="12700"/>
                    </a:xfrm>
                    <a:prstGeom prst="rect">
                      <a:avLst/>
                    </a:prstGeom>
                    <a:noFill/>
                  </pic:spPr>
                </pic:pic>
              </a:graphicData>
            </a:graphic>
          </wp:anchor>
        </w:drawing>
        <w:drawing>
          <wp:anchor simplePos="0" relativeHeight="251657728" behindDoc="1" locked="0" layoutInCell="0" allowOverlap="1">
            <wp:simplePos x="0" y="0"/>
            <wp:positionH relativeFrom="page">
              <wp:posOffset>1852930</wp:posOffset>
            </wp:positionH>
            <wp:positionV relativeFrom="page">
              <wp:posOffset>626110</wp:posOffset>
            </wp:positionV>
            <wp:extent cx="384365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43655" cy="6350"/>
                    </a:xfrm>
                    <a:prstGeom prst="rect">
                      <a:avLst/>
                    </a:prstGeom>
                    <a:noFill/>
                  </pic:spPr>
                </pic:pic>
              </a:graphicData>
            </a:graphic>
          </wp:anchor>
        </w:drawing>
        <w:t>FORM 6-K</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jc w:val="center"/>
        <w:ind w:right="19"/>
        <w:spacing w:after="0"/>
        <w:rPr>
          <w:sz w:val="20"/>
          <w:szCs w:val="20"/>
          <w:color w:val="auto"/>
        </w:rPr>
      </w:pPr>
      <w:r>
        <w:rPr>
          <w:rFonts w:ascii="Arial" w:cs="Arial" w:eastAsia="Arial" w:hAnsi="Arial"/>
          <w:sz w:val="13"/>
          <w:szCs w:val="13"/>
          <w:b w:val="1"/>
          <w:bCs w:val="1"/>
          <w:color w:val="auto"/>
        </w:rPr>
        <w:t>Washington, D.C. 20549</w:t>
      </w:r>
    </w:p>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Report of Foreign Private Issuer</w:t>
      </w:r>
    </w:p>
    <w:p>
      <w:pPr>
        <w:spacing w:after="0" w:line="169" w:lineRule="exact"/>
        <w:rPr>
          <w:sz w:val="24"/>
          <w:szCs w:val="24"/>
          <w:color w:val="auto"/>
        </w:rPr>
      </w:pPr>
    </w:p>
    <w:p>
      <w:pPr>
        <w:ind w:left="3560"/>
        <w:spacing w:after="0"/>
        <w:rPr>
          <w:sz w:val="20"/>
          <w:szCs w:val="20"/>
          <w:color w:val="auto"/>
        </w:rPr>
      </w:pPr>
      <w:r>
        <w:rPr>
          <w:rFonts w:ascii="Arial" w:cs="Arial" w:eastAsia="Arial" w:hAnsi="Arial"/>
          <w:sz w:val="13"/>
          <w:szCs w:val="13"/>
          <w:b w:val="1"/>
          <w:bCs w:val="1"/>
          <w:color w:val="auto"/>
        </w:rPr>
        <w:t>Pursuant to Rule 13a-16 or 15d-16</w:t>
      </w:r>
    </w:p>
    <w:p>
      <w:pPr>
        <w:spacing w:after="0" w:line="23" w:lineRule="exact"/>
        <w:rPr>
          <w:sz w:val="24"/>
          <w:szCs w:val="24"/>
          <w:color w:val="auto"/>
        </w:rPr>
      </w:pPr>
    </w:p>
    <w:p>
      <w:pPr>
        <w:ind w:left="3360"/>
        <w:spacing w:after="0"/>
        <w:rPr>
          <w:sz w:val="20"/>
          <w:szCs w:val="20"/>
          <w:color w:val="auto"/>
        </w:rPr>
      </w:pPr>
      <w:r>
        <w:rPr>
          <w:rFonts w:ascii="Arial" w:cs="Arial" w:eastAsia="Arial" w:hAnsi="Arial"/>
          <w:sz w:val="13"/>
          <w:szCs w:val="13"/>
          <w:b w:val="1"/>
          <w:bCs w:val="1"/>
          <w:color w:val="auto"/>
        </w:rPr>
        <w:t>under the Securities Exchange Act of 1934</w:t>
      </w:r>
    </w:p>
    <w:p>
      <w:pPr>
        <w:spacing w:after="0" w:line="156"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 the month of March, 2021</w:t>
      </w:r>
    </w:p>
    <w:p>
      <w:pPr>
        <w:spacing w:after="0" w:line="169"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001-14832</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2404745</wp:posOffset>
            </wp:positionH>
            <wp:positionV relativeFrom="paragraph">
              <wp:posOffset>189230</wp:posOffset>
            </wp:positionV>
            <wp:extent cx="90995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09955" cy="635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CELESTICA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2404745</wp:posOffset>
            </wp:positionH>
            <wp:positionV relativeFrom="paragraph">
              <wp:posOffset>252095</wp:posOffset>
            </wp:positionV>
            <wp:extent cx="90995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09955" cy="635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5140 Yonge Street, Suite 1900</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Toronto, Ontario</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Canada M2N 6L7</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(416) 448-5800</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(Address of principal executive offices)</w:t>
      </w:r>
    </w:p>
    <w:p>
      <w:pPr>
        <w:spacing w:after="0" w:line="210" w:lineRule="exact"/>
        <w:rPr>
          <w:sz w:val="24"/>
          <w:szCs w:val="24"/>
          <w:color w:val="auto"/>
        </w:rPr>
      </w:pPr>
    </w:p>
    <w:p>
      <w:pPr>
        <w:ind w:left="1480"/>
        <w:spacing w:after="0"/>
        <w:rPr>
          <w:sz w:val="20"/>
          <w:szCs w:val="20"/>
          <w:color w:val="auto"/>
        </w:rPr>
      </w:pPr>
      <w:r>
        <w:rPr>
          <w:rFonts w:ascii="Arial" w:cs="Arial" w:eastAsia="Arial" w:hAnsi="Arial"/>
          <w:sz w:val="13"/>
          <w:szCs w:val="13"/>
          <w:color w:val="auto"/>
        </w:rPr>
        <w:t>Indicate by check mark whether the registrant files or will file annual reports under cover of Form 20-F or</w:t>
      </w:r>
    </w:p>
    <w:p>
      <w:pPr>
        <w:spacing w:after="0" w:line="19" w:lineRule="exact"/>
        <w:rPr>
          <w:sz w:val="24"/>
          <w:szCs w:val="24"/>
          <w:color w:val="auto"/>
        </w:rPr>
      </w:pPr>
    </w:p>
    <w:p>
      <w:pPr>
        <w:ind w:left="1480"/>
        <w:spacing w:after="0"/>
        <w:rPr>
          <w:sz w:val="20"/>
          <w:szCs w:val="20"/>
          <w:color w:val="auto"/>
        </w:rPr>
      </w:pPr>
      <w:r>
        <w:rPr>
          <w:rFonts w:ascii="Arial" w:cs="Arial" w:eastAsia="Arial" w:hAnsi="Arial"/>
          <w:sz w:val="13"/>
          <w:szCs w:val="13"/>
          <w:color w:val="auto"/>
        </w:rPr>
        <w:t>Form 40-F:</w:t>
      </w:r>
    </w:p>
    <w:p>
      <w:pPr>
        <w:spacing w:after="0" w:line="75" w:lineRule="exact"/>
        <w:rPr>
          <w:sz w:val="24"/>
          <w:szCs w:val="24"/>
          <w:color w:val="auto"/>
        </w:rPr>
      </w:pPr>
    </w:p>
    <w:p>
      <w:pPr>
        <w:ind w:left="2540"/>
        <w:spacing w:after="0" w:line="150" w:lineRule="exact"/>
        <w:tabs>
          <w:tab w:leader="none" w:pos="5660" w:val="left"/>
        </w:tabs>
        <w:rPr>
          <w:sz w:val="20"/>
          <w:szCs w:val="20"/>
          <w:color w:val="auto"/>
        </w:rPr>
      </w:pPr>
      <w:r>
        <w:rPr>
          <w:rFonts w:ascii="Arial" w:cs="Arial" w:eastAsia="Arial" w:hAnsi="Arial"/>
          <w:sz w:val="13"/>
          <w:szCs w:val="13"/>
          <w:color w:val="auto"/>
        </w:rPr>
        <w:t xml:space="preserve">Form 20-F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Form 40-F </w:t>
      </w:r>
      <w:r>
        <w:rPr>
          <w:rFonts w:ascii="MS PGothic" w:cs="MS PGothic" w:eastAsia="MS PGothic" w:hAnsi="MS PGothic"/>
          <w:sz w:val="12"/>
          <w:szCs w:val="12"/>
          <w:color w:val="auto"/>
        </w:rPr>
        <w:t>☐</w:t>
      </w:r>
    </w:p>
    <w:p>
      <w:pPr>
        <w:spacing w:after="0" w:line="104" w:lineRule="exact"/>
        <w:rPr>
          <w:sz w:val="24"/>
          <w:szCs w:val="24"/>
          <w:color w:val="auto"/>
        </w:rPr>
      </w:pPr>
    </w:p>
    <w:p>
      <w:pPr>
        <w:ind w:left="1480" w:right="1499"/>
        <w:spacing w:after="0" w:line="171" w:lineRule="exact"/>
        <w:rPr>
          <w:sz w:val="20"/>
          <w:szCs w:val="20"/>
          <w:color w:val="auto"/>
        </w:rPr>
      </w:pPr>
      <w:r>
        <w:rPr>
          <w:rFonts w:ascii="Arial" w:cs="Arial" w:eastAsia="Arial" w:hAnsi="Arial"/>
          <w:sz w:val="13"/>
          <w:szCs w:val="13"/>
          <w:color w:val="auto"/>
        </w:rPr>
        <w:t xml:space="preserve">Indicate by check mark whether the registrant is submitting the Form 6-K in paper as permitted by Regulation S-T Rule 101(b)(1): </w:t>
      </w:r>
      <w:r>
        <w:rPr>
          <w:rFonts w:ascii="MS PGothic" w:cs="MS PGothic" w:eastAsia="MS PGothic" w:hAnsi="MS PGothic"/>
          <w:sz w:val="13"/>
          <w:szCs w:val="13"/>
          <w:color w:val="auto"/>
        </w:rPr>
        <w:t>☐</w:t>
      </w:r>
    </w:p>
    <w:p>
      <w:pPr>
        <w:spacing w:after="0" w:line="57" w:lineRule="exact"/>
        <w:rPr>
          <w:sz w:val="24"/>
          <w:szCs w:val="24"/>
          <w:color w:val="auto"/>
        </w:rPr>
      </w:pPr>
    </w:p>
    <w:p>
      <w:pPr>
        <w:ind w:left="1480" w:right="1499"/>
        <w:spacing w:after="0" w:line="171" w:lineRule="exact"/>
        <w:rPr>
          <w:sz w:val="20"/>
          <w:szCs w:val="20"/>
          <w:color w:val="auto"/>
        </w:rPr>
      </w:pPr>
      <w:r>
        <w:rPr>
          <w:rFonts w:ascii="Arial" w:cs="Arial" w:eastAsia="Arial" w:hAnsi="Arial"/>
          <w:sz w:val="13"/>
          <w:szCs w:val="13"/>
          <w:color w:val="auto"/>
        </w:rPr>
        <w:t xml:space="preserve">Indicate by check mark whether the registrant is submitting the Form 6-K in paper as permitted by Regulation S-T Rule 101(b)(7):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938530</wp:posOffset>
            </wp:positionH>
            <wp:positionV relativeFrom="paragraph">
              <wp:posOffset>168275</wp:posOffset>
            </wp:positionV>
            <wp:extent cx="384365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43655" cy="635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199390</wp:posOffset>
            </wp:positionV>
            <wp:extent cx="3843655" cy="12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43655" cy="12700"/>
                    </a:xfrm>
                    <a:prstGeom prst="rect">
                      <a:avLst/>
                    </a:prstGeom>
                    <a:noFill/>
                  </pic:spPr>
                </pic:pic>
              </a:graphicData>
            </a:graphic>
          </wp:anchor>
        </w:drawing>
        <w:drawing>
          <wp:anchor simplePos="0" relativeHeight="251657728" behindDoc="1" locked="0" layoutInCell="0" allowOverlap="1">
            <wp:simplePos x="0" y="0"/>
            <wp:positionH relativeFrom="column">
              <wp:posOffset>350520</wp:posOffset>
            </wp:positionH>
            <wp:positionV relativeFrom="paragraph">
              <wp:posOffset>1849755</wp:posOffset>
            </wp:positionV>
            <wp:extent cx="5019040" cy="12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085"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3"/>
          <w:szCs w:val="13"/>
          <w:b w:val="1"/>
          <w:bCs w:val="1"/>
          <w:u w:val="single" w:color="auto"/>
          <w:color w:val="auto"/>
        </w:rPr>
        <w:t>Furnished Herewith (and incorporated by reference herein)</w:t>
      </w:r>
    </w:p>
    <w:p>
      <w:pPr>
        <w:spacing w:after="0" w:line="95" w:lineRule="exact"/>
        <w:rPr>
          <w:sz w:val="20"/>
          <w:szCs w:val="20"/>
          <w:color w:val="auto"/>
        </w:rPr>
      </w:pPr>
    </w:p>
    <w:p>
      <w:pPr>
        <w:ind w:left="1480"/>
        <w:spacing w:after="0"/>
        <w:tabs>
          <w:tab w:leader="none" w:pos="2120" w:val="left"/>
        </w:tabs>
        <w:rPr>
          <w:sz w:val="20"/>
          <w:szCs w:val="20"/>
          <w:color w:val="auto"/>
        </w:rPr>
      </w:pPr>
      <w:r>
        <w:rPr>
          <w:rFonts w:ascii="Arial" w:cs="Arial" w:eastAsia="Arial" w:hAnsi="Arial"/>
          <w:sz w:val="11"/>
          <w:szCs w:val="11"/>
          <w:b w:val="1"/>
          <w:bCs w:val="1"/>
          <w:color w:val="auto"/>
        </w:rPr>
        <w:t>Exhibit No.</w:t>
      </w:r>
      <w:r>
        <w:rPr>
          <w:sz w:val="20"/>
          <w:szCs w:val="20"/>
          <w:color w:val="auto"/>
        </w:rPr>
        <w:tab/>
      </w:r>
      <w:r>
        <w:rPr>
          <w:rFonts w:ascii="Arial" w:cs="Arial" w:eastAsia="Arial" w:hAnsi="Arial"/>
          <w:sz w:val="8"/>
          <w:szCs w:val="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19050</wp:posOffset>
            </wp:positionV>
            <wp:extent cx="383730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37305" cy="6350"/>
                    </a:xfrm>
                    <a:prstGeom prst="rect">
                      <a:avLst/>
                    </a:prstGeom>
                    <a:noFill/>
                  </pic:spPr>
                </pic:pic>
              </a:graphicData>
            </a:graphic>
          </wp:anchor>
        </w:drawing>
      </w:r>
    </w:p>
    <w:p>
      <w:pPr>
        <w:spacing w:after="0" w:line="31" w:lineRule="exact"/>
        <w:rPr>
          <w:sz w:val="20"/>
          <w:szCs w:val="20"/>
          <w:color w:val="auto"/>
        </w:rPr>
      </w:pPr>
    </w:p>
    <w:p>
      <w:pPr>
        <w:ind w:left="2140" w:right="1979" w:hanging="666"/>
        <w:spacing w:after="0" w:line="285" w:lineRule="auto"/>
        <w:tabs>
          <w:tab w:leader="none" w:pos="2120" w:val="left"/>
        </w:tabs>
        <w:rPr>
          <w:rFonts w:ascii="Arial" w:cs="Arial" w:eastAsia="Arial" w:hAnsi="Arial"/>
          <w:sz w:val="13"/>
          <w:szCs w:val="13"/>
          <w:u w:val="single" w:color="auto"/>
          <w:color w:val="0000EE"/>
        </w:rPr>
      </w:pPr>
      <w:r>
        <w:rPr>
          <w:rFonts w:ascii="Arial" w:cs="Arial" w:eastAsia="Arial" w:hAnsi="Arial"/>
          <w:sz w:val="13"/>
          <w:szCs w:val="13"/>
          <w:color w:val="auto"/>
        </w:rPr>
        <w:t>99.1</w:t>
      </w:r>
      <w:r>
        <w:rPr>
          <w:sz w:val="20"/>
          <w:szCs w:val="20"/>
          <w:color w:val="auto"/>
        </w:rPr>
        <w:tab/>
      </w:r>
      <w:hyperlink w:anchor="page5">
        <w:r>
          <w:rPr>
            <w:rFonts w:ascii="Arial" w:cs="Arial" w:eastAsia="Arial" w:hAnsi="Arial"/>
            <w:sz w:val="13"/>
            <w:szCs w:val="13"/>
            <w:u w:val="single" w:color="auto"/>
            <w:color w:val="0000EE"/>
          </w:rPr>
          <w:t>Notice of Meeting and Management Information Circular for the April 29, 2021 Annual</w:t>
        </w:r>
      </w:hyperlink>
      <w:r>
        <w:rPr>
          <w:rFonts w:ascii="Arial" w:cs="Arial" w:eastAsia="Arial" w:hAnsi="Arial"/>
          <w:sz w:val="13"/>
          <w:szCs w:val="13"/>
          <w:u w:val="single" w:color="auto"/>
          <w:color w:val="0000EE"/>
        </w:rPr>
        <w:t xml:space="preserve"> </w:t>
      </w:r>
      <w:hyperlink w:anchor="page5">
        <w:r>
          <w:rPr>
            <w:rFonts w:ascii="Arial" w:cs="Arial" w:eastAsia="Arial" w:hAnsi="Arial"/>
            <w:sz w:val="13"/>
            <w:szCs w:val="13"/>
            <w:u w:val="single" w:color="auto"/>
            <w:color w:val="0000EE"/>
          </w:rPr>
          <w:t>Meeting of Shareholders</w:t>
        </w:r>
      </w:hyperlink>
    </w:p>
    <w:p>
      <w:pPr>
        <w:spacing w:after="0" w:line="3" w:lineRule="exact"/>
        <w:rPr>
          <w:sz w:val="20"/>
          <w:szCs w:val="20"/>
          <w:color w:val="auto"/>
        </w:rPr>
      </w:pPr>
    </w:p>
    <w:p>
      <w:pPr>
        <w:ind w:left="1480"/>
        <w:spacing w:after="0"/>
        <w:tabs>
          <w:tab w:leader="none" w:pos="2120" w:val="left"/>
        </w:tabs>
        <w:rPr>
          <w:rFonts w:ascii="Arial" w:cs="Arial" w:eastAsia="Arial" w:hAnsi="Arial"/>
          <w:sz w:val="13"/>
          <w:szCs w:val="13"/>
          <w:u w:val="single" w:color="auto"/>
          <w:color w:val="0000EE"/>
        </w:rPr>
      </w:pPr>
      <w:r>
        <w:rPr>
          <w:rFonts w:ascii="Arial" w:cs="Arial" w:eastAsia="Arial" w:hAnsi="Arial"/>
          <w:sz w:val="13"/>
          <w:szCs w:val="13"/>
          <w:color w:val="auto"/>
        </w:rPr>
        <w:t>99.2</w:t>
      </w:r>
      <w:r>
        <w:rPr>
          <w:sz w:val="20"/>
          <w:szCs w:val="20"/>
          <w:color w:val="auto"/>
        </w:rPr>
        <w:tab/>
      </w:r>
      <w:hyperlink w:anchor="page91">
        <w:r>
          <w:rPr>
            <w:rFonts w:ascii="Arial" w:cs="Arial" w:eastAsia="Arial" w:hAnsi="Arial"/>
            <w:sz w:val="13"/>
            <w:szCs w:val="13"/>
            <w:u w:val="single" w:color="auto"/>
            <w:color w:val="0000EE"/>
          </w:rPr>
          <w:t>Form of Proxy (Multiple Voting Shares)</w:t>
        </w:r>
      </w:hyperlink>
    </w:p>
    <w:p>
      <w:pPr>
        <w:spacing w:after="0" w:line="40" w:lineRule="exact"/>
        <w:rPr>
          <w:sz w:val="20"/>
          <w:szCs w:val="20"/>
          <w:color w:val="auto"/>
        </w:rPr>
      </w:pPr>
    </w:p>
    <w:p>
      <w:pPr>
        <w:ind w:left="1480"/>
        <w:spacing w:after="0"/>
        <w:tabs>
          <w:tab w:leader="none" w:pos="2120" w:val="left"/>
        </w:tabs>
        <w:rPr>
          <w:rFonts w:ascii="Arial" w:cs="Arial" w:eastAsia="Arial" w:hAnsi="Arial"/>
          <w:sz w:val="12"/>
          <w:szCs w:val="12"/>
          <w:u w:val="single" w:color="auto"/>
          <w:color w:val="0000EE"/>
        </w:rPr>
      </w:pPr>
      <w:r>
        <w:rPr>
          <w:rFonts w:ascii="Arial" w:cs="Arial" w:eastAsia="Arial" w:hAnsi="Arial"/>
          <w:sz w:val="13"/>
          <w:szCs w:val="13"/>
          <w:color w:val="auto"/>
        </w:rPr>
        <w:t>99.3</w:t>
      </w:r>
      <w:r>
        <w:rPr>
          <w:sz w:val="20"/>
          <w:szCs w:val="20"/>
          <w:color w:val="auto"/>
        </w:rPr>
        <w:tab/>
      </w:r>
      <w:hyperlink w:anchor="page93">
        <w:r>
          <w:rPr>
            <w:rFonts w:ascii="Arial" w:cs="Arial" w:eastAsia="Arial" w:hAnsi="Arial"/>
            <w:sz w:val="12"/>
            <w:szCs w:val="12"/>
            <w:u w:val="single" w:color="auto"/>
            <w:color w:val="0000EE"/>
          </w:rPr>
          <w:t>Form of Proxy (Subordinate Voting Shares)</w:t>
        </w:r>
      </w:hyperlink>
    </w:p>
    <w:p>
      <w:pPr>
        <w:spacing w:after="0" w:line="40" w:lineRule="exact"/>
        <w:rPr>
          <w:sz w:val="20"/>
          <w:szCs w:val="20"/>
          <w:color w:val="auto"/>
        </w:rPr>
      </w:pPr>
    </w:p>
    <w:p>
      <w:pPr>
        <w:ind w:left="1480"/>
        <w:spacing w:after="0"/>
        <w:tabs>
          <w:tab w:leader="none" w:pos="2120" w:val="left"/>
        </w:tabs>
        <w:rPr>
          <w:rFonts w:ascii="Arial" w:cs="Arial" w:eastAsia="Arial" w:hAnsi="Arial"/>
          <w:sz w:val="12"/>
          <w:szCs w:val="12"/>
          <w:u w:val="single" w:color="auto"/>
          <w:color w:val="0000EE"/>
        </w:rPr>
      </w:pPr>
      <w:r>
        <w:rPr>
          <w:rFonts w:ascii="Arial" w:cs="Arial" w:eastAsia="Arial" w:hAnsi="Arial"/>
          <w:sz w:val="13"/>
          <w:szCs w:val="13"/>
          <w:color w:val="auto"/>
        </w:rPr>
        <w:t>99.4</w:t>
      </w:r>
      <w:r>
        <w:rPr>
          <w:sz w:val="20"/>
          <w:szCs w:val="20"/>
          <w:color w:val="auto"/>
        </w:rPr>
        <w:tab/>
      </w:r>
      <w:hyperlink w:anchor="page95">
        <w:r>
          <w:rPr>
            <w:rFonts w:ascii="Arial" w:cs="Arial" w:eastAsia="Arial" w:hAnsi="Arial"/>
            <w:sz w:val="12"/>
            <w:szCs w:val="12"/>
            <w:u w:val="single" w:color="auto"/>
            <w:color w:val="0000EE"/>
          </w:rPr>
          <w:t>Voting Instruction Form for US beneficial holders</w:t>
        </w:r>
      </w:hyperlink>
    </w:p>
    <w:p>
      <w:pPr>
        <w:spacing w:after="0" w:line="50" w:lineRule="exact"/>
        <w:rPr>
          <w:sz w:val="20"/>
          <w:szCs w:val="20"/>
          <w:color w:val="auto"/>
        </w:rPr>
      </w:pPr>
    </w:p>
    <w:p>
      <w:pPr>
        <w:ind w:left="1480"/>
        <w:spacing w:after="0"/>
        <w:tabs>
          <w:tab w:leader="none" w:pos="2120" w:val="left"/>
        </w:tabs>
        <w:rPr>
          <w:rFonts w:ascii="Arial" w:cs="Arial" w:eastAsia="Arial" w:hAnsi="Arial"/>
          <w:sz w:val="12"/>
          <w:szCs w:val="12"/>
          <w:u w:val="single" w:color="auto"/>
          <w:color w:val="0000EE"/>
        </w:rPr>
      </w:pPr>
      <w:r>
        <w:rPr>
          <w:rFonts w:ascii="Arial" w:cs="Arial" w:eastAsia="Arial" w:hAnsi="Arial"/>
          <w:sz w:val="13"/>
          <w:szCs w:val="13"/>
          <w:color w:val="auto"/>
        </w:rPr>
        <w:t>99.5</w:t>
      </w:r>
      <w:r>
        <w:rPr>
          <w:sz w:val="20"/>
          <w:szCs w:val="20"/>
          <w:color w:val="auto"/>
        </w:rPr>
        <w:tab/>
      </w:r>
      <w:hyperlink w:anchor="page97">
        <w:r>
          <w:rPr>
            <w:rFonts w:ascii="Arial" w:cs="Arial" w:eastAsia="Arial" w:hAnsi="Arial"/>
            <w:sz w:val="12"/>
            <w:szCs w:val="12"/>
            <w:u w:val="single" w:color="auto"/>
            <w:color w:val="0000EE"/>
          </w:rPr>
          <w:t>Voting Instruction Form for Canadian beneficial holders</w:t>
        </w:r>
      </w:hyperlink>
    </w:p>
    <w:p>
      <w:pPr>
        <w:spacing w:after="0" w:line="50" w:lineRule="exact"/>
        <w:rPr>
          <w:sz w:val="20"/>
          <w:szCs w:val="20"/>
          <w:color w:val="auto"/>
        </w:rPr>
      </w:pPr>
    </w:p>
    <w:p>
      <w:pPr>
        <w:ind w:left="1480"/>
        <w:spacing w:after="0"/>
        <w:tabs>
          <w:tab w:leader="none" w:pos="2120" w:val="left"/>
        </w:tabs>
        <w:rPr>
          <w:rFonts w:ascii="Arial" w:cs="Arial" w:eastAsia="Arial" w:hAnsi="Arial"/>
          <w:sz w:val="12"/>
          <w:szCs w:val="12"/>
          <w:u w:val="single" w:color="auto"/>
          <w:color w:val="0000EE"/>
        </w:rPr>
      </w:pPr>
      <w:r>
        <w:rPr>
          <w:rFonts w:ascii="Arial" w:cs="Arial" w:eastAsia="Arial" w:hAnsi="Arial"/>
          <w:sz w:val="13"/>
          <w:szCs w:val="13"/>
          <w:color w:val="auto"/>
        </w:rPr>
        <w:t>99.6</w:t>
      </w:r>
      <w:r>
        <w:rPr>
          <w:sz w:val="20"/>
          <w:szCs w:val="20"/>
          <w:color w:val="auto"/>
        </w:rPr>
        <w:tab/>
      </w:r>
      <w:hyperlink w:anchor="page99">
        <w:r>
          <w:rPr>
            <w:rFonts w:ascii="Arial" w:cs="Arial" w:eastAsia="Arial" w:hAnsi="Arial"/>
            <w:sz w:val="12"/>
            <w:szCs w:val="12"/>
            <w:u w:val="single" w:color="auto"/>
            <w:color w:val="0000EE"/>
          </w:rPr>
          <w:t>Request card for both US and Canadian registered holders</w:t>
        </w:r>
      </w:hyperlink>
    </w:p>
    <w:p>
      <w:pPr>
        <w:spacing w:after="0" w:line="50" w:lineRule="exact"/>
        <w:rPr>
          <w:sz w:val="20"/>
          <w:szCs w:val="20"/>
          <w:color w:val="auto"/>
        </w:rPr>
      </w:pPr>
    </w:p>
    <w:p>
      <w:pPr>
        <w:ind w:left="1480"/>
        <w:spacing w:after="0"/>
        <w:tabs>
          <w:tab w:leader="none" w:pos="2120" w:val="left"/>
        </w:tabs>
        <w:rPr>
          <w:rFonts w:ascii="Arial" w:cs="Arial" w:eastAsia="Arial" w:hAnsi="Arial"/>
          <w:sz w:val="12"/>
          <w:szCs w:val="12"/>
          <w:u w:val="single" w:color="auto"/>
          <w:color w:val="0000EE"/>
        </w:rPr>
      </w:pPr>
      <w:r>
        <w:rPr>
          <w:rFonts w:ascii="Arial" w:cs="Arial" w:eastAsia="Arial" w:hAnsi="Arial"/>
          <w:sz w:val="13"/>
          <w:szCs w:val="13"/>
          <w:color w:val="auto"/>
        </w:rPr>
        <w:t>99.7</w:t>
      </w:r>
      <w:r>
        <w:rPr>
          <w:sz w:val="20"/>
          <w:szCs w:val="20"/>
          <w:color w:val="auto"/>
        </w:rPr>
        <w:tab/>
      </w:r>
      <w:hyperlink w:anchor="page101">
        <w:r>
          <w:rPr>
            <w:rFonts w:ascii="Arial" w:cs="Arial" w:eastAsia="Arial" w:hAnsi="Arial"/>
            <w:sz w:val="12"/>
            <w:szCs w:val="12"/>
            <w:u w:val="single" w:color="auto"/>
            <w:color w:val="0000EE"/>
          </w:rPr>
          <w:t>2020 Letter to Shareholders</w:t>
        </w:r>
      </w:hyperlink>
    </w:p>
    <w:p>
      <w:pPr>
        <w:spacing w:after="0" w:line="99" w:lineRule="exact"/>
        <w:rPr>
          <w:sz w:val="20"/>
          <w:szCs w:val="20"/>
          <w:color w:val="auto"/>
        </w:rPr>
      </w:pPr>
    </w:p>
    <w:p>
      <w:pPr>
        <w:jc w:val="both"/>
        <w:ind w:left="1480" w:right="1499"/>
        <w:spacing w:after="0" w:line="270" w:lineRule="auto"/>
        <w:rPr>
          <w:sz w:val="20"/>
          <w:szCs w:val="20"/>
          <w:color w:val="auto"/>
        </w:rPr>
      </w:pPr>
      <w:r>
        <w:rPr>
          <w:rFonts w:ascii="Arial" w:cs="Arial" w:eastAsia="Arial" w:hAnsi="Arial"/>
          <w:sz w:val="13"/>
          <w:szCs w:val="13"/>
          <w:color w:val="auto"/>
        </w:rPr>
        <w:t>The information contained in this Form 6-K is not incorporated by reference into any registration statement (or into any prospectus that forms a part thereof) filed by Celestica Inc.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4419600</wp:posOffset>
            </wp:positionV>
            <wp:extent cx="5019040" cy="127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853"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3"/>
          <w:szCs w:val="13"/>
          <w:color w:val="auto"/>
        </w:rPr>
        <w:t>SIGNATURES</w:t>
      </w:r>
    </w:p>
    <w:p>
      <w:pPr>
        <w:spacing w:after="0" w:line="89" w:lineRule="exact"/>
        <w:rPr>
          <w:sz w:val="20"/>
          <w:szCs w:val="20"/>
          <w:color w:val="auto"/>
        </w:rPr>
      </w:pPr>
    </w:p>
    <w:p>
      <w:pPr>
        <w:ind w:left="1480" w:right="1499"/>
        <w:spacing w:after="0" w:line="285"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133" w:lineRule="exact"/>
        <w:rPr>
          <w:sz w:val="20"/>
          <w:szCs w:val="20"/>
          <w:color w:val="auto"/>
        </w:rPr>
      </w:pPr>
    </w:p>
    <w:p>
      <w:pPr>
        <w:ind w:left="1480"/>
        <w:spacing w:after="0"/>
        <w:tabs>
          <w:tab w:leader="none" w:pos="3840" w:val="left"/>
        </w:tabs>
        <w:rPr>
          <w:sz w:val="20"/>
          <w:szCs w:val="20"/>
          <w:color w:val="auto"/>
        </w:rPr>
      </w:pPr>
      <w:r>
        <w:rPr>
          <w:rFonts w:ascii="Arial" w:cs="Arial" w:eastAsia="Arial" w:hAnsi="Arial"/>
          <w:sz w:val="13"/>
          <w:szCs w:val="13"/>
          <w:color w:val="auto"/>
        </w:rPr>
        <w:t>Date: March 15, 2021</w:t>
      </w:r>
      <w:r>
        <w:rPr>
          <w:sz w:val="20"/>
          <w:szCs w:val="20"/>
          <w:color w:val="auto"/>
        </w:rPr>
        <w:tab/>
      </w:r>
      <w:r>
        <w:rPr>
          <w:rFonts w:ascii="Arial" w:cs="Arial" w:eastAsia="Arial" w:hAnsi="Arial"/>
          <w:sz w:val="13"/>
          <w:szCs w:val="13"/>
          <w:color w:val="auto"/>
        </w:rPr>
        <w:t>CELESTICA INC.</w:t>
      </w:r>
    </w:p>
    <w:p>
      <w:pPr>
        <w:spacing w:after="0" w:line="249" w:lineRule="exact"/>
        <w:rPr>
          <w:sz w:val="20"/>
          <w:szCs w:val="20"/>
          <w:color w:val="auto"/>
        </w:rPr>
      </w:pPr>
    </w:p>
    <w:p>
      <w:pPr>
        <w:jc w:val="center"/>
        <w:ind w:left="2340"/>
        <w:spacing w:after="0"/>
        <w:tabs>
          <w:tab w:leader="none" w:pos="140" w:val="left"/>
        </w:tabs>
        <w:rPr>
          <w:sz w:val="20"/>
          <w:szCs w:val="20"/>
          <w:color w:val="auto"/>
        </w:rPr>
      </w:pPr>
      <w:r>
        <w:rPr>
          <w:rFonts w:ascii="Arial" w:cs="Arial" w:eastAsia="Arial" w:hAnsi="Arial"/>
          <w:sz w:val="13"/>
          <w:szCs w:val="13"/>
          <w:color w:val="auto"/>
        </w:rPr>
        <w:t>By:</w:t>
        <w:tab/>
        <w:t>/s/ R</w:t>
      </w:r>
      <w:r>
        <w:rPr>
          <w:rFonts w:ascii="Arial" w:cs="Arial" w:eastAsia="Arial" w:hAnsi="Arial"/>
          <w:sz w:val="9"/>
          <w:szCs w:val="9"/>
          <w:color w:val="auto"/>
        </w:rPr>
        <w:t>OBERT</w:t>
      </w:r>
      <w:r>
        <w:rPr>
          <w:rFonts w:ascii="Arial" w:cs="Arial" w:eastAsia="Arial" w:hAnsi="Arial"/>
          <w:sz w:val="13"/>
          <w:szCs w:val="13"/>
          <w:color w:val="auto"/>
        </w:rPr>
        <w:t xml:space="preserve"> E</w:t>
      </w:r>
      <w:r>
        <w:rPr>
          <w:rFonts w:ascii="Arial" w:cs="Arial" w:eastAsia="Arial" w:hAnsi="Arial"/>
          <w:sz w:val="9"/>
          <w:szCs w:val="9"/>
          <w:color w:val="auto"/>
        </w:rPr>
        <w:t>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2632710</wp:posOffset>
            </wp:positionH>
            <wp:positionV relativeFrom="paragraph">
              <wp:posOffset>30480</wp:posOffset>
            </wp:positionV>
            <wp:extent cx="214947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49475" cy="6350"/>
                    </a:xfrm>
                    <a:prstGeom prst="rect">
                      <a:avLst/>
                    </a:prstGeom>
                    <a:noFill/>
                  </pic:spPr>
                </pic:pic>
              </a:graphicData>
            </a:graphic>
          </wp:anchor>
        </w:drawing>
      </w:r>
    </w:p>
    <w:p>
      <w:pPr>
        <w:spacing w:after="0" w:line="50"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Robert Ellis</w:t>
      </w:r>
    </w:p>
    <w:p>
      <w:pPr>
        <w:spacing w:after="0" w:line="19"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Chief Legal Officer and</w:t>
      </w:r>
    </w:p>
    <w:p>
      <w:pPr>
        <w:spacing w:after="0" w:line="10"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4854575</wp:posOffset>
            </wp:positionV>
            <wp:extent cx="5019040" cy="127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857"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3"/>
          <w:szCs w:val="13"/>
          <w:b w:val="1"/>
          <w:bCs w:val="1"/>
          <w:u w:val="single" w:color="auto"/>
          <w:color w:val="auto"/>
        </w:rPr>
        <w:t>EXHIBIT INDEX</w:t>
      </w:r>
    </w:p>
    <w:p>
      <w:pPr>
        <w:spacing w:after="0" w:line="95" w:lineRule="exact"/>
        <w:rPr>
          <w:sz w:val="20"/>
          <w:szCs w:val="20"/>
          <w:color w:val="auto"/>
        </w:rPr>
      </w:pPr>
    </w:p>
    <w:p>
      <w:pPr>
        <w:ind w:left="1480"/>
        <w:spacing w:after="0"/>
        <w:tabs>
          <w:tab w:leader="none" w:pos="2120" w:val="left"/>
        </w:tabs>
        <w:rPr>
          <w:sz w:val="20"/>
          <w:szCs w:val="20"/>
          <w:color w:val="auto"/>
        </w:rPr>
      </w:pPr>
      <w:r>
        <w:rPr>
          <w:rFonts w:ascii="Arial" w:cs="Arial" w:eastAsia="Arial" w:hAnsi="Arial"/>
          <w:sz w:val="11"/>
          <w:szCs w:val="11"/>
          <w:b w:val="1"/>
          <w:bCs w:val="1"/>
          <w:color w:val="auto"/>
        </w:rPr>
        <w:t>Exhibit No.</w:t>
      </w:r>
      <w:r>
        <w:rPr>
          <w:sz w:val="20"/>
          <w:szCs w:val="20"/>
          <w:color w:val="auto"/>
        </w:rPr>
        <w:tab/>
      </w:r>
      <w:r>
        <w:rPr>
          <w:rFonts w:ascii="Arial" w:cs="Arial" w:eastAsia="Arial" w:hAnsi="Arial"/>
          <w:sz w:val="8"/>
          <w:szCs w:val="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19050</wp:posOffset>
            </wp:positionV>
            <wp:extent cx="383730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37305" cy="6350"/>
                    </a:xfrm>
                    <a:prstGeom prst="rect">
                      <a:avLst/>
                    </a:prstGeom>
                    <a:noFill/>
                  </pic:spPr>
                </pic:pic>
              </a:graphicData>
            </a:graphic>
          </wp:anchor>
        </w:drawing>
      </w:r>
    </w:p>
    <w:p>
      <w:pPr>
        <w:spacing w:after="0" w:line="31" w:lineRule="exact"/>
        <w:rPr>
          <w:sz w:val="20"/>
          <w:szCs w:val="20"/>
          <w:color w:val="auto"/>
        </w:rPr>
      </w:pPr>
    </w:p>
    <w:p>
      <w:pPr>
        <w:ind w:left="2140" w:right="1979" w:hanging="666"/>
        <w:spacing w:after="0" w:line="285" w:lineRule="auto"/>
        <w:tabs>
          <w:tab w:leader="none" w:pos="2120" w:val="left"/>
        </w:tabs>
        <w:rPr>
          <w:sz w:val="20"/>
          <w:szCs w:val="20"/>
          <w:color w:val="auto"/>
        </w:rPr>
      </w:pPr>
      <w:r>
        <w:rPr>
          <w:rFonts w:ascii="Arial" w:cs="Arial" w:eastAsia="Arial" w:hAnsi="Arial"/>
          <w:sz w:val="13"/>
          <w:szCs w:val="13"/>
          <w:color w:val="auto"/>
        </w:rPr>
        <w:t>99.1</w:t>
      </w:r>
      <w:r>
        <w:rPr>
          <w:sz w:val="20"/>
          <w:szCs w:val="20"/>
          <w:color w:val="auto"/>
        </w:rPr>
        <w:tab/>
      </w:r>
      <w:r>
        <w:rPr>
          <w:rFonts w:ascii="Arial" w:cs="Arial" w:eastAsia="Arial" w:hAnsi="Arial"/>
          <w:sz w:val="13"/>
          <w:szCs w:val="13"/>
          <w:color w:val="auto"/>
        </w:rPr>
        <w:t>Notice of Meeting and Management Information Circular for the April 29, 2021 Annual Meeting of Shareholders</w:t>
      </w:r>
    </w:p>
    <w:p>
      <w:pPr>
        <w:spacing w:after="0" w:line="3" w:lineRule="exact"/>
        <w:rPr>
          <w:sz w:val="20"/>
          <w:szCs w:val="20"/>
          <w:color w:val="auto"/>
        </w:rPr>
      </w:pPr>
    </w:p>
    <w:p>
      <w:pPr>
        <w:ind w:left="1480"/>
        <w:spacing w:after="0"/>
        <w:tabs>
          <w:tab w:leader="none" w:pos="2120" w:val="left"/>
        </w:tabs>
        <w:rPr>
          <w:sz w:val="20"/>
          <w:szCs w:val="20"/>
          <w:color w:val="auto"/>
        </w:rPr>
      </w:pPr>
      <w:r>
        <w:rPr>
          <w:rFonts w:ascii="Arial" w:cs="Arial" w:eastAsia="Arial" w:hAnsi="Arial"/>
          <w:sz w:val="13"/>
          <w:szCs w:val="13"/>
          <w:color w:val="auto"/>
        </w:rPr>
        <w:t>99.2</w:t>
      </w:r>
      <w:r>
        <w:rPr>
          <w:sz w:val="20"/>
          <w:szCs w:val="20"/>
          <w:color w:val="auto"/>
        </w:rPr>
        <w:tab/>
      </w:r>
      <w:r>
        <w:rPr>
          <w:rFonts w:ascii="Arial" w:cs="Arial" w:eastAsia="Arial" w:hAnsi="Arial"/>
          <w:sz w:val="13"/>
          <w:szCs w:val="13"/>
          <w:color w:val="auto"/>
        </w:rPr>
        <w:t>Form of Proxy (Multiple Voting Shares)</w:t>
      </w:r>
    </w:p>
    <w:p>
      <w:pPr>
        <w:spacing w:after="0" w:line="40" w:lineRule="exact"/>
        <w:rPr>
          <w:sz w:val="20"/>
          <w:szCs w:val="20"/>
          <w:color w:val="auto"/>
        </w:rPr>
      </w:pPr>
    </w:p>
    <w:p>
      <w:pPr>
        <w:ind w:left="1480"/>
        <w:spacing w:after="0"/>
        <w:tabs>
          <w:tab w:leader="none" w:pos="2120" w:val="left"/>
        </w:tabs>
        <w:rPr>
          <w:sz w:val="20"/>
          <w:szCs w:val="20"/>
          <w:color w:val="auto"/>
        </w:rPr>
      </w:pPr>
      <w:r>
        <w:rPr>
          <w:rFonts w:ascii="Arial" w:cs="Arial" w:eastAsia="Arial" w:hAnsi="Arial"/>
          <w:sz w:val="13"/>
          <w:szCs w:val="13"/>
          <w:color w:val="auto"/>
        </w:rPr>
        <w:t>99.3</w:t>
      </w:r>
      <w:r>
        <w:rPr>
          <w:sz w:val="20"/>
          <w:szCs w:val="20"/>
          <w:color w:val="auto"/>
        </w:rPr>
        <w:tab/>
      </w:r>
      <w:r>
        <w:rPr>
          <w:rFonts w:ascii="Arial" w:cs="Arial" w:eastAsia="Arial" w:hAnsi="Arial"/>
          <w:sz w:val="12"/>
          <w:szCs w:val="12"/>
          <w:color w:val="auto"/>
        </w:rPr>
        <w:t>Form of Proxy (Subordinate Voting Shares)</w:t>
      </w:r>
    </w:p>
    <w:p>
      <w:pPr>
        <w:spacing w:after="0" w:line="40" w:lineRule="exact"/>
        <w:rPr>
          <w:sz w:val="20"/>
          <w:szCs w:val="20"/>
          <w:color w:val="auto"/>
        </w:rPr>
      </w:pPr>
    </w:p>
    <w:p>
      <w:pPr>
        <w:ind w:left="1480"/>
        <w:spacing w:after="0"/>
        <w:tabs>
          <w:tab w:leader="none" w:pos="2120" w:val="left"/>
        </w:tabs>
        <w:rPr>
          <w:sz w:val="20"/>
          <w:szCs w:val="20"/>
          <w:color w:val="auto"/>
        </w:rPr>
      </w:pPr>
      <w:r>
        <w:rPr>
          <w:rFonts w:ascii="Arial" w:cs="Arial" w:eastAsia="Arial" w:hAnsi="Arial"/>
          <w:sz w:val="13"/>
          <w:szCs w:val="13"/>
          <w:color w:val="auto"/>
        </w:rPr>
        <w:t>99.4</w:t>
      </w:r>
      <w:r>
        <w:rPr>
          <w:sz w:val="20"/>
          <w:szCs w:val="20"/>
          <w:color w:val="auto"/>
        </w:rPr>
        <w:tab/>
      </w:r>
      <w:r>
        <w:rPr>
          <w:rFonts w:ascii="Arial" w:cs="Arial" w:eastAsia="Arial" w:hAnsi="Arial"/>
          <w:sz w:val="12"/>
          <w:szCs w:val="12"/>
          <w:color w:val="auto"/>
        </w:rPr>
        <w:t>Voting Instruction Form for US beneficial holders</w:t>
      </w:r>
    </w:p>
    <w:p>
      <w:pPr>
        <w:spacing w:after="0" w:line="50" w:lineRule="exact"/>
        <w:rPr>
          <w:sz w:val="20"/>
          <w:szCs w:val="20"/>
          <w:color w:val="auto"/>
        </w:rPr>
      </w:pPr>
    </w:p>
    <w:p>
      <w:pPr>
        <w:ind w:left="1480"/>
        <w:spacing w:after="0"/>
        <w:tabs>
          <w:tab w:leader="none" w:pos="2120" w:val="left"/>
        </w:tabs>
        <w:rPr>
          <w:sz w:val="20"/>
          <w:szCs w:val="20"/>
          <w:color w:val="auto"/>
        </w:rPr>
      </w:pPr>
      <w:r>
        <w:rPr>
          <w:rFonts w:ascii="Arial" w:cs="Arial" w:eastAsia="Arial" w:hAnsi="Arial"/>
          <w:sz w:val="13"/>
          <w:szCs w:val="13"/>
          <w:color w:val="auto"/>
        </w:rPr>
        <w:t>99.5</w:t>
      </w:r>
      <w:r>
        <w:rPr>
          <w:sz w:val="20"/>
          <w:szCs w:val="20"/>
          <w:color w:val="auto"/>
        </w:rPr>
        <w:tab/>
      </w:r>
      <w:r>
        <w:rPr>
          <w:rFonts w:ascii="Arial" w:cs="Arial" w:eastAsia="Arial" w:hAnsi="Arial"/>
          <w:sz w:val="12"/>
          <w:szCs w:val="12"/>
          <w:color w:val="auto"/>
        </w:rPr>
        <w:t>Voting Instruction Form for Canadian beneficial holders</w:t>
      </w:r>
    </w:p>
    <w:p>
      <w:pPr>
        <w:spacing w:after="0" w:line="50" w:lineRule="exact"/>
        <w:rPr>
          <w:sz w:val="20"/>
          <w:szCs w:val="20"/>
          <w:color w:val="auto"/>
        </w:rPr>
      </w:pPr>
    </w:p>
    <w:p>
      <w:pPr>
        <w:ind w:left="1480"/>
        <w:spacing w:after="0"/>
        <w:tabs>
          <w:tab w:leader="none" w:pos="2120" w:val="left"/>
        </w:tabs>
        <w:rPr>
          <w:sz w:val="20"/>
          <w:szCs w:val="20"/>
          <w:color w:val="auto"/>
        </w:rPr>
      </w:pPr>
      <w:r>
        <w:rPr>
          <w:rFonts w:ascii="Arial" w:cs="Arial" w:eastAsia="Arial" w:hAnsi="Arial"/>
          <w:sz w:val="13"/>
          <w:szCs w:val="13"/>
          <w:color w:val="auto"/>
        </w:rPr>
        <w:t>99.6</w:t>
      </w:r>
      <w:r>
        <w:rPr>
          <w:sz w:val="20"/>
          <w:szCs w:val="20"/>
          <w:color w:val="auto"/>
        </w:rPr>
        <w:tab/>
      </w:r>
      <w:r>
        <w:rPr>
          <w:rFonts w:ascii="Arial" w:cs="Arial" w:eastAsia="Arial" w:hAnsi="Arial"/>
          <w:sz w:val="12"/>
          <w:szCs w:val="12"/>
          <w:color w:val="auto"/>
        </w:rPr>
        <w:t>Request card for both US and Canadian registered holders</w:t>
      </w:r>
    </w:p>
    <w:p>
      <w:pPr>
        <w:spacing w:after="0" w:line="50" w:lineRule="exact"/>
        <w:rPr>
          <w:sz w:val="20"/>
          <w:szCs w:val="20"/>
          <w:color w:val="auto"/>
        </w:rPr>
      </w:pPr>
    </w:p>
    <w:p>
      <w:pPr>
        <w:ind w:left="1480"/>
        <w:spacing w:after="0"/>
        <w:tabs>
          <w:tab w:leader="none" w:pos="2120" w:val="left"/>
        </w:tabs>
        <w:rPr>
          <w:sz w:val="20"/>
          <w:szCs w:val="20"/>
          <w:color w:val="auto"/>
        </w:rPr>
      </w:pPr>
      <w:r>
        <w:rPr>
          <w:rFonts w:ascii="Arial" w:cs="Arial" w:eastAsia="Arial" w:hAnsi="Arial"/>
          <w:sz w:val="13"/>
          <w:szCs w:val="13"/>
          <w:color w:val="auto"/>
        </w:rPr>
        <w:t>99.7</w:t>
      </w:r>
      <w:r>
        <w:rPr>
          <w:sz w:val="20"/>
          <w:szCs w:val="20"/>
          <w:color w:val="auto"/>
        </w:rPr>
        <w:tab/>
      </w:r>
      <w:r>
        <w:rPr>
          <w:rFonts w:ascii="Arial" w:cs="Arial" w:eastAsia="Arial" w:hAnsi="Arial"/>
          <w:sz w:val="12"/>
          <w:szCs w:val="12"/>
          <w:color w:val="auto"/>
        </w:rPr>
        <w:t>2020 Letter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4803140</wp:posOffset>
            </wp:positionV>
            <wp:extent cx="5019040"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853" w:right="1440" w:bottom="1440" w:gutter="0" w:footer="0" w:header="0"/>
        </w:sectPr>
      </w:pPr>
    </w:p>
    <w:bookmarkStart w:id="4" w:name="page5"/>
    <w:bookmarkEnd w:id="4"/>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217170</wp:posOffset>
            </wp:positionV>
            <wp:extent cx="4070985" cy="59423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070985" cy="594233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right"/>
        <w:ind w:right="1479"/>
        <w:spacing w:after="0"/>
        <w:rPr>
          <w:sz w:val="20"/>
          <w:szCs w:val="20"/>
          <w:color w:val="auto"/>
        </w:rPr>
      </w:pPr>
      <w:r>
        <w:rPr>
          <w:rFonts w:ascii="Arial" w:cs="Arial" w:eastAsia="Arial" w:hAnsi="Arial"/>
          <w:sz w:val="13"/>
          <w:szCs w:val="13"/>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NOTICE OF MEETING</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AND</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MANAGEMENT INFORMATION</w:t>
      </w:r>
    </w:p>
    <w:p>
      <w:pPr>
        <w:spacing w:after="0" w:line="80"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CIRCULAR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680"/>
        <w:spacing w:after="0"/>
        <w:rPr>
          <w:sz w:val="20"/>
          <w:szCs w:val="20"/>
          <w:color w:val="auto"/>
        </w:rPr>
      </w:pPr>
      <w:r>
        <w:rPr>
          <w:rFonts w:ascii="Arial" w:cs="Arial" w:eastAsia="Arial" w:hAnsi="Arial"/>
          <w:sz w:val="27"/>
          <w:szCs w:val="27"/>
          <w:b w:val="1"/>
          <w:bCs w:val="1"/>
          <w:color w:val="auto"/>
        </w:rPr>
        <w:t>FOR THE ANNUAL MEETING</w:t>
      </w:r>
    </w:p>
    <w:p>
      <w:pPr>
        <w:spacing w:after="0" w:line="36" w:lineRule="exact"/>
        <w:rPr>
          <w:sz w:val="20"/>
          <w:szCs w:val="20"/>
          <w:color w:val="auto"/>
        </w:rPr>
      </w:pPr>
    </w:p>
    <w:p>
      <w:pPr>
        <w:ind w:left="3240"/>
        <w:spacing w:after="0"/>
        <w:rPr>
          <w:sz w:val="20"/>
          <w:szCs w:val="20"/>
          <w:color w:val="auto"/>
        </w:rPr>
      </w:pPr>
      <w:r>
        <w:rPr>
          <w:rFonts w:ascii="Arial" w:cs="Arial" w:eastAsia="Arial" w:hAnsi="Arial"/>
          <w:sz w:val="27"/>
          <w:szCs w:val="27"/>
          <w:b w:val="1"/>
          <w:bCs w:val="1"/>
          <w:color w:val="auto"/>
        </w:rPr>
        <w:t>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80"/>
        <w:spacing w:after="0"/>
        <w:rPr>
          <w:sz w:val="20"/>
          <w:szCs w:val="20"/>
          <w:color w:val="auto"/>
        </w:rPr>
      </w:pPr>
      <w:r>
        <w:rPr>
          <w:rFonts w:ascii="Arial" w:cs="Arial" w:eastAsia="Arial" w:hAnsi="Arial"/>
          <w:sz w:val="27"/>
          <w:szCs w:val="27"/>
          <w:b w:val="1"/>
          <w:bCs w:val="1"/>
          <w:color w:val="auto"/>
        </w:rPr>
        <w:t>TO BE HELD ON</w:t>
      </w:r>
    </w:p>
    <w:p>
      <w:pPr>
        <w:spacing w:after="0" w:line="36" w:lineRule="exact"/>
        <w:rPr>
          <w:sz w:val="20"/>
          <w:szCs w:val="20"/>
          <w:color w:val="auto"/>
        </w:rPr>
      </w:pPr>
    </w:p>
    <w:p>
      <w:pPr>
        <w:ind w:left="3660"/>
        <w:spacing w:after="0"/>
        <w:rPr>
          <w:sz w:val="20"/>
          <w:szCs w:val="20"/>
          <w:color w:val="auto"/>
        </w:rPr>
      </w:pPr>
      <w:r>
        <w:rPr>
          <w:rFonts w:ascii="Arial" w:cs="Arial" w:eastAsia="Arial" w:hAnsi="Arial"/>
          <w:sz w:val="27"/>
          <w:szCs w:val="27"/>
          <w:b w:val="1"/>
          <w:bCs w:val="1"/>
          <w:color w:val="auto"/>
        </w:rPr>
        <w:t>APRIL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814070</wp:posOffset>
            </wp:positionV>
            <wp:extent cx="5019040" cy="12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 w:name="page6"/>
    <w:bookmarkEnd w:id="5"/>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1918335</wp:posOffset>
            </wp:positionH>
            <wp:positionV relativeFrom="paragraph">
              <wp:posOffset>359410</wp:posOffset>
            </wp:positionV>
            <wp:extent cx="1884045" cy="796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84045" cy="796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480"/>
        <w:spacing w:after="0"/>
        <w:rPr>
          <w:sz w:val="20"/>
          <w:szCs w:val="20"/>
          <w:color w:val="auto"/>
        </w:rPr>
      </w:pPr>
      <w:r>
        <w:rPr>
          <w:rFonts w:ascii="Arial" w:cs="Arial" w:eastAsia="Arial" w:hAnsi="Arial"/>
          <w:sz w:val="19"/>
          <w:szCs w:val="19"/>
          <w:b w:val="1"/>
          <w:bCs w:val="1"/>
          <w:color w:val="auto"/>
        </w:rPr>
        <w:t>INVITATION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73660</wp:posOffset>
            </wp:positionV>
            <wp:extent cx="3843655"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43655" cy="635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86360</wp:posOffset>
            </wp:positionV>
            <wp:extent cx="3843655"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342" w:lineRule="exact"/>
        <w:rPr>
          <w:sz w:val="20"/>
          <w:szCs w:val="20"/>
          <w:color w:val="auto"/>
        </w:rPr>
      </w:pPr>
    </w:p>
    <w:p>
      <w:pPr>
        <w:jc w:val="both"/>
        <w:ind w:left="1480" w:right="1499"/>
        <w:spacing w:after="0" w:line="259" w:lineRule="auto"/>
        <w:rPr>
          <w:sz w:val="20"/>
          <w:szCs w:val="20"/>
          <w:color w:val="auto"/>
        </w:rPr>
      </w:pPr>
      <w:r>
        <w:rPr>
          <w:rFonts w:ascii="Arial" w:cs="Arial" w:eastAsia="Arial" w:hAnsi="Arial"/>
          <w:sz w:val="13"/>
          <w:szCs w:val="13"/>
          <w:color w:val="auto"/>
        </w:rPr>
        <w:t>On behalf of the Board of Directors, management and employees of Celestica Inc. (the “</w:t>
      </w:r>
      <w:r>
        <w:rPr>
          <w:rFonts w:ascii="Arial" w:cs="Arial" w:eastAsia="Arial" w:hAnsi="Arial"/>
          <w:sz w:val="13"/>
          <w:szCs w:val="13"/>
          <w:b w:val="1"/>
          <w:bCs w:val="1"/>
          <w:color w:val="auto"/>
        </w:rPr>
        <w:t>Corporation</w:t>
      </w:r>
      <w:r>
        <w:rPr>
          <w:rFonts w:ascii="Arial" w:cs="Arial" w:eastAsia="Arial" w:hAnsi="Arial"/>
          <w:sz w:val="13"/>
          <w:szCs w:val="13"/>
          <w:color w:val="auto"/>
        </w:rPr>
        <w:t>”), it is our pleasure to invite you to join us at the Corporation’s Annual Meeting of Shareholders (the “</w:t>
      </w:r>
      <w:r>
        <w:rPr>
          <w:rFonts w:ascii="Arial" w:cs="Arial" w:eastAsia="Arial" w:hAnsi="Arial"/>
          <w:sz w:val="13"/>
          <w:szCs w:val="13"/>
          <w:b w:val="1"/>
          <w:bCs w:val="1"/>
          <w:color w:val="auto"/>
        </w:rPr>
        <w:t>Meeting</w:t>
      </w:r>
      <w:r>
        <w:rPr>
          <w:rFonts w:ascii="Arial" w:cs="Arial" w:eastAsia="Arial" w:hAnsi="Arial"/>
          <w:sz w:val="13"/>
          <w:szCs w:val="13"/>
          <w:color w:val="auto"/>
        </w:rPr>
        <w:t>”) to be held on Thursday, April 29, 2021 at 9:30 a.m. EDT in a virtual format due to the ongoing public health concerns related to coronavirus disease 2019 and related mutations (“</w:t>
      </w:r>
      <w:r>
        <w:rPr>
          <w:rFonts w:ascii="Arial" w:cs="Arial" w:eastAsia="Arial" w:hAnsi="Arial"/>
          <w:sz w:val="13"/>
          <w:szCs w:val="13"/>
          <w:b w:val="1"/>
          <w:bCs w:val="1"/>
          <w:color w:val="auto"/>
        </w:rPr>
        <w:t>COVID-19</w:t>
      </w:r>
      <w:r>
        <w:rPr>
          <w:rFonts w:ascii="Arial" w:cs="Arial" w:eastAsia="Arial" w:hAnsi="Arial"/>
          <w:sz w:val="13"/>
          <w:szCs w:val="13"/>
          <w:color w:val="auto"/>
        </w:rPr>
        <w:t>”). Shareholders will not be able to attend the Meeting in person. We believe that hosting a virtual Meeting will facilitate shareholder attendance and participation by enabling shareholders to participate remotely from any location around the world. We have designed the format of the virtual Meeting so that shareholders have opportunities to vote and participate, substantially similar to those they would have at a physical meeting. Shareholders will be able to submit questions before and during the Meeting using online tools, providing an opportunity for meaningful engagement with the Corporation.</w:t>
      </w:r>
    </w:p>
    <w:p>
      <w:pPr>
        <w:spacing w:after="0" w:line="63" w:lineRule="exact"/>
        <w:rPr>
          <w:sz w:val="20"/>
          <w:szCs w:val="20"/>
          <w:color w:val="auto"/>
        </w:rPr>
      </w:pPr>
    </w:p>
    <w:p>
      <w:pPr>
        <w:jc w:val="both"/>
        <w:ind w:left="1480" w:right="1499"/>
        <w:spacing w:after="0" w:line="263" w:lineRule="auto"/>
        <w:rPr>
          <w:sz w:val="20"/>
          <w:szCs w:val="20"/>
          <w:color w:val="auto"/>
        </w:rPr>
      </w:pPr>
      <w:r>
        <w:rPr>
          <w:rFonts w:ascii="Arial" w:cs="Arial" w:eastAsia="Arial" w:hAnsi="Arial"/>
          <w:sz w:val="13"/>
          <w:szCs w:val="13"/>
          <w:color w:val="auto"/>
        </w:rPr>
        <w:t xml:space="preserve">Your participation at the Meeting is important. We encourage you to exercise your right to vote. For instructions on attending the Meeting virtually and voting your shares, please see </w:t>
      </w:r>
      <w:r>
        <w:rPr>
          <w:rFonts w:ascii="Arial" w:cs="Arial" w:eastAsia="Arial" w:hAnsi="Arial"/>
          <w:sz w:val="13"/>
          <w:szCs w:val="13"/>
          <w:i w:val="1"/>
          <w:iCs w:val="1"/>
          <w:color w:val="auto"/>
        </w:rPr>
        <w:t>Questions and Answers on</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Voting and Proxies </w:t>
      </w:r>
      <w:r>
        <w:rPr>
          <w:rFonts w:ascii="Arial" w:cs="Arial" w:eastAsia="Arial" w:hAnsi="Arial"/>
          <w:sz w:val="13"/>
          <w:szCs w:val="13"/>
          <w:color w:val="auto"/>
        </w:rPr>
        <w:t>in the accompanying Management Information Circular (“</w:t>
      </w:r>
      <w:r>
        <w:rPr>
          <w:rFonts w:ascii="Arial" w:cs="Arial" w:eastAsia="Arial" w:hAnsi="Arial"/>
          <w:sz w:val="13"/>
          <w:szCs w:val="13"/>
          <w:b w:val="1"/>
          <w:bCs w:val="1"/>
          <w:color w:val="auto"/>
        </w:rPr>
        <w:t>Circular</w:t>
      </w:r>
      <w:r>
        <w:rPr>
          <w:rFonts w:ascii="Arial" w:cs="Arial" w:eastAsia="Arial" w:hAnsi="Arial"/>
          <w:sz w:val="13"/>
          <w:szCs w:val="13"/>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The Meeting will</w:t>
      </w:r>
      <w:r>
        <w:rPr>
          <w:rFonts w:ascii="Arial" w:cs="Arial" w:eastAsia="Arial" w:hAnsi="Arial"/>
          <w:sz w:val="13"/>
          <w:szCs w:val="13"/>
          <w:i w:val="1"/>
          <w:iCs w:val="1"/>
          <w:color w:val="auto"/>
        </w:rPr>
        <w:t xml:space="preserve"> </w:t>
      </w:r>
      <w:r>
        <w:rPr>
          <w:rFonts w:ascii="Arial" w:cs="Arial" w:eastAsia="Arial" w:hAnsi="Arial"/>
          <w:sz w:val="13"/>
          <w:szCs w:val="13"/>
          <w:color w:val="auto"/>
        </w:rPr>
        <w:t>begin at approximately 9:30 a.m., EDT, with login beginning at 9:00 a.m., EDT, via a live audio-only webcast on the internet</w:t>
      </w:r>
      <w:r>
        <w:rPr>
          <w:rFonts w:ascii="Arial" w:cs="Arial" w:eastAsia="Arial" w:hAnsi="Arial"/>
          <w:sz w:val="13"/>
          <w:szCs w:val="13"/>
          <w:i w:val="1"/>
          <w:iCs w:val="1"/>
          <w:color w:val="auto"/>
        </w:rPr>
        <w:t>.</w:t>
      </w:r>
    </w:p>
    <w:p>
      <w:pPr>
        <w:spacing w:after="0" w:line="57" w:lineRule="exact"/>
        <w:rPr>
          <w:sz w:val="20"/>
          <w:szCs w:val="20"/>
          <w:color w:val="auto"/>
        </w:rPr>
      </w:pPr>
    </w:p>
    <w:p>
      <w:pPr>
        <w:jc w:val="both"/>
        <w:ind w:left="1480" w:right="1499"/>
        <w:spacing w:after="0" w:line="285" w:lineRule="auto"/>
        <w:rPr>
          <w:sz w:val="20"/>
          <w:szCs w:val="20"/>
          <w:color w:val="auto"/>
        </w:rPr>
      </w:pPr>
      <w:r>
        <w:rPr>
          <w:rFonts w:ascii="Arial" w:cs="Arial" w:eastAsia="Arial" w:hAnsi="Arial"/>
          <w:sz w:val="13"/>
          <w:szCs w:val="13"/>
          <w:color w:val="auto"/>
        </w:rPr>
        <w:t>The items of business to be considered and voted upon by shareholders at the Meeting are described in the Notice of Annual Meeting and the Circular.</w:t>
      </w:r>
    </w:p>
    <w:p>
      <w:pPr>
        <w:spacing w:after="0" w:line="43" w:lineRule="exact"/>
        <w:rPr>
          <w:sz w:val="20"/>
          <w:szCs w:val="20"/>
          <w:color w:val="auto"/>
        </w:rPr>
      </w:pPr>
    </w:p>
    <w:p>
      <w:pPr>
        <w:jc w:val="both"/>
        <w:ind w:left="1480" w:right="1499"/>
        <w:spacing w:after="0" w:line="270" w:lineRule="auto"/>
        <w:rPr>
          <w:sz w:val="20"/>
          <w:szCs w:val="20"/>
          <w:color w:val="auto"/>
        </w:rPr>
      </w:pPr>
      <w:r>
        <w:rPr>
          <w:rFonts w:ascii="Arial" w:cs="Arial" w:eastAsia="Arial" w:hAnsi="Arial"/>
          <w:sz w:val="13"/>
          <w:szCs w:val="13"/>
          <w:color w:val="auto"/>
        </w:rPr>
        <w:t xml:space="preserve">You can find further information concerning the Corporation on our website at </w:t>
      </w:r>
      <w:r>
        <w:rPr>
          <w:rFonts w:ascii="Arial" w:cs="Arial" w:eastAsia="Arial" w:hAnsi="Arial"/>
          <w:sz w:val="13"/>
          <w:szCs w:val="13"/>
          <w:u w:val="single" w:color="auto"/>
          <w:color w:val="auto"/>
        </w:rPr>
        <w:t>www.celestica.com</w:t>
      </w:r>
      <w:r>
        <w:rPr>
          <w:rFonts w:ascii="Arial" w:cs="Arial" w:eastAsia="Arial" w:hAnsi="Arial"/>
          <w:sz w:val="13"/>
          <w:szCs w:val="13"/>
          <w:color w:val="auto"/>
        </w:rPr>
        <w:t>. We encourage you to visit our website before attending the Meeting, as it provides useful information regarding the Corporation.</w:t>
      </w:r>
    </w:p>
    <w:p>
      <w:pPr>
        <w:spacing w:after="0" w:line="53" w:lineRule="exact"/>
        <w:rPr>
          <w:sz w:val="20"/>
          <w:szCs w:val="20"/>
          <w:color w:val="auto"/>
        </w:rPr>
      </w:pPr>
    </w:p>
    <w:p>
      <w:pPr>
        <w:jc w:val="both"/>
        <w:ind w:left="1480" w:right="1499"/>
        <w:spacing w:after="0" w:line="270" w:lineRule="auto"/>
        <w:rPr>
          <w:sz w:val="20"/>
          <w:szCs w:val="20"/>
          <w:color w:val="auto"/>
        </w:rPr>
      </w:pPr>
      <w:r>
        <w:rPr>
          <w:rFonts w:ascii="Arial" w:cs="Arial" w:eastAsia="Arial" w:hAnsi="Arial"/>
          <w:sz w:val="13"/>
          <w:szCs w:val="13"/>
          <w:color w:val="auto"/>
        </w:rPr>
        <w:t>After the meeting, Robert A. Mionis, President and Chief Executive Officer, and Mandeep Chawla, Chief Financial Officer, will provide a brief overview of the Corporation's affairs and will be available to respond to questions.</w:t>
      </w:r>
    </w:p>
    <w:p>
      <w:pPr>
        <w:spacing w:after="0" w:line="53" w:lineRule="exact"/>
        <w:rPr>
          <w:sz w:val="20"/>
          <w:szCs w:val="20"/>
          <w:color w:val="auto"/>
        </w:rPr>
      </w:pPr>
    </w:p>
    <w:tbl>
      <w:tblPr>
        <w:tblLayout w:type="fixed"/>
        <w:tblInd w:w="560" w:type="dxa"/>
        <w:tblCellMar>
          <w:top w:w="0" w:type="dxa"/>
          <w:left w:w="0" w:type="dxa"/>
          <w:bottom w:w="0" w:type="dxa"/>
          <w:right w:w="0" w:type="dxa"/>
        </w:tblCellMar>
      </w:tblPr>
      <w:tr>
        <w:trPr>
          <w:trHeight w:val="168"/>
        </w:trPr>
        <w:tc>
          <w:tcPr>
            <w:tcW w:w="3000" w:type="dxa"/>
            <w:vAlign w:val="bottom"/>
          </w:tcPr>
          <w:p>
            <w:pPr>
              <w:ind w:left="920"/>
              <w:spacing w:after="0"/>
              <w:rPr>
                <w:sz w:val="20"/>
                <w:szCs w:val="20"/>
                <w:color w:val="auto"/>
              </w:rPr>
            </w:pPr>
            <w:r>
              <w:rPr>
                <w:rFonts w:ascii="Arial" w:cs="Arial" w:eastAsia="Arial" w:hAnsi="Arial"/>
                <w:sz w:val="13"/>
                <w:szCs w:val="13"/>
                <w:color w:val="auto"/>
              </w:rPr>
              <w:t>Yours sincerely,</w:t>
            </w:r>
          </w:p>
        </w:tc>
        <w:tc>
          <w:tcPr>
            <w:tcW w:w="4900" w:type="dxa"/>
            <w:vAlign w:val="bottom"/>
          </w:tcPr>
          <w:p>
            <w:pPr>
              <w:spacing w:after="0"/>
              <w:rPr>
                <w:sz w:val="14"/>
                <w:szCs w:val="14"/>
                <w:color w:val="auto"/>
              </w:rPr>
            </w:pPr>
          </w:p>
        </w:tc>
      </w:tr>
      <w:tr>
        <w:trPr>
          <w:trHeight w:val="907"/>
        </w:trPr>
        <w:tc>
          <w:tcPr>
            <w:tcW w:w="3000" w:type="dxa"/>
            <w:vAlign w:val="bottom"/>
          </w:tcPr>
          <w:p>
            <w:pPr>
              <w:ind w:left="920"/>
              <w:spacing w:after="0"/>
              <w:rPr>
                <w:sz w:val="20"/>
                <w:szCs w:val="20"/>
                <w:color w:val="auto"/>
              </w:rPr>
            </w:pPr>
            <w:r>
              <w:rPr>
                <w:rFonts w:ascii="Arial" w:cs="Arial" w:eastAsia="Arial" w:hAnsi="Arial"/>
                <w:sz w:val="13"/>
                <w:szCs w:val="13"/>
                <w:color w:val="auto"/>
              </w:rPr>
              <w:t>Michael M. Wilson</w:t>
            </w:r>
          </w:p>
        </w:tc>
        <w:tc>
          <w:tcPr>
            <w:tcW w:w="4900" w:type="dxa"/>
            <w:vAlign w:val="bottom"/>
          </w:tcPr>
          <w:p>
            <w:pPr>
              <w:ind w:left="1020"/>
              <w:spacing w:after="0"/>
              <w:rPr>
                <w:sz w:val="20"/>
                <w:szCs w:val="20"/>
                <w:color w:val="auto"/>
              </w:rPr>
            </w:pPr>
            <w:r>
              <w:rPr>
                <w:rFonts w:ascii="Arial" w:cs="Arial" w:eastAsia="Arial" w:hAnsi="Arial"/>
                <w:sz w:val="13"/>
                <w:szCs w:val="13"/>
                <w:color w:val="auto"/>
              </w:rPr>
              <w:t>Robert A. Mionis</w:t>
            </w:r>
          </w:p>
        </w:tc>
      </w:tr>
      <w:tr>
        <w:trPr>
          <w:trHeight w:val="168"/>
        </w:trPr>
        <w:tc>
          <w:tcPr>
            <w:tcW w:w="3000" w:type="dxa"/>
            <w:vAlign w:val="bottom"/>
          </w:tcPr>
          <w:p>
            <w:pPr>
              <w:ind w:left="920"/>
              <w:spacing w:after="0"/>
              <w:rPr>
                <w:sz w:val="20"/>
                <w:szCs w:val="20"/>
                <w:color w:val="auto"/>
              </w:rPr>
            </w:pPr>
            <w:r>
              <w:rPr>
                <w:rFonts w:ascii="Arial" w:cs="Arial" w:eastAsia="Arial" w:hAnsi="Arial"/>
                <w:sz w:val="13"/>
                <w:szCs w:val="13"/>
                <w:color w:val="auto"/>
              </w:rPr>
              <w:t>Chair of the Boar</w:t>
            </w:r>
          </w:p>
        </w:tc>
        <w:tc>
          <w:tcPr>
            <w:tcW w:w="4900" w:type="dxa"/>
            <w:vAlign w:val="bottom"/>
          </w:tcPr>
          <w:p>
            <w:pPr>
              <w:ind w:left="1020"/>
              <w:spacing w:after="0"/>
              <w:rPr>
                <w:sz w:val="20"/>
                <w:szCs w:val="20"/>
                <w:color w:val="auto"/>
              </w:rPr>
            </w:pPr>
            <w:r>
              <w:rPr>
                <w:rFonts w:ascii="Arial" w:cs="Arial" w:eastAsia="Arial" w:hAnsi="Arial"/>
                <w:sz w:val="13"/>
                <w:szCs w:val="13"/>
                <w:color w:val="auto"/>
              </w:rPr>
              <w:t>President and Chief Executive Officer</w:t>
            </w:r>
          </w:p>
        </w:tc>
      </w:tr>
      <w:tr>
        <w:trPr>
          <w:trHeight w:val="2011"/>
        </w:trPr>
        <w:tc>
          <w:tcPr>
            <w:tcW w:w="300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5363210</wp:posOffset>
            </wp:positionH>
            <wp:positionV relativeFrom="paragraph">
              <wp:posOffset>-5715</wp:posOffset>
            </wp:positionV>
            <wp:extent cx="635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350520</wp:posOffset>
            </wp:positionH>
            <wp:positionV relativeFrom="paragraph">
              <wp:posOffset>-12065</wp:posOffset>
            </wp:positionV>
            <wp:extent cx="6350" cy="12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50" cy="1270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-1737995</wp:posOffset>
            </wp:positionV>
            <wp:extent cx="1080770" cy="2025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80770" cy="20256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-1901825</wp:posOffset>
            </wp:positionV>
            <wp:extent cx="973455" cy="36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73455" cy="36639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 w:name="page7"/>
    <w:bookmarkEnd w:id="6"/>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90" w:lineRule="exact"/>
        <w:rPr>
          <w:sz w:val="20"/>
          <w:szCs w:val="20"/>
          <w:color w:val="auto"/>
        </w:rPr>
      </w:pPr>
    </w:p>
    <w:p>
      <w:pPr>
        <w:ind w:left="1480"/>
        <w:spacing w:after="0"/>
        <w:rPr>
          <w:sz w:val="20"/>
          <w:szCs w:val="20"/>
          <w:color w:val="auto"/>
        </w:rPr>
      </w:pPr>
      <w:r>
        <w:rPr>
          <w:rFonts w:ascii="Arial" w:cs="Arial" w:eastAsia="Arial" w:hAnsi="Arial"/>
          <w:sz w:val="19"/>
          <w:szCs w:val="19"/>
          <w:b w:val="1"/>
          <w:bCs w:val="1"/>
          <w:color w:val="auto"/>
        </w:rPr>
        <w:t>Your Vote Is Important</w:t>
      </w:r>
    </w:p>
    <w:p>
      <w:pPr>
        <w:spacing w:after="0" w:line="153"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auto"/>
        </w:rPr>
        <w:t>Registered Shareholders</w:t>
      </w:r>
    </w:p>
    <w:p>
      <w:pPr>
        <w:spacing w:after="0" w:line="93" w:lineRule="exact"/>
        <w:rPr>
          <w:sz w:val="20"/>
          <w:szCs w:val="20"/>
          <w:color w:val="auto"/>
        </w:rPr>
      </w:pPr>
    </w:p>
    <w:p>
      <w:pPr>
        <w:jc w:val="both"/>
        <w:ind w:left="1480" w:right="1499"/>
        <w:spacing w:after="0" w:line="260" w:lineRule="auto"/>
        <w:rPr>
          <w:sz w:val="20"/>
          <w:szCs w:val="20"/>
          <w:color w:val="auto"/>
        </w:rPr>
      </w:pPr>
      <w:r>
        <w:rPr>
          <w:rFonts w:ascii="Arial" w:cs="Arial" w:eastAsia="Arial" w:hAnsi="Arial"/>
          <w:sz w:val="13"/>
          <w:szCs w:val="13"/>
          <w:color w:val="auto"/>
        </w:rPr>
        <w:t>You are a registered shareholder if your shares are registered directly in your name with our registrar and transfer agent, Computershare Investor Services Inc. (“</w:t>
      </w:r>
      <w:r>
        <w:rPr>
          <w:rFonts w:ascii="Arial" w:cs="Arial" w:eastAsia="Arial" w:hAnsi="Arial"/>
          <w:sz w:val="13"/>
          <w:szCs w:val="13"/>
          <w:b w:val="1"/>
          <w:bCs w:val="1"/>
          <w:color w:val="auto"/>
        </w:rPr>
        <w:t>Computershare</w:t>
      </w:r>
      <w:r>
        <w:rPr>
          <w:rFonts w:ascii="Arial" w:cs="Arial" w:eastAsia="Arial" w:hAnsi="Arial"/>
          <w:sz w:val="13"/>
          <w:szCs w:val="13"/>
          <w:color w:val="auto"/>
        </w:rPr>
        <w:t xml:space="preserve">”). You will have received from Computershare a form of proxy which accompanied your Management Information Circular. Complete, sign, date and mail your form of proxy to Computershare in the envelope provided or follow the instructions provided on the form of proxy to vote by telephone or internet. For instructions regarding how to vote online at the Meeting if you are a registered shareholder, see </w:t>
      </w:r>
      <w:r>
        <w:rPr>
          <w:rFonts w:ascii="Arial" w:cs="Arial" w:eastAsia="Arial" w:hAnsi="Arial"/>
          <w:sz w:val="13"/>
          <w:szCs w:val="13"/>
          <w:i w:val="1"/>
          <w:iCs w:val="1"/>
          <w:color w:val="auto"/>
        </w:rPr>
        <w:t>Questions and Answers on Voting and Proxies</w:t>
      </w:r>
      <w:r>
        <w:rPr>
          <w:rFonts w:ascii="Arial" w:cs="Arial" w:eastAsia="Arial" w:hAnsi="Arial"/>
          <w:sz w:val="13"/>
          <w:szCs w:val="13"/>
          <w:color w:val="auto"/>
        </w:rPr>
        <w:t xml:space="preserve"> </w:t>
      </w:r>
      <w:r>
        <w:rPr>
          <w:rFonts w:ascii="Arial" w:cs="Arial" w:eastAsia="Arial" w:hAnsi="Arial"/>
          <w:sz w:val="13"/>
          <w:szCs w:val="13"/>
          <w:i w:val="1"/>
          <w:iCs w:val="1"/>
          <w:color w:val="auto"/>
        </w:rPr>
        <w:t>— How Do I Exercise My Vote (and by When) If I am a Registered Shareholder?</w:t>
      </w:r>
    </w:p>
    <w:p>
      <w:pPr>
        <w:spacing w:after="0" w:line="137"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auto"/>
        </w:rPr>
        <w:t>Non-Registered Shareholders</w:t>
      </w:r>
    </w:p>
    <w:p>
      <w:pPr>
        <w:spacing w:after="0" w:line="93" w:lineRule="exact"/>
        <w:rPr>
          <w:sz w:val="20"/>
          <w:szCs w:val="20"/>
          <w:color w:val="auto"/>
        </w:rPr>
      </w:pPr>
    </w:p>
    <w:p>
      <w:pPr>
        <w:jc w:val="both"/>
        <w:ind w:left="1480" w:right="1499"/>
        <w:spacing w:after="0" w:line="259" w:lineRule="auto"/>
        <w:rPr>
          <w:sz w:val="20"/>
          <w:szCs w:val="20"/>
          <w:color w:val="auto"/>
        </w:rPr>
      </w:pPr>
      <w:r>
        <w:rPr>
          <w:rFonts w:ascii="Arial" w:cs="Arial" w:eastAsia="Arial" w:hAnsi="Arial"/>
          <w:sz w:val="13"/>
          <w:szCs w:val="13"/>
          <w:color w:val="auto"/>
        </w:rPr>
        <w:t xml:space="preserve">You are a non-registered shareholder (or beneficial owner) if your shares are held in the name of a nominee (such as a securities broker, trustee or other financial institution). You will have received from your nominee a request for voting instructions which accompanied your Management Information Circular. Alternatively, your nominee may have provided you with a form of proxy. Follow the instructions on your voting instruction form or the form of proxy provided to you to vote by telephone or internet, or complete, sign, date and mail the voting instruction form or the form of proxy provided to you in the envelope provided. For instructions regarding how to vote online at the Meeting if you are a non-registered shareholder, see </w:t>
      </w:r>
      <w:r>
        <w:rPr>
          <w:rFonts w:ascii="Arial" w:cs="Arial" w:eastAsia="Arial" w:hAnsi="Arial"/>
          <w:sz w:val="13"/>
          <w:szCs w:val="13"/>
          <w:i w:val="1"/>
          <w:iCs w:val="1"/>
          <w:color w:val="auto"/>
        </w:rPr>
        <w:t>Questions and Answers on Voting and Proxies — How Do I Vote if I am a Non-Registered</w:t>
      </w:r>
      <w:r>
        <w:rPr>
          <w:rFonts w:ascii="Arial" w:cs="Arial" w:eastAsia="Arial" w:hAnsi="Arial"/>
          <w:sz w:val="13"/>
          <w:szCs w:val="13"/>
          <w:color w:val="auto"/>
        </w:rPr>
        <w:t xml:space="preserve"> </w:t>
      </w:r>
      <w:r>
        <w:rPr>
          <w:rFonts w:ascii="Arial" w:cs="Arial" w:eastAsia="Arial" w:hAnsi="Arial"/>
          <w:sz w:val="13"/>
          <w:szCs w:val="13"/>
          <w:i w:val="1"/>
          <w:iCs w:val="1"/>
          <w:color w:val="auto"/>
        </w:rPr>
        <w:t>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3742055</wp:posOffset>
            </wp:positionV>
            <wp:extent cx="5019040" cy="12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 w:name="page8"/>
    <w:bookmarkEnd w:id="7"/>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296545</wp:posOffset>
            </wp:positionV>
            <wp:extent cx="3843655" cy="1898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43655" cy="18986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41910</wp:posOffset>
            </wp:positionV>
            <wp:extent cx="3843655"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222"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6120" w:type="dxa"/>
            <w:vAlign w:val="bottom"/>
            <w:gridSpan w:val="5"/>
          </w:tcPr>
          <w:p>
            <w:pPr>
              <w:ind w:left="1060"/>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NOTICE OF ANNUAL MEETING OF SHAREHOLDERS OF CELESTICA INC.</w:t>
              </w:r>
            </w:hyperlink>
          </w:p>
        </w:tc>
        <w:tc>
          <w:tcPr>
            <w:tcW w:w="1780" w:type="dxa"/>
            <w:vAlign w:val="bottom"/>
          </w:tcPr>
          <w:p>
            <w:pPr>
              <w:jc w:val="right"/>
              <w:ind w:right="994"/>
              <w:spacing w:after="0"/>
              <w:rPr>
                <w:rFonts w:ascii="Arial" w:cs="Arial" w:eastAsia="Arial" w:hAnsi="Arial"/>
                <w:sz w:val="13"/>
                <w:szCs w:val="13"/>
                <w:b w:val="1"/>
                <w:bCs w:val="1"/>
                <w:u w:val="single" w:color="auto"/>
                <w:color w:val="0000EE"/>
              </w:rPr>
            </w:pPr>
            <w:hyperlink w:anchor="page8">
              <w:r>
                <w:rPr>
                  <w:rFonts w:ascii="Arial" w:cs="Arial" w:eastAsia="Arial" w:hAnsi="Arial"/>
                  <w:sz w:val="13"/>
                  <w:szCs w:val="13"/>
                  <w:b w:val="1"/>
                  <w:bCs w:val="1"/>
                  <w:u w:val="single" w:color="auto"/>
                  <w:color w:val="0000EE"/>
                </w:rPr>
                <w:t>i</w:t>
              </w:r>
            </w:hyperlink>
          </w:p>
        </w:tc>
      </w:tr>
      <w:tr>
        <w:trPr>
          <w:trHeight w:val="139"/>
        </w:trPr>
        <w:tc>
          <w:tcPr>
            <w:tcW w:w="6120" w:type="dxa"/>
            <w:vAlign w:val="bottom"/>
            <w:gridSpan w:val="5"/>
          </w:tcPr>
          <w:p>
            <w:pPr>
              <w:ind w:left="1060"/>
              <w:spacing w:after="0" w:line="139" w:lineRule="exact"/>
              <w:rPr>
                <w:rFonts w:ascii="Arial" w:cs="Arial" w:eastAsia="Arial" w:hAnsi="Arial"/>
                <w:sz w:val="13"/>
                <w:szCs w:val="13"/>
                <w:b w:val="1"/>
                <w:bCs w:val="1"/>
                <w:u w:val="single" w:color="auto"/>
                <w:color w:val="0000EE"/>
              </w:rPr>
            </w:pPr>
            <w:hyperlink w:anchor="page9">
              <w:r>
                <w:rPr>
                  <w:rFonts w:ascii="Arial" w:cs="Arial" w:eastAsia="Arial" w:hAnsi="Arial"/>
                  <w:sz w:val="13"/>
                  <w:szCs w:val="13"/>
                  <w:b w:val="1"/>
                  <w:bCs w:val="1"/>
                  <w:u w:val="single" w:color="auto"/>
                  <w:color w:val="0000EE"/>
                </w:rPr>
                <w:t>MANAGEMENT INFORMATION CIRCULAR</w:t>
              </w:r>
            </w:hyperlink>
          </w:p>
        </w:tc>
        <w:tc>
          <w:tcPr>
            <w:tcW w:w="1780" w:type="dxa"/>
            <w:vAlign w:val="bottom"/>
          </w:tcPr>
          <w:p>
            <w:pPr>
              <w:jc w:val="right"/>
              <w:ind w:right="994"/>
              <w:spacing w:after="0" w:line="139" w:lineRule="exact"/>
              <w:rPr>
                <w:rFonts w:ascii="Arial" w:cs="Arial" w:eastAsia="Arial" w:hAnsi="Arial"/>
                <w:sz w:val="13"/>
                <w:szCs w:val="13"/>
                <w:b w:val="1"/>
                <w:bCs w:val="1"/>
                <w:u w:val="single" w:color="auto"/>
                <w:color w:val="0000EE"/>
              </w:rPr>
            </w:pPr>
            <w:hyperlink w:anchor="page9">
              <w:r>
                <w:rPr>
                  <w:rFonts w:ascii="Arial" w:cs="Arial" w:eastAsia="Arial" w:hAnsi="Arial"/>
                  <w:sz w:val="13"/>
                  <w:szCs w:val="13"/>
                  <w:b w:val="1"/>
                  <w:bCs w:val="1"/>
                  <w:u w:val="single" w:color="auto"/>
                  <w:color w:val="0000EE"/>
                </w:rPr>
                <w:t>1</w:t>
              </w:r>
            </w:hyperlink>
          </w:p>
        </w:tc>
      </w:tr>
      <w:tr>
        <w:trPr>
          <w:trHeight w:val="139"/>
        </w:trPr>
        <w:tc>
          <w:tcPr>
            <w:tcW w:w="6120" w:type="dxa"/>
            <w:vAlign w:val="bottom"/>
            <w:gridSpan w:val="5"/>
          </w:tcPr>
          <w:p>
            <w:pPr>
              <w:ind w:left="1180"/>
              <w:spacing w:after="0" w:line="139" w:lineRule="exact"/>
              <w:rPr>
                <w:rFonts w:ascii="Arial" w:cs="Arial" w:eastAsia="Arial" w:hAnsi="Arial"/>
                <w:sz w:val="13"/>
                <w:szCs w:val="13"/>
                <w:b w:val="1"/>
                <w:bCs w:val="1"/>
                <w:u w:val="single" w:color="auto"/>
                <w:color w:val="0000EE"/>
              </w:rPr>
            </w:pPr>
            <w:hyperlink w:anchor="page9">
              <w:r>
                <w:rPr>
                  <w:rFonts w:ascii="Arial" w:cs="Arial" w:eastAsia="Arial" w:hAnsi="Arial"/>
                  <w:sz w:val="13"/>
                  <w:szCs w:val="13"/>
                  <w:b w:val="1"/>
                  <w:bCs w:val="1"/>
                  <w:u w:val="single" w:color="auto"/>
                  <w:color w:val="0000EE"/>
                </w:rPr>
                <w:t>Questions and Answers on Voting and Proxies</w:t>
              </w:r>
            </w:hyperlink>
          </w:p>
        </w:tc>
        <w:tc>
          <w:tcPr>
            <w:tcW w:w="1780" w:type="dxa"/>
            <w:vAlign w:val="bottom"/>
          </w:tcPr>
          <w:p>
            <w:pPr>
              <w:jc w:val="right"/>
              <w:ind w:right="994"/>
              <w:spacing w:after="0" w:line="139" w:lineRule="exact"/>
              <w:rPr>
                <w:rFonts w:ascii="Arial" w:cs="Arial" w:eastAsia="Arial" w:hAnsi="Arial"/>
                <w:sz w:val="13"/>
                <w:szCs w:val="13"/>
                <w:b w:val="1"/>
                <w:bCs w:val="1"/>
                <w:u w:val="single" w:color="auto"/>
                <w:color w:val="0000EE"/>
              </w:rPr>
            </w:pPr>
            <w:hyperlink w:anchor="page9">
              <w:r>
                <w:rPr>
                  <w:rFonts w:ascii="Arial" w:cs="Arial" w:eastAsia="Arial" w:hAnsi="Arial"/>
                  <w:sz w:val="13"/>
                  <w:szCs w:val="13"/>
                  <w:b w:val="1"/>
                  <w:bCs w:val="1"/>
                  <w:u w:val="single" w:color="auto"/>
                  <w:color w:val="0000EE"/>
                </w:rPr>
                <w:t>1</w:t>
              </w:r>
            </w:hyperlink>
          </w:p>
        </w:tc>
      </w:tr>
      <w:tr>
        <w:trPr>
          <w:trHeight w:val="143"/>
        </w:trPr>
        <w:tc>
          <w:tcPr>
            <w:tcW w:w="6120" w:type="dxa"/>
            <w:vAlign w:val="bottom"/>
            <w:gridSpan w:val="5"/>
          </w:tcPr>
          <w:p>
            <w:pPr>
              <w:ind w:left="1180"/>
              <w:spacing w:after="0" w:line="144" w:lineRule="exact"/>
              <w:rPr>
                <w:rFonts w:ascii="Arial" w:cs="Arial" w:eastAsia="Arial" w:hAnsi="Arial"/>
                <w:sz w:val="13"/>
                <w:szCs w:val="13"/>
                <w:b w:val="1"/>
                <w:bCs w:val="1"/>
                <w:u w:val="single" w:color="auto"/>
                <w:color w:val="0000EE"/>
              </w:rPr>
            </w:pPr>
            <w:hyperlink w:anchor="page15">
              <w:r>
                <w:rPr>
                  <w:rFonts w:ascii="Arial" w:cs="Arial" w:eastAsia="Arial" w:hAnsi="Arial"/>
                  <w:sz w:val="13"/>
                  <w:szCs w:val="13"/>
                  <w:b w:val="1"/>
                  <w:bCs w:val="1"/>
                  <w:u w:val="single" w:color="auto"/>
                  <w:color w:val="0000EE"/>
                </w:rPr>
                <w:t>Principal Holders of Voting Shares</w:t>
              </w:r>
            </w:hyperlink>
          </w:p>
        </w:tc>
        <w:tc>
          <w:tcPr>
            <w:tcW w:w="1780" w:type="dxa"/>
            <w:vAlign w:val="bottom"/>
          </w:tcPr>
          <w:p>
            <w:pPr>
              <w:jc w:val="right"/>
              <w:ind w:right="994"/>
              <w:spacing w:after="0" w:line="144" w:lineRule="exact"/>
              <w:rPr>
                <w:rFonts w:ascii="Arial" w:cs="Arial" w:eastAsia="Arial" w:hAnsi="Arial"/>
                <w:sz w:val="13"/>
                <w:szCs w:val="13"/>
                <w:b w:val="1"/>
                <w:bCs w:val="1"/>
                <w:u w:val="single" w:color="auto"/>
                <w:color w:val="0000EE"/>
              </w:rPr>
            </w:pPr>
            <w:hyperlink w:anchor="page15">
              <w:r>
                <w:rPr>
                  <w:rFonts w:ascii="Arial" w:cs="Arial" w:eastAsia="Arial" w:hAnsi="Arial"/>
                  <w:sz w:val="13"/>
                  <w:szCs w:val="13"/>
                  <w:b w:val="1"/>
                  <w:bCs w:val="1"/>
                  <w:u w:val="single" w:color="auto"/>
                  <w:color w:val="0000EE"/>
                </w:rPr>
                <w:t>7</w:t>
              </w:r>
            </w:hyperlink>
          </w:p>
        </w:tc>
      </w:tr>
      <w:tr>
        <w:trPr>
          <w:trHeight w:val="135"/>
        </w:trPr>
        <w:tc>
          <w:tcPr>
            <w:tcW w:w="6120" w:type="dxa"/>
            <w:vAlign w:val="bottom"/>
            <w:gridSpan w:val="5"/>
          </w:tcPr>
          <w:p>
            <w:pPr>
              <w:ind w:left="1320"/>
              <w:spacing w:after="0" w:line="136" w:lineRule="exact"/>
              <w:rPr>
                <w:rFonts w:ascii="Arial" w:cs="Arial" w:eastAsia="Arial" w:hAnsi="Arial"/>
                <w:sz w:val="13"/>
                <w:szCs w:val="13"/>
                <w:u w:val="single" w:color="auto"/>
                <w:color w:val="0000EE"/>
              </w:rPr>
            </w:pPr>
            <w:hyperlink w:anchor="page15">
              <w:r>
                <w:rPr>
                  <w:rFonts w:ascii="Arial" w:cs="Arial" w:eastAsia="Arial" w:hAnsi="Arial"/>
                  <w:sz w:val="13"/>
                  <w:szCs w:val="13"/>
                  <w:u w:val="single" w:color="auto"/>
                  <w:color w:val="0000EE"/>
                </w:rPr>
                <w:t>Agreement for the Benefit of Holders of SVS</w:t>
              </w:r>
            </w:hyperlink>
          </w:p>
        </w:tc>
        <w:tc>
          <w:tcPr>
            <w:tcW w:w="1780" w:type="dxa"/>
            <w:vAlign w:val="bottom"/>
          </w:tcPr>
          <w:p>
            <w:pPr>
              <w:jc w:val="right"/>
              <w:ind w:right="994"/>
              <w:spacing w:after="0" w:line="136" w:lineRule="exact"/>
              <w:rPr>
                <w:rFonts w:ascii="Arial" w:cs="Arial" w:eastAsia="Arial" w:hAnsi="Arial"/>
                <w:sz w:val="13"/>
                <w:szCs w:val="13"/>
                <w:u w:val="single" w:color="auto"/>
                <w:color w:val="0000EE"/>
              </w:rPr>
            </w:pPr>
            <w:hyperlink w:anchor="page15">
              <w:r>
                <w:rPr>
                  <w:rFonts w:ascii="Arial" w:cs="Arial" w:eastAsia="Arial" w:hAnsi="Arial"/>
                  <w:sz w:val="13"/>
                  <w:szCs w:val="13"/>
                  <w:u w:val="single" w:color="auto"/>
                  <w:color w:val="0000EE"/>
                </w:rPr>
                <w:t>7</w:t>
              </w:r>
            </w:hyperlink>
          </w:p>
        </w:tc>
      </w:tr>
      <w:tr>
        <w:trPr>
          <w:trHeight w:val="143"/>
        </w:trPr>
        <w:tc>
          <w:tcPr>
            <w:tcW w:w="6120" w:type="dxa"/>
            <w:vAlign w:val="bottom"/>
            <w:gridSpan w:val="5"/>
          </w:tcPr>
          <w:p>
            <w:pPr>
              <w:ind w:left="1180"/>
              <w:spacing w:after="0" w:line="144" w:lineRule="exact"/>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Information Relating to Our Directors</w:t>
              </w:r>
            </w:hyperlink>
          </w:p>
        </w:tc>
        <w:tc>
          <w:tcPr>
            <w:tcW w:w="1780" w:type="dxa"/>
            <w:vAlign w:val="bottom"/>
          </w:tcPr>
          <w:p>
            <w:pPr>
              <w:jc w:val="right"/>
              <w:ind w:right="994"/>
              <w:spacing w:after="0" w:line="144" w:lineRule="exact"/>
              <w:rPr>
                <w:rFonts w:ascii="Arial" w:cs="Arial" w:eastAsia="Arial" w:hAnsi="Arial"/>
                <w:sz w:val="13"/>
                <w:szCs w:val="13"/>
                <w:b w:val="1"/>
                <w:bCs w:val="1"/>
                <w:u w:val="single" w:color="auto"/>
                <w:color w:val="0000EE"/>
              </w:rPr>
            </w:pPr>
            <w:hyperlink w:anchor="page16">
              <w:r>
                <w:rPr>
                  <w:rFonts w:ascii="Arial" w:cs="Arial" w:eastAsia="Arial" w:hAnsi="Arial"/>
                  <w:sz w:val="13"/>
                  <w:szCs w:val="13"/>
                  <w:b w:val="1"/>
                  <w:bCs w:val="1"/>
                  <w:u w:val="single" w:color="auto"/>
                  <w:color w:val="0000EE"/>
                </w:rPr>
                <w:t>8</w:t>
              </w:r>
            </w:hyperlink>
          </w:p>
        </w:tc>
      </w:tr>
      <w:tr>
        <w:trPr>
          <w:trHeight w:val="139"/>
        </w:trPr>
        <w:tc>
          <w:tcPr>
            <w:tcW w:w="6120" w:type="dxa"/>
            <w:vAlign w:val="bottom"/>
            <w:gridSpan w:val="5"/>
          </w:tcPr>
          <w:p>
            <w:pPr>
              <w:ind w:left="1320"/>
              <w:spacing w:after="0" w:line="139" w:lineRule="exact"/>
              <w:rPr>
                <w:rFonts w:ascii="Arial" w:cs="Arial" w:eastAsia="Arial" w:hAnsi="Arial"/>
                <w:sz w:val="13"/>
                <w:szCs w:val="13"/>
                <w:u w:val="single" w:color="auto"/>
                <w:color w:val="0000EE"/>
              </w:rPr>
            </w:pPr>
            <w:hyperlink w:anchor="page16">
              <w:r>
                <w:rPr>
                  <w:rFonts w:ascii="Arial" w:cs="Arial" w:eastAsia="Arial" w:hAnsi="Arial"/>
                  <w:sz w:val="13"/>
                  <w:szCs w:val="13"/>
                  <w:u w:val="single" w:color="auto"/>
                  <w:color w:val="0000EE"/>
                </w:rPr>
                <w:t>Election of Directors</w:t>
              </w:r>
            </w:hyperlink>
          </w:p>
        </w:tc>
        <w:tc>
          <w:tcPr>
            <w:tcW w:w="1780" w:type="dxa"/>
            <w:vAlign w:val="bottom"/>
          </w:tcPr>
          <w:p>
            <w:pPr>
              <w:jc w:val="right"/>
              <w:ind w:right="994"/>
              <w:spacing w:after="0" w:line="139" w:lineRule="exact"/>
              <w:rPr>
                <w:rFonts w:ascii="Arial" w:cs="Arial" w:eastAsia="Arial" w:hAnsi="Arial"/>
                <w:sz w:val="13"/>
                <w:szCs w:val="13"/>
                <w:u w:val="single" w:color="auto"/>
                <w:color w:val="0000EE"/>
              </w:rPr>
            </w:pPr>
            <w:hyperlink w:anchor="page16">
              <w:r>
                <w:rPr>
                  <w:rFonts w:ascii="Arial" w:cs="Arial" w:eastAsia="Arial" w:hAnsi="Arial"/>
                  <w:sz w:val="13"/>
                  <w:szCs w:val="13"/>
                  <w:u w:val="single" w:color="auto"/>
                  <w:color w:val="0000EE"/>
                </w:rPr>
                <w:t>8</w:t>
              </w:r>
            </w:hyperlink>
          </w:p>
        </w:tc>
      </w:tr>
      <w:tr>
        <w:trPr>
          <w:trHeight w:val="139"/>
        </w:trPr>
        <w:tc>
          <w:tcPr>
            <w:tcW w:w="6120" w:type="dxa"/>
            <w:vAlign w:val="bottom"/>
            <w:gridSpan w:val="5"/>
          </w:tcPr>
          <w:p>
            <w:pPr>
              <w:ind w:left="1320"/>
              <w:spacing w:after="0" w:line="139" w:lineRule="exact"/>
              <w:rPr>
                <w:rFonts w:ascii="Arial" w:cs="Arial" w:eastAsia="Arial" w:hAnsi="Arial"/>
                <w:sz w:val="13"/>
                <w:szCs w:val="13"/>
                <w:u w:val="single" w:color="auto"/>
                <w:color w:val="0000EE"/>
              </w:rPr>
            </w:pPr>
            <w:hyperlink w:anchor="page23">
              <w:r>
                <w:rPr>
                  <w:rFonts w:ascii="Arial" w:cs="Arial" w:eastAsia="Arial" w:hAnsi="Arial"/>
                  <w:sz w:val="13"/>
                  <w:szCs w:val="13"/>
                  <w:u w:val="single" w:color="auto"/>
                  <w:color w:val="0000EE"/>
                </w:rPr>
                <w:t>Director Compensation</w:t>
              </w:r>
            </w:hyperlink>
          </w:p>
        </w:tc>
        <w:tc>
          <w:tcPr>
            <w:tcW w:w="1780" w:type="dxa"/>
            <w:vAlign w:val="bottom"/>
          </w:tcPr>
          <w:p>
            <w:pPr>
              <w:jc w:val="right"/>
              <w:ind w:right="994"/>
              <w:spacing w:after="0" w:line="139" w:lineRule="exact"/>
              <w:rPr>
                <w:rFonts w:ascii="Arial" w:cs="Arial" w:eastAsia="Arial" w:hAnsi="Arial"/>
                <w:sz w:val="13"/>
                <w:szCs w:val="13"/>
                <w:u w:val="single" w:color="auto"/>
                <w:color w:val="0000EE"/>
              </w:rPr>
            </w:pPr>
            <w:hyperlink w:anchor="page23">
              <w:r>
                <w:rPr>
                  <w:rFonts w:ascii="Arial" w:cs="Arial" w:eastAsia="Arial" w:hAnsi="Arial"/>
                  <w:sz w:val="13"/>
                  <w:szCs w:val="13"/>
                  <w:u w:val="single" w:color="auto"/>
                  <w:color w:val="0000EE"/>
                </w:rPr>
                <w:t>15</w:t>
              </w:r>
            </w:hyperlink>
          </w:p>
        </w:tc>
      </w:tr>
      <w:tr>
        <w:trPr>
          <w:trHeight w:val="139"/>
        </w:trPr>
        <w:tc>
          <w:tcPr>
            <w:tcW w:w="6120" w:type="dxa"/>
            <w:vAlign w:val="bottom"/>
            <w:gridSpan w:val="5"/>
          </w:tcPr>
          <w:p>
            <w:pPr>
              <w:ind w:left="1320"/>
              <w:spacing w:after="0" w:line="139" w:lineRule="exact"/>
              <w:rPr>
                <w:rFonts w:ascii="Arial" w:cs="Arial" w:eastAsia="Arial" w:hAnsi="Arial"/>
                <w:sz w:val="13"/>
                <w:szCs w:val="13"/>
                <w:u w:val="single" w:color="auto"/>
                <w:color w:val="0000EE"/>
              </w:rPr>
            </w:pPr>
            <w:hyperlink w:anchor="page24">
              <w:r>
                <w:rPr>
                  <w:rFonts w:ascii="Arial" w:cs="Arial" w:eastAsia="Arial" w:hAnsi="Arial"/>
                  <w:sz w:val="13"/>
                  <w:szCs w:val="13"/>
                  <w:u w:val="single" w:color="auto"/>
                  <w:color w:val="0000EE"/>
                </w:rPr>
                <w:t>Directors’ Fees Earned in 2020</w:t>
              </w:r>
            </w:hyperlink>
          </w:p>
        </w:tc>
        <w:tc>
          <w:tcPr>
            <w:tcW w:w="1780" w:type="dxa"/>
            <w:vAlign w:val="bottom"/>
          </w:tcPr>
          <w:p>
            <w:pPr>
              <w:jc w:val="right"/>
              <w:ind w:right="994"/>
              <w:spacing w:after="0" w:line="139" w:lineRule="exact"/>
              <w:rPr>
                <w:rFonts w:ascii="Arial" w:cs="Arial" w:eastAsia="Arial" w:hAnsi="Arial"/>
                <w:sz w:val="13"/>
                <w:szCs w:val="13"/>
                <w:u w:val="single" w:color="auto"/>
                <w:color w:val="0000EE"/>
              </w:rPr>
            </w:pPr>
            <w:hyperlink w:anchor="page24">
              <w:r>
                <w:rPr>
                  <w:rFonts w:ascii="Arial" w:cs="Arial" w:eastAsia="Arial" w:hAnsi="Arial"/>
                  <w:sz w:val="13"/>
                  <w:szCs w:val="13"/>
                  <w:u w:val="single" w:color="auto"/>
                  <w:color w:val="0000EE"/>
                </w:rPr>
                <w:t>16</w:t>
              </w:r>
            </w:hyperlink>
          </w:p>
        </w:tc>
      </w:tr>
      <w:tr>
        <w:trPr>
          <w:trHeight w:val="135"/>
        </w:trPr>
        <w:tc>
          <w:tcPr>
            <w:tcW w:w="6120" w:type="dxa"/>
            <w:vAlign w:val="bottom"/>
            <w:gridSpan w:val="5"/>
          </w:tcPr>
          <w:p>
            <w:pPr>
              <w:ind w:left="1320"/>
              <w:spacing w:after="0" w:line="136" w:lineRule="exact"/>
              <w:rPr>
                <w:rFonts w:ascii="Arial" w:cs="Arial" w:eastAsia="Arial" w:hAnsi="Arial"/>
                <w:sz w:val="13"/>
                <w:szCs w:val="13"/>
                <w:u w:val="single" w:color="auto"/>
                <w:color w:val="0000EE"/>
              </w:rPr>
            </w:pPr>
            <w:hyperlink w:anchor="page25">
              <w:r>
                <w:rPr>
                  <w:rFonts w:ascii="Arial" w:cs="Arial" w:eastAsia="Arial" w:hAnsi="Arial"/>
                  <w:sz w:val="13"/>
                  <w:szCs w:val="13"/>
                  <w:u w:val="single" w:color="auto"/>
                  <w:color w:val="0000EE"/>
                </w:rPr>
                <w:t>Directors’ Ownership of Securities</w:t>
              </w:r>
            </w:hyperlink>
          </w:p>
        </w:tc>
        <w:tc>
          <w:tcPr>
            <w:tcW w:w="1780" w:type="dxa"/>
            <w:vAlign w:val="bottom"/>
          </w:tcPr>
          <w:p>
            <w:pPr>
              <w:jc w:val="right"/>
              <w:ind w:right="994"/>
              <w:spacing w:after="0" w:line="136" w:lineRule="exact"/>
              <w:rPr>
                <w:rFonts w:ascii="Arial" w:cs="Arial" w:eastAsia="Arial" w:hAnsi="Arial"/>
                <w:sz w:val="13"/>
                <w:szCs w:val="13"/>
                <w:u w:val="single" w:color="auto"/>
                <w:color w:val="0000EE"/>
              </w:rPr>
            </w:pPr>
            <w:hyperlink w:anchor="page25">
              <w:r>
                <w:rPr>
                  <w:rFonts w:ascii="Arial" w:cs="Arial" w:eastAsia="Arial" w:hAnsi="Arial"/>
                  <w:sz w:val="13"/>
                  <w:szCs w:val="13"/>
                  <w:u w:val="single" w:color="auto"/>
                  <w:color w:val="0000EE"/>
                </w:rPr>
                <w:t>17</w:t>
              </w:r>
            </w:hyperlink>
          </w:p>
        </w:tc>
      </w:tr>
      <w:tr>
        <w:trPr>
          <w:trHeight w:val="143"/>
        </w:trPr>
        <w:tc>
          <w:tcPr>
            <w:tcW w:w="6120" w:type="dxa"/>
            <w:vAlign w:val="bottom"/>
            <w:gridSpan w:val="5"/>
          </w:tcPr>
          <w:p>
            <w:pPr>
              <w:ind w:left="1180"/>
              <w:spacing w:after="0" w:line="144" w:lineRule="exact"/>
              <w:rPr>
                <w:rFonts w:ascii="Arial" w:cs="Arial" w:eastAsia="Arial" w:hAnsi="Arial"/>
                <w:sz w:val="13"/>
                <w:szCs w:val="13"/>
                <w:b w:val="1"/>
                <w:bCs w:val="1"/>
                <w:u w:val="single" w:color="auto"/>
                <w:color w:val="0000EE"/>
              </w:rPr>
            </w:pPr>
            <w:hyperlink w:anchor="page27">
              <w:r>
                <w:rPr>
                  <w:rFonts w:ascii="Arial" w:cs="Arial" w:eastAsia="Arial" w:hAnsi="Arial"/>
                  <w:sz w:val="13"/>
                  <w:szCs w:val="13"/>
                  <w:b w:val="1"/>
                  <w:bCs w:val="1"/>
                  <w:u w:val="single" w:color="auto"/>
                  <w:color w:val="0000EE"/>
                </w:rPr>
                <w:t>Corporate Governance</w:t>
              </w:r>
            </w:hyperlink>
          </w:p>
        </w:tc>
        <w:tc>
          <w:tcPr>
            <w:tcW w:w="1780" w:type="dxa"/>
            <w:vAlign w:val="bottom"/>
          </w:tcPr>
          <w:p>
            <w:pPr>
              <w:jc w:val="right"/>
              <w:ind w:right="994"/>
              <w:spacing w:after="0" w:line="144" w:lineRule="exact"/>
              <w:rPr>
                <w:rFonts w:ascii="Arial" w:cs="Arial" w:eastAsia="Arial" w:hAnsi="Arial"/>
                <w:sz w:val="13"/>
                <w:szCs w:val="13"/>
                <w:b w:val="1"/>
                <w:bCs w:val="1"/>
                <w:u w:val="single" w:color="auto"/>
                <w:color w:val="0000EE"/>
              </w:rPr>
            </w:pPr>
            <w:hyperlink w:anchor="page27">
              <w:r>
                <w:rPr>
                  <w:rFonts w:ascii="Arial" w:cs="Arial" w:eastAsia="Arial" w:hAnsi="Arial"/>
                  <w:sz w:val="13"/>
                  <w:szCs w:val="13"/>
                  <w:b w:val="1"/>
                  <w:bCs w:val="1"/>
                  <w:u w:val="single" w:color="auto"/>
                  <w:color w:val="0000EE"/>
                </w:rPr>
                <w:t>19</w:t>
              </w:r>
            </w:hyperlink>
          </w:p>
        </w:tc>
      </w:tr>
      <w:tr>
        <w:trPr>
          <w:trHeight w:val="139"/>
        </w:trPr>
        <w:tc>
          <w:tcPr>
            <w:tcW w:w="6120" w:type="dxa"/>
            <w:vAlign w:val="bottom"/>
            <w:gridSpan w:val="5"/>
          </w:tcPr>
          <w:p>
            <w:pPr>
              <w:ind w:left="1320"/>
              <w:spacing w:after="0" w:line="139" w:lineRule="exact"/>
              <w:rPr>
                <w:rFonts w:ascii="Arial" w:cs="Arial" w:eastAsia="Arial" w:hAnsi="Arial"/>
                <w:sz w:val="13"/>
                <w:szCs w:val="13"/>
                <w:u w:val="single" w:color="auto"/>
                <w:color w:val="0000EE"/>
              </w:rPr>
            </w:pPr>
            <w:hyperlink w:anchor="page27">
              <w:r>
                <w:rPr>
                  <w:rFonts w:ascii="Arial" w:cs="Arial" w:eastAsia="Arial" w:hAnsi="Arial"/>
                  <w:sz w:val="13"/>
                  <w:szCs w:val="13"/>
                  <w:u w:val="single" w:color="auto"/>
                  <w:color w:val="0000EE"/>
                </w:rPr>
                <w:t>Board of Directors</w:t>
              </w:r>
            </w:hyperlink>
          </w:p>
        </w:tc>
        <w:tc>
          <w:tcPr>
            <w:tcW w:w="1780" w:type="dxa"/>
            <w:vAlign w:val="bottom"/>
          </w:tcPr>
          <w:p>
            <w:pPr>
              <w:jc w:val="right"/>
              <w:ind w:right="994"/>
              <w:spacing w:after="0" w:line="139" w:lineRule="exact"/>
              <w:rPr>
                <w:rFonts w:ascii="Arial" w:cs="Arial" w:eastAsia="Arial" w:hAnsi="Arial"/>
                <w:sz w:val="13"/>
                <w:szCs w:val="13"/>
                <w:u w:val="single" w:color="auto"/>
                <w:color w:val="0000EE"/>
              </w:rPr>
            </w:pPr>
            <w:hyperlink w:anchor="page27">
              <w:r>
                <w:rPr>
                  <w:rFonts w:ascii="Arial" w:cs="Arial" w:eastAsia="Arial" w:hAnsi="Arial"/>
                  <w:sz w:val="13"/>
                  <w:szCs w:val="13"/>
                  <w:u w:val="single" w:color="auto"/>
                  <w:color w:val="0000EE"/>
                </w:rPr>
                <w:t>19</w:t>
              </w:r>
            </w:hyperlink>
          </w:p>
        </w:tc>
      </w:tr>
      <w:tr>
        <w:trPr>
          <w:trHeight w:val="139"/>
        </w:trPr>
        <w:tc>
          <w:tcPr>
            <w:tcW w:w="6120" w:type="dxa"/>
            <w:vAlign w:val="bottom"/>
            <w:gridSpan w:val="5"/>
          </w:tcPr>
          <w:p>
            <w:pPr>
              <w:ind w:left="1320"/>
              <w:spacing w:after="0" w:line="139" w:lineRule="exact"/>
              <w:rPr>
                <w:rFonts w:ascii="Arial" w:cs="Arial" w:eastAsia="Arial" w:hAnsi="Arial"/>
                <w:sz w:val="13"/>
                <w:szCs w:val="13"/>
                <w:u w:val="single" w:color="auto"/>
                <w:color w:val="0000EE"/>
              </w:rPr>
            </w:pPr>
            <w:hyperlink w:anchor="page30">
              <w:r>
                <w:rPr>
                  <w:rFonts w:ascii="Arial" w:cs="Arial" w:eastAsia="Arial" w:hAnsi="Arial"/>
                  <w:sz w:val="13"/>
                  <w:szCs w:val="13"/>
                  <w:u w:val="single" w:color="auto"/>
                  <w:color w:val="0000EE"/>
                </w:rPr>
                <w:t>Committees of the Board</w:t>
              </w:r>
            </w:hyperlink>
          </w:p>
        </w:tc>
        <w:tc>
          <w:tcPr>
            <w:tcW w:w="1780" w:type="dxa"/>
            <w:vAlign w:val="bottom"/>
          </w:tcPr>
          <w:p>
            <w:pPr>
              <w:jc w:val="right"/>
              <w:ind w:right="994"/>
              <w:spacing w:after="0" w:line="139" w:lineRule="exact"/>
              <w:rPr>
                <w:rFonts w:ascii="Arial" w:cs="Arial" w:eastAsia="Arial" w:hAnsi="Arial"/>
                <w:sz w:val="13"/>
                <w:szCs w:val="13"/>
                <w:u w:val="single" w:color="auto"/>
                <w:color w:val="0000EE"/>
              </w:rPr>
            </w:pPr>
            <w:hyperlink w:anchor="page30">
              <w:r>
                <w:rPr>
                  <w:rFonts w:ascii="Arial" w:cs="Arial" w:eastAsia="Arial" w:hAnsi="Arial"/>
                  <w:sz w:val="13"/>
                  <w:szCs w:val="13"/>
                  <w:u w:val="single" w:color="auto"/>
                  <w:color w:val="0000EE"/>
                </w:rPr>
                <w:t>22</w:t>
              </w:r>
            </w:hyperlink>
          </w:p>
        </w:tc>
      </w:tr>
      <w:tr>
        <w:trPr>
          <w:trHeight w:val="139"/>
        </w:trPr>
        <w:tc>
          <w:tcPr>
            <w:tcW w:w="6120" w:type="dxa"/>
            <w:vAlign w:val="bottom"/>
            <w:gridSpan w:val="5"/>
          </w:tcPr>
          <w:p>
            <w:pPr>
              <w:ind w:left="1320"/>
              <w:spacing w:after="0" w:line="139" w:lineRule="exact"/>
              <w:rPr>
                <w:rFonts w:ascii="Arial" w:cs="Arial" w:eastAsia="Arial" w:hAnsi="Arial"/>
                <w:sz w:val="13"/>
                <w:szCs w:val="13"/>
                <w:u w:val="single" w:color="auto"/>
                <w:color w:val="0000EE"/>
              </w:rPr>
            </w:pPr>
            <w:hyperlink w:anchor="page32">
              <w:r>
                <w:rPr>
                  <w:rFonts w:ascii="Arial" w:cs="Arial" w:eastAsia="Arial" w:hAnsi="Arial"/>
                  <w:sz w:val="13"/>
                  <w:szCs w:val="13"/>
                  <w:u w:val="single" w:color="auto"/>
                  <w:color w:val="0000EE"/>
                </w:rPr>
                <w:t>Orientation and Continuing Education</w:t>
              </w:r>
            </w:hyperlink>
          </w:p>
        </w:tc>
        <w:tc>
          <w:tcPr>
            <w:tcW w:w="1780" w:type="dxa"/>
            <w:vAlign w:val="bottom"/>
          </w:tcPr>
          <w:p>
            <w:pPr>
              <w:jc w:val="right"/>
              <w:ind w:right="994"/>
              <w:spacing w:after="0" w:line="139" w:lineRule="exact"/>
              <w:rPr>
                <w:rFonts w:ascii="Arial" w:cs="Arial" w:eastAsia="Arial" w:hAnsi="Arial"/>
                <w:sz w:val="13"/>
                <w:szCs w:val="13"/>
                <w:u w:val="single" w:color="auto"/>
                <w:color w:val="0000EE"/>
              </w:rPr>
            </w:pPr>
            <w:hyperlink w:anchor="page32">
              <w:r>
                <w:rPr>
                  <w:rFonts w:ascii="Arial" w:cs="Arial" w:eastAsia="Arial" w:hAnsi="Arial"/>
                  <w:sz w:val="13"/>
                  <w:szCs w:val="13"/>
                  <w:u w:val="single" w:color="auto"/>
                  <w:color w:val="0000EE"/>
                </w:rPr>
                <w:t>24</w:t>
              </w:r>
            </w:hyperlink>
          </w:p>
        </w:tc>
      </w:tr>
      <w:tr>
        <w:trPr>
          <w:trHeight w:val="139"/>
        </w:trPr>
        <w:tc>
          <w:tcPr>
            <w:tcW w:w="6120" w:type="dxa"/>
            <w:vAlign w:val="bottom"/>
            <w:gridSpan w:val="5"/>
          </w:tcPr>
          <w:p>
            <w:pPr>
              <w:ind w:left="1320"/>
              <w:spacing w:after="0" w:line="139" w:lineRule="exact"/>
              <w:rPr>
                <w:rFonts w:ascii="Arial" w:cs="Arial" w:eastAsia="Arial" w:hAnsi="Arial"/>
                <w:sz w:val="13"/>
                <w:szCs w:val="13"/>
                <w:u w:val="single" w:color="auto"/>
                <w:color w:val="0000EE"/>
              </w:rPr>
            </w:pPr>
            <w:hyperlink w:anchor="page34">
              <w:r>
                <w:rPr>
                  <w:rFonts w:ascii="Arial" w:cs="Arial" w:eastAsia="Arial" w:hAnsi="Arial"/>
                  <w:sz w:val="13"/>
                  <w:szCs w:val="13"/>
                  <w:u w:val="single" w:color="auto"/>
                  <w:color w:val="0000EE"/>
                </w:rPr>
                <w:t>Director Skills Matrix</w:t>
              </w:r>
            </w:hyperlink>
          </w:p>
        </w:tc>
        <w:tc>
          <w:tcPr>
            <w:tcW w:w="1780" w:type="dxa"/>
            <w:vAlign w:val="bottom"/>
          </w:tcPr>
          <w:p>
            <w:pPr>
              <w:jc w:val="right"/>
              <w:ind w:right="994"/>
              <w:spacing w:after="0" w:line="139" w:lineRule="exact"/>
              <w:rPr>
                <w:rFonts w:ascii="Arial" w:cs="Arial" w:eastAsia="Arial" w:hAnsi="Arial"/>
                <w:sz w:val="13"/>
                <w:szCs w:val="13"/>
                <w:u w:val="single" w:color="auto"/>
                <w:color w:val="0000EE"/>
              </w:rPr>
            </w:pPr>
            <w:hyperlink w:anchor="page34">
              <w:r>
                <w:rPr>
                  <w:rFonts w:ascii="Arial" w:cs="Arial" w:eastAsia="Arial" w:hAnsi="Arial"/>
                  <w:sz w:val="13"/>
                  <w:szCs w:val="13"/>
                  <w:u w:val="single" w:color="auto"/>
                  <w:color w:val="0000EE"/>
                </w:rPr>
                <w:t>26</w:t>
              </w:r>
            </w:hyperlink>
          </w:p>
        </w:tc>
      </w:tr>
      <w:tr>
        <w:trPr>
          <w:trHeight w:val="139"/>
        </w:trPr>
        <w:tc>
          <w:tcPr>
            <w:tcW w:w="6120" w:type="dxa"/>
            <w:vAlign w:val="bottom"/>
            <w:gridSpan w:val="5"/>
          </w:tcPr>
          <w:p>
            <w:pPr>
              <w:ind w:left="1320"/>
              <w:spacing w:after="0" w:line="139" w:lineRule="exact"/>
              <w:rPr>
                <w:rFonts w:ascii="Arial" w:cs="Arial" w:eastAsia="Arial" w:hAnsi="Arial"/>
                <w:sz w:val="13"/>
                <w:szCs w:val="13"/>
                <w:u w:val="single" w:color="auto"/>
                <w:color w:val="0000EE"/>
              </w:rPr>
            </w:pPr>
            <w:hyperlink w:anchor="page34">
              <w:r>
                <w:rPr>
                  <w:rFonts w:ascii="Arial" w:cs="Arial" w:eastAsia="Arial" w:hAnsi="Arial"/>
                  <w:sz w:val="13"/>
                  <w:szCs w:val="13"/>
                  <w:u w:val="single" w:color="auto"/>
                  <w:color w:val="0000EE"/>
                </w:rPr>
                <w:t>Board Diversity</w:t>
              </w:r>
            </w:hyperlink>
          </w:p>
        </w:tc>
        <w:tc>
          <w:tcPr>
            <w:tcW w:w="1780" w:type="dxa"/>
            <w:vAlign w:val="bottom"/>
          </w:tcPr>
          <w:p>
            <w:pPr>
              <w:jc w:val="right"/>
              <w:ind w:right="994"/>
              <w:spacing w:after="0" w:line="139" w:lineRule="exact"/>
              <w:rPr>
                <w:rFonts w:ascii="Arial" w:cs="Arial" w:eastAsia="Arial" w:hAnsi="Arial"/>
                <w:sz w:val="13"/>
                <w:szCs w:val="13"/>
                <w:u w:val="single" w:color="auto"/>
                <w:color w:val="0000EE"/>
              </w:rPr>
            </w:pPr>
            <w:hyperlink w:anchor="page34">
              <w:r>
                <w:rPr>
                  <w:rFonts w:ascii="Arial" w:cs="Arial" w:eastAsia="Arial" w:hAnsi="Arial"/>
                  <w:sz w:val="13"/>
                  <w:szCs w:val="13"/>
                  <w:u w:val="single" w:color="auto"/>
                  <w:color w:val="0000EE"/>
                </w:rPr>
                <w:t>26</w:t>
              </w:r>
            </w:hyperlink>
          </w:p>
        </w:tc>
      </w:tr>
      <w:tr>
        <w:trPr>
          <w:trHeight w:val="139"/>
        </w:trPr>
        <w:tc>
          <w:tcPr>
            <w:tcW w:w="6120" w:type="dxa"/>
            <w:vAlign w:val="bottom"/>
            <w:gridSpan w:val="5"/>
          </w:tcPr>
          <w:p>
            <w:pPr>
              <w:ind w:left="1320"/>
              <w:spacing w:after="0" w:line="139" w:lineRule="exact"/>
              <w:rPr>
                <w:rFonts w:ascii="Arial" w:cs="Arial" w:eastAsia="Arial" w:hAnsi="Arial"/>
                <w:sz w:val="13"/>
                <w:szCs w:val="13"/>
                <w:u w:val="single" w:color="auto"/>
                <w:color w:val="0000EE"/>
              </w:rPr>
            </w:pPr>
            <w:hyperlink w:anchor="page35">
              <w:r>
                <w:rPr>
                  <w:rFonts w:ascii="Arial" w:cs="Arial" w:eastAsia="Arial" w:hAnsi="Arial"/>
                  <w:sz w:val="13"/>
                  <w:szCs w:val="13"/>
                  <w:u w:val="single" w:color="auto"/>
                  <w:color w:val="0000EE"/>
                </w:rPr>
                <w:t>Nomination and Election of Directors</w:t>
              </w:r>
            </w:hyperlink>
          </w:p>
        </w:tc>
        <w:tc>
          <w:tcPr>
            <w:tcW w:w="1780" w:type="dxa"/>
            <w:vAlign w:val="bottom"/>
          </w:tcPr>
          <w:p>
            <w:pPr>
              <w:jc w:val="right"/>
              <w:ind w:right="994"/>
              <w:spacing w:after="0" w:line="139" w:lineRule="exact"/>
              <w:rPr>
                <w:rFonts w:ascii="Arial" w:cs="Arial" w:eastAsia="Arial" w:hAnsi="Arial"/>
                <w:sz w:val="13"/>
                <w:szCs w:val="13"/>
                <w:u w:val="single" w:color="auto"/>
                <w:color w:val="0000EE"/>
              </w:rPr>
            </w:pPr>
            <w:hyperlink w:anchor="page35">
              <w:r>
                <w:rPr>
                  <w:rFonts w:ascii="Arial" w:cs="Arial" w:eastAsia="Arial" w:hAnsi="Arial"/>
                  <w:sz w:val="13"/>
                  <w:szCs w:val="13"/>
                  <w:u w:val="single" w:color="auto"/>
                  <w:color w:val="0000EE"/>
                </w:rPr>
                <w:t>27</w:t>
              </w:r>
            </w:hyperlink>
          </w:p>
        </w:tc>
      </w:tr>
      <w:tr>
        <w:trPr>
          <w:trHeight w:val="139"/>
        </w:trPr>
        <w:tc>
          <w:tcPr>
            <w:tcW w:w="6120" w:type="dxa"/>
            <w:vAlign w:val="bottom"/>
            <w:gridSpan w:val="5"/>
          </w:tcPr>
          <w:p>
            <w:pPr>
              <w:ind w:left="1320"/>
              <w:spacing w:after="0" w:line="139" w:lineRule="exact"/>
              <w:rPr>
                <w:rFonts w:ascii="Arial" w:cs="Arial" w:eastAsia="Arial" w:hAnsi="Arial"/>
                <w:sz w:val="13"/>
                <w:szCs w:val="13"/>
                <w:u w:val="single" w:color="auto"/>
                <w:color w:val="0000EE"/>
              </w:rPr>
            </w:pPr>
            <w:hyperlink w:anchor="page35">
              <w:r>
                <w:rPr>
                  <w:rFonts w:ascii="Arial" w:cs="Arial" w:eastAsia="Arial" w:hAnsi="Arial"/>
                  <w:sz w:val="13"/>
                  <w:szCs w:val="13"/>
                  <w:u w:val="single" w:color="auto"/>
                  <w:color w:val="0000EE"/>
                </w:rPr>
                <w:t>Director Assessments</w:t>
              </w:r>
            </w:hyperlink>
          </w:p>
        </w:tc>
        <w:tc>
          <w:tcPr>
            <w:tcW w:w="1780" w:type="dxa"/>
            <w:vAlign w:val="bottom"/>
          </w:tcPr>
          <w:p>
            <w:pPr>
              <w:jc w:val="right"/>
              <w:ind w:right="994"/>
              <w:spacing w:after="0" w:line="139" w:lineRule="exact"/>
              <w:rPr>
                <w:rFonts w:ascii="Arial" w:cs="Arial" w:eastAsia="Arial" w:hAnsi="Arial"/>
                <w:sz w:val="13"/>
                <w:szCs w:val="13"/>
                <w:u w:val="single" w:color="auto"/>
                <w:color w:val="0000EE"/>
              </w:rPr>
            </w:pPr>
            <w:hyperlink w:anchor="page35">
              <w:r>
                <w:rPr>
                  <w:rFonts w:ascii="Arial" w:cs="Arial" w:eastAsia="Arial" w:hAnsi="Arial"/>
                  <w:sz w:val="13"/>
                  <w:szCs w:val="13"/>
                  <w:u w:val="single" w:color="auto"/>
                  <w:color w:val="0000EE"/>
                </w:rPr>
                <w:t>27</w:t>
              </w:r>
            </w:hyperlink>
          </w:p>
        </w:tc>
      </w:tr>
      <w:tr>
        <w:trPr>
          <w:trHeight w:val="135"/>
        </w:trPr>
        <w:tc>
          <w:tcPr>
            <w:tcW w:w="6120" w:type="dxa"/>
            <w:vAlign w:val="bottom"/>
            <w:gridSpan w:val="5"/>
          </w:tcPr>
          <w:p>
            <w:pPr>
              <w:ind w:left="1320"/>
              <w:spacing w:after="0" w:line="136" w:lineRule="exact"/>
              <w:rPr>
                <w:rFonts w:ascii="Arial" w:cs="Arial" w:eastAsia="Arial" w:hAnsi="Arial"/>
                <w:sz w:val="13"/>
                <w:szCs w:val="13"/>
                <w:u w:val="single" w:color="auto"/>
                <w:color w:val="0000EE"/>
              </w:rPr>
            </w:pPr>
            <w:hyperlink w:anchor="page36">
              <w:r>
                <w:rPr>
                  <w:rFonts w:ascii="Arial" w:cs="Arial" w:eastAsia="Arial" w:hAnsi="Arial"/>
                  <w:sz w:val="13"/>
                  <w:szCs w:val="13"/>
                  <w:u w:val="single" w:color="auto"/>
                  <w:color w:val="0000EE"/>
                </w:rPr>
                <w:t>Governance Policies and Practices</w:t>
              </w:r>
            </w:hyperlink>
          </w:p>
        </w:tc>
        <w:tc>
          <w:tcPr>
            <w:tcW w:w="1780" w:type="dxa"/>
            <w:vAlign w:val="bottom"/>
          </w:tcPr>
          <w:p>
            <w:pPr>
              <w:jc w:val="right"/>
              <w:ind w:right="994"/>
              <w:spacing w:after="0" w:line="136" w:lineRule="exact"/>
              <w:rPr>
                <w:rFonts w:ascii="Arial" w:cs="Arial" w:eastAsia="Arial" w:hAnsi="Arial"/>
                <w:sz w:val="13"/>
                <w:szCs w:val="13"/>
                <w:u w:val="single" w:color="auto"/>
                <w:color w:val="0000EE"/>
              </w:rPr>
            </w:pPr>
            <w:hyperlink w:anchor="page36">
              <w:r>
                <w:rPr>
                  <w:rFonts w:ascii="Arial" w:cs="Arial" w:eastAsia="Arial" w:hAnsi="Arial"/>
                  <w:sz w:val="13"/>
                  <w:szCs w:val="13"/>
                  <w:u w:val="single" w:color="auto"/>
                  <w:color w:val="0000EE"/>
                </w:rPr>
                <w:t>28</w:t>
              </w:r>
            </w:hyperlink>
          </w:p>
        </w:tc>
      </w:tr>
      <w:tr>
        <w:trPr>
          <w:trHeight w:val="143"/>
        </w:trPr>
        <w:tc>
          <w:tcPr>
            <w:tcW w:w="6120" w:type="dxa"/>
            <w:vAlign w:val="bottom"/>
            <w:gridSpan w:val="5"/>
          </w:tcPr>
          <w:p>
            <w:pPr>
              <w:ind w:left="1180"/>
              <w:spacing w:after="0" w:line="144" w:lineRule="exact"/>
              <w:rPr>
                <w:rFonts w:ascii="Arial" w:cs="Arial" w:eastAsia="Arial" w:hAnsi="Arial"/>
                <w:sz w:val="13"/>
                <w:szCs w:val="13"/>
                <w:b w:val="1"/>
                <w:bCs w:val="1"/>
                <w:u w:val="single" w:color="auto"/>
                <w:color w:val="0000EE"/>
              </w:rPr>
            </w:pPr>
            <w:hyperlink w:anchor="page38">
              <w:r>
                <w:rPr>
                  <w:rFonts w:ascii="Arial" w:cs="Arial" w:eastAsia="Arial" w:hAnsi="Arial"/>
                  <w:sz w:val="13"/>
                  <w:szCs w:val="13"/>
                  <w:b w:val="1"/>
                  <w:bCs w:val="1"/>
                  <w:u w:val="single" w:color="auto"/>
                  <w:color w:val="0000EE"/>
                </w:rPr>
                <w:t>ESG Matters</w:t>
              </w:r>
            </w:hyperlink>
          </w:p>
        </w:tc>
        <w:tc>
          <w:tcPr>
            <w:tcW w:w="1780" w:type="dxa"/>
            <w:vAlign w:val="bottom"/>
          </w:tcPr>
          <w:p>
            <w:pPr>
              <w:jc w:val="right"/>
              <w:ind w:right="994"/>
              <w:spacing w:after="0" w:line="144" w:lineRule="exact"/>
              <w:rPr>
                <w:rFonts w:ascii="Arial" w:cs="Arial" w:eastAsia="Arial" w:hAnsi="Arial"/>
                <w:sz w:val="13"/>
                <w:szCs w:val="13"/>
                <w:b w:val="1"/>
                <w:bCs w:val="1"/>
                <w:u w:val="single" w:color="auto"/>
                <w:color w:val="0000EE"/>
              </w:rPr>
            </w:pPr>
            <w:hyperlink w:anchor="page38">
              <w:r>
                <w:rPr>
                  <w:rFonts w:ascii="Arial" w:cs="Arial" w:eastAsia="Arial" w:hAnsi="Arial"/>
                  <w:sz w:val="13"/>
                  <w:szCs w:val="13"/>
                  <w:b w:val="1"/>
                  <w:bCs w:val="1"/>
                  <w:u w:val="single" w:color="auto"/>
                  <w:color w:val="0000EE"/>
                </w:rPr>
                <w:t>30</w:t>
              </w:r>
            </w:hyperlink>
          </w:p>
        </w:tc>
      </w:tr>
      <w:tr>
        <w:trPr>
          <w:trHeight w:val="139"/>
        </w:trPr>
        <w:tc>
          <w:tcPr>
            <w:tcW w:w="6120" w:type="dxa"/>
            <w:vAlign w:val="bottom"/>
            <w:gridSpan w:val="5"/>
          </w:tcPr>
          <w:p>
            <w:pPr>
              <w:ind w:left="1320"/>
              <w:spacing w:after="0" w:line="139" w:lineRule="exact"/>
              <w:rPr>
                <w:rFonts w:ascii="Arial" w:cs="Arial" w:eastAsia="Arial" w:hAnsi="Arial"/>
                <w:sz w:val="13"/>
                <w:szCs w:val="13"/>
                <w:u w:val="single" w:color="auto"/>
                <w:color w:val="0000EE"/>
              </w:rPr>
            </w:pPr>
            <w:hyperlink w:anchor="page38">
              <w:r>
                <w:rPr>
                  <w:rFonts w:ascii="Arial" w:cs="Arial" w:eastAsia="Arial" w:hAnsi="Arial"/>
                  <w:sz w:val="13"/>
                  <w:szCs w:val="13"/>
                  <w:u w:val="single" w:color="auto"/>
                  <w:color w:val="0000EE"/>
                </w:rPr>
                <w:t>COVID-19 Response</w:t>
              </w:r>
            </w:hyperlink>
          </w:p>
        </w:tc>
        <w:tc>
          <w:tcPr>
            <w:tcW w:w="1780" w:type="dxa"/>
            <w:vAlign w:val="bottom"/>
          </w:tcPr>
          <w:p>
            <w:pPr>
              <w:jc w:val="right"/>
              <w:ind w:right="994"/>
              <w:spacing w:after="0" w:line="139" w:lineRule="exact"/>
              <w:rPr>
                <w:rFonts w:ascii="Arial" w:cs="Arial" w:eastAsia="Arial" w:hAnsi="Arial"/>
                <w:sz w:val="13"/>
                <w:szCs w:val="13"/>
                <w:u w:val="single" w:color="auto"/>
                <w:color w:val="0000EE"/>
              </w:rPr>
            </w:pPr>
            <w:hyperlink w:anchor="page38">
              <w:r>
                <w:rPr>
                  <w:rFonts w:ascii="Arial" w:cs="Arial" w:eastAsia="Arial" w:hAnsi="Arial"/>
                  <w:sz w:val="13"/>
                  <w:szCs w:val="13"/>
                  <w:u w:val="single" w:color="auto"/>
                  <w:color w:val="0000EE"/>
                </w:rPr>
                <w:t>30</w:t>
              </w:r>
            </w:hyperlink>
          </w:p>
        </w:tc>
      </w:tr>
      <w:tr>
        <w:trPr>
          <w:trHeight w:val="139"/>
        </w:trPr>
        <w:tc>
          <w:tcPr>
            <w:tcW w:w="6120" w:type="dxa"/>
            <w:vAlign w:val="bottom"/>
            <w:gridSpan w:val="5"/>
          </w:tcPr>
          <w:p>
            <w:pPr>
              <w:ind w:left="1320"/>
              <w:spacing w:after="0" w:line="139" w:lineRule="exact"/>
              <w:rPr>
                <w:rFonts w:ascii="Arial" w:cs="Arial" w:eastAsia="Arial" w:hAnsi="Arial"/>
                <w:sz w:val="13"/>
                <w:szCs w:val="13"/>
                <w:u w:val="single" w:color="auto"/>
                <w:color w:val="0000EE"/>
              </w:rPr>
            </w:pPr>
            <w:hyperlink w:anchor="page39">
              <w:r>
                <w:rPr>
                  <w:rFonts w:ascii="Arial" w:cs="Arial" w:eastAsia="Arial" w:hAnsi="Arial"/>
                  <w:sz w:val="13"/>
                  <w:szCs w:val="13"/>
                  <w:u w:val="single" w:color="auto"/>
                  <w:color w:val="0000EE"/>
                </w:rPr>
                <w:t>Environmental Sustainability</w:t>
              </w:r>
            </w:hyperlink>
          </w:p>
        </w:tc>
        <w:tc>
          <w:tcPr>
            <w:tcW w:w="1780" w:type="dxa"/>
            <w:vAlign w:val="bottom"/>
          </w:tcPr>
          <w:p>
            <w:pPr>
              <w:jc w:val="right"/>
              <w:ind w:right="994"/>
              <w:spacing w:after="0" w:line="139" w:lineRule="exact"/>
              <w:rPr>
                <w:rFonts w:ascii="Arial" w:cs="Arial" w:eastAsia="Arial" w:hAnsi="Arial"/>
                <w:sz w:val="13"/>
                <w:szCs w:val="13"/>
                <w:u w:val="single" w:color="auto"/>
                <w:color w:val="0000EE"/>
              </w:rPr>
            </w:pPr>
            <w:hyperlink w:anchor="page39">
              <w:r>
                <w:rPr>
                  <w:rFonts w:ascii="Arial" w:cs="Arial" w:eastAsia="Arial" w:hAnsi="Arial"/>
                  <w:sz w:val="13"/>
                  <w:szCs w:val="13"/>
                  <w:u w:val="single" w:color="auto"/>
                  <w:color w:val="0000EE"/>
                </w:rPr>
                <w:t>31</w:t>
              </w:r>
            </w:hyperlink>
          </w:p>
        </w:tc>
      </w:tr>
      <w:tr>
        <w:trPr>
          <w:trHeight w:val="139"/>
        </w:trPr>
        <w:tc>
          <w:tcPr>
            <w:tcW w:w="6120" w:type="dxa"/>
            <w:vAlign w:val="bottom"/>
            <w:gridSpan w:val="5"/>
          </w:tcPr>
          <w:p>
            <w:pPr>
              <w:ind w:left="1320"/>
              <w:spacing w:after="0" w:line="139" w:lineRule="exact"/>
              <w:rPr>
                <w:rFonts w:ascii="Arial" w:cs="Arial" w:eastAsia="Arial" w:hAnsi="Arial"/>
                <w:sz w:val="13"/>
                <w:szCs w:val="13"/>
                <w:u w:val="single" w:color="auto"/>
                <w:color w:val="0000EE"/>
              </w:rPr>
            </w:pPr>
            <w:hyperlink w:anchor="page39">
              <w:r>
                <w:rPr>
                  <w:rFonts w:ascii="Arial" w:cs="Arial" w:eastAsia="Arial" w:hAnsi="Arial"/>
                  <w:sz w:val="13"/>
                  <w:szCs w:val="13"/>
                  <w:u w:val="single" w:color="auto"/>
                  <w:color w:val="0000EE"/>
                </w:rPr>
                <w:t>Diversity and Inclusion</w:t>
              </w:r>
            </w:hyperlink>
          </w:p>
        </w:tc>
        <w:tc>
          <w:tcPr>
            <w:tcW w:w="1780" w:type="dxa"/>
            <w:vAlign w:val="bottom"/>
          </w:tcPr>
          <w:p>
            <w:pPr>
              <w:jc w:val="right"/>
              <w:ind w:right="994"/>
              <w:spacing w:after="0" w:line="139" w:lineRule="exact"/>
              <w:rPr>
                <w:rFonts w:ascii="Arial" w:cs="Arial" w:eastAsia="Arial" w:hAnsi="Arial"/>
                <w:sz w:val="13"/>
                <w:szCs w:val="13"/>
                <w:u w:val="single" w:color="auto"/>
                <w:color w:val="0000EE"/>
              </w:rPr>
            </w:pPr>
            <w:hyperlink w:anchor="page39">
              <w:r>
                <w:rPr>
                  <w:rFonts w:ascii="Arial" w:cs="Arial" w:eastAsia="Arial" w:hAnsi="Arial"/>
                  <w:sz w:val="13"/>
                  <w:szCs w:val="13"/>
                  <w:u w:val="single" w:color="auto"/>
                  <w:color w:val="0000EE"/>
                </w:rPr>
                <w:t>31</w:t>
              </w:r>
            </w:hyperlink>
          </w:p>
        </w:tc>
      </w:tr>
      <w:tr>
        <w:trPr>
          <w:trHeight w:val="139"/>
        </w:trPr>
        <w:tc>
          <w:tcPr>
            <w:tcW w:w="6120" w:type="dxa"/>
            <w:vAlign w:val="bottom"/>
            <w:gridSpan w:val="5"/>
          </w:tcPr>
          <w:p>
            <w:pPr>
              <w:ind w:left="1320"/>
              <w:spacing w:after="0" w:line="139" w:lineRule="exact"/>
              <w:rPr>
                <w:rFonts w:ascii="Arial" w:cs="Arial" w:eastAsia="Arial" w:hAnsi="Arial"/>
                <w:sz w:val="13"/>
                <w:szCs w:val="13"/>
                <w:u w:val="single" w:color="auto"/>
                <w:color w:val="0000EE"/>
              </w:rPr>
            </w:pPr>
            <w:hyperlink w:anchor="page40">
              <w:r>
                <w:rPr>
                  <w:rFonts w:ascii="Arial" w:cs="Arial" w:eastAsia="Arial" w:hAnsi="Arial"/>
                  <w:sz w:val="13"/>
                  <w:szCs w:val="13"/>
                  <w:u w:val="single" w:color="auto"/>
                  <w:color w:val="0000EE"/>
                </w:rPr>
                <w:t>Shareholder and Stakeholder Engagement</w:t>
              </w:r>
            </w:hyperlink>
          </w:p>
        </w:tc>
        <w:tc>
          <w:tcPr>
            <w:tcW w:w="1780" w:type="dxa"/>
            <w:vAlign w:val="bottom"/>
          </w:tcPr>
          <w:p>
            <w:pPr>
              <w:jc w:val="right"/>
              <w:ind w:right="994"/>
              <w:spacing w:after="0" w:line="139" w:lineRule="exact"/>
              <w:rPr>
                <w:rFonts w:ascii="Arial" w:cs="Arial" w:eastAsia="Arial" w:hAnsi="Arial"/>
                <w:sz w:val="13"/>
                <w:szCs w:val="13"/>
                <w:u w:val="single" w:color="auto"/>
                <w:color w:val="0000EE"/>
              </w:rPr>
            </w:pPr>
            <w:hyperlink w:anchor="page40">
              <w:r>
                <w:rPr>
                  <w:rFonts w:ascii="Arial" w:cs="Arial" w:eastAsia="Arial" w:hAnsi="Arial"/>
                  <w:sz w:val="13"/>
                  <w:szCs w:val="13"/>
                  <w:u w:val="single" w:color="auto"/>
                  <w:color w:val="0000EE"/>
                </w:rPr>
                <w:t>32</w:t>
              </w:r>
            </w:hyperlink>
          </w:p>
        </w:tc>
      </w:tr>
      <w:tr>
        <w:trPr>
          <w:trHeight w:val="149"/>
        </w:trPr>
        <w:tc>
          <w:tcPr>
            <w:tcW w:w="6120" w:type="dxa"/>
            <w:vAlign w:val="bottom"/>
            <w:gridSpan w:val="5"/>
          </w:tcPr>
          <w:p>
            <w:pPr>
              <w:ind w:left="1320"/>
              <w:spacing w:after="0"/>
              <w:rPr>
                <w:rFonts w:ascii="Arial" w:cs="Arial" w:eastAsia="Arial" w:hAnsi="Arial"/>
                <w:sz w:val="13"/>
                <w:szCs w:val="13"/>
                <w:u w:val="single" w:color="auto"/>
                <w:color w:val="0000EE"/>
              </w:rPr>
            </w:pPr>
            <w:hyperlink w:anchor="page41">
              <w:r>
                <w:rPr>
                  <w:rFonts w:ascii="Arial" w:cs="Arial" w:eastAsia="Arial" w:hAnsi="Arial"/>
                  <w:sz w:val="13"/>
                  <w:szCs w:val="13"/>
                  <w:u w:val="single" w:color="auto"/>
                  <w:color w:val="0000EE"/>
                </w:rPr>
                <w:t>Employee Engagement</w:t>
              </w:r>
            </w:hyperlink>
          </w:p>
        </w:tc>
        <w:tc>
          <w:tcPr>
            <w:tcW w:w="1780" w:type="dxa"/>
            <w:vAlign w:val="bottom"/>
          </w:tcPr>
          <w:p>
            <w:pPr>
              <w:jc w:val="right"/>
              <w:ind w:right="994"/>
              <w:spacing w:after="0"/>
              <w:rPr>
                <w:rFonts w:ascii="Arial" w:cs="Arial" w:eastAsia="Arial" w:hAnsi="Arial"/>
                <w:sz w:val="13"/>
                <w:szCs w:val="13"/>
                <w:u w:val="single" w:color="auto"/>
                <w:color w:val="0000EE"/>
              </w:rPr>
            </w:pPr>
            <w:hyperlink w:anchor="page41">
              <w:r>
                <w:rPr>
                  <w:rFonts w:ascii="Arial" w:cs="Arial" w:eastAsia="Arial" w:hAnsi="Arial"/>
                  <w:sz w:val="13"/>
                  <w:szCs w:val="13"/>
                  <w:u w:val="single" w:color="auto"/>
                  <w:color w:val="0000EE"/>
                </w:rPr>
                <w:t>33</w:t>
              </w:r>
            </w:hyperlink>
          </w:p>
        </w:tc>
      </w:tr>
      <w:tr>
        <w:trPr>
          <w:trHeight w:val="149"/>
        </w:trPr>
        <w:tc>
          <w:tcPr>
            <w:tcW w:w="6120" w:type="dxa"/>
            <w:vAlign w:val="bottom"/>
            <w:gridSpan w:val="5"/>
          </w:tcPr>
          <w:p>
            <w:pPr>
              <w:ind w:left="1320"/>
              <w:spacing w:after="0"/>
              <w:rPr>
                <w:rFonts w:ascii="Arial" w:cs="Arial" w:eastAsia="Arial" w:hAnsi="Arial"/>
                <w:sz w:val="13"/>
                <w:szCs w:val="13"/>
                <w:u w:val="single" w:color="auto"/>
                <w:color w:val="0000EE"/>
              </w:rPr>
            </w:pPr>
            <w:hyperlink w:anchor="page41">
              <w:r>
                <w:rPr>
                  <w:rFonts w:ascii="Arial" w:cs="Arial" w:eastAsia="Arial" w:hAnsi="Arial"/>
                  <w:sz w:val="13"/>
                  <w:szCs w:val="13"/>
                  <w:u w:val="single" w:color="auto"/>
                  <w:color w:val="0000EE"/>
                </w:rPr>
                <w:t>Ethical Labour Practices</w:t>
              </w:r>
            </w:hyperlink>
          </w:p>
        </w:tc>
        <w:tc>
          <w:tcPr>
            <w:tcW w:w="1780" w:type="dxa"/>
            <w:vAlign w:val="bottom"/>
          </w:tcPr>
          <w:p>
            <w:pPr>
              <w:jc w:val="right"/>
              <w:ind w:right="994"/>
              <w:spacing w:after="0"/>
              <w:rPr>
                <w:rFonts w:ascii="Arial" w:cs="Arial" w:eastAsia="Arial" w:hAnsi="Arial"/>
                <w:sz w:val="13"/>
                <w:szCs w:val="13"/>
                <w:u w:val="single" w:color="auto"/>
                <w:color w:val="0000EE"/>
              </w:rPr>
            </w:pPr>
            <w:hyperlink w:anchor="page41">
              <w:r>
                <w:rPr>
                  <w:rFonts w:ascii="Arial" w:cs="Arial" w:eastAsia="Arial" w:hAnsi="Arial"/>
                  <w:sz w:val="13"/>
                  <w:szCs w:val="13"/>
                  <w:u w:val="single" w:color="auto"/>
                  <w:color w:val="0000EE"/>
                </w:rPr>
                <w:t>33</w:t>
              </w:r>
            </w:hyperlink>
          </w:p>
        </w:tc>
      </w:tr>
      <w:tr>
        <w:trPr>
          <w:trHeight w:val="149"/>
        </w:trPr>
        <w:tc>
          <w:tcPr>
            <w:tcW w:w="6120" w:type="dxa"/>
            <w:vAlign w:val="bottom"/>
            <w:gridSpan w:val="5"/>
          </w:tcPr>
          <w:p>
            <w:pPr>
              <w:ind w:left="1320"/>
              <w:spacing w:after="0"/>
              <w:rPr>
                <w:rFonts w:ascii="Arial" w:cs="Arial" w:eastAsia="Arial" w:hAnsi="Arial"/>
                <w:sz w:val="13"/>
                <w:szCs w:val="13"/>
                <w:u w:val="single" w:color="auto"/>
                <w:color w:val="0000EE"/>
              </w:rPr>
            </w:pPr>
            <w:hyperlink w:anchor="page42">
              <w:r>
                <w:rPr>
                  <w:rFonts w:ascii="Arial" w:cs="Arial" w:eastAsia="Arial" w:hAnsi="Arial"/>
                  <w:sz w:val="13"/>
                  <w:szCs w:val="13"/>
                  <w:u w:val="single" w:color="auto"/>
                  <w:color w:val="0000EE"/>
                </w:rPr>
                <w:t>Community Engagement</w:t>
              </w:r>
            </w:hyperlink>
          </w:p>
        </w:tc>
        <w:tc>
          <w:tcPr>
            <w:tcW w:w="1780" w:type="dxa"/>
            <w:vAlign w:val="bottom"/>
          </w:tcPr>
          <w:p>
            <w:pPr>
              <w:jc w:val="right"/>
              <w:ind w:right="994"/>
              <w:spacing w:after="0"/>
              <w:rPr>
                <w:rFonts w:ascii="Arial" w:cs="Arial" w:eastAsia="Arial" w:hAnsi="Arial"/>
                <w:sz w:val="13"/>
                <w:szCs w:val="13"/>
                <w:u w:val="single" w:color="auto"/>
                <w:color w:val="0000EE"/>
              </w:rPr>
            </w:pPr>
            <w:hyperlink w:anchor="page42">
              <w:r>
                <w:rPr>
                  <w:rFonts w:ascii="Arial" w:cs="Arial" w:eastAsia="Arial" w:hAnsi="Arial"/>
                  <w:sz w:val="13"/>
                  <w:szCs w:val="13"/>
                  <w:u w:val="single" w:color="auto"/>
                  <w:color w:val="0000EE"/>
                </w:rPr>
                <w:t>34</w:t>
              </w:r>
            </w:hyperlink>
          </w:p>
        </w:tc>
      </w:tr>
      <w:tr>
        <w:trPr>
          <w:trHeight w:val="145"/>
        </w:trPr>
        <w:tc>
          <w:tcPr>
            <w:tcW w:w="6120" w:type="dxa"/>
            <w:vAlign w:val="bottom"/>
            <w:gridSpan w:val="5"/>
          </w:tcPr>
          <w:p>
            <w:pPr>
              <w:ind w:left="1320"/>
              <w:spacing w:after="0" w:line="146" w:lineRule="exact"/>
              <w:rPr>
                <w:rFonts w:ascii="Arial" w:cs="Arial" w:eastAsia="Arial" w:hAnsi="Arial"/>
                <w:sz w:val="13"/>
                <w:szCs w:val="13"/>
                <w:u w:val="single" w:color="auto"/>
                <w:color w:val="0000EE"/>
              </w:rPr>
            </w:pPr>
            <w:hyperlink w:anchor="page42">
              <w:r>
                <w:rPr>
                  <w:rFonts w:ascii="Arial" w:cs="Arial" w:eastAsia="Arial" w:hAnsi="Arial"/>
                  <w:sz w:val="13"/>
                  <w:szCs w:val="13"/>
                  <w:u w:val="single" w:color="auto"/>
                  <w:color w:val="0000EE"/>
                </w:rPr>
                <w:t>External Recognition</w:t>
              </w:r>
            </w:hyperlink>
          </w:p>
        </w:tc>
        <w:tc>
          <w:tcPr>
            <w:tcW w:w="1780" w:type="dxa"/>
            <w:vAlign w:val="bottom"/>
          </w:tcPr>
          <w:p>
            <w:pPr>
              <w:jc w:val="right"/>
              <w:ind w:right="994"/>
              <w:spacing w:after="0" w:line="146" w:lineRule="exact"/>
              <w:rPr>
                <w:rFonts w:ascii="Arial" w:cs="Arial" w:eastAsia="Arial" w:hAnsi="Arial"/>
                <w:sz w:val="13"/>
                <w:szCs w:val="13"/>
                <w:u w:val="single" w:color="auto"/>
                <w:color w:val="0000EE"/>
              </w:rPr>
            </w:pPr>
            <w:hyperlink w:anchor="page42">
              <w:r>
                <w:rPr>
                  <w:rFonts w:ascii="Arial" w:cs="Arial" w:eastAsia="Arial" w:hAnsi="Arial"/>
                  <w:sz w:val="13"/>
                  <w:szCs w:val="13"/>
                  <w:u w:val="single" w:color="auto"/>
                  <w:color w:val="0000EE"/>
                </w:rPr>
                <w:t>34</w:t>
              </w:r>
            </w:hyperlink>
          </w:p>
        </w:tc>
      </w:tr>
      <w:tr>
        <w:trPr>
          <w:trHeight w:val="149"/>
        </w:trPr>
        <w:tc>
          <w:tcPr>
            <w:tcW w:w="6120" w:type="dxa"/>
            <w:vAlign w:val="bottom"/>
            <w:gridSpan w:val="5"/>
          </w:tcPr>
          <w:p>
            <w:pPr>
              <w:ind w:left="1180"/>
              <w:spacing w:after="0"/>
              <w:rPr>
                <w:rFonts w:ascii="Arial" w:cs="Arial" w:eastAsia="Arial" w:hAnsi="Arial"/>
                <w:sz w:val="13"/>
                <w:szCs w:val="13"/>
                <w:b w:val="1"/>
                <w:bCs w:val="1"/>
                <w:u w:val="single" w:color="auto"/>
                <w:color w:val="0000EE"/>
              </w:rPr>
            </w:pPr>
            <w:hyperlink w:anchor="page43">
              <w:r>
                <w:rPr>
                  <w:rFonts w:ascii="Arial" w:cs="Arial" w:eastAsia="Arial" w:hAnsi="Arial"/>
                  <w:sz w:val="13"/>
                  <w:szCs w:val="13"/>
                  <w:b w:val="1"/>
                  <w:bCs w:val="1"/>
                  <w:u w:val="single" w:color="auto"/>
                  <w:color w:val="0000EE"/>
                </w:rPr>
                <w:t>Information About Our Auditor</w:t>
              </w:r>
            </w:hyperlink>
          </w:p>
        </w:tc>
        <w:tc>
          <w:tcPr>
            <w:tcW w:w="1780" w:type="dxa"/>
            <w:vAlign w:val="bottom"/>
          </w:tcPr>
          <w:p>
            <w:pPr>
              <w:jc w:val="right"/>
              <w:ind w:right="994"/>
              <w:spacing w:after="0"/>
              <w:rPr>
                <w:rFonts w:ascii="Arial" w:cs="Arial" w:eastAsia="Arial" w:hAnsi="Arial"/>
                <w:sz w:val="13"/>
                <w:szCs w:val="13"/>
                <w:b w:val="1"/>
                <w:bCs w:val="1"/>
                <w:u w:val="single" w:color="auto"/>
                <w:color w:val="0000EE"/>
              </w:rPr>
            </w:pPr>
            <w:hyperlink w:anchor="page43">
              <w:r>
                <w:rPr>
                  <w:rFonts w:ascii="Arial" w:cs="Arial" w:eastAsia="Arial" w:hAnsi="Arial"/>
                  <w:sz w:val="13"/>
                  <w:szCs w:val="13"/>
                  <w:b w:val="1"/>
                  <w:bCs w:val="1"/>
                  <w:u w:val="single" w:color="auto"/>
                  <w:color w:val="0000EE"/>
                </w:rPr>
                <w:t>35</w:t>
              </w:r>
            </w:hyperlink>
          </w:p>
        </w:tc>
      </w:tr>
      <w:tr>
        <w:trPr>
          <w:trHeight w:val="149"/>
        </w:trPr>
        <w:tc>
          <w:tcPr>
            <w:tcW w:w="6120" w:type="dxa"/>
            <w:vAlign w:val="bottom"/>
            <w:gridSpan w:val="5"/>
          </w:tcPr>
          <w:p>
            <w:pPr>
              <w:ind w:left="1180"/>
              <w:spacing w:after="0"/>
              <w:rPr>
                <w:rFonts w:ascii="Arial" w:cs="Arial" w:eastAsia="Arial" w:hAnsi="Arial"/>
                <w:sz w:val="13"/>
                <w:szCs w:val="13"/>
                <w:b w:val="1"/>
                <w:bCs w:val="1"/>
                <w:u w:val="single" w:color="auto"/>
                <w:color w:val="0000EE"/>
              </w:rPr>
            </w:pPr>
            <w:hyperlink w:anchor="page44">
              <w:r>
                <w:rPr>
                  <w:rFonts w:ascii="Arial" w:cs="Arial" w:eastAsia="Arial" w:hAnsi="Arial"/>
                  <w:sz w:val="13"/>
                  <w:szCs w:val="13"/>
                  <w:b w:val="1"/>
                  <w:bCs w:val="1"/>
                  <w:u w:val="single" w:color="auto"/>
                  <w:color w:val="0000EE"/>
                </w:rPr>
                <w:t>Say-On-Pay</w:t>
              </w:r>
            </w:hyperlink>
          </w:p>
        </w:tc>
        <w:tc>
          <w:tcPr>
            <w:tcW w:w="1780" w:type="dxa"/>
            <w:vAlign w:val="bottom"/>
          </w:tcPr>
          <w:p>
            <w:pPr>
              <w:jc w:val="right"/>
              <w:ind w:right="994"/>
              <w:spacing w:after="0"/>
              <w:rPr>
                <w:rFonts w:ascii="Arial" w:cs="Arial" w:eastAsia="Arial" w:hAnsi="Arial"/>
                <w:sz w:val="13"/>
                <w:szCs w:val="13"/>
                <w:b w:val="1"/>
                <w:bCs w:val="1"/>
                <w:u w:val="single" w:color="auto"/>
                <w:color w:val="0000EE"/>
              </w:rPr>
            </w:pPr>
            <w:hyperlink w:anchor="page44">
              <w:r>
                <w:rPr>
                  <w:rFonts w:ascii="Arial" w:cs="Arial" w:eastAsia="Arial" w:hAnsi="Arial"/>
                  <w:sz w:val="13"/>
                  <w:szCs w:val="13"/>
                  <w:b w:val="1"/>
                  <w:bCs w:val="1"/>
                  <w:u w:val="single" w:color="auto"/>
                  <w:color w:val="0000EE"/>
                </w:rPr>
                <w:t>36</w:t>
              </w:r>
            </w:hyperlink>
          </w:p>
        </w:tc>
      </w:tr>
      <w:tr>
        <w:trPr>
          <w:trHeight w:val="149"/>
        </w:trPr>
        <w:tc>
          <w:tcPr>
            <w:tcW w:w="6120" w:type="dxa"/>
            <w:vAlign w:val="bottom"/>
            <w:gridSpan w:val="5"/>
          </w:tcPr>
          <w:p>
            <w:pPr>
              <w:ind w:left="1180"/>
              <w:spacing w:after="0"/>
              <w:rPr>
                <w:rFonts w:ascii="Arial" w:cs="Arial" w:eastAsia="Arial" w:hAnsi="Arial"/>
                <w:sz w:val="13"/>
                <w:szCs w:val="13"/>
                <w:b w:val="1"/>
                <w:bCs w:val="1"/>
                <w:u w:val="single" w:color="auto"/>
                <w:color w:val="0000EE"/>
              </w:rPr>
            </w:pPr>
            <w:hyperlink w:anchor="page44">
              <w:r>
                <w:rPr>
                  <w:rFonts w:ascii="Arial" w:cs="Arial" w:eastAsia="Arial" w:hAnsi="Arial"/>
                  <w:sz w:val="13"/>
                  <w:szCs w:val="13"/>
                  <w:b w:val="1"/>
                  <w:bCs w:val="1"/>
                  <w:u w:val="single" w:color="auto"/>
                  <w:color w:val="0000EE"/>
                </w:rPr>
                <w:t>2020 Voting Results</w:t>
              </w:r>
            </w:hyperlink>
          </w:p>
        </w:tc>
        <w:tc>
          <w:tcPr>
            <w:tcW w:w="1780" w:type="dxa"/>
            <w:vAlign w:val="bottom"/>
          </w:tcPr>
          <w:p>
            <w:pPr>
              <w:jc w:val="right"/>
              <w:ind w:right="994"/>
              <w:spacing w:after="0"/>
              <w:rPr>
                <w:rFonts w:ascii="Arial" w:cs="Arial" w:eastAsia="Arial" w:hAnsi="Arial"/>
                <w:sz w:val="13"/>
                <w:szCs w:val="13"/>
                <w:b w:val="1"/>
                <w:bCs w:val="1"/>
                <w:u w:val="single" w:color="auto"/>
                <w:color w:val="0000EE"/>
              </w:rPr>
            </w:pPr>
            <w:hyperlink w:anchor="page44">
              <w:r>
                <w:rPr>
                  <w:rFonts w:ascii="Arial" w:cs="Arial" w:eastAsia="Arial" w:hAnsi="Arial"/>
                  <w:sz w:val="13"/>
                  <w:szCs w:val="13"/>
                  <w:b w:val="1"/>
                  <w:bCs w:val="1"/>
                  <w:u w:val="single" w:color="auto"/>
                  <w:color w:val="0000EE"/>
                </w:rPr>
                <w:t>36</w:t>
              </w:r>
            </w:hyperlink>
          </w:p>
        </w:tc>
      </w:tr>
      <w:tr>
        <w:trPr>
          <w:trHeight w:val="153"/>
        </w:trPr>
        <w:tc>
          <w:tcPr>
            <w:tcW w:w="6120" w:type="dxa"/>
            <w:vAlign w:val="bottom"/>
            <w:gridSpan w:val="5"/>
          </w:tcPr>
          <w:p>
            <w:pPr>
              <w:ind w:left="1180"/>
              <w:spacing w:after="0"/>
              <w:rPr>
                <w:rFonts w:ascii="Arial" w:cs="Arial" w:eastAsia="Arial" w:hAnsi="Arial"/>
                <w:sz w:val="13"/>
                <w:szCs w:val="13"/>
                <w:b w:val="1"/>
                <w:bCs w:val="1"/>
                <w:u w:val="single" w:color="auto"/>
                <w:color w:val="0000EE"/>
              </w:rPr>
            </w:pPr>
            <w:hyperlink w:anchor="page45">
              <w:r>
                <w:rPr>
                  <w:rFonts w:ascii="Arial" w:cs="Arial" w:eastAsia="Arial" w:hAnsi="Arial"/>
                  <w:sz w:val="13"/>
                  <w:szCs w:val="13"/>
                  <w:b w:val="1"/>
                  <w:bCs w:val="1"/>
                  <w:u w:val="single" w:color="auto"/>
                  <w:color w:val="0000EE"/>
                </w:rPr>
                <w:t>Human Resources and Compensation Committee Letter to Shareholders</w:t>
              </w:r>
            </w:hyperlink>
          </w:p>
        </w:tc>
        <w:tc>
          <w:tcPr>
            <w:tcW w:w="1780" w:type="dxa"/>
            <w:vAlign w:val="bottom"/>
          </w:tcPr>
          <w:p>
            <w:pPr>
              <w:jc w:val="right"/>
              <w:ind w:right="994"/>
              <w:spacing w:after="0"/>
              <w:rPr>
                <w:rFonts w:ascii="Arial" w:cs="Arial" w:eastAsia="Arial" w:hAnsi="Arial"/>
                <w:sz w:val="13"/>
                <w:szCs w:val="13"/>
                <w:b w:val="1"/>
                <w:bCs w:val="1"/>
                <w:u w:val="single" w:color="auto"/>
                <w:color w:val="0000EE"/>
              </w:rPr>
            </w:pPr>
            <w:hyperlink w:anchor="page45">
              <w:r>
                <w:rPr>
                  <w:rFonts w:ascii="Arial" w:cs="Arial" w:eastAsia="Arial" w:hAnsi="Arial"/>
                  <w:sz w:val="13"/>
                  <w:szCs w:val="13"/>
                  <w:b w:val="1"/>
                  <w:bCs w:val="1"/>
                  <w:u w:val="single" w:color="auto"/>
                  <w:color w:val="0000EE"/>
                </w:rPr>
                <w:t>37</w:t>
              </w:r>
            </w:hyperlink>
          </w:p>
        </w:tc>
      </w:tr>
      <w:tr>
        <w:trPr>
          <w:trHeight w:val="149"/>
        </w:trPr>
        <w:tc>
          <w:tcPr>
            <w:tcW w:w="6120" w:type="dxa"/>
            <w:vAlign w:val="bottom"/>
            <w:gridSpan w:val="5"/>
          </w:tcPr>
          <w:p>
            <w:pPr>
              <w:ind w:left="1320"/>
              <w:spacing w:after="0"/>
              <w:rPr>
                <w:rFonts w:ascii="Arial" w:cs="Arial" w:eastAsia="Arial" w:hAnsi="Arial"/>
                <w:sz w:val="13"/>
                <w:szCs w:val="13"/>
                <w:u w:val="single" w:color="auto"/>
                <w:color w:val="0000EE"/>
              </w:rPr>
            </w:pPr>
            <w:hyperlink w:anchor="page45">
              <w:r>
                <w:rPr>
                  <w:rFonts w:ascii="Arial" w:cs="Arial" w:eastAsia="Arial" w:hAnsi="Arial"/>
                  <w:sz w:val="13"/>
                  <w:szCs w:val="13"/>
                  <w:u w:val="single" w:color="auto"/>
                  <w:color w:val="0000EE"/>
                </w:rPr>
                <w:t>Our Approach to Executive Compensation</w:t>
              </w:r>
            </w:hyperlink>
          </w:p>
        </w:tc>
        <w:tc>
          <w:tcPr>
            <w:tcW w:w="1780" w:type="dxa"/>
            <w:vAlign w:val="bottom"/>
          </w:tcPr>
          <w:p>
            <w:pPr>
              <w:jc w:val="right"/>
              <w:ind w:right="994"/>
              <w:spacing w:after="0"/>
              <w:rPr>
                <w:rFonts w:ascii="Arial" w:cs="Arial" w:eastAsia="Arial" w:hAnsi="Arial"/>
                <w:sz w:val="13"/>
                <w:szCs w:val="13"/>
                <w:u w:val="single" w:color="auto"/>
                <w:color w:val="0000EE"/>
              </w:rPr>
            </w:pPr>
            <w:hyperlink w:anchor="page45">
              <w:r>
                <w:rPr>
                  <w:rFonts w:ascii="Arial" w:cs="Arial" w:eastAsia="Arial" w:hAnsi="Arial"/>
                  <w:sz w:val="13"/>
                  <w:szCs w:val="13"/>
                  <w:u w:val="single" w:color="auto"/>
                  <w:color w:val="0000EE"/>
                </w:rPr>
                <w:t>37</w:t>
              </w:r>
            </w:hyperlink>
          </w:p>
        </w:tc>
      </w:tr>
      <w:tr>
        <w:trPr>
          <w:trHeight w:val="149"/>
        </w:trPr>
        <w:tc>
          <w:tcPr>
            <w:tcW w:w="6120" w:type="dxa"/>
            <w:vAlign w:val="bottom"/>
            <w:gridSpan w:val="5"/>
          </w:tcPr>
          <w:p>
            <w:pPr>
              <w:ind w:left="1320"/>
              <w:spacing w:after="0"/>
              <w:rPr>
                <w:rFonts w:ascii="Arial" w:cs="Arial" w:eastAsia="Arial" w:hAnsi="Arial"/>
                <w:sz w:val="13"/>
                <w:szCs w:val="13"/>
                <w:u w:val="single" w:color="auto"/>
                <w:color w:val="0000EE"/>
              </w:rPr>
            </w:pPr>
            <w:hyperlink w:anchor="page45">
              <w:r>
                <w:rPr>
                  <w:rFonts w:ascii="Arial" w:cs="Arial" w:eastAsia="Arial" w:hAnsi="Arial"/>
                  <w:sz w:val="13"/>
                  <w:szCs w:val="13"/>
                  <w:u w:val="single" w:color="auto"/>
                  <w:color w:val="0000EE"/>
                </w:rPr>
                <w:t>2020 Highlights</w:t>
              </w:r>
            </w:hyperlink>
          </w:p>
        </w:tc>
        <w:tc>
          <w:tcPr>
            <w:tcW w:w="1780" w:type="dxa"/>
            <w:vAlign w:val="bottom"/>
          </w:tcPr>
          <w:p>
            <w:pPr>
              <w:jc w:val="right"/>
              <w:ind w:right="994"/>
              <w:spacing w:after="0"/>
              <w:rPr>
                <w:rFonts w:ascii="Arial" w:cs="Arial" w:eastAsia="Arial" w:hAnsi="Arial"/>
                <w:sz w:val="13"/>
                <w:szCs w:val="13"/>
                <w:u w:val="single" w:color="auto"/>
                <w:color w:val="0000EE"/>
              </w:rPr>
            </w:pPr>
            <w:hyperlink w:anchor="page45">
              <w:r>
                <w:rPr>
                  <w:rFonts w:ascii="Arial" w:cs="Arial" w:eastAsia="Arial" w:hAnsi="Arial"/>
                  <w:sz w:val="13"/>
                  <w:szCs w:val="13"/>
                  <w:u w:val="single" w:color="auto"/>
                  <w:color w:val="0000EE"/>
                </w:rPr>
                <w:t>37</w:t>
              </w:r>
            </w:hyperlink>
          </w:p>
        </w:tc>
      </w:tr>
      <w:tr>
        <w:trPr>
          <w:trHeight w:val="149"/>
        </w:trPr>
        <w:tc>
          <w:tcPr>
            <w:tcW w:w="6120" w:type="dxa"/>
            <w:vAlign w:val="bottom"/>
            <w:gridSpan w:val="5"/>
          </w:tcPr>
          <w:p>
            <w:pPr>
              <w:ind w:left="1320"/>
              <w:spacing w:after="0"/>
              <w:rPr>
                <w:rFonts w:ascii="Arial" w:cs="Arial" w:eastAsia="Arial" w:hAnsi="Arial"/>
                <w:sz w:val="13"/>
                <w:szCs w:val="13"/>
                <w:u w:val="single" w:color="auto"/>
                <w:color w:val="0000EE"/>
              </w:rPr>
            </w:pPr>
            <w:hyperlink w:anchor="page47">
              <w:r>
                <w:rPr>
                  <w:rFonts w:ascii="Arial" w:cs="Arial" w:eastAsia="Arial" w:hAnsi="Arial"/>
                  <w:sz w:val="13"/>
                  <w:szCs w:val="13"/>
                  <w:u w:val="single" w:color="auto"/>
                  <w:color w:val="0000EE"/>
                </w:rPr>
                <w:t>Checklist of Compensation Practices</w:t>
              </w:r>
            </w:hyperlink>
          </w:p>
        </w:tc>
        <w:tc>
          <w:tcPr>
            <w:tcW w:w="1780" w:type="dxa"/>
            <w:vAlign w:val="bottom"/>
          </w:tcPr>
          <w:p>
            <w:pPr>
              <w:jc w:val="right"/>
              <w:ind w:right="994"/>
              <w:spacing w:after="0"/>
              <w:rPr>
                <w:rFonts w:ascii="Arial" w:cs="Arial" w:eastAsia="Arial" w:hAnsi="Arial"/>
                <w:sz w:val="13"/>
                <w:szCs w:val="13"/>
                <w:u w:val="single" w:color="auto"/>
                <w:color w:val="0000EE"/>
              </w:rPr>
            </w:pPr>
            <w:hyperlink w:anchor="page47">
              <w:r>
                <w:rPr>
                  <w:rFonts w:ascii="Arial" w:cs="Arial" w:eastAsia="Arial" w:hAnsi="Arial"/>
                  <w:sz w:val="13"/>
                  <w:szCs w:val="13"/>
                  <w:u w:val="single" w:color="auto"/>
                  <w:color w:val="0000EE"/>
                </w:rPr>
                <w:t>39</w:t>
              </w:r>
            </w:hyperlink>
          </w:p>
        </w:tc>
      </w:tr>
      <w:tr>
        <w:trPr>
          <w:trHeight w:val="145"/>
        </w:trPr>
        <w:tc>
          <w:tcPr>
            <w:tcW w:w="6120" w:type="dxa"/>
            <w:vAlign w:val="bottom"/>
            <w:gridSpan w:val="5"/>
          </w:tcPr>
          <w:p>
            <w:pPr>
              <w:ind w:left="1320"/>
              <w:spacing w:after="0" w:line="146" w:lineRule="exact"/>
              <w:rPr>
                <w:rFonts w:ascii="Arial" w:cs="Arial" w:eastAsia="Arial" w:hAnsi="Arial"/>
                <w:sz w:val="13"/>
                <w:szCs w:val="13"/>
                <w:u w:val="single" w:color="auto"/>
                <w:color w:val="0000EE"/>
              </w:rPr>
            </w:pPr>
            <w:hyperlink w:anchor="page47">
              <w:r>
                <w:rPr>
                  <w:rFonts w:ascii="Arial" w:cs="Arial" w:eastAsia="Arial" w:hAnsi="Arial"/>
                  <w:sz w:val="13"/>
                  <w:szCs w:val="13"/>
                  <w:u w:val="single" w:color="auto"/>
                  <w:color w:val="0000EE"/>
                </w:rPr>
                <w:t>Conclusion</w:t>
              </w:r>
            </w:hyperlink>
          </w:p>
        </w:tc>
        <w:tc>
          <w:tcPr>
            <w:tcW w:w="1780" w:type="dxa"/>
            <w:vAlign w:val="bottom"/>
          </w:tcPr>
          <w:p>
            <w:pPr>
              <w:jc w:val="right"/>
              <w:ind w:right="994"/>
              <w:spacing w:after="0" w:line="146" w:lineRule="exact"/>
              <w:rPr>
                <w:rFonts w:ascii="Arial" w:cs="Arial" w:eastAsia="Arial" w:hAnsi="Arial"/>
                <w:sz w:val="13"/>
                <w:szCs w:val="13"/>
                <w:u w:val="single" w:color="auto"/>
                <w:color w:val="0000EE"/>
              </w:rPr>
            </w:pPr>
            <w:hyperlink w:anchor="page47">
              <w:r>
                <w:rPr>
                  <w:rFonts w:ascii="Arial" w:cs="Arial" w:eastAsia="Arial" w:hAnsi="Arial"/>
                  <w:sz w:val="13"/>
                  <w:szCs w:val="13"/>
                  <w:u w:val="single" w:color="auto"/>
                  <w:color w:val="0000EE"/>
                </w:rPr>
                <w:t>39</w:t>
              </w:r>
            </w:hyperlink>
          </w:p>
        </w:tc>
      </w:tr>
      <w:tr>
        <w:trPr>
          <w:trHeight w:val="153"/>
        </w:trPr>
        <w:tc>
          <w:tcPr>
            <w:tcW w:w="6120" w:type="dxa"/>
            <w:vAlign w:val="bottom"/>
            <w:gridSpan w:val="5"/>
          </w:tcPr>
          <w:p>
            <w:pPr>
              <w:ind w:left="1180"/>
              <w:spacing w:after="0"/>
              <w:rPr>
                <w:rFonts w:ascii="Arial" w:cs="Arial" w:eastAsia="Arial" w:hAnsi="Arial"/>
                <w:sz w:val="13"/>
                <w:szCs w:val="13"/>
                <w:b w:val="1"/>
                <w:bCs w:val="1"/>
                <w:u w:val="single" w:color="auto"/>
                <w:color w:val="0000EE"/>
              </w:rPr>
            </w:pPr>
            <w:hyperlink w:anchor="page48">
              <w:r>
                <w:rPr>
                  <w:rFonts w:ascii="Arial" w:cs="Arial" w:eastAsia="Arial" w:hAnsi="Arial"/>
                  <w:sz w:val="13"/>
                  <w:szCs w:val="13"/>
                  <w:b w:val="1"/>
                  <w:bCs w:val="1"/>
                  <w:u w:val="single" w:color="auto"/>
                  <w:color w:val="0000EE"/>
                </w:rPr>
                <w:t>Compensation Discussion and Analysis</w:t>
              </w:r>
            </w:hyperlink>
          </w:p>
        </w:tc>
        <w:tc>
          <w:tcPr>
            <w:tcW w:w="1780" w:type="dxa"/>
            <w:vAlign w:val="bottom"/>
          </w:tcPr>
          <w:p>
            <w:pPr>
              <w:jc w:val="right"/>
              <w:ind w:right="994"/>
              <w:spacing w:after="0"/>
              <w:rPr>
                <w:rFonts w:ascii="Arial" w:cs="Arial" w:eastAsia="Arial" w:hAnsi="Arial"/>
                <w:sz w:val="13"/>
                <w:szCs w:val="13"/>
                <w:b w:val="1"/>
                <w:bCs w:val="1"/>
                <w:u w:val="single" w:color="auto"/>
                <w:color w:val="0000EE"/>
              </w:rPr>
            </w:pPr>
            <w:hyperlink w:anchor="page48">
              <w:r>
                <w:rPr>
                  <w:rFonts w:ascii="Arial" w:cs="Arial" w:eastAsia="Arial" w:hAnsi="Arial"/>
                  <w:sz w:val="13"/>
                  <w:szCs w:val="13"/>
                  <w:b w:val="1"/>
                  <w:bCs w:val="1"/>
                  <w:u w:val="single" w:color="auto"/>
                  <w:color w:val="0000EE"/>
                </w:rPr>
                <w:t>40</w:t>
              </w:r>
            </w:hyperlink>
          </w:p>
        </w:tc>
      </w:tr>
      <w:tr>
        <w:trPr>
          <w:trHeight w:val="149"/>
        </w:trPr>
        <w:tc>
          <w:tcPr>
            <w:tcW w:w="6120" w:type="dxa"/>
            <w:vAlign w:val="bottom"/>
            <w:gridSpan w:val="5"/>
          </w:tcPr>
          <w:p>
            <w:pPr>
              <w:ind w:left="1320"/>
              <w:spacing w:after="0"/>
              <w:rPr>
                <w:rFonts w:ascii="Arial" w:cs="Arial" w:eastAsia="Arial" w:hAnsi="Arial"/>
                <w:sz w:val="13"/>
                <w:szCs w:val="13"/>
                <w:u w:val="single" w:color="auto"/>
                <w:color w:val="0000EE"/>
              </w:rPr>
            </w:pPr>
            <w:hyperlink w:anchor="page49">
              <w:r>
                <w:rPr>
                  <w:rFonts w:ascii="Arial" w:cs="Arial" w:eastAsia="Arial" w:hAnsi="Arial"/>
                  <w:sz w:val="13"/>
                  <w:szCs w:val="13"/>
                  <w:u w:val="single" w:color="auto"/>
                  <w:color w:val="0000EE"/>
                </w:rPr>
                <w:t>Note Regarding Non-IFRS Measures</w:t>
              </w:r>
            </w:hyperlink>
          </w:p>
        </w:tc>
        <w:tc>
          <w:tcPr>
            <w:tcW w:w="1780" w:type="dxa"/>
            <w:vAlign w:val="bottom"/>
          </w:tcPr>
          <w:p>
            <w:pPr>
              <w:jc w:val="right"/>
              <w:ind w:right="994"/>
              <w:spacing w:after="0"/>
              <w:rPr>
                <w:rFonts w:ascii="Arial" w:cs="Arial" w:eastAsia="Arial" w:hAnsi="Arial"/>
                <w:sz w:val="13"/>
                <w:szCs w:val="13"/>
                <w:u w:val="single" w:color="auto"/>
                <w:color w:val="0000EE"/>
              </w:rPr>
            </w:pPr>
            <w:hyperlink w:anchor="page49">
              <w:r>
                <w:rPr>
                  <w:rFonts w:ascii="Arial" w:cs="Arial" w:eastAsia="Arial" w:hAnsi="Arial"/>
                  <w:sz w:val="13"/>
                  <w:szCs w:val="13"/>
                  <w:u w:val="single" w:color="auto"/>
                  <w:color w:val="0000EE"/>
                </w:rPr>
                <w:t>41</w:t>
              </w:r>
            </w:hyperlink>
          </w:p>
        </w:tc>
      </w:tr>
      <w:tr>
        <w:trPr>
          <w:trHeight w:val="149"/>
        </w:trPr>
        <w:tc>
          <w:tcPr>
            <w:tcW w:w="6120" w:type="dxa"/>
            <w:vAlign w:val="bottom"/>
            <w:gridSpan w:val="5"/>
          </w:tcPr>
          <w:p>
            <w:pPr>
              <w:ind w:left="1320"/>
              <w:spacing w:after="0"/>
              <w:rPr>
                <w:rFonts w:ascii="Arial" w:cs="Arial" w:eastAsia="Arial" w:hAnsi="Arial"/>
                <w:sz w:val="13"/>
                <w:szCs w:val="13"/>
                <w:u w:val="single" w:color="auto"/>
                <w:color w:val="0000EE"/>
              </w:rPr>
            </w:pPr>
            <w:hyperlink w:anchor="page50">
              <w:r>
                <w:rPr>
                  <w:rFonts w:ascii="Arial" w:cs="Arial" w:eastAsia="Arial" w:hAnsi="Arial"/>
                  <w:sz w:val="13"/>
                  <w:szCs w:val="13"/>
                  <w:u w:val="single" w:color="auto"/>
                  <w:color w:val="0000EE"/>
                </w:rPr>
                <w:t>Compensation Objectives</w:t>
              </w:r>
            </w:hyperlink>
          </w:p>
        </w:tc>
        <w:tc>
          <w:tcPr>
            <w:tcW w:w="1780" w:type="dxa"/>
            <w:vAlign w:val="bottom"/>
          </w:tcPr>
          <w:p>
            <w:pPr>
              <w:jc w:val="right"/>
              <w:ind w:right="994"/>
              <w:spacing w:after="0"/>
              <w:rPr>
                <w:rFonts w:ascii="Arial" w:cs="Arial" w:eastAsia="Arial" w:hAnsi="Arial"/>
                <w:sz w:val="13"/>
                <w:szCs w:val="13"/>
                <w:u w:val="single" w:color="auto"/>
                <w:color w:val="0000EE"/>
              </w:rPr>
            </w:pPr>
            <w:hyperlink w:anchor="page50">
              <w:r>
                <w:rPr>
                  <w:rFonts w:ascii="Arial" w:cs="Arial" w:eastAsia="Arial" w:hAnsi="Arial"/>
                  <w:sz w:val="13"/>
                  <w:szCs w:val="13"/>
                  <w:u w:val="single" w:color="auto"/>
                  <w:color w:val="0000EE"/>
                </w:rPr>
                <w:t>42</w:t>
              </w:r>
            </w:hyperlink>
          </w:p>
        </w:tc>
      </w:tr>
      <w:tr>
        <w:trPr>
          <w:trHeight w:val="149"/>
        </w:trPr>
        <w:tc>
          <w:tcPr>
            <w:tcW w:w="6120" w:type="dxa"/>
            <w:vAlign w:val="bottom"/>
            <w:gridSpan w:val="5"/>
          </w:tcPr>
          <w:p>
            <w:pPr>
              <w:ind w:left="1320"/>
              <w:spacing w:after="0"/>
              <w:rPr>
                <w:rFonts w:ascii="Arial" w:cs="Arial" w:eastAsia="Arial" w:hAnsi="Arial"/>
                <w:sz w:val="13"/>
                <w:szCs w:val="13"/>
                <w:u w:val="single" w:color="auto"/>
                <w:color w:val="0000EE"/>
              </w:rPr>
            </w:pPr>
            <w:hyperlink w:anchor="page56">
              <w:r>
                <w:rPr>
                  <w:rFonts w:ascii="Arial" w:cs="Arial" w:eastAsia="Arial" w:hAnsi="Arial"/>
                  <w:sz w:val="13"/>
                  <w:szCs w:val="13"/>
                  <w:u w:val="single" w:color="auto"/>
                  <w:color w:val="0000EE"/>
                </w:rPr>
                <w:t>Anti-Hedging and Anti-Pledging Policy</w:t>
              </w:r>
            </w:hyperlink>
          </w:p>
        </w:tc>
        <w:tc>
          <w:tcPr>
            <w:tcW w:w="1780" w:type="dxa"/>
            <w:vAlign w:val="bottom"/>
          </w:tcPr>
          <w:p>
            <w:pPr>
              <w:jc w:val="right"/>
              <w:ind w:right="994"/>
              <w:spacing w:after="0"/>
              <w:rPr>
                <w:rFonts w:ascii="Arial" w:cs="Arial" w:eastAsia="Arial" w:hAnsi="Arial"/>
                <w:sz w:val="13"/>
                <w:szCs w:val="13"/>
                <w:u w:val="single" w:color="auto"/>
                <w:color w:val="0000EE"/>
              </w:rPr>
            </w:pPr>
            <w:hyperlink w:anchor="page56">
              <w:r>
                <w:rPr>
                  <w:rFonts w:ascii="Arial" w:cs="Arial" w:eastAsia="Arial" w:hAnsi="Arial"/>
                  <w:sz w:val="13"/>
                  <w:szCs w:val="13"/>
                  <w:u w:val="single" w:color="auto"/>
                  <w:color w:val="0000EE"/>
                </w:rPr>
                <w:t>48</w:t>
              </w:r>
            </w:hyperlink>
          </w:p>
        </w:tc>
      </w:tr>
      <w:tr>
        <w:trPr>
          <w:trHeight w:val="149"/>
        </w:trPr>
        <w:tc>
          <w:tcPr>
            <w:tcW w:w="6120" w:type="dxa"/>
            <w:vAlign w:val="bottom"/>
            <w:gridSpan w:val="5"/>
          </w:tcPr>
          <w:p>
            <w:pPr>
              <w:ind w:left="1320"/>
              <w:spacing w:after="0"/>
              <w:rPr>
                <w:rFonts w:ascii="Arial" w:cs="Arial" w:eastAsia="Arial" w:hAnsi="Arial"/>
                <w:sz w:val="13"/>
                <w:szCs w:val="13"/>
                <w:u w:val="single" w:color="auto"/>
                <w:color w:val="0000EE"/>
              </w:rPr>
            </w:pPr>
            <w:hyperlink w:anchor="page56">
              <w:r>
                <w:rPr>
                  <w:rFonts w:ascii="Arial" w:cs="Arial" w:eastAsia="Arial" w:hAnsi="Arial"/>
                  <w:sz w:val="13"/>
                  <w:szCs w:val="13"/>
                  <w:u w:val="single" w:color="auto"/>
                  <w:color w:val="0000EE"/>
                </w:rPr>
                <w:t>“Clawback” Provisions</w:t>
              </w:r>
            </w:hyperlink>
          </w:p>
        </w:tc>
        <w:tc>
          <w:tcPr>
            <w:tcW w:w="1780" w:type="dxa"/>
            <w:vAlign w:val="bottom"/>
          </w:tcPr>
          <w:p>
            <w:pPr>
              <w:jc w:val="right"/>
              <w:ind w:right="994"/>
              <w:spacing w:after="0"/>
              <w:rPr>
                <w:rFonts w:ascii="Arial" w:cs="Arial" w:eastAsia="Arial" w:hAnsi="Arial"/>
                <w:sz w:val="13"/>
                <w:szCs w:val="13"/>
                <w:u w:val="single" w:color="auto"/>
                <w:color w:val="0000EE"/>
              </w:rPr>
            </w:pPr>
            <w:hyperlink w:anchor="page56">
              <w:r>
                <w:rPr>
                  <w:rFonts w:ascii="Arial" w:cs="Arial" w:eastAsia="Arial" w:hAnsi="Arial"/>
                  <w:sz w:val="13"/>
                  <w:szCs w:val="13"/>
                  <w:u w:val="single" w:color="auto"/>
                  <w:color w:val="0000EE"/>
                </w:rPr>
                <w:t>48</w:t>
              </w:r>
            </w:hyperlink>
          </w:p>
        </w:tc>
      </w:tr>
      <w:tr>
        <w:trPr>
          <w:trHeight w:val="149"/>
        </w:trPr>
        <w:tc>
          <w:tcPr>
            <w:tcW w:w="6120" w:type="dxa"/>
            <w:vAlign w:val="bottom"/>
            <w:gridSpan w:val="5"/>
          </w:tcPr>
          <w:p>
            <w:pPr>
              <w:ind w:left="1320"/>
              <w:spacing w:after="0"/>
              <w:rPr>
                <w:rFonts w:ascii="Arial" w:cs="Arial" w:eastAsia="Arial" w:hAnsi="Arial"/>
                <w:sz w:val="13"/>
                <w:szCs w:val="13"/>
                <w:u w:val="single" w:color="auto"/>
                <w:color w:val="0000EE"/>
              </w:rPr>
            </w:pPr>
            <w:hyperlink w:anchor="page57">
              <w:r>
                <w:rPr>
                  <w:rFonts w:ascii="Arial" w:cs="Arial" w:eastAsia="Arial" w:hAnsi="Arial"/>
                  <w:sz w:val="13"/>
                  <w:szCs w:val="13"/>
                  <w:u w:val="single" w:color="auto"/>
                  <w:color w:val="0000EE"/>
                </w:rPr>
                <w:t>Executive Share Ownership</w:t>
              </w:r>
            </w:hyperlink>
          </w:p>
        </w:tc>
        <w:tc>
          <w:tcPr>
            <w:tcW w:w="1780" w:type="dxa"/>
            <w:vAlign w:val="bottom"/>
          </w:tcPr>
          <w:p>
            <w:pPr>
              <w:jc w:val="right"/>
              <w:ind w:right="994"/>
              <w:spacing w:after="0"/>
              <w:rPr>
                <w:rFonts w:ascii="Arial" w:cs="Arial" w:eastAsia="Arial" w:hAnsi="Arial"/>
                <w:sz w:val="13"/>
                <w:szCs w:val="13"/>
                <w:u w:val="single" w:color="auto"/>
                <w:color w:val="0000EE"/>
              </w:rPr>
            </w:pPr>
            <w:hyperlink w:anchor="page57">
              <w:r>
                <w:rPr>
                  <w:rFonts w:ascii="Arial" w:cs="Arial" w:eastAsia="Arial" w:hAnsi="Arial"/>
                  <w:sz w:val="13"/>
                  <w:szCs w:val="13"/>
                  <w:u w:val="single" w:color="auto"/>
                  <w:color w:val="0000EE"/>
                </w:rPr>
                <w:t>49</w:t>
              </w:r>
            </w:hyperlink>
          </w:p>
        </w:tc>
      </w:tr>
      <w:tr>
        <w:trPr>
          <w:trHeight w:val="149"/>
        </w:trPr>
        <w:tc>
          <w:tcPr>
            <w:tcW w:w="6120" w:type="dxa"/>
            <w:vAlign w:val="bottom"/>
            <w:gridSpan w:val="5"/>
          </w:tcPr>
          <w:p>
            <w:pPr>
              <w:ind w:left="1320"/>
              <w:spacing w:after="0"/>
              <w:rPr>
                <w:rFonts w:ascii="Arial" w:cs="Arial" w:eastAsia="Arial" w:hAnsi="Arial"/>
                <w:sz w:val="13"/>
                <w:szCs w:val="13"/>
                <w:u w:val="single" w:color="auto"/>
                <w:color w:val="0000EE"/>
              </w:rPr>
            </w:pPr>
            <w:hyperlink w:anchor="page58">
              <w:r>
                <w:rPr>
                  <w:rFonts w:ascii="Arial" w:cs="Arial" w:eastAsia="Arial" w:hAnsi="Arial"/>
                  <w:sz w:val="13"/>
                  <w:szCs w:val="13"/>
                  <w:u w:val="single" w:color="auto"/>
                  <w:color w:val="0000EE"/>
                </w:rPr>
                <w:t>Compensation Elements for the Named Executive Officers</w:t>
              </w:r>
            </w:hyperlink>
          </w:p>
        </w:tc>
        <w:tc>
          <w:tcPr>
            <w:tcW w:w="1780" w:type="dxa"/>
            <w:vAlign w:val="bottom"/>
          </w:tcPr>
          <w:p>
            <w:pPr>
              <w:jc w:val="right"/>
              <w:ind w:right="994"/>
              <w:spacing w:after="0"/>
              <w:rPr>
                <w:rFonts w:ascii="Arial" w:cs="Arial" w:eastAsia="Arial" w:hAnsi="Arial"/>
                <w:sz w:val="13"/>
                <w:szCs w:val="13"/>
                <w:u w:val="single" w:color="auto"/>
                <w:color w:val="0000EE"/>
              </w:rPr>
            </w:pPr>
            <w:hyperlink w:anchor="page58">
              <w:r>
                <w:rPr>
                  <w:rFonts w:ascii="Arial" w:cs="Arial" w:eastAsia="Arial" w:hAnsi="Arial"/>
                  <w:sz w:val="13"/>
                  <w:szCs w:val="13"/>
                  <w:u w:val="single" w:color="auto"/>
                  <w:color w:val="0000EE"/>
                </w:rPr>
                <w:t>50</w:t>
              </w:r>
            </w:hyperlink>
          </w:p>
        </w:tc>
      </w:tr>
      <w:tr>
        <w:trPr>
          <w:trHeight w:val="149"/>
        </w:trPr>
        <w:tc>
          <w:tcPr>
            <w:tcW w:w="6120" w:type="dxa"/>
            <w:vAlign w:val="bottom"/>
            <w:gridSpan w:val="5"/>
          </w:tcPr>
          <w:p>
            <w:pPr>
              <w:ind w:left="1320"/>
              <w:spacing w:after="0"/>
              <w:rPr>
                <w:rFonts w:ascii="Arial" w:cs="Arial" w:eastAsia="Arial" w:hAnsi="Arial"/>
                <w:sz w:val="13"/>
                <w:szCs w:val="13"/>
                <w:u w:val="single" w:color="auto"/>
                <w:color w:val="0000EE"/>
              </w:rPr>
            </w:pPr>
            <w:hyperlink w:anchor="page61">
              <w:r>
                <w:rPr>
                  <w:rFonts w:ascii="Arial" w:cs="Arial" w:eastAsia="Arial" w:hAnsi="Arial"/>
                  <w:sz w:val="13"/>
                  <w:szCs w:val="13"/>
                  <w:u w:val="single" w:color="auto"/>
                  <w:color w:val="0000EE"/>
                </w:rPr>
                <w:t>2020 Compensation Decisions</w:t>
              </w:r>
            </w:hyperlink>
          </w:p>
        </w:tc>
        <w:tc>
          <w:tcPr>
            <w:tcW w:w="1780" w:type="dxa"/>
            <w:vAlign w:val="bottom"/>
          </w:tcPr>
          <w:p>
            <w:pPr>
              <w:jc w:val="right"/>
              <w:ind w:right="994"/>
              <w:spacing w:after="0"/>
              <w:rPr>
                <w:rFonts w:ascii="Arial" w:cs="Arial" w:eastAsia="Arial" w:hAnsi="Arial"/>
                <w:sz w:val="13"/>
                <w:szCs w:val="13"/>
                <w:u w:val="single" w:color="auto"/>
                <w:color w:val="0000EE"/>
              </w:rPr>
            </w:pPr>
            <w:hyperlink w:anchor="page61">
              <w:r>
                <w:rPr>
                  <w:rFonts w:ascii="Arial" w:cs="Arial" w:eastAsia="Arial" w:hAnsi="Arial"/>
                  <w:sz w:val="13"/>
                  <w:szCs w:val="13"/>
                  <w:u w:val="single" w:color="auto"/>
                  <w:color w:val="0000EE"/>
                </w:rPr>
                <w:t>53</w:t>
              </w:r>
            </w:hyperlink>
          </w:p>
        </w:tc>
      </w:tr>
      <w:tr>
        <w:trPr>
          <w:trHeight w:val="145"/>
        </w:trPr>
        <w:tc>
          <w:tcPr>
            <w:tcW w:w="6120" w:type="dxa"/>
            <w:vAlign w:val="bottom"/>
            <w:gridSpan w:val="5"/>
          </w:tcPr>
          <w:p>
            <w:pPr>
              <w:ind w:left="1320"/>
              <w:spacing w:after="0" w:line="146" w:lineRule="exact"/>
              <w:rPr>
                <w:rFonts w:ascii="Arial" w:cs="Arial" w:eastAsia="Arial" w:hAnsi="Arial"/>
                <w:sz w:val="13"/>
                <w:szCs w:val="13"/>
                <w:u w:val="single" w:color="auto"/>
                <w:color w:val="0000EE"/>
              </w:rPr>
            </w:pPr>
            <w:hyperlink w:anchor="page68">
              <w:r>
                <w:rPr>
                  <w:rFonts w:ascii="Arial" w:cs="Arial" w:eastAsia="Arial" w:hAnsi="Arial"/>
                  <w:sz w:val="13"/>
                  <w:szCs w:val="13"/>
                  <w:u w:val="single" w:color="auto"/>
                  <w:color w:val="0000EE"/>
                </w:rPr>
                <w:t>Realized and Realizable Compensation</w:t>
              </w:r>
            </w:hyperlink>
          </w:p>
        </w:tc>
        <w:tc>
          <w:tcPr>
            <w:tcW w:w="1780" w:type="dxa"/>
            <w:vAlign w:val="bottom"/>
          </w:tcPr>
          <w:p>
            <w:pPr>
              <w:jc w:val="right"/>
              <w:ind w:right="994"/>
              <w:spacing w:after="0" w:line="146" w:lineRule="exact"/>
              <w:rPr>
                <w:rFonts w:ascii="Arial" w:cs="Arial" w:eastAsia="Arial" w:hAnsi="Arial"/>
                <w:sz w:val="13"/>
                <w:szCs w:val="13"/>
                <w:u w:val="single" w:color="auto"/>
                <w:color w:val="0000EE"/>
              </w:rPr>
            </w:pPr>
            <w:hyperlink w:anchor="page68">
              <w:r>
                <w:rPr>
                  <w:rFonts w:ascii="Arial" w:cs="Arial" w:eastAsia="Arial" w:hAnsi="Arial"/>
                  <w:sz w:val="13"/>
                  <w:szCs w:val="13"/>
                  <w:u w:val="single" w:color="auto"/>
                  <w:color w:val="0000EE"/>
                </w:rPr>
                <w:t>60</w:t>
              </w:r>
            </w:hyperlink>
          </w:p>
        </w:tc>
      </w:tr>
      <w:tr>
        <w:trPr>
          <w:trHeight w:val="153"/>
        </w:trPr>
        <w:tc>
          <w:tcPr>
            <w:tcW w:w="6120" w:type="dxa"/>
            <w:vAlign w:val="bottom"/>
            <w:gridSpan w:val="5"/>
          </w:tcPr>
          <w:p>
            <w:pPr>
              <w:ind w:left="1180"/>
              <w:spacing w:after="0"/>
              <w:rPr>
                <w:rFonts w:ascii="Arial" w:cs="Arial" w:eastAsia="Arial" w:hAnsi="Arial"/>
                <w:sz w:val="13"/>
                <w:szCs w:val="13"/>
                <w:b w:val="1"/>
                <w:bCs w:val="1"/>
                <w:u w:val="single" w:color="auto"/>
                <w:color w:val="0000EE"/>
              </w:rPr>
            </w:pPr>
            <w:hyperlink w:anchor="page71">
              <w:r>
                <w:rPr>
                  <w:rFonts w:ascii="Arial" w:cs="Arial" w:eastAsia="Arial" w:hAnsi="Arial"/>
                  <w:sz w:val="13"/>
                  <w:szCs w:val="13"/>
                  <w:b w:val="1"/>
                  <w:bCs w:val="1"/>
                  <w:u w:val="single" w:color="auto"/>
                  <w:color w:val="0000EE"/>
                </w:rPr>
                <w:t>Compensation of Named Executive Officers</w:t>
              </w:r>
            </w:hyperlink>
          </w:p>
        </w:tc>
        <w:tc>
          <w:tcPr>
            <w:tcW w:w="1780" w:type="dxa"/>
            <w:vAlign w:val="bottom"/>
          </w:tcPr>
          <w:p>
            <w:pPr>
              <w:jc w:val="right"/>
              <w:ind w:right="994"/>
              <w:spacing w:after="0"/>
              <w:rPr>
                <w:rFonts w:ascii="Arial" w:cs="Arial" w:eastAsia="Arial" w:hAnsi="Arial"/>
                <w:sz w:val="13"/>
                <w:szCs w:val="13"/>
                <w:b w:val="1"/>
                <w:bCs w:val="1"/>
                <w:u w:val="single" w:color="auto"/>
                <w:color w:val="0000EE"/>
              </w:rPr>
            </w:pPr>
            <w:hyperlink w:anchor="page71">
              <w:r>
                <w:rPr>
                  <w:rFonts w:ascii="Arial" w:cs="Arial" w:eastAsia="Arial" w:hAnsi="Arial"/>
                  <w:sz w:val="13"/>
                  <w:szCs w:val="13"/>
                  <w:b w:val="1"/>
                  <w:bCs w:val="1"/>
                  <w:u w:val="single" w:color="auto"/>
                  <w:color w:val="0000EE"/>
                </w:rPr>
                <w:t>63</w:t>
              </w:r>
            </w:hyperlink>
          </w:p>
        </w:tc>
      </w:tr>
      <w:tr>
        <w:trPr>
          <w:trHeight w:val="149"/>
        </w:trPr>
        <w:tc>
          <w:tcPr>
            <w:tcW w:w="6120" w:type="dxa"/>
            <w:vAlign w:val="bottom"/>
            <w:gridSpan w:val="5"/>
          </w:tcPr>
          <w:p>
            <w:pPr>
              <w:ind w:left="1320"/>
              <w:spacing w:after="0"/>
              <w:rPr>
                <w:rFonts w:ascii="Arial" w:cs="Arial" w:eastAsia="Arial" w:hAnsi="Arial"/>
                <w:sz w:val="13"/>
                <w:szCs w:val="13"/>
                <w:u w:val="single" w:color="auto"/>
                <w:color w:val="0000EE"/>
              </w:rPr>
            </w:pPr>
            <w:hyperlink w:anchor="page71">
              <w:r>
                <w:rPr>
                  <w:rFonts w:ascii="Arial" w:cs="Arial" w:eastAsia="Arial" w:hAnsi="Arial"/>
                  <w:sz w:val="13"/>
                  <w:szCs w:val="13"/>
                  <w:u w:val="single" w:color="auto"/>
                  <w:color w:val="0000EE"/>
                </w:rPr>
                <w:t>Summary Compensation Table</w:t>
              </w:r>
            </w:hyperlink>
          </w:p>
        </w:tc>
        <w:tc>
          <w:tcPr>
            <w:tcW w:w="1780" w:type="dxa"/>
            <w:vAlign w:val="bottom"/>
          </w:tcPr>
          <w:p>
            <w:pPr>
              <w:jc w:val="right"/>
              <w:ind w:right="994"/>
              <w:spacing w:after="0"/>
              <w:rPr>
                <w:rFonts w:ascii="Arial" w:cs="Arial" w:eastAsia="Arial" w:hAnsi="Arial"/>
                <w:sz w:val="13"/>
                <w:szCs w:val="13"/>
                <w:u w:val="single" w:color="auto"/>
                <w:color w:val="0000EE"/>
              </w:rPr>
            </w:pPr>
            <w:hyperlink w:anchor="page71">
              <w:r>
                <w:rPr>
                  <w:rFonts w:ascii="Arial" w:cs="Arial" w:eastAsia="Arial" w:hAnsi="Arial"/>
                  <w:sz w:val="13"/>
                  <w:szCs w:val="13"/>
                  <w:u w:val="single" w:color="auto"/>
                  <w:color w:val="0000EE"/>
                </w:rPr>
                <w:t>63</w:t>
              </w:r>
            </w:hyperlink>
          </w:p>
        </w:tc>
      </w:tr>
      <w:tr>
        <w:trPr>
          <w:trHeight w:val="149"/>
        </w:trPr>
        <w:tc>
          <w:tcPr>
            <w:tcW w:w="6120" w:type="dxa"/>
            <w:vAlign w:val="bottom"/>
            <w:gridSpan w:val="5"/>
          </w:tcPr>
          <w:p>
            <w:pPr>
              <w:ind w:left="1320"/>
              <w:spacing w:after="0"/>
              <w:rPr>
                <w:rFonts w:ascii="Arial" w:cs="Arial" w:eastAsia="Arial" w:hAnsi="Arial"/>
                <w:sz w:val="13"/>
                <w:szCs w:val="13"/>
                <w:u w:val="single" w:color="auto"/>
                <w:color w:val="0000EE"/>
              </w:rPr>
            </w:pPr>
            <w:hyperlink w:anchor="page73">
              <w:r>
                <w:rPr>
                  <w:rFonts w:ascii="Arial" w:cs="Arial" w:eastAsia="Arial" w:hAnsi="Arial"/>
                  <w:sz w:val="13"/>
                  <w:szCs w:val="13"/>
                  <w:u w:val="single" w:color="auto"/>
                  <w:color w:val="0000EE"/>
                </w:rPr>
                <w:t>Option-Based and Share-Based Awards</w:t>
              </w:r>
            </w:hyperlink>
          </w:p>
        </w:tc>
        <w:tc>
          <w:tcPr>
            <w:tcW w:w="1780" w:type="dxa"/>
            <w:vAlign w:val="bottom"/>
          </w:tcPr>
          <w:p>
            <w:pPr>
              <w:jc w:val="right"/>
              <w:ind w:right="994"/>
              <w:spacing w:after="0"/>
              <w:rPr>
                <w:rFonts w:ascii="Arial" w:cs="Arial" w:eastAsia="Arial" w:hAnsi="Arial"/>
                <w:sz w:val="13"/>
                <w:szCs w:val="13"/>
                <w:u w:val="single" w:color="auto"/>
                <w:color w:val="0000EE"/>
              </w:rPr>
            </w:pPr>
            <w:hyperlink w:anchor="page73">
              <w:r>
                <w:rPr>
                  <w:rFonts w:ascii="Arial" w:cs="Arial" w:eastAsia="Arial" w:hAnsi="Arial"/>
                  <w:sz w:val="13"/>
                  <w:szCs w:val="13"/>
                  <w:u w:val="single" w:color="auto"/>
                  <w:color w:val="0000EE"/>
                </w:rPr>
                <w:t>65</w:t>
              </w:r>
            </w:hyperlink>
          </w:p>
        </w:tc>
      </w:tr>
      <w:tr>
        <w:trPr>
          <w:trHeight w:val="149"/>
        </w:trPr>
        <w:tc>
          <w:tcPr>
            <w:tcW w:w="6120" w:type="dxa"/>
            <w:vAlign w:val="bottom"/>
            <w:gridSpan w:val="5"/>
          </w:tcPr>
          <w:p>
            <w:pPr>
              <w:ind w:left="1320"/>
              <w:spacing w:after="0"/>
              <w:rPr>
                <w:rFonts w:ascii="Arial" w:cs="Arial" w:eastAsia="Arial" w:hAnsi="Arial"/>
                <w:sz w:val="13"/>
                <w:szCs w:val="13"/>
                <w:u w:val="single" w:color="auto"/>
                <w:color w:val="0000EE"/>
              </w:rPr>
            </w:pPr>
            <w:hyperlink w:anchor="page75">
              <w:r>
                <w:rPr>
                  <w:rFonts w:ascii="Arial" w:cs="Arial" w:eastAsia="Arial" w:hAnsi="Arial"/>
                  <w:sz w:val="13"/>
                  <w:szCs w:val="13"/>
                  <w:u w:val="single" w:color="auto"/>
                  <w:color w:val="0000EE"/>
                </w:rPr>
                <w:t>Securities Authorized for Issuance Under Equity Compensation Plans</w:t>
              </w:r>
            </w:hyperlink>
          </w:p>
        </w:tc>
        <w:tc>
          <w:tcPr>
            <w:tcW w:w="1780" w:type="dxa"/>
            <w:vAlign w:val="bottom"/>
          </w:tcPr>
          <w:p>
            <w:pPr>
              <w:jc w:val="right"/>
              <w:ind w:right="994"/>
              <w:spacing w:after="0"/>
              <w:rPr>
                <w:rFonts w:ascii="Arial" w:cs="Arial" w:eastAsia="Arial" w:hAnsi="Arial"/>
                <w:sz w:val="13"/>
                <w:szCs w:val="13"/>
                <w:u w:val="single" w:color="auto"/>
                <w:color w:val="0000EE"/>
              </w:rPr>
            </w:pPr>
            <w:hyperlink w:anchor="page75">
              <w:r>
                <w:rPr>
                  <w:rFonts w:ascii="Arial" w:cs="Arial" w:eastAsia="Arial" w:hAnsi="Arial"/>
                  <w:sz w:val="13"/>
                  <w:szCs w:val="13"/>
                  <w:u w:val="single" w:color="auto"/>
                  <w:color w:val="0000EE"/>
                </w:rPr>
                <w:t>67</w:t>
              </w:r>
            </w:hyperlink>
          </w:p>
        </w:tc>
      </w:tr>
      <w:tr>
        <w:trPr>
          <w:trHeight w:val="149"/>
        </w:trPr>
        <w:tc>
          <w:tcPr>
            <w:tcW w:w="6120" w:type="dxa"/>
            <w:vAlign w:val="bottom"/>
            <w:gridSpan w:val="5"/>
          </w:tcPr>
          <w:p>
            <w:pPr>
              <w:ind w:left="1320"/>
              <w:spacing w:after="0"/>
              <w:rPr>
                <w:rFonts w:ascii="Arial" w:cs="Arial" w:eastAsia="Arial" w:hAnsi="Arial"/>
                <w:sz w:val="13"/>
                <w:szCs w:val="13"/>
                <w:u w:val="single" w:color="auto"/>
                <w:color w:val="0000EE"/>
              </w:rPr>
            </w:pPr>
            <w:hyperlink w:anchor="page75">
              <w:r>
                <w:rPr>
                  <w:rFonts w:ascii="Arial" w:cs="Arial" w:eastAsia="Arial" w:hAnsi="Arial"/>
                  <w:sz w:val="13"/>
                  <w:szCs w:val="13"/>
                  <w:u w:val="single" w:color="auto"/>
                  <w:color w:val="0000EE"/>
                </w:rPr>
                <w:t>Equity Compensation Plans</w:t>
              </w:r>
            </w:hyperlink>
          </w:p>
        </w:tc>
        <w:tc>
          <w:tcPr>
            <w:tcW w:w="1780" w:type="dxa"/>
            <w:vAlign w:val="bottom"/>
          </w:tcPr>
          <w:p>
            <w:pPr>
              <w:jc w:val="right"/>
              <w:ind w:right="994"/>
              <w:spacing w:after="0"/>
              <w:rPr>
                <w:rFonts w:ascii="Arial" w:cs="Arial" w:eastAsia="Arial" w:hAnsi="Arial"/>
                <w:sz w:val="13"/>
                <w:szCs w:val="13"/>
                <w:u w:val="single" w:color="auto"/>
                <w:color w:val="0000EE"/>
              </w:rPr>
            </w:pPr>
            <w:hyperlink w:anchor="page75">
              <w:r>
                <w:rPr>
                  <w:rFonts w:ascii="Arial" w:cs="Arial" w:eastAsia="Arial" w:hAnsi="Arial"/>
                  <w:sz w:val="13"/>
                  <w:szCs w:val="13"/>
                  <w:u w:val="single" w:color="auto"/>
                  <w:color w:val="0000EE"/>
                </w:rPr>
                <w:t>67</w:t>
              </w:r>
            </w:hyperlink>
          </w:p>
        </w:tc>
      </w:tr>
      <w:tr>
        <w:trPr>
          <w:trHeight w:val="159"/>
        </w:trPr>
        <w:tc>
          <w:tcPr>
            <w:tcW w:w="6120" w:type="dxa"/>
            <w:vAlign w:val="bottom"/>
            <w:gridSpan w:val="5"/>
          </w:tcPr>
          <w:p>
            <w:pPr>
              <w:ind w:left="1320"/>
              <w:spacing w:after="0"/>
              <w:rPr>
                <w:rFonts w:ascii="Arial" w:cs="Arial" w:eastAsia="Arial" w:hAnsi="Arial"/>
                <w:sz w:val="13"/>
                <w:szCs w:val="13"/>
                <w:u w:val="single" w:color="auto"/>
                <w:color w:val="0000EE"/>
              </w:rPr>
            </w:pPr>
            <w:hyperlink w:anchor="page78">
              <w:r>
                <w:rPr>
                  <w:rFonts w:ascii="Arial" w:cs="Arial" w:eastAsia="Arial" w:hAnsi="Arial"/>
                  <w:sz w:val="13"/>
                  <w:szCs w:val="13"/>
                  <w:u w:val="single" w:color="auto"/>
                  <w:color w:val="0000EE"/>
                </w:rPr>
                <w:t>Pension Plans</w:t>
              </w:r>
            </w:hyperlink>
          </w:p>
        </w:tc>
        <w:tc>
          <w:tcPr>
            <w:tcW w:w="1780" w:type="dxa"/>
            <w:vAlign w:val="bottom"/>
          </w:tcPr>
          <w:p>
            <w:pPr>
              <w:jc w:val="right"/>
              <w:ind w:right="994"/>
              <w:spacing w:after="0"/>
              <w:rPr>
                <w:rFonts w:ascii="Arial" w:cs="Arial" w:eastAsia="Arial" w:hAnsi="Arial"/>
                <w:sz w:val="13"/>
                <w:szCs w:val="13"/>
                <w:u w:val="single" w:color="auto"/>
                <w:color w:val="0000EE"/>
              </w:rPr>
            </w:pPr>
            <w:hyperlink w:anchor="page78">
              <w:r>
                <w:rPr>
                  <w:rFonts w:ascii="Arial" w:cs="Arial" w:eastAsia="Arial" w:hAnsi="Arial"/>
                  <w:sz w:val="13"/>
                  <w:szCs w:val="13"/>
                  <w:u w:val="single" w:color="auto"/>
                  <w:color w:val="0000EE"/>
                </w:rPr>
                <w:t>70</w:t>
              </w:r>
            </w:hyperlink>
          </w:p>
        </w:tc>
      </w:tr>
      <w:tr>
        <w:trPr>
          <w:trHeight w:val="138"/>
        </w:trPr>
        <w:tc>
          <w:tcPr>
            <w:tcW w:w="6120" w:type="dxa"/>
            <w:vAlign w:val="bottom"/>
            <w:gridSpan w:val="5"/>
          </w:tcPr>
          <w:p>
            <w:pPr>
              <w:ind w:left="1320"/>
              <w:spacing w:after="0" w:line="138" w:lineRule="exact"/>
              <w:rPr>
                <w:rFonts w:ascii="Arial" w:cs="Arial" w:eastAsia="Arial" w:hAnsi="Arial"/>
                <w:sz w:val="13"/>
                <w:szCs w:val="13"/>
                <w:color w:val="0000EE"/>
              </w:rPr>
            </w:pPr>
            <w:hyperlink w:anchor="page79">
              <w:r>
                <w:rPr>
                  <w:rFonts w:ascii="Arial" w:cs="Arial" w:eastAsia="Arial" w:hAnsi="Arial"/>
                  <w:sz w:val="13"/>
                  <w:szCs w:val="13"/>
                  <w:color w:val="0000EE"/>
                </w:rPr>
                <w:t>Termination of Employment and Change in Control Arrangements with</w:t>
              </w:r>
            </w:hyperlink>
          </w:p>
        </w:tc>
        <w:tc>
          <w:tcPr>
            <w:tcW w:w="1780" w:type="dxa"/>
            <w:vAlign w:val="bottom"/>
          </w:tcPr>
          <w:p>
            <w:pPr>
              <w:spacing w:after="0"/>
              <w:rPr>
                <w:sz w:val="12"/>
                <w:szCs w:val="12"/>
                <w:color w:val="auto"/>
              </w:rPr>
            </w:pPr>
          </w:p>
        </w:tc>
      </w:tr>
      <w:tr>
        <w:trPr>
          <w:trHeight w:val="139"/>
        </w:trPr>
        <w:tc>
          <w:tcPr>
            <w:tcW w:w="132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3880" w:type="dxa"/>
            <w:vAlign w:val="bottom"/>
            <w:tcBorders>
              <w:top w:val="single" w:sz="8" w:color="0000EE"/>
            </w:tcBorders>
            <w:gridSpan w:val="2"/>
          </w:tcPr>
          <w:p>
            <w:pPr>
              <w:spacing w:after="0" w:line="139" w:lineRule="exact"/>
              <w:rPr>
                <w:rFonts w:ascii="Arial" w:cs="Arial" w:eastAsia="Arial" w:hAnsi="Arial"/>
                <w:sz w:val="13"/>
                <w:szCs w:val="13"/>
                <w:color w:val="0000EE"/>
              </w:rPr>
            </w:pPr>
            <w:hyperlink w:anchor="page79">
              <w:r>
                <w:rPr>
                  <w:rFonts w:ascii="Arial" w:cs="Arial" w:eastAsia="Arial" w:hAnsi="Arial"/>
                  <w:sz w:val="13"/>
                  <w:szCs w:val="13"/>
                  <w:color w:val="0000EE"/>
                </w:rPr>
                <w:t>Named Executive Officers</w:t>
              </w:r>
            </w:hyperlink>
          </w:p>
        </w:tc>
        <w:tc>
          <w:tcPr>
            <w:tcW w:w="800" w:type="dxa"/>
            <w:vAlign w:val="bottom"/>
          </w:tcPr>
          <w:p>
            <w:pPr>
              <w:spacing w:after="0"/>
              <w:rPr>
                <w:sz w:val="12"/>
                <w:szCs w:val="12"/>
                <w:color w:val="auto"/>
              </w:rPr>
            </w:pPr>
          </w:p>
        </w:tc>
        <w:tc>
          <w:tcPr>
            <w:tcW w:w="1780" w:type="dxa"/>
            <w:vAlign w:val="bottom"/>
          </w:tcPr>
          <w:p>
            <w:pPr>
              <w:jc w:val="right"/>
              <w:ind w:right="994"/>
              <w:spacing w:after="0" w:line="139" w:lineRule="exact"/>
              <w:rPr>
                <w:rFonts w:ascii="Arial" w:cs="Arial" w:eastAsia="Arial" w:hAnsi="Arial"/>
                <w:sz w:val="13"/>
                <w:szCs w:val="13"/>
                <w:u w:val="single" w:color="auto"/>
                <w:color w:val="0000EE"/>
              </w:rPr>
            </w:pPr>
            <w:hyperlink w:anchor="page79">
              <w:r>
                <w:rPr>
                  <w:rFonts w:ascii="Arial" w:cs="Arial" w:eastAsia="Arial" w:hAnsi="Arial"/>
                  <w:sz w:val="13"/>
                  <w:szCs w:val="13"/>
                  <w:u w:val="single" w:color="auto"/>
                  <w:color w:val="0000EE"/>
                </w:rPr>
                <w:t>71</w:t>
              </w:r>
            </w:hyperlink>
          </w:p>
        </w:tc>
      </w:tr>
      <w:tr>
        <w:trPr>
          <w:trHeight w:val="20"/>
        </w:trPr>
        <w:tc>
          <w:tcPr>
            <w:tcW w:w="1440" w:type="dxa"/>
            <w:vAlign w:val="bottom"/>
            <w:gridSpan w:val="2"/>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56"/>
        </w:trPr>
        <w:tc>
          <w:tcPr>
            <w:tcW w:w="6120" w:type="dxa"/>
            <w:vAlign w:val="bottom"/>
            <w:gridSpan w:val="5"/>
          </w:tcPr>
          <w:p>
            <w:pPr>
              <w:ind w:left="1320"/>
              <w:spacing w:after="0"/>
              <w:rPr>
                <w:rFonts w:ascii="Arial" w:cs="Arial" w:eastAsia="Arial" w:hAnsi="Arial"/>
                <w:sz w:val="13"/>
                <w:szCs w:val="13"/>
                <w:u w:val="single" w:color="auto"/>
                <w:color w:val="0000EE"/>
              </w:rPr>
            </w:pPr>
            <w:hyperlink w:anchor="page82">
              <w:r>
                <w:rPr>
                  <w:rFonts w:ascii="Arial" w:cs="Arial" w:eastAsia="Arial" w:hAnsi="Arial"/>
                  <w:sz w:val="13"/>
                  <w:szCs w:val="13"/>
                  <w:u w:val="single" w:color="auto"/>
                  <w:color w:val="0000EE"/>
                </w:rPr>
                <w:t>Performance Graph</w:t>
              </w:r>
            </w:hyperlink>
          </w:p>
        </w:tc>
        <w:tc>
          <w:tcPr>
            <w:tcW w:w="1780" w:type="dxa"/>
            <w:vAlign w:val="bottom"/>
          </w:tcPr>
          <w:p>
            <w:pPr>
              <w:jc w:val="right"/>
              <w:ind w:right="994"/>
              <w:spacing w:after="0"/>
              <w:rPr>
                <w:rFonts w:ascii="Arial" w:cs="Arial" w:eastAsia="Arial" w:hAnsi="Arial"/>
                <w:sz w:val="13"/>
                <w:szCs w:val="13"/>
                <w:u w:val="single" w:color="auto"/>
                <w:color w:val="0000EE"/>
              </w:rPr>
            </w:pPr>
            <w:hyperlink w:anchor="page82">
              <w:r>
                <w:rPr>
                  <w:rFonts w:ascii="Arial" w:cs="Arial" w:eastAsia="Arial" w:hAnsi="Arial"/>
                  <w:sz w:val="13"/>
                  <w:szCs w:val="13"/>
                  <w:u w:val="single" w:color="auto"/>
                  <w:color w:val="0000EE"/>
                </w:rPr>
                <w:t>74</w:t>
              </w:r>
            </w:hyperlink>
          </w:p>
        </w:tc>
      </w:tr>
      <w:tr>
        <w:trPr>
          <w:trHeight w:val="149"/>
        </w:trPr>
        <w:tc>
          <w:tcPr>
            <w:tcW w:w="6120" w:type="dxa"/>
            <w:vAlign w:val="bottom"/>
            <w:gridSpan w:val="5"/>
          </w:tcPr>
          <w:p>
            <w:pPr>
              <w:ind w:left="1180"/>
              <w:spacing w:after="0"/>
              <w:rPr>
                <w:rFonts w:ascii="Arial" w:cs="Arial" w:eastAsia="Arial" w:hAnsi="Arial"/>
                <w:sz w:val="13"/>
                <w:szCs w:val="13"/>
                <w:b w:val="1"/>
                <w:bCs w:val="1"/>
                <w:u w:val="single" w:color="auto"/>
                <w:color w:val="0000EE"/>
              </w:rPr>
            </w:pPr>
            <w:hyperlink w:anchor="page83">
              <w:r>
                <w:rPr>
                  <w:rFonts w:ascii="Arial" w:cs="Arial" w:eastAsia="Arial" w:hAnsi="Arial"/>
                  <w:sz w:val="13"/>
                  <w:szCs w:val="13"/>
                  <w:b w:val="1"/>
                  <w:bCs w:val="1"/>
                  <w:u w:val="single" w:color="auto"/>
                  <w:color w:val="0000EE"/>
                </w:rPr>
                <w:t>Certificate</w:t>
              </w:r>
            </w:hyperlink>
          </w:p>
        </w:tc>
        <w:tc>
          <w:tcPr>
            <w:tcW w:w="1780" w:type="dxa"/>
            <w:vAlign w:val="bottom"/>
          </w:tcPr>
          <w:p>
            <w:pPr>
              <w:jc w:val="right"/>
              <w:ind w:right="994"/>
              <w:spacing w:after="0"/>
              <w:rPr>
                <w:rFonts w:ascii="Arial" w:cs="Arial" w:eastAsia="Arial" w:hAnsi="Arial"/>
                <w:sz w:val="13"/>
                <w:szCs w:val="13"/>
                <w:b w:val="1"/>
                <w:bCs w:val="1"/>
                <w:u w:val="single" w:color="auto"/>
                <w:color w:val="0000EE"/>
              </w:rPr>
            </w:pPr>
            <w:hyperlink w:anchor="page83">
              <w:r>
                <w:rPr>
                  <w:rFonts w:ascii="Arial" w:cs="Arial" w:eastAsia="Arial" w:hAnsi="Arial"/>
                  <w:sz w:val="13"/>
                  <w:szCs w:val="13"/>
                  <w:b w:val="1"/>
                  <w:bCs w:val="1"/>
                  <w:u w:val="single" w:color="auto"/>
                  <w:color w:val="0000EE"/>
                </w:rPr>
                <w:t>75</w:t>
              </w:r>
            </w:hyperlink>
          </w:p>
        </w:tc>
      </w:tr>
      <w:tr>
        <w:trPr>
          <w:trHeight w:val="172"/>
        </w:trPr>
        <w:tc>
          <w:tcPr>
            <w:tcW w:w="6120" w:type="dxa"/>
            <w:vAlign w:val="bottom"/>
            <w:gridSpan w:val="5"/>
          </w:tcPr>
          <w:p>
            <w:pPr>
              <w:ind w:left="1180"/>
              <w:spacing w:after="0"/>
              <w:rPr>
                <w:rFonts w:ascii="Arial" w:cs="Arial" w:eastAsia="Arial" w:hAnsi="Arial"/>
                <w:sz w:val="13"/>
                <w:szCs w:val="13"/>
                <w:b w:val="1"/>
                <w:bCs w:val="1"/>
                <w:u w:val="single" w:color="auto"/>
                <w:color w:val="0000EE"/>
              </w:rPr>
            </w:pPr>
            <w:hyperlink w:anchor="page84">
              <w:r>
                <w:rPr>
                  <w:rFonts w:ascii="Arial" w:cs="Arial" w:eastAsia="Arial" w:hAnsi="Arial"/>
                  <w:sz w:val="13"/>
                  <w:szCs w:val="13"/>
                  <w:b w:val="1"/>
                  <w:bCs w:val="1"/>
                  <w:u w:val="single" w:color="auto"/>
                  <w:color w:val="0000EE"/>
                </w:rPr>
                <w:t>Schedule A — Board of Directors Mandate</w:t>
              </w:r>
            </w:hyperlink>
          </w:p>
        </w:tc>
        <w:tc>
          <w:tcPr>
            <w:tcW w:w="1780" w:type="dxa"/>
            <w:vAlign w:val="bottom"/>
          </w:tcPr>
          <w:p>
            <w:pPr>
              <w:jc w:val="right"/>
              <w:ind w:right="994"/>
              <w:spacing w:after="0"/>
              <w:rPr>
                <w:rFonts w:ascii="Arial" w:cs="Arial" w:eastAsia="Arial" w:hAnsi="Arial"/>
                <w:sz w:val="13"/>
                <w:szCs w:val="13"/>
                <w:b w:val="1"/>
                <w:bCs w:val="1"/>
                <w:u w:val="single" w:color="auto"/>
                <w:color w:val="0000EE"/>
              </w:rPr>
            </w:pPr>
            <w:hyperlink w:anchor="page84">
              <w:r>
                <w:rPr>
                  <w:rFonts w:ascii="Arial" w:cs="Arial" w:eastAsia="Arial" w:hAnsi="Arial"/>
                  <w:sz w:val="13"/>
                  <w:szCs w:val="13"/>
                  <w:b w:val="1"/>
                  <w:bCs w:val="1"/>
                  <w:u w:val="single" w:color="auto"/>
                  <w:color w:val="0000EE"/>
                </w:rPr>
                <w:t>A-1</w:t>
              </w:r>
            </w:hyperlink>
          </w:p>
        </w:tc>
      </w:tr>
      <w:tr>
        <w:trPr>
          <w:trHeight w:val="677"/>
        </w:trPr>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5363210</wp:posOffset>
            </wp:positionH>
            <wp:positionV relativeFrom="paragraph">
              <wp:posOffset>-5715</wp:posOffset>
            </wp:positionV>
            <wp:extent cx="635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350520</wp:posOffset>
            </wp:positionH>
            <wp:positionV relativeFrom="paragraph">
              <wp:posOffset>-12065</wp:posOffset>
            </wp:positionV>
            <wp:extent cx="6350" cy="12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5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 w:name="page9"/>
    <w:bookmarkEnd w:id="8"/>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31" w:lineRule="exact"/>
        <w:rPr>
          <w:sz w:val="20"/>
          <w:szCs w:val="20"/>
          <w:color w:val="auto"/>
        </w:rPr>
      </w:pPr>
    </w:p>
    <w:p>
      <w:pPr>
        <w:jc w:val="right"/>
        <w:ind w:right="1159"/>
        <w:spacing w:after="0"/>
        <w:rPr>
          <w:sz w:val="20"/>
          <w:szCs w:val="20"/>
          <w:color w:val="auto"/>
        </w:rPr>
      </w:pPr>
      <w:r>
        <w:rPr>
          <w:rFonts w:ascii="Arial" w:cs="Arial" w:eastAsia="Arial" w:hAnsi="Arial"/>
          <w:sz w:val="19"/>
          <w:szCs w:val="19"/>
          <w:b w:val="1"/>
          <w:bCs w:val="1"/>
          <w:color w:val="auto"/>
        </w:rPr>
        <w:t>NOTICE OF ANNUAL MEETING OF SHAREHOLDERS OF CELESTICA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73660</wp:posOffset>
            </wp:positionV>
            <wp:extent cx="4051935"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051935" cy="635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86360</wp:posOffset>
            </wp:positionV>
            <wp:extent cx="4051935"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051935" cy="6350"/>
                    </a:xfrm>
                    <a:prstGeom prst="rect">
                      <a:avLst/>
                    </a:prstGeom>
                    <a:noFill/>
                  </pic:spPr>
                </pic:pic>
              </a:graphicData>
            </a:graphic>
          </wp:anchor>
        </w:drawing>
      </w:r>
    </w:p>
    <w:p>
      <w:pPr>
        <w:spacing w:after="0" w:line="263" w:lineRule="exact"/>
        <w:rPr>
          <w:sz w:val="20"/>
          <w:szCs w:val="20"/>
          <w:color w:val="auto"/>
        </w:rPr>
      </w:pPr>
    </w:p>
    <w:p>
      <w:pPr>
        <w:jc w:val="both"/>
        <w:ind w:left="1480" w:right="1499"/>
        <w:spacing w:after="0" w:line="237" w:lineRule="auto"/>
        <w:rPr>
          <w:sz w:val="20"/>
          <w:szCs w:val="20"/>
          <w:color w:val="auto"/>
        </w:rPr>
      </w:pPr>
      <w:r>
        <w:rPr>
          <w:rFonts w:ascii="Arial" w:cs="Arial" w:eastAsia="Arial" w:hAnsi="Arial"/>
          <w:sz w:val="13"/>
          <w:szCs w:val="13"/>
          <w:color w:val="auto"/>
        </w:rPr>
        <w:t>The Annual Meeting of Shareholders (the “</w:t>
      </w:r>
      <w:r>
        <w:rPr>
          <w:rFonts w:ascii="Arial" w:cs="Arial" w:eastAsia="Arial" w:hAnsi="Arial"/>
          <w:sz w:val="13"/>
          <w:szCs w:val="13"/>
          <w:b w:val="1"/>
          <w:bCs w:val="1"/>
          <w:color w:val="auto"/>
        </w:rPr>
        <w:t>Meeting</w:t>
      </w:r>
      <w:r>
        <w:rPr>
          <w:rFonts w:ascii="Arial" w:cs="Arial" w:eastAsia="Arial" w:hAnsi="Arial"/>
          <w:sz w:val="13"/>
          <w:szCs w:val="13"/>
          <w:color w:val="auto"/>
        </w:rPr>
        <w:t>”) of CELESTICA INC. (the “</w:t>
      </w:r>
      <w:r>
        <w:rPr>
          <w:rFonts w:ascii="Arial" w:cs="Arial" w:eastAsia="Arial" w:hAnsi="Arial"/>
          <w:sz w:val="13"/>
          <w:szCs w:val="13"/>
          <w:b w:val="1"/>
          <w:bCs w:val="1"/>
          <w:color w:val="auto"/>
        </w:rPr>
        <w:t>Corporation</w:t>
      </w:r>
      <w:r>
        <w:rPr>
          <w:rFonts w:ascii="Arial" w:cs="Arial" w:eastAsia="Arial" w:hAnsi="Arial"/>
          <w:sz w:val="13"/>
          <w:szCs w:val="13"/>
          <w:color w:val="auto"/>
        </w:rPr>
        <w:t>,” “</w:t>
      </w:r>
      <w:r>
        <w:rPr>
          <w:rFonts w:ascii="Arial" w:cs="Arial" w:eastAsia="Arial" w:hAnsi="Arial"/>
          <w:sz w:val="13"/>
          <w:szCs w:val="13"/>
          <w:b w:val="1"/>
          <w:bCs w:val="1"/>
          <w:color w:val="auto"/>
        </w:rPr>
        <w:t>Celestica</w:t>
      </w:r>
      <w:r>
        <w:rPr>
          <w:rFonts w:ascii="Arial" w:cs="Arial" w:eastAsia="Arial" w:hAnsi="Arial"/>
          <w:sz w:val="13"/>
          <w:szCs w:val="13"/>
          <w:color w:val="auto"/>
        </w:rPr>
        <w:t>,” “</w:t>
      </w:r>
      <w:r>
        <w:rPr>
          <w:rFonts w:ascii="Arial" w:cs="Arial" w:eastAsia="Arial" w:hAnsi="Arial"/>
          <w:sz w:val="13"/>
          <w:szCs w:val="13"/>
          <w:b w:val="1"/>
          <w:bCs w:val="1"/>
          <w:color w:val="auto"/>
        </w:rPr>
        <w:t>we</w:t>
      </w:r>
      <w:r>
        <w:rPr>
          <w:rFonts w:ascii="Arial" w:cs="Arial" w:eastAsia="Arial" w:hAnsi="Arial"/>
          <w:sz w:val="13"/>
          <w:szCs w:val="13"/>
          <w:color w:val="auto"/>
        </w:rPr>
        <w:t>,” “</w:t>
      </w:r>
      <w:r>
        <w:rPr>
          <w:rFonts w:ascii="Arial" w:cs="Arial" w:eastAsia="Arial" w:hAnsi="Arial"/>
          <w:sz w:val="13"/>
          <w:szCs w:val="13"/>
          <w:b w:val="1"/>
          <w:bCs w:val="1"/>
          <w:color w:val="auto"/>
        </w:rPr>
        <w:t>us</w:t>
      </w:r>
      <w:r>
        <w:rPr>
          <w:rFonts w:ascii="Arial" w:cs="Arial" w:eastAsia="Arial" w:hAnsi="Arial"/>
          <w:sz w:val="13"/>
          <w:szCs w:val="13"/>
          <w:color w:val="auto"/>
        </w:rPr>
        <w:t>” or “</w:t>
      </w:r>
      <w:r>
        <w:rPr>
          <w:rFonts w:ascii="Arial" w:cs="Arial" w:eastAsia="Arial" w:hAnsi="Arial"/>
          <w:sz w:val="13"/>
          <w:szCs w:val="13"/>
          <w:b w:val="1"/>
          <w:bCs w:val="1"/>
          <w:color w:val="auto"/>
        </w:rPr>
        <w:t>our</w:t>
      </w:r>
      <w:r>
        <w:rPr>
          <w:rFonts w:ascii="Arial" w:cs="Arial" w:eastAsia="Arial" w:hAnsi="Arial"/>
          <w:sz w:val="13"/>
          <w:szCs w:val="13"/>
          <w:color w:val="auto"/>
        </w:rPr>
        <w:t xml:space="preserve">”) will be held virtually via audio-only webcast online at </w:t>
      </w:r>
      <w:r>
        <w:rPr>
          <w:rFonts w:ascii="Arial" w:cs="Arial" w:eastAsia="Arial" w:hAnsi="Arial"/>
          <w:sz w:val="13"/>
          <w:szCs w:val="13"/>
          <w:u w:val="single" w:color="auto"/>
          <w:color w:val="auto"/>
        </w:rPr>
        <w:t>https://web.lumiagm.com/</w:t>
      </w:r>
      <w:r>
        <w:rPr>
          <w:rFonts w:ascii="Arial" w:cs="Arial" w:eastAsia="Arial" w:hAnsi="Arial"/>
          <w:sz w:val="13"/>
          <w:szCs w:val="13"/>
          <w:color w:val="auto"/>
        </w:rPr>
        <w:t xml:space="preserve"> </w:t>
      </w:r>
      <w:r>
        <w:rPr>
          <w:rFonts w:ascii="Arial" w:cs="Arial" w:eastAsia="Arial" w:hAnsi="Arial"/>
          <w:sz w:val="13"/>
          <w:szCs w:val="13"/>
          <w:u w:val="single" w:color="auto"/>
          <w:color w:val="auto"/>
        </w:rPr>
        <w:t>271769863</w:t>
      </w:r>
      <w:r>
        <w:rPr>
          <w:rFonts w:ascii="Arial" w:cs="Arial" w:eastAsia="Arial" w:hAnsi="Arial"/>
          <w:sz w:val="13"/>
          <w:szCs w:val="13"/>
          <w:color w:val="auto"/>
        </w:rPr>
        <w:t>, password: celestica2021 on Thursday the 29</w:t>
      </w:r>
      <w:r>
        <w:rPr>
          <w:rFonts w:ascii="Arial" w:cs="Arial" w:eastAsia="Arial" w:hAnsi="Arial"/>
          <w:sz w:val="19"/>
          <w:szCs w:val="19"/>
          <w:color w:val="auto"/>
          <w:vertAlign w:val="superscript"/>
        </w:rPr>
        <w:t>th</w:t>
      </w:r>
      <w:r>
        <w:rPr>
          <w:rFonts w:ascii="Arial" w:cs="Arial" w:eastAsia="Arial" w:hAnsi="Arial"/>
          <w:sz w:val="13"/>
          <w:szCs w:val="13"/>
          <w:color w:val="auto"/>
        </w:rPr>
        <w:t xml:space="preserve"> day of April, 2021 at 9:30 a.m. EDT for the following purposes:</w:t>
      </w:r>
    </w:p>
    <w:p>
      <w:pPr>
        <w:spacing w:after="0" w:line="72" w:lineRule="exact"/>
        <w:rPr>
          <w:sz w:val="20"/>
          <w:szCs w:val="20"/>
          <w:color w:val="auto"/>
        </w:rPr>
      </w:pPr>
    </w:p>
    <w:p>
      <w:pPr>
        <w:ind w:left="1880" w:right="1499" w:hanging="137"/>
        <w:spacing w:after="0" w:line="285" w:lineRule="auto"/>
        <w:tabs>
          <w:tab w:leader="none" w:pos="1880" w:val="left"/>
        </w:tabs>
        <w:numPr>
          <w:ilvl w:val="0"/>
          <w:numId w:val="1"/>
        </w:numPr>
        <w:rPr>
          <w:rFonts w:ascii="Arial" w:cs="Arial" w:eastAsia="Arial" w:hAnsi="Arial"/>
          <w:sz w:val="13"/>
          <w:szCs w:val="13"/>
          <w:color w:val="auto"/>
        </w:rPr>
      </w:pPr>
      <w:r>
        <w:rPr>
          <w:rFonts w:ascii="Arial" w:cs="Arial" w:eastAsia="Arial" w:hAnsi="Arial"/>
          <w:sz w:val="13"/>
          <w:szCs w:val="13"/>
          <w:color w:val="auto"/>
        </w:rPr>
        <w:t>to receive and consider the financial statements of the Corporation for its financial year ended December 31, 2020, together with the report of the auditor thereon;</w:t>
      </w:r>
    </w:p>
    <w:p>
      <w:pPr>
        <w:spacing w:after="0" w:line="43" w:lineRule="exact"/>
        <w:rPr>
          <w:rFonts w:ascii="Arial" w:cs="Arial" w:eastAsia="Arial" w:hAnsi="Arial"/>
          <w:sz w:val="13"/>
          <w:szCs w:val="13"/>
          <w:color w:val="auto"/>
        </w:rPr>
      </w:pPr>
    </w:p>
    <w:p>
      <w:pPr>
        <w:ind w:left="1880" w:hanging="137"/>
        <w:spacing w:after="0"/>
        <w:tabs>
          <w:tab w:leader="none" w:pos="1880" w:val="left"/>
        </w:tabs>
        <w:numPr>
          <w:ilvl w:val="0"/>
          <w:numId w:val="1"/>
        </w:numPr>
        <w:rPr>
          <w:rFonts w:ascii="Arial" w:cs="Arial" w:eastAsia="Arial" w:hAnsi="Arial"/>
          <w:sz w:val="13"/>
          <w:szCs w:val="13"/>
          <w:color w:val="auto"/>
        </w:rPr>
      </w:pPr>
      <w:r>
        <w:rPr>
          <w:rFonts w:ascii="Arial" w:cs="Arial" w:eastAsia="Arial" w:hAnsi="Arial"/>
          <w:sz w:val="13"/>
          <w:szCs w:val="13"/>
          <w:color w:val="auto"/>
        </w:rPr>
        <w:t>to elect the directors for the ensuing year;</w:t>
      </w:r>
    </w:p>
    <w:p>
      <w:pPr>
        <w:spacing w:after="0" w:line="89" w:lineRule="exact"/>
        <w:rPr>
          <w:rFonts w:ascii="Arial" w:cs="Arial" w:eastAsia="Arial" w:hAnsi="Arial"/>
          <w:sz w:val="13"/>
          <w:szCs w:val="13"/>
          <w:color w:val="auto"/>
        </w:rPr>
      </w:pPr>
    </w:p>
    <w:p>
      <w:pPr>
        <w:ind w:left="1880" w:hanging="137"/>
        <w:spacing w:after="0"/>
        <w:tabs>
          <w:tab w:leader="none" w:pos="1880" w:val="left"/>
        </w:tabs>
        <w:numPr>
          <w:ilvl w:val="0"/>
          <w:numId w:val="1"/>
        </w:numPr>
        <w:rPr>
          <w:rFonts w:ascii="Arial" w:cs="Arial" w:eastAsia="Arial" w:hAnsi="Arial"/>
          <w:sz w:val="13"/>
          <w:szCs w:val="13"/>
          <w:color w:val="auto"/>
        </w:rPr>
      </w:pPr>
      <w:r>
        <w:rPr>
          <w:rFonts w:ascii="Arial" w:cs="Arial" w:eastAsia="Arial" w:hAnsi="Arial"/>
          <w:sz w:val="13"/>
          <w:szCs w:val="13"/>
          <w:color w:val="auto"/>
        </w:rPr>
        <w:t>to appoint the auditor for the ensuing year;</w:t>
      </w:r>
    </w:p>
    <w:p>
      <w:pPr>
        <w:spacing w:after="0" w:line="89" w:lineRule="exact"/>
        <w:rPr>
          <w:rFonts w:ascii="Arial" w:cs="Arial" w:eastAsia="Arial" w:hAnsi="Arial"/>
          <w:sz w:val="13"/>
          <w:szCs w:val="13"/>
          <w:color w:val="auto"/>
        </w:rPr>
      </w:pPr>
    </w:p>
    <w:p>
      <w:pPr>
        <w:ind w:left="1880" w:hanging="137"/>
        <w:spacing w:after="0"/>
        <w:tabs>
          <w:tab w:leader="none" w:pos="1880" w:val="left"/>
        </w:tabs>
        <w:numPr>
          <w:ilvl w:val="0"/>
          <w:numId w:val="1"/>
        </w:numPr>
        <w:rPr>
          <w:rFonts w:ascii="Arial" w:cs="Arial" w:eastAsia="Arial" w:hAnsi="Arial"/>
          <w:sz w:val="13"/>
          <w:szCs w:val="13"/>
          <w:color w:val="auto"/>
        </w:rPr>
      </w:pPr>
      <w:r>
        <w:rPr>
          <w:rFonts w:ascii="Arial" w:cs="Arial" w:eastAsia="Arial" w:hAnsi="Arial"/>
          <w:sz w:val="13"/>
          <w:szCs w:val="13"/>
          <w:color w:val="auto"/>
        </w:rPr>
        <w:t>to authorize the directors to fix the auditor’s remuneration;</w:t>
      </w:r>
    </w:p>
    <w:p>
      <w:pPr>
        <w:spacing w:after="0" w:line="89" w:lineRule="exact"/>
        <w:rPr>
          <w:rFonts w:ascii="Arial" w:cs="Arial" w:eastAsia="Arial" w:hAnsi="Arial"/>
          <w:sz w:val="13"/>
          <w:szCs w:val="13"/>
          <w:color w:val="auto"/>
        </w:rPr>
      </w:pPr>
    </w:p>
    <w:p>
      <w:pPr>
        <w:ind w:left="1880" w:hanging="137"/>
        <w:spacing w:after="0"/>
        <w:tabs>
          <w:tab w:leader="none" w:pos="1880" w:val="left"/>
        </w:tabs>
        <w:numPr>
          <w:ilvl w:val="0"/>
          <w:numId w:val="1"/>
        </w:numPr>
        <w:rPr>
          <w:rFonts w:ascii="Arial" w:cs="Arial" w:eastAsia="Arial" w:hAnsi="Arial"/>
          <w:sz w:val="13"/>
          <w:szCs w:val="13"/>
          <w:color w:val="auto"/>
        </w:rPr>
      </w:pPr>
      <w:r>
        <w:rPr>
          <w:rFonts w:ascii="Arial" w:cs="Arial" w:eastAsia="Arial" w:hAnsi="Arial"/>
          <w:sz w:val="13"/>
          <w:szCs w:val="13"/>
          <w:color w:val="auto"/>
        </w:rPr>
        <w:t>to approve an advisory resolution on the Corporation’s approach to executive compensation; and</w:t>
      </w:r>
    </w:p>
    <w:p>
      <w:pPr>
        <w:spacing w:after="0" w:line="89" w:lineRule="exact"/>
        <w:rPr>
          <w:rFonts w:ascii="Arial" w:cs="Arial" w:eastAsia="Arial" w:hAnsi="Arial"/>
          <w:sz w:val="13"/>
          <w:szCs w:val="13"/>
          <w:color w:val="auto"/>
        </w:rPr>
      </w:pPr>
    </w:p>
    <w:p>
      <w:pPr>
        <w:ind w:left="1880" w:right="1499" w:hanging="137"/>
        <w:spacing w:after="0" w:line="285" w:lineRule="auto"/>
        <w:tabs>
          <w:tab w:leader="none" w:pos="1880" w:val="left"/>
        </w:tabs>
        <w:numPr>
          <w:ilvl w:val="0"/>
          <w:numId w:val="1"/>
        </w:numPr>
        <w:rPr>
          <w:rFonts w:ascii="Arial" w:cs="Arial" w:eastAsia="Arial" w:hAnsi="Arial"/>
          <w:sz w:val="13"/>
          <w:szCs w:val="13"/>
          <w:color w:val="auto"/>
        </w:rPr>
      </w:pPr>
      <w:r>
        <w:rPr>
          <w:rFonts w:ascii="Arial" w:cs="Arial" w:eastAsia="Arial" w:hAnsi="Arial"/>
          <w:sz w:val="13"/>
          <w:szCs w:val="13"/>
          <w:color w:val="auto"/>
        </w:rPr>
        <w:t>to transact such other business as may properly be brought before the Meeting and any adjournment(s) or postponement(s) thereof.</w:t>
      </w:r>
    </w:p>
    <w:p>
      <w:pPr>
        <w:spacing w:after="0" w:line="43" w:lineRule="exact"/>
        <w:rPr>
          <w:sz w:val="20"/>
          <w:szCs w:val="20"/>
          <w:color w:val="auto"/>
        </w:rPr>
      </w:pPr>
    </w:p>
    <w:p>
      <w:pPr>
        <w:jc w:val="both"/>
        <w:ind w:left="1480" w:right="1499"/>
        <w:spacing w:after="0" w:line="265" w:lineRule="auto"/>
        <w:rPr>
          <w:sz w:val="20"/>
          <w:szCs w:val="20"/>
          <w:color w:val="auto"/>
        </w:rPr>
      </w:pPr>
      <w:r>
        <w:rPr>
          <w:rFonts w:ascii="Arial" w:cs="Arial" w:eastAsia="Arial" w:hAnsi="Arial"/>
          <w:sz w:val="13"/>
          <w:szCs w:val="13"/>
          <w:color w:val="auto"/>
        </w:rPr>
        <w:t>Management knows of no other matters to come before the Meeting. However, if any other matters which are not now known to management should properly come before the Meeting, proxies given in favour of the Proxy Nominees (defined in the accompanying Management Information Circular) will be voted upon such matters in accordance with their best judgment.</w:t>
      </w:r>
    </w:p>
    <w:p>
      <w:pPr>
        <w:spacing w:after="0" w:line="56" w:lineRule="exact"/>
        <w:rPr>
          <w:sz w:val="20"/>
          <w:szCs w:val="20"/>
          <w:color w:val="auto"/>
        </w:rPr>
      </w:pPr>
    </w:p>
    <w:p>
      <w:pPr>
        <w:jc w:val="both"/>
        <w:ind w:left="1480" w:right="1499"/>
        <w:spacing w:after="0" w:line="265" w:lineRule="auto"/>
        <w:rPr>
          <w:sz w:val="20"/>
          <w:szCs w:val="20"/>
          <w:color w:val="auto"/>
        </w:rPr>
      </w:pPr>
      <w:r>
        <w:rPr>
          <w:rFonts w:ascii="Arial" w:cs="Arial" w:eastAsia="Arial" w:hAnsi="Arial"/>
          <w:sz w:val="13"/>
          <w:szCs w:val="13"/>
          <w:color w:val="auto"/>
        </w:rPr>
        <w:t>Only shareholders of record at the close of business on March 12, 2021 will be entitled to notice of, and to vote at the Meeting. Such shareholders are invited to vote at the Meeting by completing, signing, dating and returning the accompanying form of proxy by mail or by following the instructions for voting by telephone or internet in the accompanying form of proxy, whether or not they attend the virtual Meeting.</w:t>
      </w:r>
    </w:p>
    <w:p>
      <w:pPr>
        <w:spacing w:after="0" w:line="56" w:lineRule="exact"/>
        <w:rPr>
          <w:sz w:val="20"/>
          <w:szCs w:val="20"/>
          <w:color w:val="auto"/>
        </w:rPr>
      </w:pPr>
    </w:p>
    <w:p>
      <w:pPr>
        <w:jc w:val="both"/>
        <w:ind w:left="1480" w:right="1499"/>
        <w:spacing w:after="0" w:line="265" w:lineRule="auto"/>
        <w:rPr>
          <w:sz w:val="20"/>
          <w:szCs w:val="20"/>
          <w:color w:val="auto"/>
        </w:rPr>
      </w:pPr>
      <w:r>
        <w:rPr>
          <w:rFonts w:ascii="Arial" w:cs="Arial" w:eastAsia="Arial" w:hAnsi="Arial"/>
          <w:sz w:val="13"/>
          <w:szCs w:val="13"/>
          <w:color w:val="auto"/>
        </w:rPr>
        <w:t xml:space="preserve">All registered shareholders (shareholders whose shares are registered directly in such shareholder’s name with our registrar and transfer agent, Computershare Investor Services Inc.) or their duly appointed proxyholders can attend the Meeting online at </w:t>
      </w:r>
      <w:r>
        <w:rPr>
          <w:rFonts w:ascii="Arial" w:cs="Arial" w:eastAsia="Arial" w:hAnsi="Arial"/>
          <w:sz w:val="13"/>
          <w:szCs w:val="13"/>
          <w:u w:val="single" w:color="auto"/>
          <w:color w:val="auto"/>
        </w:rPr>
        <w:t>https://web.lumiagm.com/271769863</w:t>
      </w:r>
      <w:r>
        <w:rPr>
          <w:rFonts w:ascii="Arial" w:cs="Arial" w:eastAsia="Arial" w:hAnsi="Arial"/>
          <w:sz w:val="13"/>
          <w:szCs w:val="13"/>
          <w:color w:val="auto"/>
        </w:rPr>
        <w:t xml:space="preserve"> where they can participate, vote or submit questions during the virtual Meeting.</w:t>
      </w:r>
    </w:p>
    <w:p>
      <w:pPr>
        <w:spacing w:after="0" w:line="200" w:lineRule="exact"/>
        <w:rPr>
          <w:sz w:val="20"/>
          <w:szCs w:val="20"/>
          <w:color w:val="auto"/>
        </w:rPr>
      </w:pPr>
    </w:p>
    <w:p>
      <w:pPr>
        <w:spacing w:after="0" w:line="226"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DATED at Toronto, Ontario this 11</w:t>
      </w:r>
      <w:r>
        <w:rPr>
          <w:rFonts w:ascii="Arial" w:cs="Arial" w:eastAsia="Arial" w:hAnsi="Arial"/>
          <w:sz w:val="19"/>
          <w:szCs w:val="19"/>
          <w:color w:val="auto"/>
          <w:vertAlign w:val="superscript"/>
        </w:rPr>
        <w:t>th</w:t>
      </w:r>
      <w:r>
        <w:rPr>
          <w:rFonts w:ascii="Arial" w:cs="Arial" w:eastAsia="Arial" w:hAnsi="Arial"/>
          <w:sz w:val="13"/>
          <w:szCs w:val="13"/>
          <w:color w:val="auto"/>
        </w:rPr>
        <w:t xml:space="preserve"> day of March, 2021.</w:t>
      </w:r>
    </w:p>
    <w:p>
      <w:pPr>
        <w:spacing w:after="0" w:line="59"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233045</wp:posOffset>
            </wp:positionV>
            <wp:extent cx="796290" cy="2209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96290" cy="220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Robert Ellis</w:t>
      </w:r>
    </w:p>
    <w:p>
      <w:pPr>
        <w:spacing w:after="0" w:line="19"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Chief Legal Officer and Corporate Secretary</w:t>
      </w:r>
    </w:p>
    <w:p>
      <w:pPr>
        <w:spacing w:after="0" w:line="160" w:lineRule="exact"/>
        <w:rPr>
          <w:sz w:val="20"/>
          <w:szCs w:val="20"/>
          <w:color w:val="auto"/>
        </w:rPr>
      </w:pPr>
    </w:p>
    <w:p>
      <w:pPr>
        <w:ind w:left="1480" w:right="1539"/>
        <w:spacing w:after="0" w:line="303" w:lineRule="auto"/>
        <w:rPr>
          <w:sz w:val="20"/>
          <w:szCs w:val="20"/>
          <w:color w:val="auto"/>
        </w:rPr>
      </w:pPr>
      <w:r>
        <w:rPr>
          <w:rFonts w:ascii="Arial" w:cs="Arial" w:eastAsia="Arial" w:hAnsi="Arial"/>
          <w:sz w:val="12"/>
          <w:szCs w:val="12"/>
          <w:i w:val="1"/>
          <w:iCs w:val="1"/>
          <w:color w:val="auto"/>
        </w:rPr>
        <w:t xml:space="preserve">Note: If you are a new shareholder or a shareholder who did not elect to receive a copy of our 2020 Annual Report, you can view that report on our website at </w:t>
      </w:r>
      <w:r>
        <w:rPr>
          <w:rFonts w:ascii="Arial" w:cs="Arial" w:eastAsia="Arial" w:hAnsi="Arial"/>
          <w:sz w:val="12"/>
          <w:szCs w:val="12"/>
          <w:i w:val="1"/>
          <w:iCs w:val="1"/>
          <w:u w:val="single" w:color="auto"/>
          <w:color w:val="auto"/>
        </w:rPr>
        <w:t>www.celestica.com</w:t>
      </w:r>
      <w:r>
        <w:rPr>
          <w:rFonts w:ascii="Arial" w:cs="Arial" w:eastAsia="Arial" w:hAnsi="Arial"/>
          <w:sz w:val="12"/>
          <w:szCs w:val="12"/>
          <w:i w:val="1"/>
          <w:iCs w:val="1"/>
          <w:color w:val="auto"/>
        </w:rPr>
        <w:t xml:space="preserve"> or under our profile at </w:t>
      </w:r>
      <w:r>
        <w:rPr>
          <w:rFonts w:ascii="Arial" w:cs="Arial" w:eastAsia="Arial" w:hAnsi="Arial"/>
          <w:sz w:val="12"/>
          <w:szCs w:val="12"/>
          <w:i w:val="1"/>
          <w:iCs w:val="1"/>
          <w:u w:val="single" w:color="auto"/>
          <w:color w:val="auto"/>
        </w:rPr>
        <w:t>www.sedar.com</w:t>
      </w:r>
      <w:r>
        <w:rPr>
          <w:rFonts w:ascii="Arial" w:cs="Arial" w:eastAsia="Arial" w:hAnsi="Arial"/>
          <w:sz w:val="12"/>
          <w:szCs w:val="12"/>
          <w:i w:val="1"/>
          <w:iCs w:val="1"/>
          <w:color w:val="auto"/>
        </w:rPr>
        <w:t xml:space="preserve">. If you wish to receive a hard copy of the report, please contact us at </w:t>
      </w:r>
      <w:r>
        <w:rPr>
          <w:rFonts w:ascii="Arial" w:cs="Arial" w:eastAsia="Arial" w:hAnsi="Arial"/>
          <w:sz w:val="12"/>
          <w:szCs w:val="12"/>
          <w:i w:val="1"/>
          <w:iCs w:val="1"/>
          <w:u w:val="single" w:color="auto"/>
          <w:color w:val="auto"/>
        </w:rPr>
        <w:t>clsir@celestica.com</w:t>
      </w:r>
      <w:r>
        <w:rPr>
          <w:rFonts w:ascii="Arial" w:cs="Arial" w:eastAsia="Arial" w:hAnsi="Arial"/>
          <w:sz w:val="12"/>
          <w:szCs w:val="12"/>
          <w:i w:val="1"/>
          <w:iCs w:val="1"/>
          <w:color w:val="auto"/>
        </w:rPr>
        <w:t>.</w:t>
      </w: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 w:name="page10"/>
    <w:bookmarkEnd w:id="9"/>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2158365</wp:posOffset>
            </wp:positionH>
            <wp:positionV relativeFrom="paragraph">
              <wp:posOffset>359410</wp:posOffset>
            </wp:positionV>
            <wp:extent cx="1409700" cy="5943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09700"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960"/>
        <w:spacing w:after="0"/>
        <w:rPr>
          <w:sz w:val="20"/>
          <w:szCs w:val="20"/>
          <w:color w:val="auto"/>
        </w:rPr>
      </w:pPr>
      <w:r>
        <w:rPr>
          <w:rFonts w:ascii="Arial" w:cs="Arial" w:eastAsia="Arial" w:hAnsi="Arial"/>
          <w:sz w:val="13"/>
          <w:szCs w:val="13"/>
          <w:b w:val="1"/>
          <w:bCs w:val="1"/>
          <w:color w:val="auto"/>
        </w:rPr>
        <w:t>CELESTICA INC.</w:t>
      </w:r>
    </w:p>
    <w:p>
      <w:pPr>
        <w:spacing w:after="0" w:line="23" w:lineRule="exact"/>
        <w:rPr>
          <w:sz w:val="20"/>
          <w:szCs w:val="20"/>
          <w:color w:val="auto"/>
        </w:rPr>
      </w:pPr>
    </w:p>
    <w:p>
      <w:pPr>
        <w:ind w:left="3640"/>
        <w:spacing w:after="0"/>
        <w:rPr>
          <w:sz w:val="20"/>
          <w:szCs w:val="20"/>
          <w:color w:val="auto"/>
        </w:rPr>
      </w:pPr>
      <w:r>
        <w:rPr>
          <w:rFonts w:ascii="Arial" w:cs="Arial" w:eastAsia="Arial" w:hAnsi="Arial"/>
          <w:sz w:val="13"/>
          <w:szCs w:val="13"/>
          <w:color w:val="auto"/>
        </w:rPr>
        <w:t>5140 Yonge Street, Suite 1900</w:t>
      </w:r>
    </w:p>
    <w:p>
      <w:pPr>
        <w:spacing w:after="0" w:line="10" w:lineRule="exact"/>
        <w:rPr>
          <w:sz w:val="20"/>
          <w:szCs w:val="20"/>
          <w:color w:val="auto"/>
        </w:rPr>
      </w:pPr>
    </w:p>
    <w:p>
      <w:pPr>
        <w:ind w:left="3500"/>
        <w:spacing w:after="0"/>
        <w:rPr>
          <w:sz w:val="20"/>
          <w:szCs w:val="20"/>
          <w:color w:val="auto"/>
        </w:rPr>
      </w:pPr>
      <w:r>
        <w:rPr>
          <w:rFonts w:ascii="Arial" w:cs="Arial" w:eastAsia="Arial" w:hAnsi="Arial"/>
          <w:sz w:val="13"/>
          <w:szCs w:val="13"/>
          <w:color w:val="auto"/>
        </w:rPr>
        <w:t>Toronto, Ontario, Canada M2N 6L7</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9"/>
          <w:szCs w:val="19"/>
          <w:b w:val="1"/>
          <w:bCs w:val="1"/>
          <w:color w:val="auto"/>
        </w:rPr>
        <w:t>MANAGEMENT INFORMATION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73660</wp:posOffset>
            </wp:positionV>
            <wp:extent cx="3843655"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43655" cy="635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86360</wp:posOffset>
            </wp:positionV>
            <wp:extent cx="3843655"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277" w:lineRule="exact"/>
        <w:rPr>
          <w:sz w:val="20"/>
          <w:szCs w:val="20"/>
          <w:color w:val="auto"/>
        </w:rPr>
      </w:pPr>
    </w:p>
    <w:p>
      <w:pPr>
        <w:jc w:val="both"/>
        <w:ind w:left="1480" w:right="1499"/>
        <w:spacing w:after="0" w:line="260" w:lineRule="auto"/>
        <w:rPr>
          <w:sz w:val="20"/>
          <w:szCs w:val="20"/>
          <w:color w:val="auto"/>
        </w:rPr>
      </w:pPr>
      <w:r>
        <w:rPr>
          <w:rFonts w:ascii="Arial" w:cs="Arial" w:eastAsia="Arial" w:hAnsi="Arial"/>
          <w:sz w:val="13"/>
          <w:szCs w:val="13"/>
          <w:i w:val="1"/>
          <w:iCs w:val="1"/>
          <w:color w:val="auto"/>
        </w:rPr>
        <w:t>In this Management Information Circular (the “</w:t>
      </w:r>
      <w:r>
        <w:rPr>
          <w:rFonts w:ascii="Arial" w:cs="Arial" w:eastAsia="Arial" w:hAnsi="Arial"/>
          <w:sz w:val="13"/>
          <w:szCs w:val="13"/>
          <w:b w:val="1"/>
          <w:bCs w:val="1"/>
          <w:i w:val="1"/>
          <w:iCs w:val="1"/>
          <w:color w:val="auto"/>
        </w:rPr>
        <w:t>Circular</w:t>
      </w:r>
      <w:r>
        <w:rPr>
          <w:rFonts w:ascii="Arial" w:cs="Arial" w:eastAsia="Arial" w:hAnsi="Arial"/>
          <w:sz w:val="13"/>
          <w:szCs w:val="13"/>
          <w:i w:val="1"/>
          <w:iCs w:val="1"/>
          <w:color w:val="auto"/>
        </w:rPr>
        <w:t>”), unless otherwise noted, all information is given as of February 22, 2021 and all dollar amounts are expressed in United States (“</w:t>
      </w:r>
      <w:r>
        <w:rPr>
          <w:rFonts w:ascii="Arial" w:cs="Arial" w:eastAsia="Arial" w:hAnsi="Arial"/>
          <w:sz w:val="13"/>
          <w:szCs w:val="13"/>
          <w:b w:val="1"/>
          <w:bCs w:val="1"/>
          <w:i w:val="1"/>
          <w:iCs w:val="1"/>
          <w:color w:val="auto"/>
        </w:rPr>
        <w:t>U.S.</w:t>
      </w:r>
      <w:r>
        <w:rPr>
          <w:rFonts w:ascii="Arial" w:cs="Arial" w:eastAsia="Arial" w:hAnsi="Arial"/>
          <w:sz w:val="13"/>
          <w:szCs w:val="13"/>
          <w:i w:val="1"/>
          <w:iCs w:val="1"/>
          <w:color w:val="auto"/>
        </w:rPr>
        <w:t>”) dollars. Unless stated otherwise, all references to “U.S.$” or “$” are to U.S. dollars and all references to “C$” are to Canadian dollars. Unless otherwise indicated, any reference in this Circular to a conversion between U.S.$ and C$ is a conversion at the average of the exchange rates in effect for 2020. During that period, based on the relevant 2020 noon buying rates in New York City for cable transfers in Canadian dollars, as certified for customs purposes by the Board of Governors of the U.S. Federal Reserve System, the average exchange rate was $1.00 = C$1.3422</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106045</wp:posOffset>
            </wp:positionV>
            <wp:extent cx="3843655" cy="1898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43655" cy="189865"/>
                    </a:xfrm>
                    <a:prstGeom prst="rect">
                      <a:avLst/>
                    </a:prstGeom>
                    <a:noFill/>
                  </pic:spPr>
                </pic:pic>
              </a:graphicData>
            </a:graphic>
          </wp:anchor>
        </w:drawing>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QUESTIONS AND ANSWERS ON VOTING AND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41910</wp:posOffset>
            </wp:positionV>
            <wp:extent cx="3843655"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302" w:lineRule="exact"/>
        <w:rPr>
          <w:sz w:val="20"/>
          <w:szCs w:val="20"/>
          <w:color w:val="auto"/>
        </w:rPr>
      </w:pPr>
    </w:p>
    <w:p>
      <w:pPr>
        <w:ind w:left="1740" w:hanging="262"/>
        <w:spacing w:after="0"/>
        <w:tabs>
          <w:tab w:leader="none" w:pos="1740"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WHAT DECISIONS WILL I BE ASKED TO MAKE?</w:t>
      </w:r>
    </w:p>
    <w:p>
      <w:pPr>
        <w:spacing w:after="0" w:line="103" w:lineRule="exact"/>
        <w:rPr>
          <w:rFonts w:ascii="Arial" w:cs="Arial" w:eastAsia="Arial" w:hAnsi="Arial"/>
          <w:sz w:val="13"/>
          <w:szCs w:val="13"/>
          <w:b w:val="1"/>
          <w:bCs w:val="1"/>
          <w:color w:val="auto"/>
        </w:rPr>
      </w:pPr>
    </w:p>
    <w:p>
      <w:pPr>
        <w:jc w:val="both"/>
        <w:ind w:left="1740" w:right="1499" w:hanging="262"/>
        <w:spacing w:after="0" w:line="263" w:lineRule="auto"/>
        <w:tabs>
          <w:tab w:leader="none" w:pos="1740" w:val="left"/>
        </w:tabs>
        <w:numPr>
          <w:ilvl w:val="0"/>
          <w:numId w:val="3"/>
        </w:numPr>
        <w:rPr>
          <w:rFonts w:ascii="Arial" w:cs="Arial" w:eastAsia="Arial" w:hAnsi="Arial"/>
          <w:sz w:val="13"/>
          <w:szCs w:val="13"/>
          <w:b w:val="1"/>
          <w:bCs w:val="1"/>
          <w:color w:val="auto"/>
        </w:rPr>
      </w:pPr>
      <w:r>
        <w:rPr>
          <w:rFonts w:ascii="Arial" w:cs="Arial" w:eastAsia="Arial" w:hAnsi="Arial"/>
          <w:sz w:val="13"/>
          <w:szCs w:val="13"/>
          <w:color w:val="auto"/>
        </w:rPr>
        <w:t>Shareholders will be voting on the following matters: the election of each individual director to the Board of Directors of the Corporation (the “</w:t>
      </w:r>
      <w:r>
        <w:rPr>
          <w:rFonts w:ascii="Arial" w:cs="Arial" w:eastAsia="Arial" w:hAnsi="Arial"/>
          <w:sz w:val="13"/>
          <w:szCs w:val="13"/>
          <w:b w:val="1"/>
          <w:bCs w:val="1"/>
          <w:color w:val="auto"/>
        </w:rPr>
        <w:t>Board</w:t>
      </w:r>
      <w:r>
        <w:rPr>
          <w:rFonts w:ascii="Arial" w:cs="Arial" w:eastAsia="Arial" w:hAnsi="Arial"/>
          <w:sz w:val="13"/>
          <w:szCs w:val="13"/>
          <w:color w:val="auto"/>
        </w:rPr>
        <w:t>” or the “</w:t>
      </w:r>
      <w:r>
        <w:rPr>
          <w:rFonts w:ascii="Arial" w:cs="Arial" w:eastAsia="Arial" w:hAnsi="Arial"/>
          <w:sz w:val="13"/>
          <w:szCs w:val="13"/>
          <w:b w:val="1"/>
          <w:bCs w:val="1"/>
          <w:color w:val="auto"/>
        </w:rPr>
        <w:t>Board of Directors</w:t>
      </w:r>
      <w:r>
        <w:rPr>
          <w:rFonts w:ascii="Arial" w:cs="Arial" w:eastAsia="Arial" w:hAnsi="Arial"/>
          <w:sz w:val="13"/>
          <w:szCs w:val="13"/>
          <w:color w:val="auto"/>
        </w:rPr>
        <w:t>”) for the ensuing year, the appointment of an auditor for the Corporation for the ensuing year, authorization of the Board to fix the auditor’s remuneration, an advisory resolution on the Corporation’s approach to executive compensation, and any other matters as may properly be brought before the Meeting.</w:t>
      </w:r>
    </w:p>
    <w:p>
      <w:pPr>
        <w:spacing w:after="0" w:line="56" w:lineRule="exact"/>
        <w:rPr>
          <w:rFonts w:ascii="Arial" w:cs="Arial" w:eastAsia="Arial" w:hAnsi="Arial"/>
          <w:sz w:val="13"/>
          <w:szCs w:val="13"/>
          <w:b w:val="1"/>
          <w:bCs w:val="1"/>
          <w:color w:val="auto"/>
        </w:rPr>
      </w:pPr>
    </w:p>
    <w:p>
      <w:pPr>
        <w:jc w:val="both"/>
        <w:ind w:left="1740" w:right="1499"/>
        <w:spacing w:after="0" w:line="263" w:lineRule="auto"/>
        <w:rPr>
          <w:rFonts w:ascii="Arial" w:cs="Arial" w:eastAsia="Arial" w:hAnsi="Arial"/>
          <w:sz w:val="13"/>
          <w:szCs w:val="13"/>
          <w:b w:val="1"/>
          <w:bCs w:val="1"/>
          <w:color w:val="auto"/>
        </w:rPr>
      </w:pPr>
      <w:r>
        <w:rPr>
          <w:rFonts w:ascii="Arial" w:cs="Arial" w:eastAsia="Arial" w:hAnsi="Arial"/>
          <w:sz w:val="13"/>
          <w:szCs w:val="13"/>
          <w:color w:val="auto"/>
        </w:rPr>
        <w:t xml:space="preserve">The Corporation’s Board of Directors and management recommend that you vote </w:t>
      </w:r>
      <w:r>
        <w:rPr>
          <w:rFonts w:ascii="Arial" w:cs="Arial" w:eastAsia="Arial" w:hAnsi="Arial"/>
          <w:sz w:val="13"/>
          <w:szCs w:val="13"/>
          <w:b w:val="1"/>
          <w:bCs w:val="1"/>
          <w:i w:val="1"/>
          <w:iCs w:val="1"/>
          <w:color w:val="auto"/>
        </w:rPr>
        <w:t>in favour</w:t>
      </w:r>
      <w:r>
        <w:rPr>
          <w:rFonts w:ascii="Arial" w:cs="Arial" w:eastAsia="Arial" w:hAnsi="Arial"/>
          <w:sz w:val="13"/>
          <w:szCs w:val="13"/>
          <w:color w:val="auto"/>
        </w:rPr>
        <w:t xml:space="preserve"> of each of the proposed nominees for election as directors of the Corporation, </w:t>
      </w:r>
      <w:r>
        <w:rPr>
          <w:rFonts w:ascii="Arial" w:cs="Arial" w:eastAsia="Arial" w:hAnsi="Arial"/>
          <w:sz w:val="13"/>
          <w:szCs w:val="13"/>
          <w:b w:val="1"/>
          <w:bCs w:val="1"/>
          <w:i w:val="1"/>
          <w:iCs w:val="1"/>
          <w:color w:val="auto"/>
        </w:rPr>
        <w:t>in favour</w:t>
      </w:r>
      <w:r>
        <w:rPr>
          <w:rFonts w:ascii="Arial" w:cs="Arial" w:eastAsia="Arial" w:hAnsi="Arial"/>
          <w:sz w:val="13"/>
          <w:szCs w:val="13"/>
          <w:color w:val="auto"/>
        </w:rPr>
        <w:t xml:space="preserve"> of the appointment of KPMG LLP as auditor of the Corporation, </w:t>
      </w:r>
      <w:r>
        <w:rPr>
          <w:rFonts w:ascii="Arial" w:cs="Arial" w:eastAsia="Arial" w:hAnsi="Arial"/>
          <w:sz w:val="13"/>
          <w:szCs w:val="13"/>
          <w:b w:val="1"/>
          <w:bCs w:val="1"/>
          <w:i w:val="1"/>
          <w:iCs w:val="1"/>
          <w:color w:val="auto"/>
        </w:rPr>
        <w:t>in favour</w:t>
      </w:r>
      <w:r>
        <w:rPr>
          <w:rFonts w:ascii="Arial" w:cs="Arial" w:eastAsia="Arial" w:hAnsi="Arial"/>
          <w:sz w:val="13"/>
          <w:szCs w:val="13"/>
          <w:color w:val="auto"/>
        </w:rPr>
        <w:t xml:space="preserve"> of the authorization of the Board of Directors of the Corporation to fix the remuneration to be paid to the auditor, and </w:t>
      </w:r>
      <w:r>
        <w:rPr>
          <w:rFonts w:ascii="Arial" w:cs="Arial" w:eastAsia="Arial" w:hAnsi="Arial"/>
          <w:sz w:val="13"/>
          <w:szCs w:val="13"/>
          <w:b w:val="1"/>
          <w:bCs w:val="1"/>
          <w:i w:val="1"/>
          <w:iCs w:val="1"/>
          <w:color w:val="auto"/>
        </w:rPr>
        <w:t>in favour</w:t>
      </w:r>
      <w:r>
        <w:rPr>
          <w:rFonts w:ascii="Arial" w:cs="Arial" w:eastAsia="Arial" w:hAnsi="Arial"/>
          <w:sz w:val="13"/>
          <w:szCs w:val="13"/>
          <w:color w:val="auto"/>
        </w:rPr>
        <w:t xml:space="preserve"> of the advisory resolution on the Corporation’s approach to executive compensation.</w:t>
      </w:r>
    </w:p>
    <w:p>
      <w:pPr>
        <w:spacing w:after="0" w:line="62" w:lineRule="exact"/>
        <w:rPr>
          <w:rFonts w:ascii="Arial" w:cs="Arial" w:eastAsia="Arial" w:hAnsi="Arial"/>
          <w:sz w:val="13"/>
          <w:szCs w:val="13"/>
          <w:b w:val="1"/>
          <w:bCs w:val="1"/>
          <w:color w:val="auto"/>
        </w:rPr>
      </w:pPr>
    </w:p>
    <w:p>
      <w:pPr>
        <w:ind w:left="1740" w:hanging="262"/>
        <w:spacing w:after="0"/>
        <w:tabs>
          <w:tab w:leader="none" w:pos="1740"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color w:val="auto"/>
        </w:rPr>
        <w:t>WHO IS SOLICITING MY PROXY?</w:t>
      </w:r>
    </w:p>
    <w:p>
      <w:pPr>
        <w:spacing w:after="0" w:line="99" w:lineRule="exact"/>
        <w:rPr>
          <w:rFonts w:ascii="Arial" w:cs="Arial" w:eastAsia="Arial" w:hAnsi="Arial"/>
          <w:sz w:val="13"/>
          <w:szCs w:val="13"/>
          <w:b w:val="1"/>
          <w:bCs w:val="1"/>
          <w:color w:val="auto"/>
        </w:rPr>
      </w:pPr>
    </w:p>
    <w:p>
      <w:pPr>
        <w:jc w:val="both"/>
        <w:ind w:left="1740" w:right="1499" w:hanging="262"/>
        <w:spacing w:after="0" w:line="264" w:lineRule="auto"/>
        <w:tabs>
          <w:tab w:leader="none" w:pos="1740" w:val="left"/>
        </w:tabs>
        <w:numPr>
          <w:ilvl w:val="0"/>
          <w:numId w:val="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The Corporation’s management is soliciting your proxy. </w:t>
      </w:r>
      <w:r>
        <w:rPr>
          <w:rFonts w:ascii="Arial" w:cs="Arial" w:eastAsia="Arial" w:hAnsi="Arial"/>
          <w:sz w:val="13"/>
          <w:szCs w:val="13"/>
          <w:color w:val="auto"/>
        </w:rPr>
        <w:t>All associated costs of solicitation will be borne</w:t>
      </w:r>
      <w:r>
        <w:rPr>
          <w:rFonts w:ascii="Arial" w:cs="Arial" w:eastAsia="Arial" w:hAnsi="Arial"/>
          <w:sz w:val="13"/>
          <w:szCs w:val="13"/>
          <w:b w:val="1"/>
          <w:bCs w:val="1"/>
          <w:color w:val="auto"/>
        </w:rPr>
        <w:t xml:space="preserve"> </w:t>
      </w:r>
      <w:r>
        <w:rPr>
          <w:rFonts w:ascii="Arial" w:cs="Arial" w:eastAsia="Arial" w:hAnsi="Arial"/>
          <w:sz w:val="13"/>
          <w:szCs w:val="13"/>
          <w:color w:val="auto"/>
        </w:rPr>
        <w:t>by the Corporation. The solicitation will be primarily by mail, but proxies may also be solicited personally by regular employees of the Corporation for which no additional compensation will be paid. The Corporation anticipates that copies of this Circular and accompanying form of proxy will be sent to registered shareholders on or about March 24, 2021.</w:t>
      </w:r>
    </w:p>
    <w:p>
      <w:pPr>
        <w:spacing w:after="0" w:line="73" w:lineRule="exact"/>
        <w:rPr>
          <w:rFonts w:ascii="Arial" w:cs="Arial" w:eastAsia="Arial" w:hAnsi="Arial"/>
          <w:sz w:val="13"/>
          <w:szCs w:val="13"/>
          <w:b w:val="1"/>
          <w:bCs w:val="1"/>
          <w:color w:val="auto"/>
        </w:rPr>
      </w:pPr>
    </w:p>
    <w:p>
      <w:pPr>
        <w:ind w:left="1740" w:hanging="262"/>
        <w:spacing w:after="0"/>
        <w:tabs>
          <w:tab w:leader="none" w:pos="1740" w:val="left"/>
        </w:tabs>
        <w:numPr>
          <w:ilvl w:val="0"/>
          <w:numId w:val="6"/>
        </w:numPr>
        <w:rPr>
          <w:rFonts w:ascii="Arial" w:cs="Arial" w:eastAsia="Arial" w:hAnsi="Arial"/>
          <w:sz w:val="13"/>
          <w:szCs w:val="13"/>
          <w:b w:val="1"/>
          <w:bCs w:val="1"/>
          <w:color w:val="auto"/>
        </w:rPr>
      </w:pPr>
      <w:r>
        <w:rPr>
          <w:rFonts w:ascii="Arial" w:cs="Arial" w:eastAsia="Arial" w:hAnsi="Arial"/>
          <w:sz w:val="13"/>
          <w:szCs w:val="13"/>
          <w:b w:val="1"/>
          <w:bCs w:val="1"/>
          <w:color w:val="auto"/>
        </w:rPr>
        <w:t>WHO IS ENTITLED TO VOTE?</w:t>
      </w:r>
    </w:p>
    <w:p>
      <w:pPr>
        <w:spacing w:after="0" w:line="99" w:lineRule="exact"/>
        <w:rPr>
          <w:rFonts w:ascii="Arial" w:cs="Arial" w:eastAsia="Arial" w:hAnsi="Arial"/>
          <w:sz w:val="13"/>
          <w:szCs w:val="13"/>
          <w:b w:val="1"/>
          <w:bCs w:val="1"/>
          <w:color w:val="auto"/>
        </w:rPr>
      </w:pPr>
    </w:p>
    <w:p>
      <w:pPr>
        <w:jc w:val="both"/>
        <w:ind w:left="1740" w:right="1499" w:hanging="262"/>
        <w:spacing w:after="0" w:line="273" w:lineRule="auto"/>
        <w:tabs>
          <w:tab w:leader="none" w:pos="1740" w:val="left"/>
        </w:tabs>
        <w:numPr>
          <w:ilvl w:val="0"/>
          <w:numId w:val="7"/>
        </w:numPr>
        <w:rPr>
          <w:rFonts w:ascii="Arial" w:cs="Arial" w:eastAsia="Arial" w:hAnsi="Arial"/>
          <w:sz w:val="13"/>
          <w:szCs w:val="13"/>
          <w:b w:val="1"/>
          <w:bCs w:val="1"/>
          <w:color w:val="auto"/>
        </w:rPr>
      </w:pPr>
      <w:r>
        <w:rPr>
          <w:rFonts w:ascii="Arial" w:cs="Arial" w:eastAsia="Arial" w:hAnsi="Arial"/>
          <w:sz w:val="13"/>
          <w:szCs w:val="13"/>
          <w:color w:val="auto"/>
        </w:rPr>
        <w:t>Any holder of Subordinate Voting Shares (“</w:t>
      </w:r>
      <w:r>
        <w:rPr>
          <w:rFonts w:ascii="Arial" w:cs="Arial" w:eastAsia="Arial" w:hAnsi="Arial"/>
          <w:sz w:val="13"/>
          <w:szCs w:val="13"/>
          <w:b w:val="1"/>
          <w:bCs w:val="1"/>
          <w:color w:val="auto"/>
        </w:rPr>
        <w:t>SVS</w:t>
      </w:r>
      <w:r>
        <w:rPr>
          <w:rFonts w:ascii="Arial" w:cs="Arial" w:eastAsia="Arial" w:hAnsi="Arial"/>
          <w:sz w:val="13"/>
          <w:szCs w:val="13"/>
          <w:color w:val="auto"/>
        </w:rPr>
        <w:t>”) or Multiple Voting Shares (“</w:t>
      </w:r>
      <w:r>
        <w:rPr>
          <w:rFonts w:ascii="Arial" w:cs="Arial" w:eastAsia="Arial" w:hAnsi="Arial"/>
          <w:sz w:val="13"/>
          <w:szCs w:val="13"/>
          <w:b w:val="1"/>
          <w:bCs w:val="1"/>
          <w:color w:val="auto"/>
        </w:rPr>
        <w:t>MVS</w:t>
      </w:r>
      <w:r>
        <w:rPr>
          <w:rFonts w:ascii="Arial" w:cs="Arial" w:eastAsia="Arial" w:hAnsi="Arial"/>
          <w:sz w:val="13"/>
          <w:szCs w:val="13"/>
          <w:color w:val="auto"/>
        </w:rPr>
        <w:t>”) of the Corporation at the close of business on March 12, 2021 or such holder’s duly appointed proxyholders or representatives are entitled to vote.</w:t>
      </w:r>
    </w:p>
    <w:p>
      <w:pPr>
        <w:spacing w:after="0" w:line="51" w:lineRule="exact"/>
        <w:rPr>
          <w:rFonts w:ascii="Arial" w:cs="Arial" w:eastAsia="Arial" w:hAnsi="Arial"/>
          <w:sz w:val="13"/>
          <w:szCs w:val="13"/>
          <w:b w:val="1"/>
          <w:bCs w:val="1"/>
          <w:color w:val="auto"/>
        </w:rPr>
      </w:pPr>
    </w:p>
    <w:p>
      <w:pPr>
        <w:jc w:val="both"/>
        <w:ind w:left="1740" w:right="1499"/>
        <w:spacing w:after="0" w:line="265" w:lineRule="auto"/>
        <w:rPr>
          <w:rFonts w:ascii="Arial" w:cs="Arial" w:eastAsia="Arial" w:hAnsi="Arial"/>
          <w:sz w:val="13"/>
          <w:szCs w:val="13"/>
          <w:b w:val="1"/>
          <w:bCs w:val="1"/>
          <w:color w:val="auto"/>
        </w:rPr>
      </w:pPr>
      <w:r>
        <w:rPr>
          <w:rFonts w:ascii="Arial" w:cs="Arial" w:eastAsia="Arial" w:hAnsi="Arial"/>
          <w:sz w:val="13"/>
          <w:szCs w:val="13"/>
          <w:color w:val="auto"/>
        </w:rPr>
        <w:t>As at February 22, 2021, 110,450,723 SVS (which carry one vote per share and collectively represent approximately 19.2% of the voting power of the Corporation’s securities) and 18,600,193 MVS (which carry 25 votes per share and collectively represent approximately 80.8% of the voting power of the Corporation’s securities) were issued and outstanding.</w:t>
      </w: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201295</wp:posOffset>
            </wp:positionV>
            <wp:extent cx="5019040" cy="12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 w:name="page11"/>
    <w:bookmarkEnd w:id="10"/>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93" w:lineRule="exact"/>
        <w:rPr>
          <w:sz w:val="20"/>
          <w:szCs w:val="20"/>
          <w:color w:val="auto"/>
        </w:rPr>
      </w:pPr>
    </w:p>
    <w:p>
      <w:pPr>
        <w:ind w:left="1740" w:hanging="262"/>
        <w:spacing w:after="0"/>
        <w:tabs>
          <w:tab w:leader="none" w:pos="1740" w:val="left"/>
        </w:tabs>
        <w:numPr>
          <w:ilvl w:val="0"/>
          <w:numId w:val="8"/>
        </w:numPr>
        <w:rPr>
          <w:rFonts w:ascii="Arial" w:cs="Arial" w:eastAsia="Arial" w:hAnsi="Arial"/>
          <w:sz w:val="13"/>
          <w:szCs w:val="13"/>
          <w:b w:val="1"/>
          <w:bCs w:val="1"/>
          <w:color w:val="auto"/>
        </w:rPr>
      </w:pPr>
      <w:r>
        <w:rPr>
          <w:rFonts w:ascii="Arial" w:cs="Arial" w:eastAsia="Arial" w:hAnsi="Arial"/>
          <w:sz w:val="13"/>
          <w:szCs w:val="13"/>
          <w:b w:val="1"/>
          <w:bCs w:val="1"/>
          <w:color w:val="auto"/>
        </w:rPr>
        <w:t>WHY ARE WE HAVING A VIRTUAL ONLY MEETING?</w:t>
      </w:r>
    </w:p>
    <w:p>
      <w:pPr>
        <w:spacing w:after="0" w:line="83" w:lineRule="exact"/>
        <w:rPr>
          <w:rFonts w:ascii="Arial" w:cs="Arial" w:eastAsia="Arial" w:hAnsi="Arial"/>
          <w:sz w:val="13"/>
          <w:szCs w:val="13"/>
          <w:b w:val="1"/>
          <w:bCs w:val="1"/>
          <w:color w:val="auto"/>
        </w:rPr>
      </w:pPr>
    </w:p>
    <w:p>
      <w:pPr>
        <w:jc w:val="both"/>
        <w:ind w:left="1740" w:right="1499" w:hanging="262"/>
        <w:spacing w:after="0" w:line="263" w:lineRule="auto"/>
        <w:tabs>
          <w:tab w:leader="none" w:pos="1740" w:val="left"/>
        </w:tabs>
        <w:numPr>
          <w:ilvl w:val="0"/>
          <w:numId w:val="9"/>
        </w:numPr>
        <w:rPr>
          <w:rFonts w:ascii="Arial" w:cs="Arial" w:eastAsia="Arial" w:hAnsi="Arial"/>
          <w:sz w:val="13"/>
          <w:szCs w:val="13"/>
          <w:b w:val="1"/>
          <w:bCs w:val="1"/>
          <w:color w:val="auto"/>
        </w:rPr>
      </w:pPr>
      <w:r>
        <w:rPr>
          <w:rFonts w:ascii="Arial" w:cs="Arial" w:eastAsia="Arial" w:hAnsi="Arial"/>
          <w:sz w:val="13"/>
          <w:szCs w:val="13"/>
          <w:color w:val="auto"/>
        </w:rPr>
        <w:t>This year in light of the public health impact of the COVID-19 pandemic and our commitment to support the health, safety and wellness of our communities, shareholders, and other stakeholders, we will hold the Meeting in a virtual-only format, which will be conducted over the internet via live audio-only webcast. We intend to hold the virtual Meeting in a manner that affords you opportunities to participate, substantially similar to those you would have at an in-person meeting.</w:t>
      </w:r>
    </w:p>
    <w:p>
      <w:pPr>
        <w:spacing w:after="0" w:line="52" w:lineRule="exact"/>
        <w:rPr>
          <w:rFonts w:ascii="Arial" w:cs="Arial" w:eastAsia="Arial" w:hAnsi="Arial"/>
          <w:sz w:val="13"/>
          <w:szCs w:val="13"/>
          <w:b w:val="1"/>
          <w:bCs w:val="1"/>
          <w:color w:val="auto"/>
        </w:rPr>
      </w:pPr>
    </w:p>
    <w:p>
      <w:pPr>
        <w:ind w:left="1740" w:hanging="262"/>
        <w:spacing w:after="0"/>
        <w:tabs>
          <w:tab w:leader="none" w:pos="1740" w:val="left"/>
        </w:tabs>
        <w:numPr>
          <w:ilvl w:val="0"/>
          <w:numId w:val="10"/>
        </w:numPr>
        <w:rPr>
          <w:rFonts w:ascii="Arial" w:cs="Arial" w:eastAsia="Arial" w:hAnsi="Arial"/>
          <w:sz w:val="13"/>
          <w:szCs w:val="13"/>
          <w:b w:val="1"/>
          <w:bCs w:val="1"/>
          <w:color w:val="auto"/>
        </w:rPr>
      </w:pPr>
      <w:r>
        <w:rPr>
          <w:rFonts w:ascii="Arial" w:cs="Arial" w:eastAsia="Arial" w:hAnsi="Arial"/>
          <w:sz w:val="13"/>
          <w:szCs w:val="13"/>
          <w:b w:val="1"/>
          <w:bCs w:val="1"/>
          <w:color w:val="auto"/>
        </w:rPr>
        <w:t>HOW DO I EXERCISE MY VOTE (AND BY WHEN) IF I AM A REGISTERED SHAREHOLDER?</w:t>
      </w:r>
    </w:p>
    <w:p>
      <w:pPr>
        <w:spacing w:after="0" w:line="93" w:lineRule="exact"/>
        <w:rPr>
          <w:rFonts w:ascii="Arial" w:cs="Arial" w:eastAsia="Arial" w:hAnsi="Arial"/>
          <w:sz w:val="13"/>
          <w:szCs w:val="13"/>
          <w:b w:val="1"/>
          <w:bCs w:val="1"/>
          <w:color w:val="auto"/>
        </w:rPr>
      </w:pPr>
    </w:p>
    <w:p>
      <w:pPr>
        <w:jc w:val="both"/>
        <w:ind w:left="1740" w:right="1499" w:hanging="262"/>
        <w:spacing w:after="0" w:line="270" w:lineRule="auto"/>
        <w:tabs>
          <w:tab w:leader="none" w:pos="1740" w:val="left"/>
        </w:tabs>
        <w:numPr>
          <w:ilvl w:val="0"/>
          <w:numId w:val="11"/>
        </w:numPr>
        <w:rPr>
          <w:rFonts w:ascii="Arial" w:cs="Arial" w:eastAsia="Arial" w:hAnsi="Arial"/>
          <w:sz w:val="13"/>
          <w:szCs w:val="13"/>
          <w:b w:val="1"/>
          <w:bCs w:val="1"/>
          <w:color w:val="auto"/>
        </w:rPr>
      </w:pPr>
      <w:r>
        <w:rPr>
          <w:rFonts w:ascii="Arial" w:cs="Arial" w:eastAsia="Arial" w:hAnsi="Arial"/>
          <w:sz w:val="13"/>
          <w:szCs w:val="13"/>
          <w:color w:val="auto"/>
        </w:rPr>
        <w:t>If you are a registered shareholder, you may exercise your right to vote by: attending and voting your shares online at the virtual Meeting (personally or through an Appointee (as defined below)); by mailing in the attached form of proxy; or by voting by telephone or internet.</w:t>
      </w:r>
    </w:p>
    <w:p>
      <w:pPr>
        <w:spacing w:after="0" w:line="52" w:lineRule="exact"/>
        <w:rPr>
          <w:rFonts w:ascii="Arial" w:cs="Arial" w:eastAsia="Arial" w:hAnsi="Arial"/>
          <w:sz w:val="13"/>
          <w:szCs w:val="13"/>
          <w:b w:val="1"/>
          <w:bCs w:val="1"/>
          <w:color w:val="auto"/>
        </w:rPr>
      </w:pPr>
    </w:p>
    <w:p>
      <w:pPr>
        <w:jc w:val="both"/>
        <w:ind w:left="1740" w:right="1499"/>
        <w:spacing w:after="0" w:line="241" w:lineRule="auto"/>
        <w:rPr>
          <w:rFonts w:ascii="Arial" w:cs="Arial" w:eastAsia="Arial" w:hAnsi="Arial"/>
          <w:sz w:val="13"/>
          <w:szCs w:val="13"/>
          <w:b w:val="1"/>
          <w:bCs w:val="1"/>
          <w:color w:val="auto"/>
        </w:rPr>
      </w:pPr>
      <w:r>
        <w:rPr>
          <w:rFonts w:ascii="Arial" w:cs="Arial" w:eastAsia="Arial" w:hAnsi="Arial"/>
          <w:sz w:val="13"/>
          <w:szCs w:val="13"/>
          <w:color w:val="auto"/>
        </w:rPr>
        <w:t>Registered shareholders will receive a 15-digit control number via the attached form of proxy from Computershare, to enable them to vote by telephone or internet. Registered shareholders will also be assigned a Username by the Corporation’s registrar and transfer agent, Computershare Investor Services Inc. (“</w:t>
      </w:r>
      <w:r>
        <w:rPr>
          <w:rFonts w:ascii="Arial" w:cs="Arial" w:eastAsia="Arial" w:hAnsi="Arial"/>
          <w:sz w:val="13"/>
          <w:szCs w:val="13"/>
          <w:b w:val="1"/>
          <w:bCs w:val="1"/>
          <w:color w:val="auto"/>
        </w:rPr>
        <w:t>Computershare</w:t>
      </w:r>
      <w:r>
        <w:rPr>
          <w:rFonts w:ascii="Arial" w:cs="Arial" w:eastAsia="Arial" w:hAnsi="Arial"/>
          <w:sz w:val="13"/>
          <w:szCs w:val="13"/>
          <w:color w:val="auto"/>
        </w:rPr>
        <w:t xml:space="preserve">”), which they will receive via e-mail. If a registered shareholder has duly appointed an Appointee to represent such shareholder at the Meeting, such Appointee must be registered in order for such Appointee to receive a Username from Computershare to participate in the Meeting. See below under — </w:t>
      </w:r>
      <w:r>
        <w:rPr>
          <w:rFonts w:ascii="Arial" w:cs="Arial" w:eastAsia="Arial" w:hAnsi="Arial"/>
          <w:sz w:val="13"/>
          <w:szCs w:val="13"/>
          <w:i w:val="1"/>
          <w:iCs w:val="1"/>
          <w:color w:val="auto"/>
        </w:rPr>
        <w:t>Questions and Answers on Voting and Proxies — Can a Registered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Shareholder Appoint Someone Other Than the Proxy Nominees to Vote Their Shares at the Meeting? </w:t>
      </w:r>
      <w:r>
        <w:rPr>
          <w:rFonts w:ascii="Arial" w:cs="Arial" w:eastAsia="Arial" w:hAnsi="Arial"/>
          <w:sz w:val="13"/>
          <w:szCs w:val="13"/>
          <w:color w:val="auto"/>
        </w:rPr>
        <w:t>for</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additional detail. Registered shareholders (or such Appointees) who were assigned a Username by Computershare will be able to vote and submit questions during the Meeting. To do so, please go to </w:t>
      </w:r>
      <w:r>
        <w:rPr>
          <w:rFonts w:ascii="Arial" w:cs="Arial" w:eastAsia="Arial" w:hAnsi="Arial"/>
          <w:sz w:val="13"/>
          <w:szCs w:val="13"/>
          <w:u w:val="single" w:color="auto"/>
          <w:color w:val="auto"/>
        </w:rPr>
        <w:t>https://web.lumiagm.com/271769863</w:t>
      </w:r>
      <w:r>
        <w:rPr>
          <w:rFonts w:ascii="Arial" w:cs="Arial" w:eastAsia="Arial" w:hAnsi="Arial"/>
          <w:sz w:val="13"/>
          <w:szCs w:val="13"/>
          <w:color w:val="auto"/>
        </w:rPr>
        <w:t xml:space="preserve"> prior to the start of the Meeting to login using password: celestica2021. Registered shareholders (or their duly appointed Appointees) can participate in the Meeting by clicking “I have a login” and entering a Username and Password before the start of the Meeting. If you (or your duly-appointed Appointee) vote your shares online at the virtual Meeting, such vote will be taken and counted at the Meeting.</w:t>
      </w:r>
    </w:p>
    <w:p>
      <w:pPr>
        <w:spacing w:after="0" w:line="67" w:lineRule="exact"/>
        <w:rPr>
          <w:rFonts w:ascii="Arial" w:cs="Arial" w:eastAsia="Arial" w:hAnsi="Arial"/>
          <w:sz w:val="13"/>
          <w:szCs w:val="13"/>
          <w:b w:val="1"/>
          <w:bCs w:val="1"/>
          <w:color w:val="auto"/>
        </w:rPr>
      </w:pPr>
    </w:p>
    <w:p>
      <w:pPr>
        <w:jc w:val="both"/>
        <w:ind w:left="1740" w:right="1499"/>
        <w:spacing w:after="0" w:line="227" w:lineRule="auto"/>
        <w:rPr>
          <w:rFonts w:ascii="Arial" w:cs="Arial" w:eastAsia="Arial" w:hAnsi="Arial"/>
          <w:sz w:val="13"/>
          <w:szCs w:val="13"/>
          <w:b w:val="1"/>
          <w:bCs w:val="1"/>
          <w:color w:val="auto"/>
        </w:rPr>
      </w:pPr>
      <w:r>
        <w:rPr>
          <w:rFonts w:ascii="Arial" w:cs="Arial" w:eastAsia="Arial" w:hAnsi="Arial"/>
          <w:sz w:val="13"/>
          <w:szCs w:val="13"/>
          <w:color w:val="auto"/>
        </w:rPr>
        <w:t>If you choose to vote your shares using the form of proxy, your duly executed form of proxy must be received by Computershare at: 100 University Avenue, 8</w:t>
      </w:r>
      <w:r>
        <w:rPr>
          <w:rFonts w:ascii="Arial" w:cs="Arial" w:eastAsia="Arial" w:hAnsi="Arial"/>
          <w:sz w:val="19"/>
          <w:szCs w:val="19"/>
          <w:color w:val="auto"/>
          <w:vertAlign w:val="superscript"/>
        </w:rPr>
        <w:t>th</w:t>
      </w:r>
      <w:r>
        <w:rPr>
          <w:rFonts w:ascii="Arial" w:cs="Arial" w:eastAsia="Arial" w:hAnsi="Arial"/>
          <w:sz w:val="13"/>
          <w:szCs w:val="13"/>
          <w:color w:val="auto"/>
        </w:rPr>
        <w:t xml:space="preserve"> Floor, Toronto, Ontario, Canada M5J 2Y1, </w:t>
      </w:r>
      <w:r>
        <w:rPr>
          <w:rFonts w:ascii="Arial" w:cs="Arial" w:eastAsia="Arial" w:hAnsi="Arial"/>
          <w:sz w:val="13"/>
          <w:szCs w:val="13"/>
          <w:b w:val="1"/>
          <w:bCs w:val="1"/>
          <w:color w:val="auto"/>
        </w:rPr>
        <w:t>no later than 9:30 a.m. (EDT) on Tuesday, April 27, 2021</w:t>
      </w:r>
      <w:r>
        <w:rPr>
          <w:rFonts w:ascii="Arial" w:cs="Arial" w:eastAsia="Arial" w:hAnsi="Arial"/>
          <w:sz w:val="13"/>
          <w:szCs w:val="13"/>
          <w:color w:val="auto"/>
        </w:rPr>
        <w:t>. If the Meeting is adjourned or postponed,</w:t>
      </w:r>
      <w:r>
        <w:rPr>
          <w:rFonts w:ascii="Arial" w:cs="Arial" w:eastAsia="Arial" w:hAnsi="Arial"/>
          <w:sz w:val="13"/>
          <w:szCs w:val="13"/>
          <w:b w:val="1"/>
          <w:bCs w:val="1"/>
          <w:color w:val="auto"/>
        </w:rPr>
        <w:t xml:space="preserve"> </w:t>
      </w:r>
      <w:r>
        <w:rPr>
          <w:rFonts w:ascii="Arial" w:cs="Arial" w:eastAsia="Arial" w:hAnsi="Arial"/>
          <w:sz w:val="13"/>
          <w:szCs w:val="13"/>
          <w:color w:val="auto"/>
        </w:rPr>
        <w:t>Computershare must receive the form of proxy at least 48 hours, excluding Saturdays, Sundays and holidays, before the rescheduled Meeting.</w:t>
      </w:r>
    </w:p>
    <w:p>
      <w:pPr>
        <w:spacing w:after="0" w:line="59" w:lineRule="exact"/>
        <w:rPr>
          <w:rFonts w:ascii="Arial" w:cs="Arial" w:eastAsia="Arial" w:hAnsi="Arial"/>
          <w:sz w:val="13"/>
          <w:szCs w:val="13"/>
          <w:b w:val="1"/>
          <w:bCs w:val="1"/>
          <w:color w:val="auto"/>
        </w:rPr>
      </w:pPr>
    </w:p>
    <w:p>
      <w:pPr>
        <w:ind w:left="1740" w:right="1499"/>
        <w:spacing w:after="0" w:line="276" w:lineRule="auto"/>
        <w:rPr>
          <w:rFonts w:ascii="Arial" w:cs="Arial" w:eastAsia="Arial" w:hAnsi="Arial"/>
          <w:sz w:val="13"/>
          <w:szCs w:val="13"/>
          <w:b w:val="1"/>
          <w:bCs w:val="1"/>
          <w:color w:val="auto"/>
        </w:rPr>
      </w:pPr>
      <w:r>
        <w:rPr>
          <w:rFonts w:ascii="Arial" w:cs="Arial" w:eastAsia="Arial" w:hAnsi="Arial"/>
          <w:sz w:val="13"/>
          <w:szCs w:val="13"/>
          <w:color w:val="auto"/>
        </w:rPr>
        <w:t xml:space="preserve">If you choose to vote your shares by telephone or internet, your vote must be received </w:t>
      </w:r>
      <w:r>
        <w:rPr>
          <w:rFonts w:ascii="Arial" w:cs="Arial" w:eastAsia="Arial" w:hAnsi="Arial"/>
          <w:sz w:val="13"/>
          <w:szCs w:val="13"/>
          <w:b w:val="1"/>
          <w:bCs w:val="1"/>
          <w:color w:val="auto"/>
        </w:rPr>
        <w:t>no later than</w:t>
      </w:r>
      <w:r>
        <w:rPr>
          <w:rFonts w:ascii="Arial" w:cs="Arial" w:eastAsia="Arial" w:hAnsi="Arial"/>
          <w:sz w:val="13"/>
          <w:szCs w:val="13"/>
          <w:color w:val="auto"/>
        </w:rPr>
        <w:t xml:space="preserve"> </w:t>
      </w:r>
      <w:r>
        <w:rPr>
          <w:rFonts w:ascii="Arial" w:cs="Arial" w:eastAsia="Arial" w:hAnsi="Arial"/>
          <w:sz w:val="13"/>
          <w:szCs w:val="13"/>
          <w:b w:val="1"/>
          <w:bCs w:val="1"/>
          <w:color w:val="auto"/>
        </w:rPr>
        <w:t>9:30 a.m. (EDT) on Tuesday, April 27, 2021</w:t>
      </w:r>
      <w:r>
        <w:rPr>
          <w:rFonts w:ascii="Arial" w:cs="Arial" w:eastAsia="Arial" w:hAnsi="Arial"/>
          <w:sz w:val="13"/>
          <w:szCs w:val="13"/>
          <w:color w:val="auto"/>
        </w:rPr>
        <w:t>.</w:t>
      </w:r>
    </w:p>
    <w:p>
      <w:pPr>
        <w:spacing w:after="0" w:line="38" w:lineRule="exact"/>
        <w:rPr>
          <w:rFonts w:ascii="Arial" w:cs="Arial" w:eastAsia="Arial" w:hAnsi="Arial"/>
          <w:sz w:val="13"/>
          <w:szCs w:val="13"/>
          <w:b w:val="1"/>
          <w:bCs w:val="1"/>
          <w:color w:val="auto"/>
        </w:rPr>
      </w:pPr>
    </w:p>
    <w:p>
      <w:pPr>
        <w:ind w:left="1740" w:right="1499"/>
        <w:spacing w:after="0" w:line="269" w:lineRule="auto"/>
        <w:rPr>
          <w:rFonts w:ascii="Arial" w:cs="Arial" w:eastAsia="Arial" w:hAnsi="Arial"/>
          <w:sz w:val="13"/>
          <w:szCs w:val="13"/>
          <w:b w:val="1"/>
          <w:bCs w:val="1"/>
          <w:color w:val="auto"/>
        </w:rPr>
      </w:pPr>
      <w:r>
        <w:rPr>
          <w:rFonts w:ascii="Arial" w:cs="Arial" w:eastAsia="Arial" w:hAnsi="Arial"/>
          <w:sz w:val="13"/>
          <w:szCs w:val="13"/>
          <w:color w:val="auto"/>
        </w:rPr>
        <w:t xml:space="preserve">Non-registered shareholders should refer to </w:t>
      </w:r>
      <w:r>
        <w:rPr>
          <w:rFonts w:ascii="Arial" w:cs="Arial" w:eastAsia="Arial" w:hAnsi="Arial"/>
          <w:sz w:val="13"/>
          <w:szCs w:val="13"/>
          <w:i w:val="1"/>
          <w:iCs w:val="1"/>
          <w:color w:val="auto"/>
        </w:rPr>
        <w:t>Questions and Answers on Voting and Proxies — How Do I</w:t>
      </w:r>
      <w:r>
        <w:rPr>
          <w:rFonts w:ascii="Arial" w:cs="Arial" w:eastAsia="Arial" w:hAnsi="Arial"/>
          <w:sz w:val="13"/>
          <w:szCs w:val="13"/>
          <w:color w:val="auto"/>
        </w:rPr>
        <w:t xml:space="preserve"> </w:t>
      </w:r>
      <w:r>
        <w:rPr>
          <w:rFonts w:ascii="Arial" w:cs="Arial" w:eastAsia="Arial" w:hAnsi="Arial"/>
          <w:sz w:val="13"/>
          <w:szCs w:val="13"/>
          <w:i w:val="1"/>
          <w:iCs w:val="1"/>
          <w:color w:val="auto"/>
        </w:rPr>
        <w:t>Vote If I Am a Non-Registered Shareholder?</w:t>
      </w:r>
    </w:p>
    <w:p>
      <w:pPr>
        <w:spacing w:after="0" w:line="39" w:lineRule="exact"/>
        <w:rPr>
          <w:rFonts w:ascii="Arial" w:cs="Arial" w:eastAsia="Arial" w:hAnsi="Arial"/>
          <w:sz w:val="13"/>
          <w:szCs w:val="13"/>
          <w:b w:val="1"/>
          <w:bCs w:val="1"/>
          <w:color w:val="auto"/>
        </w:rPr>
      </w:pPr>
    </w:p>
    <w:p>
      <w:pPr>
        <w:ind w:left="1740" w:hanging="262"/>
        <w:spacing w:after="0"/>
        <w:tabs>
          <w:tab w:leader="none" w:pos="1740" w:val="left"/>
        </w:tabs>
        <w:numPr>
          <w:ilvl w:val="0"/>
          <w:numId w:val="12"/>
        </w:numPr>
        <w:rPr>
          <w:rFonts w:ascii="Arial" w:cs="Arial" w:eastAsia="Arial" w:hAnsi="Arial"/>
          <w:sz w:val="13"/>
          <w:szCs w:val="13"/>
          <w:b w:val="1"/>
          <w:bCs w:val="1"/>
          <w:color w:val="auto"/>
        </w:rPr>
      </w:pPr>
      <w:r>
        <w:rPr>
          <w:rFonts w:ascii="Arial" w:cs="Arial" w:eastAsia="Arial" w:hAnsi="Arial"/>
          <w:sz w:val="13"/>
          <w:szCs w:val="13"/>
          <w:b w:val="1"/>
          <w:bCs w:val="1"/>
          <w:color w:val="auto"/>
        </w:rPr>
        <w:t>MUST I INFORM ANYONE OF MY INTENT TO ATTEND THE MEETING?</w:t>
      </w:r>
    </w:p>
    <w:p>
      <w:pPr>
        <w:spacing w:after="0" w:line="93" w:lineRule="exact"/>
        <w:rPr>
          <w:rFonts w:ascii="Arial" w:cs="Arial" w:eastAsia="Arial" w:hAnsi="Arial"/>
          <w:sz w:val="13"/>
          <w:szCs w:val="13"/>
          <w:b w:val="1"/>
          <w:bCs w:val="1"/>
          <w:color w:val="auto"/>
        </w:rPr>
      </w:pPr>
    </w:p>
    <w:p>
      <w:pPr>
        <w:ind w:left="1740" w:hanging="262"/>
        <w:spacing w:after="0"/>
        <w:tabs>
          <w:tab w:leader="none" w:pos="1740" w:val="left"/>
        </w:tabs>
        <w:numPr>
          <w:ilvl w:val="0"/>
          <w:numId w:val="13"/>
        </w:numPr>
        <w:rPr>
          <w:rFonts w:ascii="Arial" w:cs="Arial" w:eastAsia="Arial" w:hAnsi="Arial"/>
          <w:sz w:val="13"/>
          <w:szCs w:val="13"/>
          <w:b w:val="1"/>
          <w:bCs w:val="1"/>
          <w:color w:val="auto"/>
        </w:rPr>
      </w:pPr>
      <w:r>
        <w:rPr>
          <w:rFonts w:ascii="Arial" w:cs="Arial" w:eastAsia="Arial" w:hAnsi="Arial"/>
          <w:sz w:val="13"/>
          <w:szCs w:val="13"/>
          <w:color w:val="auto"/>
        </w:rPr>
        <w:t>No. The Meeting will be held virtually and no advanced notice of attendance is required.</w:t>
      </w:r>
    </w:p>
    <w:p>
      <w:pPr>
        <w:spacing w:after="0" w:line="75" w:lineRule="exact"/>
        <w:rPr>
          <w:rFonts w:ascii="Arial" w:cs="Arial" w:eastAsia="Arial" w:hAnsi="Arial"/>
          <w:sz w:val="13"/>
          <w:szCs w:val="13"/>
          <w:b w:val="1"/>
          <w:bCs w:val="1"/>
          <w:color w:val="auto"/>
        </w:rPr>
      </w:pPr>
    </w:p>
    <w:p>
      <w:pPr>
        <w:ind w:left="1740" w:hanging="262"/>
        <w:spacing w:after="0"/>
        <w:tabs>
          <w:tab w:leader="none" w:pos="1740" w:val="left"/>
        </w:tabs>
        <w:numPr>
          <w:ilvl w:val="0"/>
          <w:numId w:val="14"/>
        </w:numPr>
        <w:rPr>
          <w:rFonts w:ascii="Arial" w:cs="Arial" w:eastAsia="Arial" w:hAnsi="Arial"/>
          <w:sz w:val="13"/>
          <w:szCs w:val="13"/>
          <w:b w:val="1"/>
          <w:bCs w:val="1"/>
          <w:color w:val="auto"/>
        </w:rPr>
      </w:pPr>
      <w:r>
        <w:rPr>
          <w:rFonts w:ascii="Arial" w:cs="Arial" w:eastAsia="Arial" w:hAnsi="Arial"/>
          <w:sz w:val="13"/>
          <w:szCs w:val="13"/>
          <w:b w:val="1"/>
          <w:bCs w:val="1"/>
          <w:color w:val="auto"/>
        </w:rPr>
        <w:t>HOW DO I ATTEND THE MEETING?</w:t>
      </w:r>
    </w:p>
    <w:p>
      <w:pPr>
        <w:spacing w:after="0" w:line="93" w:lineRule="exact"/>
        <w:rPr>
          <w:rFonts w:ascii="Arial" w:cs="Arial" w:eastAsia="Arial" w:hAnsi="Arial"/>
          <w:sz w:val="13"/>
          <w:szCs w:val="13"/>
          <w:b w:val="1"/>
          <w:bCs w:val="1"/>
          <w:color w:val="auto"/>
        </w:rPr>
      </w:pPr>
    </w:p>
    <w:p>
      <w:pPr>
        <w:jc w:val="both"/>
        <w:ind w:left="1740" w:right="1499" w:hanging="262"/>
        <w:spacing w:after="0" w:line="260" w:lineRule="auto"/>
        <w:tabs>
          <w:tab w:leader="none" w:pos="1740" w:val="left"/>
        </w:tabs>
        <w:numPr>
          <w:ilvl w:val="0"/>
          <w:numId w:val="15"/>
        </w:numPr>
        <w:rPr>
          <w:rFonts w:ascii="Arial" w:cs="Arial" w:eastAsia="Arial" w:hAnsi="Arial"/>
          <w:sz w:val="13"/>
          <w:szCs w:val="13"/>
          <w:b w:val="1"/>
          <w:bCs w:val="1"/>
          <w:color w:val="auto"/>
        </w:rPr>
      </w:pPr>
      <w:r>
        <w:rPr>
          <w:rFonts w:ascii="Arial" w:cs="Arial" w:eastAsia="Arial" w:hAnsi="Arial"/>
          <w:sz w:val="13"/>
          <w:szCs w:val="13"/>
          <w:color w:val="auto"/>
        </w:rPr>
        <w:t xml:space="preserve">Due to the COVID-19 pandemic and for the health and safety of our shareholders, employees, and families, we will be hosting the Meeting live via the Internet. </w:t>
      </w:r>
      <w:r>
        <w:rPr>
          <w:rFonts w:ascii="Arial" w:cs="Arial" w:eastAsia="Arial" w:hAnsi="Arial"/>
          <w:sz w:val="13"/>
          <w:szCs w:val="13"/>
          <w:b w:val="1"/>
          <w:bCs w:val="1"/>
          <w:color w:val="auto"/>
        </w:rPr>
        <w:t>You will not be able to attend the Meeting</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in person. </w:t>
      </w:r>
      <w:r>
        <w:rPr>
          <w:rFonts w:ascii="Arial" w:cs="Arial" w:eastAsia="Arial" w:hAnsi="Arial"/>
          <w:sz w:val="13"/>
          <w:szCs w:val="13"/>
          <w:color w:val="auto"/>
        </w:rPr>
        <w:t>The Meeting will only be held virtually via audio-only webcast at</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https://web.lumiagm.com/</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271769863</w:t>
      </w:r>
      <w:r>
        <w:rPr>
          <w:rFonts w:ascii="Arial" w:cs="Arial" w:eastAsia="Arial" w:hAnsi="Arial"/>
          <w:sz w:val="13"/>
          <w:szCs w:val="13"/>
          <w:color w:val="auto"/>
        </w:rPr>
        <w:t xml:space="preserve">, password: celestica2021. We encourage you to access the Meeting prior to the start time. Online access will begin at 9:00 a.m. EDT. Instructions on how to connect and participate in the Meeting are enclosed with this Circular and posted on the Corporation's website at </w:t>
      </w:r>
      <w:r>
        <w:rPr>
          <w:rFonts w:ascii="Arial" w:cs="Arial" w:eastAsia="Arial" w:hAnsi="Arial"/>
          <w:sz w:val="13"/>
          <w:szCs w:val="13"/>
          <w:u w:val="single" w:color="auto"/>
          <w:color w:val="auto"/>
        </w:rPr>
        <w:t>www.celestica.com</w:t>
      </w:r>
      <w:r>
        <w:rPr>
          <w:rFonts w:ascii="Arial" w:cs="Arial" w:eastAsia="Arial" w:hAnsi="Arial"/>
          <w:sz w:val="13"/>
          <w:szCs w:val="13"/>
          <w:color w:val="auto"/>
        </w:rPr>
        <w:t xml:space="preserve"> under “Investor Relations” | “Annual Reports”.</w:t>
      </w:r>
    </w:p>
    <w:p>
      <w:pPr>
        <w:spacing w:after="0" w:line="60" w:lineRule="exact"/>
        <w:rPr>
          <w:rFonts w:ascii="Arial" w:cs="Arial" w:eastAsia="Arial" w:hAnsi="Arial"/>
          <w:sz w:val="13"/>
          <w:szCs w:val="13"/>
          <w:b w:val="1"/>
          <w:bCs w:val="1"/>
          <w:color w:val="auto"/>
        </w:rPr>
      </w:pPr>
    </w:p>
    <w:p>
      <w:pPr>
        <w:jc w:val="both"/>
        <w:ind w:left="1740" w:right="1499"/>
        <w:spacing w:after="0" w:line="244" w:lineRule="auto"/>
        <w:rPr>
          <w:rFonts w:ascii="Arial" w:cs="Arial" w:eastAsia="Arial" w:hAnsi="Arial"/>
          <w:sz w:val="13"/>
          <w:szCs w:val="13"/>
          <w:b w:val="1"/>
          <w:bCs w:val="1"/>
          <w:color w:val="auto"/>
        </w:rPr>
      </w:pPr>
      <w:r>
        <w:rPr>
          <w:rFonts w:ascii="Arial" w:cs="Arial" w:eastAsia="Arial" w:hAnsi="Arial"/>
          <w:sz w:val="13"/>
          <w:szCs w:val="13"/>
          <w:color w:val="auto"/>
        </w:rPr>
        <w:t xml:space="preserve">Voting at the meeting will only be available for shareholders or their registered Appointees (as defined below), subject to the procedures described under </w:t>
      </w:r>
      <w:r>
        <w:rPr>
          <w:rFonts w:ascii="Arial" w:cs="Arial" w:eastAsia="Arial" w:hAnsi="Arial"/>
          <w:sz w:val="13"/>
          <w:szCs w:val="13"/>
          <w:i w:val="1"/>
          <w:iCs w:val="1"/>
          <w:color w:val="auto"/>
        </w:rPr>
        <w:t>Questions and Answers on Voting and Proxies —</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How Do I Exercise My Vote (and by When) if I am a Registered Shareholder? </w:t>
      </w:r>
      <w:r>
        <w:rPr>
          <w:rFonts w:ascii="Arial" w:cs="Arial" w:eastAsia="Arial" w:hAnsi="Arial"/>
          <w:sz w:val="13"/>
          <w:szCs w:val="13"/>
          <w:color w:val="auto"/>
        </w:rPr>
        <w:t>and</w:t>
      </w:r>
      <w:r>
        <w:rPr>
          <w:rFonts w:ascii="Arial" w:cs="Arial" w:eastAsia="Arial" w:hAnsi="Arial"/>
          <w:sz w:val="13"/>
          <w:szCs w:val="13"/>
          <w:i w:val="1"/>
          <w:iCs w:val="1"/>
          <w:color w:val="auto"/>
        </w:rPr>
        <w:t xml:space="preserve"> How Do I Vote If I Am a Non-Registered Shareholder</w:t>
      </w:r>
      <w:r>
        <w:rPr>
          <w:rFonts w:ascii="Arial" w:cs="Arial" w:eastAsia="Arial" w:hAnsi="Arial"/>
          <w:sz w:val="13"/>
          <w:szCs w:val="13"/>
          <w:color w:val="auto"/>
        </w:rPr>
        <w:t>? Registered Shareholders who have appointed and registered an</w:t>
      </w:r>
      <w:r>
        <w:rPr>
          <w:rFonts w:ascii="Arial" w:cs="Arial" w:eastAsia="Arial" w:hAnsi="Arial"/>
          <w:sz w:val="13"/>
          <w:szCs w:val="13"/>
          <w:i w:val="1"/>
          <w:iCs w:val="1"/>
          <w:color w:val="auto"/>
        </w:rPr>
        <w:t xml:space="preserve"> </w:t>
      </w:r>
      <w:r>
        <w:rPr>
          <w:rFonts w:ascii="Arial" w:cs="Arial" w:eastAsia="Arial" w:hAnsi="Arial"/>
          <w:sz w:val="13"/>
          <w:szCs w:val="13"/>
          <w:color w:val="auto"/>
        </w:rPr>
        <w:t>Appointee may attend the Meeting by clicking “I am a guest” and entering the password “celestica2021” but will be unable to participate in, or vote at, the Meeting. Non-registered shareholders who have not appointed</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 w:name="page12"/>
    <w:bookmarkEnd w:id="11"/>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97" w:lineRule="exact"/>
        <w:rPr>
          <w:sz w:val="20"/>
          <w:szCs w:val="20"/>
          <w:color w:val="auto"/>
        </w:rPr>
      </w:pPr>
    </w:p>
    <w:p>
      <w:pPr>
        <w:ind w:left="1740" w:right="1499"/>
        <w:spacing w:after="0" w:line="269" w:lineRule="auto"/>
        <w:rPr>
          <w:sz w:val="20"/>
          <w:szCs w:val="20"/>
          <w:color w:val="auto"/>
        </w:rPr>
      </w:pPr>
      <w:r>
        <w:rPr>
          <w:rFonts w:ascii="Arial" w:cs="Arial" w:eastAsia="Arial" w:hAnsi="Arial"/>
          <w:sz w:val="13"/>
          <w:szCs w:val="13"/>
          <w:color w:val="auto"/>
        </w:rPr>
        <w:t>and registered themselves or an Appointee may attend the meeting by clicking “I am a guest” and entering the password “celestica2021”, but will be unable to participate in, or vote at, the Meeting.</w:t>
      </w:r>
    </w:p>
    <w:p>
      <w:pPr>
        <w:spacing w:after="0" w:line="39" w:lineRule="exact"/>
        <w:rPr>
          <w:sz w:val="20"/>
          <w:szCs w:val="20"/>
          <w:color w:val="auto"/>
        </w:rPr>
      </w:pPr>
    </w:p>
    <w:p>
      <w:pPr>
        <w:ind w:left="1740" w:hanging="262"/>
        <w:spacing w:after="0"/>
        <w:tabs>
          <w:tab w:leader="none" w:pos="1740" w:val="left"/>
        </w:tabs>
        <w:numPr>
          <w:ilvl w:val="0"/>
          <w:numId w:val="16"/>
        </w:numPr>
        <w:rPr>
          <w:rFonts w:ascii="Arial" w:cs="Arial" w:eastAsia="Arial" w:hAnsi="Arial"/>
          <w:sz w:val="13"/>
          <w:szCs w:val="13"/>
          <w:b w:val="1"/>
          <w:bCs w:val="1"/>
          <w:color w:val="auto"/>
        </w:rPr>
      </w:pPr>
      <w:r>
        <w:rPr>
          <w:rFonts w:ascii="Arial" w:cs="Arial" w:eastAsia="Arial" w:hAnsi="Arial"/>
          <w:sz w:val="13"/>
          <w:szCs w:val="13"/>
          <w:b w:val="1"/>
          <w:bCs w:val="1"/>
          <w:color w:val="auto"/>
        </w:rPr>
        <w:t>HOW DO I ASK QUESTIONS DURING THE MEETING?</w:t>
      </w:r>
    </w:p>
    <w:p>
      <w:pPr>
        <w:spacing w:after="0" w:line="83" w:lineRule="exact"/>
        <w:rPr>
          <w:rFonts w:ascii="Arial" w:cs="Arial" w:eastAsia="Arial" w:hAnsi="Arial"/>
          <w:sz w:val="13"/>
          <w:szCs w:val="13"/>
          <w:b w:val="1"/>
          <w:bCs w:val="1"/>
          <w:color w:val="auto"/>
        </w:rPr>
      </w:pPr>
    </w:p>
    <w:p>
      <w:pPr>
        <w:jc w:val="both"/>
        <w:ind w:left="1740" w:right="1499" w:hanging="262"/>
        <w:spacing w:after="0" w:line="259" w:lineRule="auto"/>
        <w:tabs>
          <w:tab w:leader="none" w:pos="1740" w:val="left"/>
        </w:tabs>
        <w:numPr>
          <w:ilvl w:val="0"/>
          <w:numId w:val="17"/>
        </w:numPr>
        <w:rPr>
          <w:rFonts w:ascii="Arial" w:cs="Arial" w:eastAsia="Arial" w:hAnsi="Arial"/>
          <w:sz w:val="13"/>
          <w:szCs w:val="13"/>
          <w:b w:val="1"/>
          <w:bCs w:val="1"/>
          <w:color w:val="auto"/>
        </w:rPr>
      </w:pPr>
      <w:r>
        <w:rPr>
          <w:rFonts w:ascii="Arial" w:cs="Arial" w:eastAsia="Arial" w:hAnsi="Arial"/>
          <w:sz w:val="13"/>
          <w:szCs w:val="13"/>
          <w:color w:val="auto"/>
        </w:rPr>
        <w:t xml:space="preserve">Registered Shareholders or their registered Appointees will have opportunities to participate, substantially similar to those they would have at an in-person meeting. Registered Shareholders or registered Appointees may submit questions while connected to the Meeting on the Internet. If you wish to submit a question, you may do so by logging into the virtual meeting platform at </w:t>
      </w:r>
      <w:r>
        <w:rPr>
          <w:rFonts w:ascii="Arial" w:cs="Arial" w:eastAsia="Arial" w:hAnsi="Arial"/>
          <w:sz w:val="13"/>
          <w:szCs w:val="13"/>
          <w:u w:val="single" w:color="auto"/>
          <w:color w:val="auto"/>
        </w:rPr>
        <w:t>https://web.lumiagm.com/271769863</w:t>
      </w:r>
      <w:r>
        <w:rPr>
          <w:rFonts w:ascii="Arial" w:cs="Arial" w:eastAsia="Arial" w:hAnsi="Arial"/>
          <w:sz w:val="13"/>
          <w:szCs w:val="13"/>
          <w:color w:val="auto"/>
        </w:rPr>
        <w:t>, typing the question into the “Ask a Question” field and clicking “Submit”. Registered Shareholders attending as guests and non-Registered Shareholders who have not appointed themselves or an Appointee may attend the Meeting but will be unable to submit questions at the Meeting. Additional information regarding the ability of participants to ask questions during the Meeting will be set forth in the Meeting’s Rules of Conduct, which will be made available within the virtual Meeting platform.</w:t>
      </w:r>
    </w:p>
    <w:p>
      <w:pPr>
        <w:spacing w:after="0" w:line="55" w:lineRule="exact"/>
        <w:rPr>
          <w:rFonts w:ascii="Arial" w:cs="Arial" w:eastAsia="Arial" w:hAnsi="Arial"/>
          <w:sz w:val="13"/>
          <w:szCs w:val="13"/>
          <w:b w:val="1"/>
          <w:bCs w:val="1"/>
          <w:color w:val="auto"/>
        </w:rPr>
      </w:pPr>
    </w:p>
    <w:p>
      <w:pPr>
        <w:ind w:left="1740" w:hanging="262"/>
        <w:spacing w:after="0"/>
        <w:tabs>
          <w:tab w:leader="none" w:pos="1740" w:val="left"/>
        </w:tabs>
        <w:numPr>
          <w:ilvl w:val="0"/>
          <w:numId w:val="18"/>
        </w:numPr>
        <w:rPr>
          <w:rFonts w:ascii="Arial" w:cs="Arial" w:eastAsia="Arial" w:hAnsi="Arial"/>
          <w:sz w:val="13"/>
          <w:szCs w:val="13"/>
          <w:b w:val="1"/>
          <w:bCs w:val="1"/>
          <w:color w:val="auto"/>
        </w:rPr>
      </w:pPr>
      <w:r>
        <w:rPr>
          <w:rFonts w:ascii="Arial" w:cs="Arial" w:eastAsia="Arial" w:hAnsi="Arial"/>
          <w:sz w:val="13"/>
          <w:szCs w:val="13"/>
          <w:b w:val="1"/>
          <w:bCs w:val="1"/>
          <w:color w:val="auto"/>
        </w:rPr>
        <w:t>WHAT IF I HAVE TECHNICAL DIFFICULTIES ACCESSING THE MEETING?</w:t>
      </w:r>
    </w:p>
    <w:p>
      <w:pPr>
        <w:spacing w:after="0" w:line="93" w:lineRule="exact"/>
        <w:rPr>
          <w:rFonts w:ascii="Arial" w:cs="Arial" w:eastAsia="Arial" w:hAnsi="Arial"/>
          <w:sz w:val="13"/>
          <w:szCs w:val="13"/>
          <w:b w:val="1"/>
          <w:bCs w:val="1"/>
          <w:color w:val="auto"/>
        </w:rPr>
      </w:pPr>
    </w:p>
    <w:p>
      <w:pPr>
        <w:jc w:val="both"/>
        <w:ind w:left="1740" w:right="1499" w:hanging="262"/>
        <w:spacing w:after="0" w:line="260" w:lineRule="auto"/>
        <w:tabs>
          <w:tab w:leader="none" w:pos="1740" w:val="left"/>
        </w:tabs>
        <w:numPr>
          <w:ilvl w:val="0"/>
          <w:numId w:val="19"/>
        </w:numPr>
        <w:rPr>
          <w:rFonts w:ascii="Arial" w:cs="Arial" w:eastAsia="Arial" w:hAnsi="Arial"/>
          <w:sz w:val="13"/>
          <w:szCs w:val="13"/>
          <w:b w:val="1"/>
          <w:bCs w:val="1"/>
          <w:color w:val="auto"/>
        </w:rPr>
      </w:pPr>
      <w:r>
        <w:rPr>
          <w:rFonts w:ascii="Arial" w:cs="Arial" w:eastAsia="Arial" w:hAnsi="Arial"/>
          <w:sz w:val="13"/>
          <w:szCs w:val="13"/>
          <w:color w:val="auto"/>
        </w:rPr>
        <w:t>If shareholders (or their Appointees) encounter any difficulties accessing the Meeting during the check-in or meeting time, they may attend the Meeting by clicking “I am a guest” and entering the password “celestica2021”</w:t>
      </w:r>
      <w:r>
        <w:rPr>
          <w:rFonts w:ascii="Arial" w:cs="Arial" w:eastAsia="Arial" w:hAnsi="Arial"/>
          <w:sz w:val="13"/>
          <w:szCs w:val="13"/>
          <w:i w:val="1"/>
          <w:iCs w:val="1"/>
          <w:color w:val="auto"/>
        </w:rPr>
        <w:t>.</w:t>
      </w:r>
      <w:r>
        <w:rPr>
          <w:rFonts w:ascii="Arial" w:cs="Arial" w:eastAsia="Arial" w:hAnsi="Arial"/>
          <w:sz w:val="13"/>
          <w:szCs w:val="13"/>
          <w:color w:val="auto"/>
        </w:rPr>
        <w:t xml:space="preserve"> The virtual Meeting platform is fully supported across browsers (Edge, Firefox, Chrome, and Safari), and devices (desktops, laptops, tablets, and cell phones) running the most updated version of applicable software and plugins. Shareholders (or their Appointees) should ensure that they have a strong Internet connection if they intend to attend and/or participate in the Meeting. Participants should allow plenty of time to log in and ensure that they can hear streaming audio prior to the start of the Meeting.</w:t>
      </w:r>
    </w:p>
    <w:p>
      <w:pPr>
        <w:spacing w:after="0" w:line="54" w:lineRule="exact"/>
        <w:rPr>
          <w:rFonts w:ascii="Arial" w:cs="Arial" w:eastAsia="Arial" w:hAnsi="Arial"/>
          <w:sz w:val="13"/>
          <w:szCs w:val="13"/>
          <w:b w:val="1"/>
          <w:bCs w:val="1"/>
          <w:color w:val="auto"/>
        </w:rPr>
      </w:pPr>
    </w:p>
    <w:p>
      <w:pPr>
        <w:ind w:left="1740" w:right="1479" w:hanging="262"/>
        <w:spacing w:after="0" w:line="292" w:lineRule="auto"/>
        <w:tabs>
          <w:tab w:leader="none" w:pos="1740" w:val="left"/>
        </w:tabs>
        <w:numPr>
          <w:ilvl w:val="0"/>
          <w:numId w:val="20"/>
        </w:numPr>
        <w:rPr>
          <w:rFonts w:ascii="Arial" w:cs="Arial" w:eastAsia="Arial" w:hAnsi="Arial"/>
          <w:sz w:val="13"/>
          <w:szCs w:val="13"/>
          <w:b w:val="1"/>
          <w:bCs w:val="1"/>
          <w:color w:val="auto"/>
        </w:rPr>
      </w:pPr>
      <w:r>
        <w:rPr>
          <w:rFonts w:ascii="Arial" w:cs="Arial" w:eastAsia="Arial" w:hAnsi="Arial"/>
          <w:sz w:val="13"/>
          <w:szCs w:val="13"/>
          <w:b w:val="1"/>
          <w:bCs w:val="1"/>
          <w:color w:val="auto"/>
        </w:rPr>
        <w:t>WHAT IF A REGISTERED SHAREHOLDER SIGNS THE FORM OF PROXY ENCLOSED WITH THIS CIRCULAR?</w:t>
      </w:r>
    </w:p>
    <w:p>
      <w:pPr>
        <w:spacing w:after="0" w:line="38" w:lineRule="exact"/>
        <w:rPr>
          <w:rFonts w:ascii="Arial" w:cs="Arial" w:eastAsia="Arial" w:hAnsi="Arial"/>
          <w:sz w:val="13"/>
          <w:szCs w:val="13"/>
          <w:b w:val="1"/>
          <w:bCs w:val="1"/>
          <w:color w:val="auto"/>
        </w:rPr>
      </w:pPr>
    </w:p>
    <w:p>
      <w:pPr>
        <w:jc w:val="both"/>
        <w:ind w:left="1740" w:right="1499" w:hanging="262"/>
        <w:spacing w:after="0" w:line="270" w:lineRule="auto"/>
        <w:tabs>
          <w:tab w:leader="none" w:pos="1740" w:val="left"/>
        </w:tabs>
        <w:numPr>
          <w:ilvl w:val="0"/>
          <w:numId w:val="21"/>
        </w:numPr>
        <w:rPr>
          <w:rFonts w:ascii="Arial" w:cs="Arial" w:eastAsia="Arial" w:hAnsi="Arial"/>
          <w:sz w:val="13"/>
          <w:szCs w:val="13"/>
          <w:b w:val="1"/>
          <w:bCs w:val="1"/>
          <w:color w:val="auto"/>
        </w:rPr>
      </w:pPr>
      <w:r>
        <w:rPr>
          <w:rFonts w:ascii="Arial" w:cs="Arial" w:eastAsia="Arial" w:hAnsi="Arial"/>
          <w:sz w:val="13"/>
          <w:szCs w:val="13"/>
          <w:color w:val="auto"/>
        </w:rPr>
        <w:t>Signing the form of proxy gives authority to Mr. Michael M. Wilson or Mr. Robert A. Mionis or their designees (the “</w:t>
      </w:r>
      <w:r>
        <w:rPr>
          <w:rFonts w:ascii="Arial" w:cs="Arial" w:eastAsia="Arial" w:hAnsi="Arial"/>
          <w:sz w:val="13"/>
          <w:szCs w:val="13"/>
          <w:b w:val="1"/>
          <w:bCs w:val="1"/>
          <w:color w:val="auto"/>
        </w:rPr>
        <w:t>Proxy Nominees</w:t>
      </w:r>
      <w:r>
        <w:rPr>
          <w:rFonts w:ascii="Arial" w:cs="Arial" w:eastAsia="Arial" w:hAnsi="Arial"/>
          <w:sz w:val="13"/>
          <w:szCs w:val="13"/>
          <w:color w:val="auto"/>
        </w:rPr>
        <w:t>”), to vote your shares at the Meeting, unless you give authority to another person to vote your shares by providing that person’s name on the form of proxy.</w:t>
      </w:r>
    </w:p>
    <w:p>
      <w:pPr>
        <w:spacing w:after="0" w:line="48" w:lineRule="exact"/>
        <w:rPr>
          <w:rFonts w:ascii="Arial" w:cs="Arial" w:eastAsia="Arial" w:hAnsi="Arial"/>
          <w:sz w:val="13"/>
          <w:szCs w:val="13"/>
          <w:b w:val="1"/>
          <w:bCs w:val="1"/>
          <w:color w:val="auto"/>
        </w:rPr>
      </w:pPr>
    </w:p>
    <w:p>
      <w:pPr>
        <w:ind w:left="1740" w:right="1499" w:hanging="262"/>
        <w:spacing w:after="0" w:line="292" w:lineRule="auto"/>
        <w:tabs>
          <w:tab w:leader="none" w:pos="1740" w:val="left"/>
        </w:tabs>
        <w:numPr>
          <w:ilvl w:val="0"/>
          <w:numId w:val="22"/>
        </w:numPr>
        <w:rPr>
          <w:rFonts w:ascii="Arial" w:cs="Arial" w:eastAsia="Arial" w:hAnsi="Arial"/>
          <w:sz w:val="13"/>
          <w:szCs w:val="13"/>
          <w:b w:val="1"/>
          <w:bCs w:val="1"/>
          <w:color w:val="auto"/>
        </w:rPr>
      </w:pPr>
      <w:r>
        <w:rPr>
          <w:rFonts w:ascii="Arial" w:cs="Arial" w:eastAsia="Arial" w:hAnsi="Arial"/>
          <w:sz w:val="13"/>
          <w:szCs w:val="13"/>
          <w:b w:val="1"/>
          <w:bCs w:val="1"/>
          <w:color w:val="auto"/>
        </w:rPr>
        <w:t>CAN A REGISTERED SHAREHOLDER APPOINT SOMEONE OTHER THAN THE PROXY NOMINEES TO VOTE THEIR SHARES AT THE MEETING?</w:t>
      </w:r>
    </w:p>
    <w:p>
      <w:pPr>
        <w:spacing w:after="0" w:line="34" w:lineRule="exact"/>
        <w:rPr>
          <w:rFonts w:ascii="Arial" w:cs="Arial" w:eastAsia="Arial" w:hAnsi="Arial"/>
          <w:sz w:val="13"/>
          <w:szCs w:val="13"/>
          <w:b w:val="1"/>
          <w:bCs w:val="1"/>
          <w:color w:val="auto"/>
        </w:rPr>
      </w:pPr>
    </w:p>
    <w:p>
      <w:pPr>
        <w:jc w:val="both"/>
        <w:ind w:left="1740" w:right="1479" w:hanging="262"/>
        <w:spacing w:after="0" w:line="267" w:lineRule="auto"/>
        <w:tabs>
          <w:tab w:leader="none" w:pos="1740" w:val="left"/>
        </w:tabs>
        <w:numPr>
          <w:ilvl w:val="0"/>
          <w:numId w:val="23"/>
        </w:numPr>
        <w:rPr>
          <w:rFonts w:ascii="Arial" w:cs="Arial" w:eastAsia="Arial" w:hAnsi="Arial"/>
          <w:sz w:val="13"/>
          <w:szCs w:val="13"/>
          <w:b w:val="1"/>
          <w:bCs w:val="1"/>
          <w:color w:val="auto"/>
        </w:rPr>
      </w:pPr>
      <w:r>
        <w:rPr>
          <w:rFonts w:ascii="Arial" w:cs="Arial" w:eastAsia="Arial" w:hAnsi="Arial"/>
          <w:sz w:val="13"/>
          <w:szCs w:val="13"/>
          <w:b w:val="1"/>
          <w:bCs w:val="1"/>
          <w:color w:val="auto"/>
        </w:rPr>
        <w:t>Yes, you may appoint an individual or company other than the Proxy Nominees to vote your shares at the Meeting (such individual or authorized representative of such company shall be referred to herein as an “Appointee”)</w:t>
      </w:r>
      <w:r>
        <w:rPr>
          <w:rFonts w:ascii="Arial" w:cs="Arial" w:eastAsia="Arial" w:hAnsi="Arial"/>
          <w:sz w:val="13"/>
          <w:szCs w:val="13"/>
          <w:color w:val="auto"/>
        </w:rPr>
        <w:t>. Write the name of the Appointee of your choice in the blank space provided in the form</w:t>
      </w:r>
      <w:r>
        <w:rPr>
          <w:rFonts w:ascii="Arial" w:cs="Arial" w:eastAsia="Arial" w:hAnsi="Arial"/>
          <w:sz w:val="13"/>
          <w:szCs w:val="13"/>
          <w:b w:val="1"/>
          <w:bCs w:val="1"/>
          <w:color w:val="auto"/>
        </w:rPr>
        <w:t xml:space="preserve"> </w:t>
      </w:r>
      <w:r>
        <w:rPr>
          <w:rFonts w:ascii="Arial" w:cs="Arial" w:eastAsia="Arial" w:hAnsi="Arial"/>
          <w:sz w:val="13"/>
          <w:szCs w:val="13"/>
          <w:color w:val="auto"/>
        </w:rPr>
        <w:t>of proxy. The Appointee whom you choose need not be a shareholder.</w:t>
      </w:r>
    </w:p>
    <w:p>
      <w:pPr>
        <w:spacing w:after="0" w:line="55" w:lineRule="exact"/>
        <w:rPr>
          <w:rFonts w:ascii="Arial" w:cs="Arial" w:eastAsia="Arial" w:hAnsi="Arial"/>
          <w:sz w:val="13"/>
          <w:szCs w:val="13"/>
          <w:b w:val="1"/>
          <w:bCs w:val="1"/>
          <w:color w:val="auto"/>
        </w:rPr>
      </w:pPr>
    </w:p>
    <w:p>
      <w:pPr>
        <w:jc w:val="both"/>
        <w:ind w:left="1740" w:right="1499"/>
        <w:spacing w:after="0" w:line="260" w:lineRule="auto"/>
        <w:rPr>
          <w:rFonts w:ascii="Arial" w:cs="Arial" w:eastAsia="Arial" w:hAnsi="Arial"/>
          <w:sz w:val="13"/>
          <w:szCs w:val="13"/>
          <w:b w:val="1"/>
          <w:bCs w:val="1"/>
          <w:color w:val="auto"/>
        </w:rPr>
      </w:pPr>
      <w:r>
        <w:rPr>
          <w:rFonts w:ascii="Arial" w:cs="Arial" w:eastAsia="Arial" w:hAnsi="Arial"/>
          <w:sz w:val="13"/>
          <w:szCs w:val="13"/>
          <w:color w:val="auto"/>
        </w:rPr>
        <w:t xml:space="preserve">If you appoint an Appointee to represent you at the Meeting, you must first submit your proxy form appointing such Appointee; then register your Appointee. Registering your Appointee is an additional step you need to take after submitting your proxy to appoint your Appointee in order for your Appointee to vote your shares at the Meeting. If you fail to register your Appointee, your Appointee will not receive a Username, and will be unable to participate in, or vote at, the Meeting. To register an Appointee, you MUST visit </w:t>
      </w:r>
      <w:r>
        <w:rPr>
          <w:rFonts w:ascii="Arial" w:cs="Arial" w:eastAsia="Arial" w:hAnsi="Arial"/>
          <w:sz w:val="13"/>
          <w:szCs w:val="13"/>
          <w:u w:val="single" w:color="auto"/>
          <w:color w:val="auto"/>
        </w:rPr>
        <w:t>https://www.computershare.com/celestica</w:t>
      </w:r>
      <w:r>
        <w:rPr>
          <w:rFonts w:ascii="Arial" w:cs="Arial" w:eastAsia="Arial" w:hAnsi="Arial"/>
          <w:sz w:val="13"/>
          <w:szCs w:val="13"/>
          <w:color w:val="auto"/>
        </w:rPr>
        <w:t xml:space="preserve"> by </w:t>
      </w:r>
      <w:r>
        <w:rPr>
          <w:rFonts w:ascii="Arial" w:cs="Arial" w:eastAsia="Arial" w:hAnsi="Arial"/>
          <w:sz w:val="13"/>
          <w:szCs w:val="13"/>
          <w:b w:val="1"/>
          <w:bCs w:val="1"/>
          <w:color w:val="auto"/>
        </w:rPr>
        <w:t>no later than 9:30 a.m. EDT</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on April 27, 2021 </w:t>
      </w:r>
      <w:r>
        <w:rPr>
          <w:rFonts w:ascii="Arial" w:cs="Arial" w:eastAsia="Arial" w:hAnsi="Arial"/>
          <w:sz w:val="13"/>
          <w:szCs w:val="13"/>
          <w:color w:val="auto"/>
        </w:rPr>
        <w:t>and provide Computershare with your Appointee’s contact information, so that</w:t>
      </w:r>
      <w:r>
        <w:rPr>
          <w:rFonts w:ascii="Arial" w:cs="Arial" w:eastAsia="Arial" w:hAnsi="Arial"/>
          <w:sz w:val="13"/>
          <w:szCs w:val="13"/>
          <w:b w:val="1"/>
          <w:bCs w:val="1"/>
          <w:color w:val="auto"/>
        </w:rPr>
        <w:t xml:space="preserve"> </w:t>
      </w:r>
      <w:r>
        <w:rPr>
          <w:rFonts w:ascii="Arial" w:cs="Arial" w:eastAsia="Arial" w:hAnsi="Arial"/>
          <w:sz w:val="13"/>
          <w:szCs w:val="13"/>
          <w:color w:val="auto"/>
        </w:rPr>
        <w:t>Computershare may provide your Appointee with a Username via email.</w:t>
      </w:r>
    </w:p>
    <w:p>
      <w:pPr>
        <w:spacing w:after="0" w:line="58" w:lineRule="exact"/>
        <w:rPr>
          <w:rFonts w:ascii="Arial" w:cs="Arial" w:eastAsia="Arial" w:hAnsi="Arial"/>
          <w:sz w:val="13"/>
          <w:szCs w:val="13"/>
          <w:b w:val="1"/>
          <w:bCs w:val="1"/>
          <w:color w:val="auto"/>
        </w:rPr>
      </w:pPr>
    </w:p>
    <w:p>
      <w:pPr>
        <w:ind w:left="1740" w:right="1499"/>
        <w:spacing w:after="0" w:line="285" w:lineRule="auto"/>
        <w:rPr>
          <w:rFonts w:ascii="Arial" w:cs="Arial" w:eastAsia="Arial" w:hAnsi="Arial"/>
          <w:sz w:val="13"/>
          <w:szCs w:val="13"/>
          <w:b w:val="1"/>
          <w:bCs w:val="1"/>
          <w:color w:val="auto"/>
        </w:rPr>
      </w:pPr>
      <w:r>
        <w:rPr>
          <w:rFonts w:ascii="Arial" w:cs="Arial" w:eastAsia="Arial" w:hAnsi="Arial"/>
          <w:sz w:val="13"/>
          <w:szCs w:val="13"/>
          <w:color w:val="auto"/>
        </w:rPr>
        <w:t>Please ensure that the Appointee you have appointed is attending the Meeting and is aware that such Appointee will be voting your shares.</w:t>
      </w:r>
    </w:p>
    <w:p>
      <w:pPr>
        <w:spacing w:after="0" w:line="39" w:lineRule="exact"/>
        <w:rPr>
          <w:rFonts w:ascii="Arial" w:cs="Arial" w:eastAsia="Arial" w:hAnsi="Arial"/>
          <w:sz w:val="13"/>
          <w:szCs w:val="13"/>
          <w:b w:val="1"/>
          <w:bCs w:val="1"/>
          <w:color w:val="auto"/>
        </w:rPr>
      </w:pPr>
    </w:p>
    <w:p>
      <w:pPr>
        <w:ind w:left="1740" w:right="1499" w:hanging="262"/>
        <w:spacing w:after="0" w:line="292" w:lineRule="auto"/>
        <w:tabs>
          <w:tab w:leader="none" w:pos="1740" w:val="left"/>
        </w:tabs>
        <w:numPr>
          <w:ilvl w:val="0"/>
          <w:numId w:val="24"/>
        </w:numPr>
        <w:rPr>
          <w:rFonts w:ascii="Arial" w:cs="Arial" w:eastAsia="Arial" w:hAnsi="Arial"/>
          <w:sz w:val="13"/>
          <w:szCs w:val="13"/>
          <w:b w:val="1"/>
          <w:bCs w:val="1"/>
          <w:color w:val="auto"/>
        </w:rPr>
      </w:pPr>
      <w:r>
        <w:rPr>
          <w:rFonts w:ascii="Arial" w:cs="Arial" w:eastAsia="Arial" w:hAnsi="Arial"/>
          <w:sz w:val="13"/>
          <w:szCs w:val="13"/>
          <w:b w:val="1"/>
          <w:bCs w:val="1"/>
          <w:color w:val="auto"/>
        </w:rPr>
        <w:t>HOW WILL THE SHARES OF REGISTERED SHAREHOLDERS BE VOTED AT THE MEETING IF THEY GIVE THEIR PROXY TO THE PROXY NOMINEES?</w:t>
      </w:r>
    </w:p>
    <w:p>
      <w:pPr>
        <w:spacing w:after="0" w:line="38" w:lineRule="exact"/>
        <w:rPr>
          <w:rFonts w:ascii="Arial" w:cs="Arial" w:eastAsia="Arial" w:hAnsi="Arial"/>
          <w:sz w:val="13"/>
          <w:szCs w:val="13"/>
          <w:b w:val="1"/>
          <w:bCs w:val="1"/>
          <w:color w:val="auto"/>
        </w:rPr>
      </w:pPr>
    </w:p>
    <w:p>
      <w:pPr>
        <w:jc w:val="both"/>
        <w:ind w:left="1740" w:right="1499" w:hanging="262"/>
        <w:spacing w:after="0" w:line="265" w:lineRule="auto"/>
        <w:tabs>
          <w:tab w:leader="none" w:pos="1740" w:val="left"/>
        </w:tabs>
        <w:numPr>
          <w:ilvl w:val="0"/>
          <w:numId w:val="25"/>
        </w:numPr>
        <w:rPr>
          <w:rFonts w:ascii="Arial" w:cs="Arial" w:eastAsia="Arial" w:hAnsi="Arial"/>
          <w:sz w:val="13"/>
          <w:szCs w:val="13"/>
          <w:b w:val="1"/>
          <w:bCs w:val="1"/>
          <w:color w:val="auto"/>
        </w:rPr>
      </w:pPr>
      <w:r>
        <w:rPr>
          <w:rFonts w:ascii="Arial" w:cs="Arial" w:eastAsia="Arial" w:hAnsi="Arial"/>
          <w:sz w:val="13"/>
          <w:szCs w:val="13"/>
          <w:color w:val="auto"/>
        </w:rPr>
        <w:t>On any ballot that may be called for, the shares represented by a properly executed proxy given in favour of the Proxy Nominees in the enclosed form of proxy will be voted for or against or withheld from voting in accordance with the instructions given on the ballot. If you specify a choice with respect to any matter to be acted upon, such shares will be voted accordingly.</w:t>
      </w:r>
    </w:p>
    <w:p>
      <w:pPr>
        <w:spacing w:after="0" w:line="56" w:lineRule="exact"/>
        <w:rPr>
          <w:rFonts w:ascii="Arial" w:cs="Arial" w:eastAsia="Arial" w:hAnsi="Arial"/>
          <w:sz w:val="13"/>
          <w:szCs w:val="13"/>
          <w:b w:val="1"/>
          <w:bCs w:val="1"/>
          <w:color w:val="auto"/>
        </w:rPr>
      </w:pPr>
    </w:p>
    <w:p>
      <w:pPr>
        <w:jc w:val="both"/>
        <w:ind w:left="1740" w:right="1499"/>
        <w:spacing w:after="0" w:line="270" w:lineRule="auto"/>
        <w:rPr>
          <w:rFonts w:ascii="Arial" w:cs="Arial" w:eastAsia="Arial" w:hAnsi="Arial"/>
          <w:sz w:val="13"/>
          <w:szCs w:val="13"/>
          <w:b w:val="1"/>
          <w:bCs w:val="1"/>
          <w:color w:val="auto"/>
        </w:rPr>
      </w:pPr>
      <w:r>
        <w:rPr>
          <w:rFonts w:ascii="Arial" w:cs="Arial" w:eastAsia="Arial" w:hAnsi="Arial"/>
          <w:sz w:val="13"/>
          <w:szCs w:val="13"/>
          <w:color w:val="auto"/>
        </w:rPr>
        <w:t xml:space="preserve">The persons named in the form of proxy must vote for or against or withhold from voting your shares in accordance with your instructions on the form of proxy. </w:t>
      </w:r>
      <w:r>
        <w:rPr>
          <w:rFonts w:ascii="Arial" w:cs="Arial" w:eastAsia="Arial" w:hAnsi="Arial"/>
          <w:sz w:val="13"/>
          <w:szCs w:val="13"/>
          <w:b w:val="1"/>
          <w:bCs w:val="1"/>
          <w:color w:val="auto"/>
        </w:rPr>
        <w:t>In the absence of such directions and unless</w:t>
      </w:r>
      <w:r>
        <w:rPr>
          <w:rFonts w:ascii="Arial" w:cs="Arial" w:eastAsia="Arial" w:hAnsi="Arial"/>
          <w:sz w:val="13"/>
          <w:szCs w:val="13"/>
          <w:color w:val="auto"/>
        </w:rPr>
        <w:t xml:space="preserve"> </w:t>
      </w:r>
      <w:r>
        <w:rPr>
          <w:rFonts w:ascii="Arial" w:cs="Arial" w:eastAsia="Arial" w:hAnsi="Arial"/>
          <w:sz w:val="13"/>
          <w:szCs w:val="13"/>
          <w:b w:val="1"/>
          <w:bCs w:val="1"/>
          <w:color w:val="auto"/>
        </w:rPr>
        <w:t>you</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 w:name="page13"/>
    <w:bookmarkEnd w:id="12"/>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93" w:lineRule="exact"/>
        <w:rPr>
          <w:sz w:val="20"/>
          <w:szCs w:val="20"/>
          <w:color w:val="auto"/>
        </w:rPr>
      </w:pPr>
    </w:p>
    <w:p>
      <w:pPr>
        <w:jc w:val="both"/>
        <w:ind w:left="1740" w:right="1479"/>
        <w:spacing w:after="0" w:line="245" w:lineRule="auto"/>
        <w:rPr>
          <w:sz w:val="20"/>
          <w:szCs w:val="20"/>
          <w:color w:val="auto"/>
        </w:rPr>
      </w:pPr>
      <w:r>
        <w:rPr>
          <w:rFonts w:ascii="Arial" w:cs="Arial" w:eastAsia="Arial" w:hAnsi="Arial"/>
          <w:sz w:val="13"/>
          <w:szCs w:val="13"/>
          <w:b w:val="1"/>
          <w:bCs w:val="1"/>
          <w:color w:val="auto"/>
        </w:rPr>
        <w:t>specify an Appointee other than the Proxy Nominees to vote your shares, your shares will be voted in favour of the election to the Corporation’s Board of each of the nominees proposed by management, in favour of the appointment of KPMG LLP as the Corporation’s auditor, in favour of the authorization of the Board to fix the auditor’s remuneration, in favour of the advisory resolution on the Corporation’s approach to executive compensation, and as the Proxy Nominees may determine in their best judgment with respect to any other matters that may be properly come before the Meeting or any adjournment(s) or postponement(s) thereof.</w:t>
      </w:r>
    </w:p>
    <w:p>
      <w:pPr>
        <w:spacing w:after="0" w:line="47" w:lineRule="exact"/>
        <w:rPr>
          <w:sz w:val="20"/>
          <w:szCs w:val="20"/>
          <w:color w:val="auto"/>
        </w:rPr>
      </w:pPr>
    </w:p>
    <w:p>
      <w:pPr>
        <w:ind w:left="1740" w:right="1479" w:hanging="262"/>
        <w:spacing w:after="0" w:line="292" w:lineRule="auto"/>
        <w:tabs>
          <w:tab w:leader="none" w:pos="1740" w:val="left"/>
        </w:tabs>
        <w:numPr>
          <w:ilvl w:val="0"/>
          <w:numId w:val="26"/>
        </w:numPr>
        <w:rPr>
          <w:rFonts w:ascii="Arial" w:cs="Arial" w:eastAsia="Arial" w:hAnsi="Arial"/>
          <w:sz w:val="13"/>
          <w:szCs w:val="13"/>
          <w:b w:val="1"/>
          <w:bCs w:val="1"/>
          <w:color w:val="auto"/>
        </w:rPr>
      </w:pPr>
      <w:r>
        <w:rPr>
          <w:rFonts w:ascii="Arial" w:cs="Arial" w:eastAsia="Arial" w:hAnsi="Arial"/>
          <w:sz w:val="13"/>
          <w:szCs w:val="13"/>
          <w:b w:val="1"/>
          <w:bCs w:val="1"/>
          <w:color w:val="auto"/>
        </w:rPr>
        <w:t>IF REGISTERED SHAREHOLDERS CHANGE THEIR MIND, CAN THEY TAKE BACK THEIR PROXY ONCE IT HAS BEEN GIVEN?</w:t>
      </w:r>
    </w:p>
    <w:p>
      <w:pPr>
        <w:spacing w:after="0" w:line="38" w:lineRule="exact"/>
        <w:rPr>
          <w:rFonts w:ascii="Arial" w:cs="Arial" w:eastAsia="Arial" w:hAnsi="Arial"/>
          <w:sz w:val="13"/>
          <w:szCs w:val="13"/>
          <w:b w:val="1"/>
          <w:bCs w:val="1"/>
          <w:color w:val="auto"/>
        </w:rPr>
      </w:pPr>
    </w:p>
    <w:p>
      <w:pPr>
        <w:jc w:val="both"/>
        <w:ind w:left="1740" w:right="1499" w:hanging="262"/>
        <w:spacing w:after="0" w:line="259" w:lineRule="auto"/>
        <w:tabs>
          <w:tab w:leader="none" w:pos="1740" w:val="left"/>
        </w:tabs>
        <w:numPr>
          <w:ilvl w:val="0"/>
          <w:numId w:val="27"/>
        </w:numPr>
        <w:rPr>
          <w:rFonts w:ascii="Arial" w:cs="Arial" w:eastAsia="Arial" w:hAnsi="Arial"/>
          <w:sz w:val="13"/>
          <w:szCs w:val="13"/>
          <w:b w:val="1"/>
          <w:bCs w:val="1"/>
          <w:color w:val="auto"/>
        </w:rPr>
      </w:pPr>
      <w:r>
        <w:rPr>
          <w:rFonts w:ascii="Arial" w:cs="Arial" w:eastAsia="Arial" w:hAnsi="Arial"/>
          <w:sz w:val="13"/>
          <w:szCs w:val="13"/>
          <w:color w:val="auto"/>
        </w:rPr>
        <w:t>Yes, you may revoke any proxy that you have given at any time prior to its use at the Meeting or any adjournment(s) or postponement(s) thereof. In addition to revocation in any other manner permitted by law, you may revoke your proxy by preparing a written statement, signed by you or your attorney, as authorized, or if the proxy is given on behalf of a corporation or other legal entity, by a duly authorized officer or attorney of such corporation or legal entity, prior to the proxy being voted, or by transmitting, by telephonic or electronic means, a revocation signed by electronic signature by you or by your attorney, who is authorized in writing, to the registered office of the Corporation at any time up to and including the last business day preceding the day of the Meeting, or any adjournment(s) or postponement(s) thereof.</w:t>
      </w:r>
    </w:p>
    <w:p>
      <w:pPr>
        <w:spacing w:after="0" w:line="61" w:lineRule="exact"/>
        <w:rPr>
          <w:rFonts w:ascii="Arial" w:cs="Arial" w:eastAsia="Arial" w:hAnsi="Arial"/>
          <w:sz w:val="13"/>
          <w:szCs w:val="13"/>
          <w:b w:val="1"/>
          <w:bCs w:val="1"/>
          <w:color w:val="auto"/>
        </w:rPr>
      </w:pPr>
    </w:p>
    <w:p>
      <w:pPr>
        <w:jc w:val="both"/>
        <w:ind w:left="1740" w:right="1499"/>
        <w:spacing w:after="0" w:line="254" w:lineRule="auto"/>
        <w:rPr>
          <w:rFonts w:ascii="Arial" w:cs="Arial" w:eastAsia="Arial" w:hAnsi="Arial"/>
          <w:sz w:val="13"/>
          <w:szCs w:val="13"/>
          <w:b w:val="1"/>
          <w:bCs w:val="1"/>
          <w:color w:val="auto"/>
        </w:rPr>
      </w:pPr>
      <w:r>
        <w:rPr>
          <w:rFonts w:ascii="Arial" w:cs="Arial" w:eastAsia="Arial" w:hAnsi="Arial"/>
          <w:sz w:val="13"/>
          <w:szCs w:val="13"/>
          <w:color w:val="auto"/>
        </w:rPr>
        <w:t>Note that your or your Appointee’s participation online at the Meeting in a vote by ballot at the Meeting will automatically revoke any proxy previously given by you regarding business considered by that vote.</w:t>
      </w:r>
    </w:p>
    <w:p>
      <w:pPr>
        <w:spacing w:after="0" w:line="48" w:lineRule="exact"/>
        <w:rPr>
          <w:rFonts w:ascii="Arial" w:cs="Arial" w:eastAsia="Arial" w:hAnsi="Arial"/>
          <w:sz w:val="13"/>
          <w:szCs w:val="13"/>
          <w:b w:val="1"/>
          <w:bCs w:val="1"/>
          <w:color w:val="auto"/>
        </w:rPr>
      </w:pPr>
    </w:p>
    <w:p>
      <w:pPr>
        <w:ind w:left="1740" w:right="1479" w:hanging="262"/>
        <w:spacing w:after="0" w:line="292" w:lineRule="auto"/>
        <w:tabs>
          <w:tab w:leader="none" w:pos="1740" w:val="left"/>
        </w:tabs>
        <w:numPr>
          <w:ilvl w:val="0"/>
          <w:numId w:val="28"/>
        </w:numPr>
        <w:rPr>
          <w:rFonts w:ascii="Arial" w:cs="Arial" w:eastAsia="Arial" w:hAnsi="Arial"/>
          <w:sz w:val="13"/>
          <w:szCs w:val="13"/>
          <w:b w:val="1"/>
          <w:bCs w:val="1"/>
          <w:color w:val="auto"/>
        </w:rPr>
      </w:pPr>
      <w:r>
        <w:rPr>
          <w:rFonts w:ascii="Arial" w:cs="Arial" w:eastAsia="Arial" w:hAnsi="Arial"/>
          <w:sz w:val="13"/>
          <w:szCs w:val="13"/>
          <w:b w:val="1"/>
          <w:bCs w:val="1"/>
          <w:color w:val="auto"/>
        </w:rPr>
        <w:t>WHAT IF AMENDMENTS ARE MADE TO THE SCHEDULED MATTERS OR IF OTHER MATTERS ARE BROUGHT BEFORE THE MEETING?</w:t>
      </w:r>
    </w:p>
    <w:p>
      <w:pPr>
        <w:spacing w:after="0" w:line="38" w:lineRule="exact"/>
        <w:rPr>
          <w:rFonts w:ascii="Arial" w:cs="Arial" w:eastAsia="Arial" w:hAnsi="Arial"/>
          <w:sz w:val="13"/>
          <w:szCs w:val="13"/>
          <w:b w:val="1"/>
          <w:bCs w:val="1"/>
          <w:color w:val="auto"/>
        </w:rPr>
      </w:pPr>
    </w:p>
    <w:p>
      <w:pPr>
        <w:jc w:val="both"/>
        <w:ind w:left="1740" w:right="1499" w:hanging="262"/>
        <w:spacing w:after="0" w:line="303" w:lineRule="auto"/>
        <w:tabs>
          <w:tab w:leader="none" w:pos="1740" w:val="left"/>
        </w:tabs>
        <w:numPr>
          <w:ilvl w:val="0"/>
          <w:numId w:val="29"/>
        </w:numPr>
        <w:rPr>
          <w:rFonts w:ascii="Arial" w:cs="Arial" w:eastAsia="Arial" w:hAnsi="Arial"/>
          <w:sz w:val="12"/>
          <w:szCs w:val="12"/>
          <w:b w:val="1"/>
          <w:bCs w:val="1"/>
          <w:color w:val="auto"/>
        </w:rPr>
      </w:pPr>
      <w:r>
        <w:rPr>
          <w:rFonts w:ascii="Arial" w:cs="Arial" w:eastAsia="Arial" w:hAnsi="Arial"/>
          <w:sz w:val="12"/>
          <w:szCs w:val="12"/>
          <w:color w:val="auto"/>
        </w:rPr>
        <w:t>The accompanying form of proxy confers discretionary authority upon the Proxy Nominees in respect of any amendments or variations to matters identified in the Notice of Meeting or other matters that may properly come before the Meeting or any adjournment(s) or postponement(s) thereof.</w:t>
      </w:r>
    </w:p>
    <w:p>
      <w:pPr>
        <w:spacing w:after="0" w:line="34" w:lineRule="exact"/>
        <w:rPr>
          <w:rFonts w:ascii="Arial" w:cs="Arial" w:eastAsia="Arial" w:hAnsi="Arial"/>
          <w:sz w:val="12"/>
          <w:szCs w:val="12"/>
          <w:b w:val="1"/>
          <w:bCs w:val="1"/>
          <w:color w:val="auto"/>
        </w:rPr>
      </w:pPr>
    </w:p>
    <w:p>
      <w:pPr>
        <w:jc w:val="both"/>
        <w:ind w:left="1740" w:right="1499"/>
        <w:spacing w:after="0" w:line="247" w:lineRule="auto"/>
        <w:rPr>
          <w:rFonts w:ascii="Arial" w:cs="Arial" w:eastAsia="Arial" w:hAnsi="Arial"/>
          <w:sz w:val="12"/>
          <w:szCs w:val="12"/>
          <w:b w:val="1"/>
          <w:bCs w:val="1"/>
          <w:color w:val="auto"/>
        </w:rPr>
      </w:pPr>
      <w:r>
        <w:rPr>
          <w:rFonts w:ascii="Arial" w:cs="Arial" w:eastAsia="Arial" w:hAnsi="Arial"/>
          <w:sz w:val="13"/>
          <w:szCs w:val="13"/>
          <w:color w:val="auto"/>
        </w:rPr>
        <w:t>As of the date of this Circular, the Corporation’s management was not aware of any such amendments, variations or other matters to come before the Meeting. However, if any amendments, variations or other matters that are not now known to management should properly come before the Meeting or any adjournment(s) or postponement(s) thereof, the shares represented by proxies in favour of the Proxy Nominees will be voted on such matters in accordance with their best judgment.</w:t>
      </w:r>
    </w:p>
    <w:p>
      <w:pPr>
        <w:spacing w:after="0" w:line="43" w:lineRule="exact"/>
        <w:rPr>
          <w:rFonts w:ascii="Arial" w:cs="Arial" w:eastAsia="Arial" w:hAnsi="Arial"/>
          <w:sz w:val="12"/>
          <w:szCs w:val="12"/>
          <w:b w:val="1"/>
          <w:bCs w:val="1"/>
          <w:color w:val="auto"/>
        </w:rPr>
      </w:pPr>
    </w:p>
    <w:p>
      <w:pPr>
        <w:ind w:left="1740" w:hanging="262"/>
        <w:spacing w:after="0"/>
        <w:tabs>
          <w:tab w:leader="none" w:pos="1740" w:val="left"/>
        </w:tabs>
        <w:numPr>
          <w:ilvl w:val="0"/>
          <w:numId w:val="30"/>
        </w:numPr>
        <w:rPr>
          <w:rFonts w:ascii="Arial" w:cs="Arial" w:eastAsia="Arial" w:hAnsi="Arial"/>
          <w:sz w:val="13"/>
          <w:szCs w:val="13"/>
          <w:b w:val="1"/>
          <w:bCs w:val="1"/>
          <w:color w:val="auto"/>
        </w:rPr>
      </w:pPr>
      <w:r>
        <w:rPr>
          <w:rFonts w:ascii="Arial" w:cs="Arial" w:eastAsia="Arial" w:hAnsi="Arial"/>
          <w:sz w:val="13"/>
          <w:szCs w:val="13"/>
          <w:b w:val="1"/>
          <w:bCs w:val="1"/>
          <w:color w:val="auto"/>
        </w:rPr>
        <w:t>HOW DO I VOTE IF I AM A NON-REGISTERED SHAREHOLDER?</w:t>
      </w:r>
    </w:p>
    <w:p>
      <w:pPr>
        <w:spacing w:after="0" w:line="93" w:lineRule="exact"/>
        <w:rPr>
          <w:rFonts w:ascii="Arial" w:cs="Arial" w:eastAsia="Arial" w:hAnsi="Arial"/>
          <w:sz w:val="13"/>
          <w:szCs w:val="13"/>
          <w:b w:val="1"/>
          <w:bCs w:val="1"/>
          <w:color w:val="auto"/>
        </w:rPr>
      </w:pPr>
    </w:p>
    <w:p>
      <w:pPr>
        <w:jc w:val="both"/>
        <w:ind w:left="1740" w:right="1499" w:hanging="262"/>
        <w:spacing w:after="0" w:line="260" w:lineRule="auto"/>
        <w:tabs>
          <w:tab w:leader="none" w:pos="1740" w:val="left"/>
        </w:tabs>
        <w:numPr>
          <w:ilvl w:val="0"/>
          <w:numId w:val="31"/>
        </w:numPr>
        <w:rPr>
          <w:rFonts w:ascii="Arial" w:cs="Arial" w:eastAsia="Arial" w:hAnsi="Arial"/>
          <w:sz w:val="13"/>
          <w:szCs w:val="13"/>
          <w:b w:val="1"/>
          <w:bCs w:val="1"/>
          <w:color w:val="auto"/>
        </w:rPr>
      </w:pPr>
      <w:r>
        <w:rPr>
          <w:rFonts w:ascii="Arial" w:cs="Arial" w:eastAsia="Arial" w:hAnsi="Arial"/>
          <w:sz w:val="13"/>
          <w:szCs w:val="13"/>
          <w:color w:val="auto"/>
        </w:rPr>
        <w:t>A shareholder is a non-registered shareholder (or beneficial owner) if (i) an intermediary (such as a bank, trust company, securities dealer or broker, trustee or administrator of a registered retirement savings plan, registered retirement income fund, deferred profit sharing plan, registered education savings plan, registered disability savings plan or tax-free savings account), or (ii) a clearing agency (such as CDS Clearing and Depository Services Inc. or Depository Trust and Clearing Corporation), of which the intermediary is a participant (in each case, an “</w:t>
      </w:r>
      <w:r>
        <w:rPr>
          <w:rFonts w:ascii="Arial" w:cs="Arial" w:eastAsia="Arial" w:hAnsi="Arial"/>
          <w:sz w:val="13"/>
          <w:szCs w:val="13"/>
          <w:b w:val="1"/>
          <w:bCs w:val="1"/>
          <w:color w:val="auto"/>
        </w:rPr>
        <w:t>Intermediary</w:t>
      </w:r>
      <w:r>
        <w:rPr>
          <w:rFonts w:ascii="Arial" w:cs="Arial" w:eastAsia="Arial" w:hAnsi="Arial"/>
          <w:sz w:val="13"/>
          <w:szCs w:val="13"/>
          <w:color w:val="auto"/>
        </w:rPr>
        <w:t>”), holds the shareholder’s shares on behalf of the shareholder.</w:t>
      </w:r>
    </w:p>
    <w:p>
      <w:pPr>
        <w:spacing w:after="0" w:line="60" w:lineRule="exact"/>
        <w:rPr>
          <w:rFonts w:ascii="Arial" w:cs="Arial" w:eastAsia="Arial" w:hAnsi="Arial"/>
          <w:sz w:val="13"/>
          <w:szCs w:val="13"/>
          <w:b w:val="1"/>
          <w:bCs w:val="1"/>
          <w:color w:val="auto"/>
        </w:rPr>
      </w:pPr>
    </w:p>
    <w:p>
      <w:pPr>
        <w:jc w:val="both"/>
        <w:ind w:left="1740" w:right="1499"/>
        <w:spacing w:after="0" w:line="242" w:lineRule="auto"/>
        <w:rPr>
          <w:rFonts w:ascii="Arial" w:cs="Arial" w:eastAsia="Arial" w:hAnsi="Arial"/>
          <w:sz w:val="13"/>
          <w:szCs w:val="13"/>
          <w:b w:val="1"/>
          <w:bCs w:val="1"/>
          <w:color w:val="auto"/>
        </w:rPr>
      </w:pPr>
      <w:r>
        <w:rPr>
          <w:rFonts w:ascii="Arial" w:cs="Arial" w:eastAsia="Arial" w:hAnsi="Arial"/>
          <w:sz w:val="13"/>
          <w:szCs w:val="13"/>
          <w:color w:val="auto"/>
        </w:rPr>
        <w:t xml:space="preserve">In accordance with </w:t>
      </w:r>
      <w:r>
        <w:rPr>
          <w:rFonts w:ascii="Arial" w:cs="Arial" w:eastAsia="Arial" w:hAnsi="Arial"/>
          <w:sz w:val="13"/>
          <w:szCs w:val="13"/>
          <w:i w:val="1"/>
          <w:iCs w:val="1"/>
          <w:color w:val="auto"/>
        </w:rPr>
        <w:t>National Instrument 54-101 — Communication with Beneficial Owners of Securities</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of a Reporting Issuer </w:t>
      </w:r>
      <w:r>
        <w:rPr>
          <w:rFonts w:ascii="Arial" w:cs="Arial" w:eastAsia="Arial" w:hAnsi="Arial"/>
          <w:sz w:val="13"/>
          <w:szCs w:val="13"/>
          <w:color w:val="auto"/>
        </w:rPr>
        <w:t>of the Canadian Securities Administrators (“</w:t>
      </w:r>
      <w:r>
        <w:rPr>
          <w:rFonts w:ascii="Arial" w:cs="Arial" w:eastAsia="Arial" w:hAnsi="Arial"/>
          <w:sz w:val="13"/>
          <w:szCs w:val="13"/>
          <w:b w:val="1"/>
          <w:bCs w:val="1"/>
          <w:color w:val="auto"/>
        </w:rPr>
        <w:t>NI 54-101</w:t>
      </w:r>
      <w:r>
        <w:rPr>
          <w:rFonts w:ascii="Arial" w:cs="Arial" w:eastAsia="Arial" w:hAnsi="Arial"/>
          <w:sz w:val="13"/>
          <w:szCs w:val="13"/>
          <w:color w:val="auto"/>
        </w:rPr>
        <w:t>”), the Corporation is</w:t>
      </w:r>
      <w:r>
        <w:rPr>
          <w:rFonts w:ascii="Arial" w:cs="Arial" w:eastAsia="Arial" w:hAnsi="Arial"/>
          <w:sz w:val="13"/>
          <w:szCs w:val="13"/>
          <w:i w:val="1"/>
          <w:iCs w:val="1"/>
          <w:color w:val="auto"/>
        </w:rPr>
        <w:t xml:space="preserve"> </w:t>
      </w:r>
      <w:r>
        <w:rPr>
          <w:rFonts w:ascii="Arial" w:cs="Arial" w:eastAsia="Arial" w:hAnsi="Arial"/>
          <w:sz w:val="13"/>
          <w:szCs w:val="13"/>
          <w:color w:val="auto"/>
        </w:rPr>
        <w:t>distributing copies of materials related to the Meeting to Intermediaries for distribution to non-registered shareholders and such Intermediaries are to forward the materials related to the Meeting to each non-registered shareholder (unless the non-registered shareholder has declined to receive such materials). Such Intermediaries often use a service company (such as Broadridge Investor Communication Solutions (“</w:t>
      </w:r>
      <w:r>
        <w:rPr>
          <w:rFonts w:ascii="Arial" w:cs="Arial" w:eastAsia="Arial" w:hAnsi="Arial"/>
          <w:sz w:val="13"/>
          <w:szCs w:val="13"/>
          <w:b w:val="1"/>
          <w:bCs w:val="1"/>
          <w:color w:val="auto"/>
        </w:rPr>
        <w:t>Broadridge</w:t>
      </w:r>
      <w:r>
        <w:rPr>
          <w:rFonts w:ascii="Arial" w:cs="Arial" w:eastAsia="Arial" w:hAnsi="Arial"/>
          <w:sz w:val="13"/>
          <w:szCs w:val="13"/>
          <w:color w:val="auto"/>
        </w:rPr>
        <w:t>”)), to permit the non-registered shareholder to direct the voting of the shares held by the Intermediary on behalf of the non-registered shareholder. The Corporation is paying Broadridge to deliver, on behalf of the Intermediaries, a copy of the materials related to the Meeting to each “non-objecting beneficial owner” and each “objecting beneficial owner” (as those terms are defined in NI 54-101).</w:t>
      </w:r>
    </w:p>
    <w:p>
      <w:pPr>
        <w:spacing w:after="0" w:line="64" w:lineRule="exact"/>
        <w:rPr>
          <w:rFonts w:ascii="Arial" w:cs="Arial" w:eastAsia="Arial" w:hAnsi="Arial"/>
          <w:sz w:val="13"/>
          <w:szCs w:val="13"/>
          <w:b w:val="1"/>
          <w:bCs w:val="1"/>
          <w:color w:val="auto"/>
        </w:rPr>
      </w:pPr>
    </w:p>
    <w:p>
      <w:pPr>
        <w:jc w:val="both"/>
        <w:ind w:left="1740" w:right="1499"/>
        <w:spacing w:after="0" w:line="268" w:lineRule="auto"/>
        <w:rPr>
          <w:rFonts w:ascii="Arial" w:cs="Arial" w:eastAsia="Arial" w:hAnsi="Arial"/>
          <w:sz w:val="13"/>
          <w:szCs w:val="13"/>
          <w:b w:val="1"/>
          <w:bCs w:val="1"/>
          <w:color w:val="auto"/>
        </w:rPr>
      </w:pPr>
      <w:r>
        <w:rPr>
          <w:rFonts w:ascii="Arial" w:cs="Arial" w:eastAsia="Arial" w:hAnsi="Arial"/>
          <w:sz w:val="12"/>
          <w:szCs w:val="12"/>
          <w:color w:val="auto"/>
        </w:rPr>
        <w:t>If you are a non-registered shareholder, the Intermediary holding your shares should provide a voting instruction form. In order to cast your vote, you must follow the instructions on the voting instruction</w:t>
      </w:r>
    </w:p>
    <w:p>
      <w:pPr>
        <w:jc w:val="both"/>
        <w:ind w:left="1740" w:right="1499"/>
        <w:spacing w:after="0" w:line="246" w:lineRule="auto"/>
        <w:rPr>
          <w:sz w:val="20"/>
          <w:szCs w:val="20"/>
          <w:color w:val="auto"/>
        </w:rPr>
      </w:pPr>
      <w:r>
        <w:rPr>
          <w:rFonts w:ascii="Arial" w:cs="Arial" w:eastAsia="Arial" w:hAnsi="Arial"/>
          <w:sz w:val="13"/>
          <w:szCs w:val="13"/>
          <w:color w:val="auto"/>
        </w:rPr>
        <w:t>form to vote by telephone or internet, or complete, sign and return the voting instruction form in accordance with the instructions, and within the timeline (which will likely be earlier than 9:30 a.m. (EDT)</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 w:name="page14"/>
    <w:bookmarkEnd w:id="13"/>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97" w:lineRule="exact"/>
        <w:rPr>
          <w:sz w:val="20"/>
          <w:szCs w:val="20"/>
          <w:color w:val="auto"/>
        </w:rPr>
      </w:pPr>
    </w:p>
    <w:p>
      <w:pPr>
        <w:jc w:val="both"/>
        <w:ind w:left="1740" w:right="1499"/>
        <w:spacing w:after="0" w:line="249" w:lineRule="auto"/>
        <w:rPr>
          <w:sz w:val="20"/>
          <w:szCs w:val="20"/>
          <w:color w:val="auto"/>
        </w:rPr>
      </w:pPr>
      <w:r>
        <w:rPr>
          <w:rFonts w:ascii="Arial" w:cs="Arial" w:eastAsia="Arial" w:hAnsi="Arial"/>
          <w:sz w:val="13"/>
          <w:szCs w:val="13"/>
          <w:color w:val="auto"/>
        </w:rPr>
        <w:t>on Tuesday, April 27, 2021), set forth therein. This form will constitute voting instructions which the Intermediary must follow. Alternatively, the Intermediary may provide you with a signed form of proxy. In this case, you do not need to sign the form of proxy, but should complete it and forward it directly to Computershare.</w:t>
      </w:r>
    </w:p>
    <w:p>
      <w:pPr>
        <w:spacing w:after="0" w:line="57" w:lineRule="exact"/>
        <w:rPr>
          <w:sz w:val="20"/>
          <w:szCs w:val="20"/>
          <w:color w:val="auto"/>
        </w:rPr>
      </w:pPr>
    </w:p>
    <w:p>
      <w:pPr>
        <w:jc w:val="both"/>
        <w:ind w:left="1740" w:right="1499"/>
        <w:spacing w:after="0" w:line="243" w:lineRule="auto"/>
        <w:rPr>
          <w:sz w:val="20"/>
          <w:szCs w:val="20"/>
          <w:color w:val="auto"/>
        </w:rPr>
      </w:pPr>
      <w:r>
        <w:rPr>
          <w:rFonts w:ascii="Arial" w:cs="Arial" w:eastAsia="Arial" w:hAnsi="Arial"/>
          <w:sz w:val="13"/>
          <w:szCs w:val="13"/>
          <w:color w:val="auto"/>
        </w:rPr>
        <w:t xml:space="preserve">As a non-registered holder, if your shares are held through a broker who is a member of the New York Stock Exchange (the “ </w:t>
      </w:r>
      <w:r>
        <w:rPr>
          <w:rFonts w:ascii="Arial" w:cs="Arial" w:eastAsia="Arial" w:hAnsi="Arial"/>
          <w:sz w:val="13"/>
          <w:szCs w:val="13"/>
          <w:b w:val="1"/>
          <w:bCs w:val="1"/>
          <w:color w:val="auto"/>
        </w:rPr>
        <w:t>NYSE</w:t>
      </w:r>
      <w:r>
        <w:rPr>
          <w:rFonts w:ascii="Arial" w:cs="Arial" w:eastAsia="Arial" w:hAnsi="Arial"/>
          <w:sz w:val="13"/>
          <w:szCs w:val="13"/>
          <w:color w:val="auto"/>
        </w:rPr>
        <w:t xml:space="preserve">”) and you do not return the voting instruction form, your broker will not have the discretion to vote your shares on any “non- routine” matters, as defined under NYSE rules. </w:t>
      </w:r>
      <w:r>
        <w:rPr>
          <w:rFonts w:ascii="Arial" w:cs="Arial" w:eastAsia="Arial" w:hAnsi="Arial"/>
          <w:sz w:val="13"/>
          <w:szCs w:val="13"/>
          <w:b w:val="1"/>
          <w:bCs w:val="1"/>
          <w:color w:val="auto"/>
        </w:rPr>
        <w:t xml:space="preserve">Therefore, it is important that you instruct your broker or other Intermediary how to vote your shares. </w:t>
      </w:r>
      <w:r>
        <w:rPr>
          <w:rFonts w:ascii="Arial" w:cs="Arial" w:eastAsia="Arial" w:hAnsi="Arial"/>
          <w:sz w:val="13"/>
          <w:szCs w:val="13"/>
          <w:color w:val="auto"/>
        </w:rPr>
        <w:t>If</w:t>
      </w:r>
      <w:r>
        <w:rPr>
          <w:rFonts w:ascii="Arial" w:cs="Arial" w:eastAsia="Arial" w:hAnsi="Arial"/>
          <w:sz w:val="13"/>
          <w:szCs w:val="13"/>
          <w:b w:val="1"/>
          <w:bCs w:val="1"/>
          <w:color w:val="auto"/>
        </w:rPr>
        <w:t xml:space="preserve"> </w:t>
      </w:r>
      <w:r>
        <w:rPr>
          <w:rFonts w:ascii="Arial" w:cs="Arial" w:eastAsia="Arial" w:hAnsi="Arial"/>
          <w:sz w:val="13"/>
          <w:szCs w:val="13"/>
          <w:color w:val="auto"/>
        </w:rPr>
        <w:t>such broker doesn’t receive voting instructions as to a non -routine proposal (all proposals, other than the proposal to appoint the auditor for the ensuing year and to authorize the directors to fix the auditor’s remuneration, are “non-routine” matters under NYSE rules), a “broker non -vote” with respect to such shares occurs, and such shares will not be taken into account in determining the outcome of the non-routine proposal.</w:t>
      </w:r>
    </w:p>
    <w:p>
      <w:pPr>
        <w:spacing w:after="0" w:line="61" w:lineRule="exact"/>
        <w:rPr>
          <w:sz w:val="20"/>
          <w:szCs w:val="20"/>
          <w:color w:val="auto"/>
        </w:rPr>
      </w:pPr>
    </w:p>
    <w:p>
      <w:pPr>
        <w:jc w:val="both"/>
        <w:ind w:left="1740" w:right="1479"/>
        <w:spacing w:after="0" w:line="262" w:lineRule="auto"/>
        <w:rPr>
          <w:sz w:val="20"/>
          <w:szCs w:val="20"/>
          <w:color w:val="auto"/>
        </w:rPr>
      </w:pPr>
      <w:r>
        <w:rPr>
          <w:rFonts w:ascii="Arial" w:cs="Arial" w:eastAsia="Arial" w:hAnsi="Arial"/>
          <w:sz w:val="12"/>
          <w:szCs w:val="12"/>
          <w:color w:val="auto"/>
        </w:rPr>
        <w:t xml:space="preserve">Should you, as a non-registered shareholder (other than U.S. resident non- registered shareholders — see below), wish to attend the Meeting and vote your shares at the Meeting, or have an Appointee vote your shares on your behalf at the Meeting, you should fill in your own name or the name of your Appointee, as the case may be, in the space provided on the form of proxy provided by the Intermediary. An Intermediary’s voting instruction form will likely provide corresponding instructions as to how you (or your Appointee) can participate in, and cast your vote at the Meeting. In any case, you should carefully follow the instructions provided by the Intermediary and contact the Intermediary promptly if you require assistance. If you wish to vote your shares at the Meeting or designate an Appointee to attend the Meeting and vote your shares on your behalf, you must first submit the form of proxy or voting instruction form appointing yourself or your Appointee to the Intermediary; and then register yourself or your Appointee. Registering yourself or your Appointee is an additional step you need to take after submitting your form of proxy or voting instruction form to designate yourself or your Appointee in order for you or your Appointee to vote your shares at the Meeting. If you fail to register yourself or your Appointee, you or your Appointee will not receive a Username from Computershare, and will be unable to participate in, or vote at, the Meeting. To register yourself or an Appointee, you MUST visit </w:t>
      </w:r>
      <w:r>
        <w:rPr>
          <w:rFonts w:ascii="Arial" w:cs="Arial" w:eastAsia="Arial" w:hAnsi="Arial"/>
          <w:sz w:val="12"/>
          <w:szCs w:val="12"/>
          <w:b w:val="1"/>
          <w:bCs w:val="1"/>
          <w:u w:val="single" w:color="auto"/>
          <w:color w:val="auto"/>
        </w:rPr>
        <w:t>https://www.computershare.com/celestica</w:t>
      </w:r>
      <w:r>
        <w:rPr>
          <w:rFonts w:ascii="Arial" w:cs="Arial" w:eastAsia="Arial" w:hAnsi="Arial"/>
          <w:sz w:val="12"/>
          <w:szCs w:val="12"/>
          <w:color w:val="auto"/>
        </w:rPr>
        <w:t xml:space="preserve"> </w:t>
      </w:r>
      <w:r>
        <w:rPr>
          <w:rFonts w:ascii="Arial" w:cs="Arial" w:eastAsia="Arial" w:hAnsi="Arial"/>
          <w:sz w:val="12"/>
          <w:szCs w:val="12"/>
          <w:b w:val="1"/>
          <w:bCs w:val="1"/>
          <w:color w:val="auto"/>
        </w:rPr>
        <w:t>by no later than 9:30 a.m. EDT on</w:t>
      </w:r>
      <w:r>
        <w:rPr>
          <w:rFonts w:ascii="Arial" w:cs="Arial" w:eastAsia="Arial" w:hAnsi="Arial"/>
          <w:sz w:val="12"/>
          <w:szCs w:val="12"/>
          <w:color w:val="auto"/>
        </w:rPr>
        <w:t xml:space="preserve"> </w:t>
      </w:r>
      <w:r>
        <w:rPr>
          <w:rFonts w:ascii="Arial" w:cs="Arial" w:eastAsia="Arial" w:hAnsi="Arial"/>
          <w:sz w:val="12"/>
          <w:szCs w:val="12"/>
          <w:b w:val="1"/>
          <w:bCs w:val="1"/>
          <w:color w:val="auto"/>
        </w:rPr>
        <w:t xml:space="preserve">April 27, 2021 </w:t>
      </w:r>
      <w:r>
        <w:rPr>
          <w:rFonts w:ascii="Arial" w:cs="Arial" w:eastAsia="Arial" w:hAnsi="Arial"/>
          <w:sz w:val="12"/>
          <w:szCs w:val="12"/>
          <w:color w:val="auto"/>
        </w:rPr>
        <w:t>and provide Computershare with you or your Appointee’s contact information, so that</w:t>
      </w:r>
      <w:r>
        <w:rPr>
          <w:rFonts w:ascii="Arial" w:cs="Arial" w:eastAsia="Arial" w:hAnsi="Arial"/>
          <w:sz w:val="12"/>
          <w:szCs w:val="12"/>
          <w:b w:val="1"/>
          <w:bCs w:val="1"/>
          <w:color w:val="auto"/>
        </w:rPr>
        <w:t xml:space="preserve"> </w:t>
      </w:r>
      <w:r>
        <w:rPr>
          <w:rFonts w:ascii="Arial" w:cs="Arial" w:eastAsia="Arial" w:hAnsi="Arial"/>
          <w:sz w:val="12"/>
          <w:szCs w:val="12"/>
          <w:color w:val="auto"/>
        </w:rPr>
        <w:t>Computershare may provide you or your Appointee with a Username via email.</w:t>
      </w:r>
    </w:p>
    <w:p>
      <w:pPr>
        <w:spacing w:after="0" w:line="207" w:lineRule="exact"/>
        <w:rPr>
          <w:sz w:val="20"/>
          <w:szCs w:val="20"/>
          <w:color w:val="auto"/>
        </w:rPr>
      </w:pPr>
    </w:p>
    <w:p>
      <w:pPr>
        <w:jc w:val="both"/>
        <w:ind w:left="1740" w:right="1499"/>
        <w:spacing w:after="0" w:line="244" w:lineRule="auto"/>
        <w:rPr>
          <w:sz w:val="20"/>
          <w:szCs w:val="20"/>
          <w:color w:val="auto"/>
        </w:rPr>
      </w:pPr>
      <w:r>
        <w:rPr>
          <w:rFonts w:ascii="Arial" w:cs="Arial" w:eastAsia="Arial" w:hAnsi="Arial"/>
          <w:sz w:val="13"/>
          <w:szCs w:val="13"/>
          <w:color w:val="auto"/>
        </w:rPr>
        <w:t xml:space="preserve">To attend and vote at the Meeting, U.S. resident non-registered shareholders must first obtain a valid legal proxy from their Intermediary, and </w:t>
      </w:r>
      <w:r>
        <w:rPr>
          <w:rFonts w:ascii="Arial" w:cs="Arial" w:eastAsia="Arial" w:hAnsi="Arial"/>
          <w:sz w:val="13"/>
          <w:szCs w:val="13"/>
          <w:u w:val="single" w:color="auto"/>
          <w:color w:val="auto"/>
        </w:rPr>
        <w:t>then register themselves or their Appointee in advance</w:t>
      </w:r>
      <w:r>
        <w:rPr>
          <w:rFonts w:ascii="Arial" w:cs="Arial" w:eastAsia="Arial" w:hAnsi="Arial"/>
          <w:sz w:val="13"/>
          <w:szCs w:val="13"/>
          <w:color w:val="auto"/>
        </w:rPr>
        <w:t xml:space="preserve"> to virtually participate in, and vote at the Meeting. U.S. resident non-registered shareholders should follow the instructions from their Intermediary included with these proxy materials or contact their Intermediary to request a legal proxy form. After first obtaining a valid legal proxy from their Intermediary, U.S. resident non-registered shareholders must submit a copy of their legal proxy to Computershare in order to register themselves or their Appointee to participate in, and vote at the Meeting. Requests for registration should be directed to:</w:t>
      </w:r>
    </w:p>
    <w:p>
      <w:pPr>
        <w:spacing w:after="0" w:line="38"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Computershare Investor Services Inc.</w:t>
      </w:r>
    </w:p>
    <w:p>
      <w:pPr>
        <w:ind w:left="1740" w:right="5439" w:firstLine="3"/>
        <w:spacing w:after="0" w:line="226" w:lineRule="auto"/>
        <w:tabs>
          <w:tab w:leader="none" w:pos="1983" w:val="left"/>
        </w:tabs>
        <w:numPr>
          <w:ilvl w:val="0"/>
          <w:numId w:val="32"/>
        </w:numPr>
        <w:rPr>
          <w:rFonts w:ascii="Arial" w:cs="Arial" w:eastAsia="Arial" w:hAnsi="Arial"/>
          <w:sz w:val="13"/>
          <w:szCs w:val="13"/>
          <w:color w:val="auto"/>
        </w:rPr>
      </w:pPr>
      <w:r>
        <w:rPr>
          <w:rFonts w:ascii="Arial" w:cs="Arial" w:eastAsia="Arial" w:hAnsi="Arial"/>
          <w:sz w:val="13"/>
          <w:szCs w:val="13"/>
          <w:color w:val="auto"/>
        </w:rPr>
        <w:t>University Avenue, 8</w:t>
      </w:r>
      <w:r>
        <w:rPr>
          <w:rFonts w:ascii="Arial" w:cs="Arial" w:eastAsia="Arial" w:hAnsi="Arial"/>
          <w:sz w:val="19"/>
          <w:szCs w:val="19"/>
          <w:color w:val="auto"/>
          <w:vertAlign w:val="superscript"/>
        </w:rPr>
        <w:t>th</w:t>
      </w:r>
      <w:r>
        <w:rPr>
          <w:rFonts w:ascii="Arial" w:cs="Arial" w:eastAsia="Arial" w:hAnsi="Arial"/>
          <w:sz w:val="13"/>
          <w:szCs w:val="13"/>
          <w:color w:val="auto"/>
        </w:rPr>
        <w:t xml:space="preserve"> Floor Toronto, Ontario M5J 2Y1</w:t>
      </w:r>
    </w:p>
    <w:p>
      <w:pPr>
        <w:spacing w:after="0" w:line="62"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OR</w:t>
      </w:r>
    </w:p>
    <w:p>
      <w:pPr>
        <w:spacing w:after="0" w:line="89"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 xml:space="preserve">Email at: </w:t>
      </w:r>
      <w:r>
        <w:rPr>
          <w:rFonts w:ascii="Arial" w:cs="Arial" w:eastAsia="Arial" w:hAnsi="Arial"/>
          <w:sz w:val="13"/>
          <w:szCs w:val="13"/>
          <w:u w:val="single" w:color="auto"/>
          <w:color w:val="auto"/>
        </w:rPr>
        <w:t>uslegalproxy@computershare.com</w:t>
      </w:r>
    </w:p>
    <w:p>
      <w:pPr>
        <w:spacing w:after="0" w:line="89" w:lineRule="exact"/>
        <w:rPr>
          <w:sz w:val="20"/>
          <w:szCs w:val="20"/>
          <w:color w:val="auto"/>
        </w:rPr>
      </w:pPr>
    </w:p>
    <w:p>
      <w:pPr>
        <w:jc w:val="both"/>
        <w:ind w:left="1740" w:right="1499"/>
        <w:spacing w:after="0" w:line="247" w:lineRule="auto"/>
        <w:rPr>
          <w:sz w:val="20"/>
          <w:szCs w:val="20"/>
          <w:color w:val="auto"/>
        </w:rPr>
      </w:pPr>
      <w:r>
        <w:rPr>
          <w:rFonts w:ascii="Arial" w:cs="Arial" w:eastAsia="Arial" w:hAnsi="Arial"/>
          <w:sz w:val="13"/>
          <w:szCs w:val="13"/>
          <w:color w:val="auto"/>
        </w:rPr>
        <w:t xml:space="preserve">Requests for registration must be labeled as “Legal Proxy” and be received no later than April 27, 2021 by 9:30 am. U.S. resident non -registered shareholders will receive a confirmation of their registration by email after Computershare receives their registration materials. Such U.S. resident non-registered shareholders or their Appointee may then attend the Meeting and vote their shares at </w:t>
      </w:r>
      <w:r>
        <w:rPr>
          <w:rFonts w:ascii="Arial" w:cs="Arial" w:eastAsia="Arial" w:hAnsi="Arial"/>
          <w:sz w:val="13"/>
          <w:szCs w:val="13"/>
          <w:u w:val="single" w:color="auto"/>
          <w:color w:val="auto"/>
        </w:rPr>
        <w:t>https://web.lumiagm.com/271769863</w:t>
      </w:r>
      <w:r>
        <w:rPr>
          <w:rFonts w:ascii="Arial" w:cs="Arial" w:eastAsia="Arial" w:hAnsi="Arial"/>
          <w:sz w:val="13"/>
          <w:szCs w:val="13"/>
          <w:color w:val="auto"/>
        </w:rPr>
        <w:t>, password: celestica2021 during the Meeting.</w:t>
      </w:r>
    </w:p>
    <w:p>
      <w:pPr>
        <w:spacing w:after="0" w:line="57" w:lineRule="exact"/>
        <w:rPr>
          <w:sz w:val="20"/>
          <w:szCs w:val="20"/>
          <w:color w:val="auto"/>
        </w:rPr>
      </w:pPr>
    </w:p>
    <w:p>
      <w:pPr>
        <w:jc w:val="both"/>
        <w:ind w:left="1740" w:right="1499"/>
        <w:spacing w:after="0" w:line="254" w:lineRule="auto"/>
        <w:rPr>
          <w:sz w:val="20"/>
          <w:szCs w:val="20"/>
          <w:color w:val="auto"/>
        </w:rPr>
      </w:pPr>
      <w:r>
        <w:rPr>
          <w:rFonts w:ascii="Arial" w:cs="Arial" w:eastAsia="Arial" w:hAnsi="Arial"/>
          <w:sz w:val="13"/>
          <w:szCs w:val="13"/>
          <w:color w:val="auto"/>
        </w:rPr>
        <w:t>Non-registered shareholders who have not appointed themselves may attend the Meeting by clicking “I am a guest” and entering the password “celestica2021” but will be unable to participate in, or vote at, the Meeting.</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 w:name="page15"/>
    <w:bookmarkEnd w:id="14"/>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97" w:lineRule="exact"/>
        <w:rPr>
          <w:sz w:val="20"/>
          <w:szCs w:val="20"/>
          <w:color w:val="auto"/>
        </w:rPr>
      </w:pPr>
    </w:p>
    <w:p>
      <w:pPr>
        <w:jc w:val="both"/>
        <w:ind w:left="1740" w:right="1499"/>
        <w:spacing w:after="0" w:line="270" w:lineRule="auto"/>
        <w:rPr>
          <w:sz w:val="20"/>
          <w:szCs w:val="20"/>
          <w:color w:val="auto"/>
        </w:rPr>
      </w:pPr>
      <w:r>
        <w:rPr>
          <w:rFonts w:ascii="Arial" w:cs="Arial" w:eastAsia="Arial" w:hAnsi="Arial"/>
          <w:sz w:val="13"/>
          <w:szCs w:val="13"/>
          <w:color w:val="auto"/>
        </w:rPr>
        <w:t>If you vote and would subsequently like to change your vote (whether by revoking a voting instruction or by revoking a proxy), you should contact the Intermediary to discuss whether this is possible and, if so, what procedures you should follow.</w:t>
      </w:r>
    </w:p>
    <w:p>
      <w:pPr>
        <w:spacing w:after="0" w:line="41" w:lineRule="exact"/>
        <w:rPr>
          <w:sz w:val="20"/>
          <w:szCs w:val="20"/>
          <w:color w:val="auto"/>
        </w:rPr>
      </w:pPr>
    </w:p>
    <w:p>
      <w:pPr>
        <w:ind w:left="1740" w:right="1499" w:hanging="259"/>
        <w:spacing w:after="0" w:line="269" w:lineRule="auto"/>
        <w:tabs>
          <w:tab w:leader="none" w:pos="1720" w:val="left"/>
        </w:tabs>
        <w:rPr>
          <w:sz w:val="20"/>
          <w:szCs w:val="20"/>
          <w:color w:val="auto"/>
        </w:rPr>
      </w:pPr>
      <w:r>
        <w:rPr>
          <w:rFonts w:ascii="Arial" w:cs="Arial" w:eastAsia="Arial" w:hAnsi="Arial"/>
          <w:sz w:val="13"/>
          <w:szCs w:val="13"/>
          <w:b w:val="1"/>
          <w:bCs w:val="1"/>
          <w:color w:val="auto"/>
        </w:rPr>
        <w:t>Q.</w:t>
      </w:r>
      <w:r>
        <w:rPr>
          <w:sz w:val="20"/>
          <w:szCs w:val="20"/>
          <w:color w:val="auto"/>
        </w:rPr>
        <w:tab/>
      </w:r>
      <w:r>
        <w:rPr>
          <w:rFonts w:ascii="Arial" w:cs="Arial" w:eastAsia="Arial" w:hAnsi="Arial"/>
          <w:sz w:val="14"/>
          <w:szCs w:val="14"/>
          <w:b w:val="1"/>
          <w:bCs w:val="1"/>
          <w:color w:val="auto"/>
        </w:rPr>
        <w:t>HOW CAN I CONTACT THE INDEPENDENT DIRECTORS, NON-MANAGEMENT DIRECTORS AND CHAIR?</w:t>
      </w:r>
    </w:p>
    <w:p>
      <w:pPr>
        <w:spacing w:after="0" w:line="49" w:lineRule="exact"/>
        <w:rPr>
          <w:sz w:val="20"/>
          <w:szCs w:val="20"/>
          <w:color w:val="auto"/>
        </w:rPr>
      </w:pPr>
    </w:p>
    <w:p>
      <w:pPr>
        <w:jc w:val="both"/>
        <w:ind w:left="1740" w:right="1499" w:hanging="262"/>
        <w:spacing w:after="0" w:line="265" w:lineRule="auto"/>
        <w:tabs>
          <w:tab w:leader="none" w:pos="1740" w:val="left"/>
        </w:tabs>
        <w:numPr>
          <w:ilvl w:val="0"/>
          <w:numId w:val="33"/>
        </w:numPr>
        <w:rPr>
          <w:rFonts w:ascii="Arial" w:cs="Arial" w:eastAsia="Arial" w:hAnsi="Arial"/>
          <w:sz w:val="13"/>
          <w:szCs w:val="13"/>
          <w:b w:val="1"/>
          <w:bCs w:val="1"/>
          <w:color w:val="auto"/>
        </w:rPr>
      </w:pPr>
      <w:r>
        <w:rPr>
          <w:rFonts w:ascii="Arial" w:cs="Arial" w:eastAsia="Arial" w:hAnsi="Arial"/>
          <w:sz w:val="13"/>
          <w:szCs w:val="13"/>
          <w:color w:val="auto"/>
        </w:rPr>
        <w:t>You may confidentially contact the Chair of the Board, the non-management directors or the independent directors by writing to them individually or as a group at the Corporation’s head office. Please send your letters in sealed envelopes to our head office as follows and we will deliver them to the Chair of the Board or the appropriate addressee(s), unopened:</w:t>
      </w:r>
    </w:p>
    <w:p>
      <w:pPr>
        <w:spacing w:after="0" w:line="56" w:lineRule="exact"/>
        <w:rPr>
          <w:rFonts w:ascii="Arial" w:cs="Arial" w:eastAsia="Arial" w:hAnsi="Arial"/>
          <w:sz w:val="13"/>
          <w:szCs w:val="13"/>
          <w:b w:val="1"/>
          <w:bCs w:val="1"/>
          <w:color w:val="auto"/>
        </w:rPr>
      </w:pPr>
    </w:p>
    <w:p>
      <w:pPr>
        <w:ind w:left="1740"/>
        <w:spacing w:after="0"/>
        <w:rPr>
          <w:rFonts w:ascii="Arial" w:cs="Arial" w:eastAsia="Arial" w:hAnsi="Arial"/>
          <w:sz w:val="13"/>
          <w:szCs w:val="13"/>
          <w:b w:val="1"/>
          <w:bCs w:val="1"/>
          <w:color w:val="auto"/>
        </w:rPr>
      </w:pPr>
      <w:r>
        <w:rPr>
          <w:rFonts w:ascii="Arial" w:cs="Arial" w:eastAsia="Arial" w:hAnsi="Arial"/>
          <w:sz w:val="13"/>
          <w:szCs w:val="13"/>
          <w:color w:val="auto"/>
        </w:rPr>
        <w:t>c/o Investor Relations</w:t>
      </w:r>
    </w:p>
    <w:p>
      <w:pPr>
        <w:spacing w:after="0" w:line="18" w:lineRule="exact"/>
        <w:rPr>
          <w:rFonts w:ascii="Arial" w:cs="Arial" w:eastAsia="Arial" w:hAnsi="Arial"/>
          <w:sz w:val="13"/>
          <w:szCs w:val="13"/>
          <w:b w:val="1"/>
          <w:bCs w:val="1"/>
          <w:color w:val="auto"/>
        </w:rPr>
      </w:pPr>
    </w:p>
    <w:p>
      <w:pPr>
        <w:ind w:left="1740" w:right="5279"/>
        <w:spacing w:after="0" w:line="263" w:lineRule="auto"/>
        <w:rPr>
          <w:rFonts w:ascii="Arial" w:cs="Arial" w:eastAsia="Arial" w:hAnsi="Arial"/>
          <w:sz w:val="13"/>
          <w:szCs w:val="13"/>
          <w:b w:val="1"/>
          <w:bCs w:val="1"/>
          <w:color w:val="auto"/>
        </w:rPr>
      </w:pPr>
      <w:r>
        <w:rPr>
          <w:rFonts w:ascii="Arial" w:cs="Arial" w:eastAsia="Arial" w:hAnsi="Arial"/>
          <w:sz w:val="13"/>
          <w:szCs w:val="13"/>
          <w:color w:val="auto"/>
        </w:rPr>
        <w:t>5140 Yonge Street, Suite 1900 Toronto, Ontario, Canada M2N 6L7 Phone: 416-448-2211</w:t>
      </w:r>
    </w:p>
    <w:p>
      <w:pPr>
        <w:spacing w:after="0" w:line="53" w:lineRule="exact"/>
        <w:rPr>
          <w:rFonts w:ascii="Arial" w:cs="Arial" w:eastAsia="Arial" w:hAnsi="Arial"/>
          <w:sz w:val="13"/>
          <w:szCs w:val="13"/>
          <w:b w:val="1"/>
          <w:bCs w:val="1"/>
          <w:color w:val="auto"/>
        </w:rPr>
      </w:pPr>
    </w:p>
    <w:p>
      <w:pPr>
        <w:ind w:left="1740" w:right="1499" w:hanging="262"/>
        <w:spacing w:after="0" w:line="292" w:lineRule="auto"/>
        <w:tabs>
          <w:tab w:leader="none" w:pos="1740" w:val="left"/>
        </w:tabs>
        <w:numPr>
          <w:ilvl w:val="0"/>
          <w:numId w:val="34"/>
        </w:numPr>
        <w:rPr>
          <w:rFonts w:ascii="Arial" w:cs="Arial" w:eastAsia="Arial" w:hAnsi="Arial"/>
          <w:sz w:val="13"/>
          <w:szCs w:val="13"/>
          <w:b w:val="1"/>
          <w:bCs w:val="1"/>
          <w:color w:val="auto"/>
        </w:rPr>
      </w:pPr>
      <w:r>
        <w:rPr>
          <w:rFonts w:ascii="Arial" w:cs="Arial" w:eastAsia="Arial" w:hAnsi="Arial"/>
          <w:sz w:val="13"/>
          <w:szCs w:val="13"/>
          <w:b w:val="1"/>
          <w:bCs w:val="1"/>
          <w:color w:val="auto"/>
        </w:rPr>
        <w:t>WHOM SHOULD I CONTACT IF I HAVE QUESTIONS CONCERNING THE CIRCULAR OR FORM OF PROXY?</w:t>
      </w:r>
    </w:p>
    <w:p>
      <w:pPr>
        <w:spacing w:after="0" w:line="38" w:lineRule="exact"/>
        <w:rPr>
          <w:rFonts w:ascii="Arial" w:cs="Arial" w:eastAsia="Arial" w:hAnsi="Arial"/>
          <w:sz w:val="13"/>
          <w:szCs w:val="13"/>
          <w:b w:val="1"/>
          <w:bCs w:val="1"/>
          <w:color w:val="auto"/>
        </w:rPr>
      </w:pPr>
    </w:p>
    <w:p>
      <w:pPr>
        <w:ind w:left="1740" w:right="1499" w:hanging="262"/>
        <w:spacing w:after="0" w:line="285" w:lineRule="auto"/>
        <w:tabs>
          <w:tab w:leader="none" w:pos="1740" w:val="left"/>
        </w:tabs>
        <w:numPr>
          <w:ilvl w:val="0"/>
          <w:numId w:val="35"/>
        </w:numPr>
        <w:rPr>
          <w:rFonts w:ascii="Arial" w:cs="Arial" w:eastAsia="Arial" w:hAnsi="Arial"/>
          <w:sz w:val="13"/>
          <w:szCs w:val="13"/>
          <w:b w:val="1"/>
          <w:bCs w:val="1"/>
          <w:color w:val="auto"/>
        </w:rPr>
      </w:pPr>
      <w:r>
        <w:rPr>
          <w:rFonts w:ascii="Arial" w:cs="Arial" w:eastAsia="Arial" w:hAnsi="Arial"/>
          <w:sz w:val="13"/>
          <w:szCs w:val="13"/>
          <w:color w:val="auto"/>
        </w:rPr>
        <w:t>If you have questions concerning the information contained in this Circular you may contact Celestica Investor Relations:</w:t>
      </w:r>
    </w:p>
    <w:p>
      <w:pPr>
        <w:spacing w:after="0" w:line="43" w:lineRule="exact"/>
        <w:rPr>
          <w:rFonts w:ascii="Arial" w:cs="Arial" w:eastAsia="Arial" w:hAnsi="Arial"/>
          <w:sz w:val="13"/>
          <w:szCs w:val="13"/>
          <w:b w:val="1"/>
          <w:bCs w:val="1"/>
          <w:color w:val="auto"/>
        </w:rPr>
      </w:pPr>
    </w:p>
    <w:p>
      <w:pPr>
        <w:ind w:left="1740"/>
        <w:spacing w:after="0"/>
        <w:rPr>
          <w:rFonts w:ascii="Arial" w:cs="Arial" w:eastAsia="Arial" w:hAnsi="Arial"/>
          <w:sz w:val="13"/>
          <w:szCs w:val="13"/>
          <w:b w:val="1"/>
          <w:bCs w:val="1"/>
          <w:color w:val="auto"/>
        </w:rPr>
      </w:pPr>
      <w:r>
        <w:rPr>
          <w:rFonts w:ascii="Arial" w:cs="Arial" w:eastAsia="Arial" w:hAnsi="Arial"/>
          <w:sz w:val="13"/>
          <w:szCs w:val="13"/>
          <w:color w:val="auto"/>
        </w:rPr>
        <w:t>Investor Relations</w:t>
      </w:r>
    </w:p>
    <w:p>
      <w:pPr>
        <w:spacing w:after="0" w:line="18" w:lineRule="exact"/>
        <w:rPr>
          <w:rFonts w:ascii="Arial" w:cs="Arial" w:eastAsia="Arial" w:hAnsi="Arial"/>
          <w:sz w:val="13"/>
          <w:szCs w:val="13"/>
          <w:b w:val="1"/>
          <w:bCs w:val="1"/>
          <w:color w:val="auto"/>
        </w:rPr>
      </w:pPr>
    </w:p>
    <w:p>
      <w:pPr>
        <w:ind w:left="1740" w:right="5279"/>
        <w:spacing w:after="0" w:line="255" w:lineRule="auto"/>
        <w:rPr>
          <w:rFonts w:ascii="Arial" w:cs="Arial" w:eastAsia="Arial" w:hAnsi="Arial"/>
          <w:sz w:val="13"/>
          <w:szCs w:val="13"/>
          <w:b w:val="1"/>
          <w:bCs w:val="1"/>
          <w:color w:val="auto"/>
        </w:rPr>
      </w:pPr>
      <w:r>
        <w:rPr>
          <w:rFonts w:ascii="Arial" w:cs="Arial" w:eastAsia="Arial" w:hAnsi="Arial"/>
          <w:sz w:val="13"/>
          <w:szCs w:val="13"/>
          <w:color w:val="auto"/>
        </w:rPr>
        <w:t>5140 Yonge Street, Suite 1900 Toronto, Ontario, Canada M2N 6L7 Phone: 416-448-2211</w:t>
      </w:r>
    </w:p>
    <w:p>
      <w:pPr>
        <w:spacing w:after="0" w:line="1" w:lineRule="exact"/>
        <w:rPr>
          <w:rFonts w:ascii="Arial" w:cs="Arial" w:eastAsia="Arial" w:hAnsi="Arial"/>
          <w:sz w:val="13"/>
          <w:szCs w:val="13"/>
          <w:b w:val="1"/>
          <w:bCs w:val="1"/>
          <w:color w:val="auto"/>
        </w:rPr>
      </w:pPr>
    </w:p>
    <w:p>
      <w:pPr>
        <w:ind w:left="1740"/>
        <w:spacing w:after="0"/>
        <w:rPr>
          <w:rFonts w:ascii="Arial" w:cs="Arial" w:eastAsia="Arial" w:hAnsi="Arial"/>
          <w:sz w:val="13"/>
          <w:szCs w:val="13"/>
          <w:b w:val="1"/>
          <w:bCs w:val="1"/>
          <w:color w:val="auto"/>
        </w:rPr>
      </w:pPr>
      <w:r>
        <w:rPr>
          <w:rFonts w:ascii="Arial" w:cs="Arial" w:eastAsia="Arial" w:hAnsi="Arial"/>
          <w:sz w:val="13"/>
          <w:szCs w:val="13"/>
          <w:color w:val="auto"/>
        </w:rPr>
        <w:t xml:space="preserve">E-mail: </w:t>
      </w:r>
      <w:r>
        <w:rPr>
          <w:rFonts w:ascii="Arial" w:cs="Arial" w:eastAsia="Arial" w:hAnsi="Arial"/>
          <w:sz w:val="13"/>
          <w:szCs w:val="13"/>
          <w:u w:val="single" w:color="auto"/>
          <w:color w:val="auto"/>
        </w:rPr>
        <w:t>clsir@celestica.com</w:t>
      </w:r>
    </w:p>
    <w:p>
      <w:pPr>
        <w:spacing w:after="0" w:line="80" w:lineRule="exact"/>
        <w:rPr>
          <w:rFonts w:ascii="Arial" w:cs="Arial" w:eastAsia="Arial" w:hAnsi="Arial"/>
          <w:sz w:val="13"/>
          <w:szCs w:val="13"/>
          <w:b w:val="1"/>
          <w:bCs w:val="1"/>
          <w:color w:val="auto"/>
        </w:rPr>
      </w:pPr>
    </w:p>
    <w:p>
      <w:pPr>
        <w:ind w:left="1740" w:right="1499"/>
        <w:spacing w:after="0" w:line="285" w:lineRule="auto"/>
        <w:rPr>
          <w:rFonts w:ascii="Arial" w:cs="Arial" w:eastAsia="Arial" w:hAnsi="Arial"/>
          <w:sz w:val="13"/>
          <w:szCs w:val="13"/>
          <w:b w:val="1"/>
          <w:bCs w:val="1"/>
          <w:color w:val="auto"/>
        </w:rPr>
      </w:pPr>
      <w:r>
        <w:rPr>
          <w:rFonts w:ascii="Arial" w:cs="Arial" w:eastAsia="Arial" w:hAnsi="Arial"/>
          <w:sz w:val="13"/>
          <w:szCs w:val="13"/>
          <w:color w:val="auto"/>
        </w:rPr>
        <w:t>If you require assistance in completing the form of proxy you may contact Computershare (see contact coordinates below).</w:t>
      </w:r>
    </w:p>
    <w:p>
      <w:pPr>
        <w:spacing w:after="0" w:line="39" w:lineRule="exact"/>
        <w:rPr>
          <w:rFonts w:ascii="Arial" w:cs="Arial" w:eastAsia="Arial" w:hAnsi="Arial"/>
          <w:sz w:val="13"/>
          <w:szCs w:val="13"/>
          <w:b w:val="1"/>
          <w:bCs w:val="1"/>
          <w:color w:val="auto"/>
        </w:rPr>
      </w:pPr>
    </w:p>
    <w:p>
      <w:pPr>
        <w:ind w:left="1740" w:hanging="262"/>
        <w:spacing w:after="0"/>
        <w:tabs>
          <w:tab w:leader="none" w:pos="1740" w:val="left"/>
        </w:tabs>
        <w:numPr>
          <w:ilvl w:val="0"/>
          <w:numId w:val="36"/>
        </w:numPr>
        <w:rPr>
          <w:rFonts w:ascii="Arial" w:cs="Arial" w:eastAsia="Arial" w:hAnsi="Arial"/>
          <w:sz w:val="13"/>
          <w:szCs w:val="13"/>
          <w:b w:val="1"/>
          <w:bCs w:val="1"/>
          <w:color w:val="auto"/>
        </w:rPr>
      </w:pPr>
      <w:r>
        <w:rPr>
          <w:rFonts w:ascii="Arial" w:cs="Arial" w:eastAsia="Arial" w:hAnsi="Arial"/>
          <w:sz w:val="13"/>
          <w:szCs w:val="13"/>
          <w:b w:val="1"/>
          <w:bCs w:val="1"/>
          <w:color w:val="auto"/>
        </w:rPr>
        <w:t>HOW CAN I CONTACT THE TRANSFER AGENT?</w:t>
      </w:r>
    </w:p>
    <w:p>
      <w:pPr>
        <w:spacing w:after="0" w:line="93" w:lineRule="exact"/>
        <w:rPr>
          <w:rFonts w:ascii="Arial" w:cs="Arial" w:eastAsia="Arial" w:hAnsi="Arial"/>
          <w:sz w:val="13"/>
          <w:szCs w:val="13"/>
          <w:b w:val="1"/>
          <w:bCs w:val="1"/>
          <w:color w:val="auto"/>
        </w:rPr>
      </w:pPr>
    </w:p>
    <w:p>
      <w:pPr>
        <w:ind w:left="1740" w:hanging="262"/>
        <w:spacing w:after="0"/>
        <w:tabs>
          <w:tab w:leader="none" w:pos="1740" w:val="left"/>
        </w:tabs>
        <w:numPr>
          <w:ilvl w:val="0"/>
          <w:numId w:val="37"/>
        </w:numPr>
        <w:rPr>
          <w:rFonts w:ascii="Arial" w:cs="Arial" w:eastAsia="Arial" w:hAnsi="Arial"/>
          <w:sz w:val="13"/>
          <w:szCs w:val="13"/>
          <w:b w:val="1"/>
          <w:bCs w:val="1"/>
          <w:color w:val="auto"/>
        </w:rPr>
      </w:pPr>
      <w:r>
        <w:rPr>
          <w:rFonts w:ascii="Arial" w:cs="Arial" w:eastAsia="Arial" w:hAnsi="Arial"/>
          <w:sz w:val="13"/>
          <w:szCs w:val="13"/>
          <w:color w:val="auto"/>
        </w:rPr>
        <w:t>You may contact the transfer agent by mail:</w:t>
      </w:r>
    </w:p>
    <w:p>
      <w:pPr>
        <w:spacing w:after="0" w:line="89" w:lineRule="exact"/>
        <w:rPr>
          <w:rFonts w:ascii="Arial" w:cs="Arial" w:eastAsia="Arial" w:hAnsi="Arial"/>
          <w:sz w:val="13"/>
          <w:szCs w:val="13"/>
          <w:b w:val="1"/>
          <w:bCs w:val="1"/>
          <w:color w:val="auto"/>
        </w:rPr>
      </w:pPr>
    </w:p>
    <w:p>
      <w:pPr>
        <w:ind w:left="1740" w:right="5179"/>
        <w:spacing w:after="0" w:line="230" w:lineRule="auto"/>
        <w:rPr>
          <w:rFonts w:ascii="Arial" w:cs="Arial" w:eastAsia="Arial" w:hAnsi="Arial"/>
          <w:sz w:val="13"/>
          <w:szCs w:val="13"/>
          <w:b w:val="1"/>
          <w:bCs w:val="1"/>
          <w:color w:val="auto"/>
        </w:rPr>
      </w:pPr>
      <w:r>
        <w:rPr>
          <w:rFonts w:ascii="Arial" w:cs="Arial" w:eastAsia="Arial" w:hAnsi="Arial"/>
          <w:sz w:val="13"/>
          <w:szCs w:val="13"/>
          <w:color w:val="auto"/>
        </w:rPr>
        <w:t>Computershare Investor Services Inc. 100 University Avenue, 8</w:t>
      </w:r>
      <w:r>
        <w:rPr>
          <w:rFonts w:ascii="Arial" w:cs="Arial" w:eastAsia="Arial" w:hAnsi="Arial"/>
          <w:sz w:val="19"/>
          <w:szCs w:val="19"/>
          <w:color w:val="auto"/>
          <w:vertAlign w:val="superscript"/>
        </w:rPr>
        <w:t>th</w:t>
      </w:r>
      <w:r>
        <w:rPr>
          <w:rFonts w:ascii="Arial" w:cs="Arial" w:eastAsia="Arial" w:hAnsi="Arial"/>
          <w:sz w:val="13"/>
          <w:szCs w:val="13"/>
          <w:color w:val="auto"/>
        </w:rPr>
        <w:t xml:space="preserve"> Floor Toronto, Ontario M5J 2Y1</w:t>
      </w:r>
    </w:p>
    <w:p>
      <w:pPr>
        <w:spacing w:after="0" w:line="71" w:lineRule="exact"/>
        <w:rPr>
          <w:rFonts w:ascii="Arial" w:cs="Arial" w:eastAsia="Arial" w:hAnsi="Arial"/>
          <w:sz w:val="13"/>
          <w:szCs w:val="13"/>
          <w:b w:val="1"/>
          <w:bCs w:val="1"/>
          <w:color w:val="auto"/>
        </w:rPr>
      </w:pPr>
    </w:p>
    <w:p>
      <w:pPr>
        <w:ind w:left="1740"/>
        <w:spacing w:after="0"/>
        <w:rPr>
          <w:rFonts w:ascii="Arial" w:cs="Arial" w:eastAsia="Arial" w:hAnsi="Arial"/>
          <w:sz w:val="13"/>
          <w:szCs w:val="13"/>
          <w:b w:val="1"/>
          <w:bCs w:val="1"/>
          <w:color w:val="auto"/>
        </w:rPr>
      </w:pPr>
      <w:r>
        <w:rPr>
          <w:rFonts w:ascii="Arial" w:cs="Arial" w:eastAsia="Arial" w:hAnsi="Arial"/>
          <w:sz w:val="13"/>
          <w:szCs w:val="13"/>
          <w:color w:val="auto"/>
        </w:rPr>
        <w:t>or by telephone:</w:t>
      </w:r>
    </w:p>
    <w:p>
      <w:pPr>
        <w:spacing w:after="0" w:line="89" w:lineRule="exact"/>
        <w:rPr>
          <w:rFonts w:ascii="Arial" w:cs="Arial" w:eastAsia="Arial" w:hAnsi="Arial"/>
          <w:sz w:val="13"/>
          <w:szCs w:val="13"/>
          <w:b w:val="1"/>
          <w:bCs w:val="1"/>
          <w:color w:val="auto"/>
        </w:rPr>
      </w:pPr>
    </w:p>
    <w:p>
      <w:pPr>
        <w:ind w:left="1740" w:right="5759"/>
        <w:spacing w:after="0" w:line="262" w:lineRule="auto"/>
        <w:rPr>
          <w:rFonts w:ascii="Arial" w:cs="Arial" w:eastAsia="Arial" w:hAnsi="Arial"/>
          <w:sz w:val="13"/>
          <w:szCs w:val="13"/>
          <w:b w:val="1"/>
          <w:bCs w:val="1"/>
          <w:color w:val="auto"/>
        </w:rPr>
      </w:pPr>
      <w:r>
        <w:rPr>
          <w:rFonts w:ascii="Arial" w:cs="Arial" w:eastAsia="Arial" w:hAnsi="Arial"/>
          <w:sz w:val="13"/>
          <w:szCs w:val="13"/>
          <w:color w:val="auto"/>
        </w:rPr>
        <w:t>within Canada and the U.S. 1-800-564-6253</w:t>
      </w:r>
    </w:p>
    <w:p>
      <w:pPr>
        <w:spacing w:after="0" w:line="1" w:lineRule="exact"/>
        <w:rPr>
          <w:rFonts w:ascii="Arial" w:cs="Arial" w:eastAsia="Arial" w:hAnsi="Arial"/>
          <w:sz w:val="13"/>
          <w:szCs w:val="13"/>
          <w:b w:val="1"/>
          <w:bCs w:val="1"/>
          <w:color w:val="auto"/>
        </w:rPr>
      </w:pPr>
    </w:p>
    <w:p>
      <w:pPr>
        <w:ind w:left="1740" w:right="6279"/>
        <w:spacing w:after="0" w:line="314" w:lineRule="auto"/>
        <w:rPr>
          <w:rFonts w:ascii="Arial" w:cs="Arial" w:eastAsia="Arial" w:hAnsi="Arial"/>
          <w:sz w:val="13"/>
          <w:szCs w:val="13"/>
          <w:b w:val="1"/>
          <w:bCs w:val="1"/>
          <w:color w:val="auto"/>
        </w:rPr>
      </w:pPr>
      <w:r>
        <w:rPr>
          <w:rFonts w:ascii="Arial" w:cs="Arial" w:eastAsia="Arial" w:hAnsi="Arial"/>
          <w:sz w:val="12"/>
          <w:szCs w:val="12"/>
          <w:color w:val="auto"/>
        </w:rPr>
        <w:t>all other countries 514-982-7555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 w:name="page16"/>
    <w:bookmarkEnd w:id="15"/>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296545</wp:posOffset>
            </wp:positionV>
            <wp:extent cx="3843655" cy="1898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43655" cy="18986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PRINCIPAL HOLDERS OF VOTING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41910</wp:posOffset>
            </wp:positionV>
            <wp:extent cx="3843655"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206" w:lineRule="exact"/>
        <w:rPr>
          <w:sz w:val="20"/>
          <w:szCs w:val="20"/>
          <w:color w:val="auto"/>
        </w:rPr>
      </w:pPr>
    </w:p>
    <w:p>
      <w:pPr>
        <w:jc w:val="both"/>
        <w:ind w:left="1480" w:right="1499"/>
        <w:spacing w:after="0" w:line="247" w:lineRule="auto"/>
        <w:rPr>
          <w:sz w:val="20"/>
          <w:szCs w:val="20"/>
          <w:color w:val="auto"/>
        </w:rPr>
      </w:pPr>
      <w:r>
        <w:rPr>
          <w:rFonts w:ascii="Arial" w:cs="Arial" w:eastAsia="Arial" w:hAnsi="Arial"/>
          <w:sz w:val="13"/>
          <w:szCs w:val="13"/>
          <w:color w:val="auto"/>
        </w:rPr>
        <w:t>As of February 22, 2021, the only persons, corporations or other legal entities who, to the knowledge of the Corporation, its directors or executive officers, beneficially own, or control or direct, directly or indirectly, voting securities carrying 10% or more of the voting rights attached to any class of the voting securities of the Corporation are as follows: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Table 1: Principal Holders of Voting Shares</w:t>
      </w:r>
    </w:p>
    <w:p>
      <w:pPr>
        <w:spacing w:after="0" w:line="64" w:lineRule="exact"/>
        <w:rPr>
          <w:sz w:val="20"/>
          <w:szCs w:val="20"/>
          <w:color w:val="auto"/>
        </w:rPr>
      </w:pPr>
    </w:p>
    <w:tbl>
      <w:tblPr>
        <w:tblLayout w:type="fixed"/>
        <w:tblInd w:w="1490" w:type="dxa"/>
        <w:tblCellMar>
          <w:top w:w="0" w:type="dxa"/>
          <w:left w:w="0" w:type="dxa"/>
          <w:bottom w:w="0" w:type="dxa"/>
          <w:right w:w="0" w:type="dxa"/>
        </w:tblCellMar>
      </w:tblPr>
      <w:tr>
        <w:trPr>
          <w:trHeight w:val="45"/>
        </w:trPr>
        <w:tc>
          <w:tcPr>
            <w:tcW w:w="2420" w:type="dxa"/>
            <w:vAlign w:val="bottom"/>
            <w:tcBorders>
              <w:top w:val="single" w:sz="8" w:color="auto"/>
              <w:bottom w:val="single" w:sz="8" w:color="auto"/>
            </w:tcBorders>
          </w:tcPr>
          <w:p>
            <w:pPr>
              <w:spacing w:after="0"/>
              <w:rPr>
                <w:sz w:val="3"/>
                <w:szCs w:val="3"/>
                <w:color w:val="auto"/>
              </w:rPr>
            </w:pPr>
          </w:p>
        </w:tc>
        <w:tc>
          <w:tcPr>
            <w:tcW w:w="1140" w:type="dxa"/>
            <w:vAlign w:val="bottom"/>
            <w:tcBorders>
              <w:top w:val="single" w:sz="8" w:color="auto"/>
              <w:bottom w:val="single" w:sz="8" w:color="auto"/>
            </w:tcBorders>
          </w:tcPr>
          <w:p>
            <w:pPr>
              <w:spacing w:after="0"/>
              <w:rPr>
                <w:sz w:val="3"/>
                <w:szCs w:val="3"/>
                <w:color w:val="auto"/>
              </w:rPr>
            </w:pPr>
          </w:p>
        </w:tc>
        <w:tc>
          <w:tcPr>
            <w:tcW w:w="760" w:type="dxa"/>
            <w:vAlign w:val="bottom"/>
            <w:tcBorders>
              <w:top w:val="single" w:sz="8" w:color="auto"/>
              <w:bottom w:val="single" w:sz="8" w:color="auto"/>
            </w:tcBorders>
          </w:tcPr>
          <w:p>
            <w:pPr>
              <w:spacing w:after="0"/>
              <w:rPr>
                <w:sz w:val="3"/>
                <w:szCs w:val="3"/>
                <w:color w:val="auto"/>
              </w:rPr>
            </w:pPr>
          </w:p>
        </w:tc>
        <w:tc>
          <w:tcPr>
            <w:tcW w:w="940" w:type="dxa"/>
            <w:vAlign w:val="bottom"/>
            <w:tcBorders>
              <w:top w:val="single" w:sz="8" w:color="auto"/>
              <w:bottom w:val="single" w:sz="8" w:color="auto"/>
            </w:tcBorders>
          </w:tcPr>
          <w:p>
            <w:pPr>
              <w:spacing w:after="0"/>
              <w:rPr>
                <w:sz w:val="3"/>
                <w:szCs w:val="3"/>
                <w:color w:val="auto"/>
              </w:rPr>
            </w:pPr>
          </w:p>
        </w:tc>
        <w:tc>
          <w:tcPr>
            <w:tcW w:w="76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2420" w:type="dxa"/>
            <w:vAlign w:val="bottom"/>
            <w:tcBorders>
              <w:left w:val="single" w:sz="8" w:color="auto"/>
              <w:right w:val="single" w:sz="8" w:color="auto"/>
            </w:tcBorders>
          </w:tcPr>
          <w:p>
            <w:pPr>
              <w:spacing w:after="0"/>
              <w:rPr>
                <w:sz w:val="13"/>
                <w:szCs w:val="13"/>
                <w:color w:val="auto"/>
              </w:rPr>
            </w:pPr>
          </w:p>
        </w:tc>
        <w:tc>
          <w:tcPr>
            <w:tcW w:w="1140" w:type="dxa"/>
            <w:vAlign w:val="bottom"/>
            <w:tcBorders>
              <w:right w:val="single" w:sz="8" w:color="auto"/>
            </w:tcBorders>
          </w:tcPr>
          <w:p>
            <w:pPr>
              <w:jc w:val="right"/>
              <w:ind w:right="297"/>
              <w:spacing w:after="0"/>
              <w:rPr>
                <w:sz w:val="20"/>
                <w:szCs w:val="20"/>
                <w:color w:val="auto"/>
              </w:rPr>
            </w:pPr>
            <w:r>
              <w:rPr>
                <w:rFonts w:ascii="Arial" w:cs="Arial" w:eastAsia="Arial" w:hAnsi="Arial"/>
                <w:sz w:val="11"/>
                <w:szCs w:val="11"/>
                <w:b w:val="1"/>
                <w:bCs w:val="1"/>
                <w:color w:val="auto"/>
              </w:rPr>
              <w:t>Number of</w:t>
            </w:r>
          </w:p>
        </w:tc>
        <w:tc>
          <w:tcPr>
            <w:tcW w:w="760" w:type="dxa"/>
            <w:vAlign w:val="bottom"/>
            <w:tcBorders>
              <w:right w:val="single" w:sz="8" w:color="auto"/>
            </w:tcBorders>
          </w:tcPr>
          <w:p>
            <w:pPr>
              <w:jc w:val="right"/>
              <w:ind w:right="57"/>
              <w:spacing w:after="0"/>
              <w:rPr>
                <w:sz w:val="20"/>
                <w:szCs w:val="20"/>
                <w:color w:val="auto"/>
              </w:rPr>
            </w:pPr>
            <w:r>
              <w:rPr>
                <w:rFonts w:ascii="Arial" w:cs="Arial" w:eastAsia="Arial" w:hAnsi="Arial"/>
                <w:sz w:val="11"/>
                <w:szCs w:val="11"/>
                <w:b w:val="1"/>
                <w:bCs w:val="1"/>
                <w:color w:val="auto"/>
                <w:w w:val="85"/>
              </w:rPr>
              <w:t>Percentage of</w:t>
            </w:r>
          </w:p>
        </w:tc>
        <w:tc>
          <w:tcPr>
            <w:tcW w:w="940" w:type="dxa"/>
            <w:vAlign w:val="bottom"/>
            <w:tcBorders>
              <w:right w:val="single" w:sz="8" w:color="auto"/>
            </w:tcBorders>
          </w:tcPr>
          <w:p>
            <w:pPr>
              <w:jc w:val="right"/>
              <w:ind w:right="137"/>
              <w:spacing w:after="0"/>
              <w:rPr>
                <w:sz w:val="20"/>
                <w:szCs w:val="20"/>
                <w:color w:val="auto"/>
              </w:rPr>
            </w:pPr>
            <w:r>
              <w:rPr>
                <w:rFonts w:ascii="Arial" w:cs="Arial" w:eastAsia="Arial" w:hAnsi="Arial"/>
                <w:sz w:val="11"/>
                <w:szCs w:val="11"/>
                <w:b w:val="1"/>
                <w:bCs w:val="1"/>
                <w:color w:val="auto"/>
                <w:w w:val="98"/>
              </w:rPr>
              <w:t>Percentage of</w:t>
            </w:r>
          </w:p>
        </w:tc>
        <w:tc>
          <w:tcPr>
            <w:tcW w:w="760" w:type="dxa"/>
            <w:vAlign w:val="bottom"/>
            <w:tcBorders>
              <w:right w:val="single" w:sz="8" w:color="auto"/>
            </w:tcBorders>
          </w:tcPr>
          <w:p>
            <w:pPr>
              <w:jc w:val="right"/>
              <w:ind w:right="37"/>
              <w:spacing w:after="0"/>
              <w:rPr>
                <w:sz w:val="20"/>
                <w:szCs w:val="20"/>
                <w:color w:val="auto"/>
              </w:rPr>
            </w:pPr>
            <w:r>
              <w:rPr>
                <w:rFonts w:ascii="Arial" w:cs="Arial" w:eastAsia="Arial" w:hAnsi="Arial"/>
                <w:sz w:val="11"/>
                <w:szCs w:val="11"/>
                <w:b w:val="1"/>
                <w:bCs w:val="1"/>
                <w:color w:val="auto"/>
                <w:w w:val="87"/>
              </w:rPr>
              <w:t>Percentage of</w:t>
            </w: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1"/>
                <w:szCs w:val="11"/>
                <w:b w:val="1"/>
                <w:bCs w:val="1"/>
                <w:color w:val="auto"/>
              </w:rPr>
              <w:t>Name</w:t>
            </w:r>
          </w:p>
        </w:tc>
        <w:tc>
          <w:tcPr>
            <w:tcW w:w="1140" w:type="dxa"/>
            <w:vAlign w:val="bottom"/>
            <w:tcBorders>
              <w:bottom w:val="single" w:sz="8" w:color="auto"/>
              <w:right w:val="single" w:sz="8" w:color="auto"/>
            </w:tcBorders>
          </w:tcPr>
          <w:p>
            <w:pPr>
              <w:jc w:val="right"/>
              <w:ind w:right="377"/>
              <w:spacing w:after="0"/>
              <w:rPr>
                <w:sz w:val="20"/>
                <w:szCs w:val="20"/>
                <w:color w:val="auto"/>
              </w:rPr>
            </w:pPr>
            <w:r>
              <w:rPr>
                <w:rFonts w:ascii="Arial" w:cs="Arial" w:eastAsia="Arial" w:hAnsi="Arial"/>
                <w:sz w:val="11"/>
                <w:szCs w:val="11"/>
                <w:b w:val="1"/>
                <w:bCs w:val="1"/>
                <w:color w:val="auto"/>
              </w:rPr>
              <w:t>Shares</w:t>
            </w:r>
          </w:p>
        </w:tc>
        <w:tc>
          <w:tcPr>
            <w:tcW w:w="760" w:type="dxa"/>
            <w:vAlign w:val="bottom"/>
            <w:tcBorders>
              <w:bottom w:val="single" w:sz="8" w:color="auto"/>
              <w:right w:val="single" w:sz="8" w:color="auto"/>
            </w:tcBorders>
          </w:tcPr>
          <w:p>
            <w:pPr>
              <w:jc w:val="right"/>
              <w:ind w:right="217"/>
              <w:spacing w:after="0"/>
              <w:rPr>
                <w:sz w:val="20"/>
                <w:szCs w:val="20"/>
                <w:color w:val="auto"/>
              </w:rPr>
            </w:pPr>
            <w:r>
              <w:rPr>
                <w:rFonts w:ascii="Arial" w:cs="Arial" w:eastAsia="Arial" w:hAnsi="Arial"/>
                <w:sz w:val="11"/>
                <w:szCs w:val="11"/>
                <w:b w:val="1"/>
                <w:bCs w:val="1"/>
                <w:color w:val="auto"/>
              </w:rPr>
              <w:t>Class</w:t>
            </w:r>
          </w:p>
        </w:tc>
        <w:tc>
          <w:tcPr>
            <w:tcW w:w="94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1"/>
                <w:szCs w:val="11"/>
                <w:b w:val="1"/>
                <w:bCs w:val="1"/>
                <w:color w:val="auto"/>
                <w:w w:val="90"/>
              </w:rPr>
              <w:t>All Equity Shares</w:t>
            </w:r>
          </w:p>
        </w:tc>
        <w:tc>
          <w:tcPr>
            <w:tcW w:w="76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1"/>
                <w:szCs w:val="11"/>
                <w:b w:val="1"/>
                <w:bCs w:val="1"/>
                <w:color w:val="auto"/>
                <w:w w:val="93"/>
              </w:rPr>
              <w:t>Voting Power</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24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Onex Corporation</w:t>
            </w:r>
            <w:r>
              <w:rPr>
                <w:rFonts w:ascii="Arial" w:cs="Arial" w:eastAsia="Arial" w:hAnsi="Arial"/>
                <w:sz w:val="19"/>
                <w:szCs w:val="19"/>
                <w:b w:val="1"/>
                <w:bCs w:val="1"/>
                <w:color w:val="auto"/>
                <w:vertAlign w:val="superscript"/>
              </w:rPr>
              <w:t>(1)</w:t>
            </w:r>
          </w:p>
        </w:tc>
        <w:tc>
          <w:tcPr>
            <w:tcW w:w="114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3"/>
                <w:szCs w:val="13"/>
                <w:color w:val="auto"/>
              </w:rPr>
              <w:t>18,600,193 MVS</w:t>
            </w:r>
          </w:p>
        </w:tc>
        <w:tc>
          <w:tcPr>
            <w:tcW w:w="760" w:type="dxa"/>
            <w:vAlign w:val="bottom"/>
            <w:tcBorders>
              <w:bottom w:val="single" w:sz="8" w:color="auto"/>
              <w:right w:val="single" w:sz="8" w:color="auto"/>
            </w:tcBorders>
          </w:tcPr>
          <w:p>
            <w:pPr>
              <w:jc w:val="right"/>
              <w:ind w:right="117"/>
              <w:spacing w:after="0"/>
              <w:rPr>
                <w:sz w:val="20"/>
                <w:szCs w:val="20"/>
                <w:color w:val="auto"/>
              </w:rPr>
            </w:pPr>
            <w:r>
              <w:rPr>
                <w:rFonts w:ascii="Arial" w:cs="Arial" w:eastAsia="Arial" w:hAnsi="Arial"/>
                <w:sz w:val="13"/>
                <w:szCs w:val="13"/>
                <w:color w:val="auto"/>
              </w:rPr>
              <w:t>100.0%</w:t>
            </w:r>
          </w:p>
        </w:tc>
        <w:tc>
          <w:tcPr>
            <w:tcW w:w="940" w:type="dxa"/>
            <w:vAlign w:val="bottom"/>
            <w:tcBorders>
              <w:bottom w:val="single" w:sz="8" w:color="auto"/>
              <w:right w:val="single" w:sz="8" w:color="auto"/>
            </w:tcBorders>
          </w:tcPr>
          <w:p>
            <w:pPr>
              <w:jc w:val="right"/>
              <w:ind w:right="237"/>
              <w:spacing w:after="0"/>
              <w:rPr>
                <w:sz w:val="20"/>
                <w:szCs w:val="20"/>
                <w:color w:val="auto"/>
              </w:rPr>
            </w:pPr>
            <w:r>
              <w:rPr>
                <w:rFonts w:ascii="Arial" w:cs="Arial" w:eastAsia="Arial" w:hAnsi="Arial"/>
                <w:sz w:val="13"/>
                <w:szCs w:val="13"/>
                <w:color w:val="auto"/>
              </w:rPr>
              <w:t>14.4%</w:t>
            </w:r>
          </w:p>
        </w:tc>
        <w:tc>
          <w:tcPr>
            <w:tcW w:w="760" w:type="dxa"/>
            <w:vAlign w:val="bottom"/>
            <w:tcBorders>
              <w:bottom w:val="single" w:sz="8" w:color="auto"/>
              <w:right w:val="single" w:sz="8" w:color="auto"/>
            </w:tcBorders>
          </w:tcPr>
          <w:p>
            <w:pPr>
              <w:jc w:val="right"/>
              <w:ind w:right="137"/>
              <w:spacing w:after="0"/>
              <w:rPr>
                <w:sz w:val="20"/>
                <w:szCs w:val="20"/>
                <w:color w:val="auto"/>
              </w:rPr>
            </w:pPr>
            <w:r>
              <w:rPr>
                <w:rFonts w:ascii="Arial" w:cs="Arial" w:eastAsia="Arial" w:hAnsi="Arial"/>
                <w:sz w:val="13"/>
                <w:szCs w:val="13"/>
                <w:color w:val="auto"/>
              </w:rPr>
              <w:t>80.8%</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2420" w:type="dxa"/>
            <w:vAlign w:val="bottom"/>
            <w:tcBorders>
              <w:left w:val="single" w:sz="8" w:color="auto"/>
              <w:right w:val="single" w:sz="8" w:color="auto"/>
            </w:tcBorders>
          </w:tcPr>
          <w:p>
            <w:pPr>
              <w:ind w:left="80"/>
              <w:spacing w:after="0" w:line="141" w:lineRule="exact"/>
              <w:rPr>
                <w:sz w:val="20"/>
                <w:szCs w:val="20"/>
                <w:color w:val="auto"/>
              </w:rPr>
            </w:pPr>
            <w:r>
              <w:rPr>
                <w:rFonts w:ascii="Arial" w:cs="Arial" w:eastAsia="Arial" w:hAnsi="Arial"/>
                <w:sz w:val="13"/>
                <w:szCs w:val="13"/>
                <w:color w:val="auto"/>
              </w:rPr>
              <w:t>Toronto, Ontario</w:t>
            </w:r>
          </w:p>
        </w:tc>
        <w:tc>
          <w:tcPr>
            <w:tcW w:w="114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13"/>
                <w:szCs w:val="13"/>
                <w:color w:val="auto"/>
              </w:rPr>
              <w:t>397,045 SVS</w:t>
            </w:r>
          </w:p>
        </w:tc>
        <w:tc>
          <w:tcPr>
            <w:tcW w:w="760" w:type="dxa"/>
            <w:vAlign w:val="bottom"/>
            <w:tcBorders>
              <w:right w:val="single" w:sz="8" w:color="auto"/>
            </w:tcBorders>
            <w:vMerge w:val="restart"/>
          </w:tcPr>
          <w:p>
            <w:pPr>
              <w:jc w:val="right"/>
              <w:ind w:right="13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vMerge w:val="restart"/>
          </w:tcPr>
          <w:p>
            <w:pPr>
              <w:jc w:val="right"/>
              <w:ind w:right="237"/>
              <w:spacing w:after="0"/>
              <w:rPr>
                <w:sz w:val="20"/>
                <w:szCs w:val="20"/>
                <w:color w:val="auto"/>
              </w:rPr>
            </w:pPr>
            <w:r>
              <w:rPr>
                <w:rFonts w:ascii="Arial" w:cs="Arial" w:eastAsia="Arial" w:hAnsi="Arial"/>
                <w:sz w:val="13"/>
                <w:szCs w:val="13"/>
                <w:color w:val="auto"/>
              </w:rPr>
              <w:t>*</w:t>
            </w:r>
          </w:p>
        </w:tc>
        <w:tc>
          <w:tcPr>
            <w:tcW w:w="760" w:type="dxa"/>
            <w:vAlign w:val="bottom"/>
            <w:tcBorders>
              <w:right w:val="single" w:sz="8" w:color="auto"/>
            </w:tcBorders>
            <w:vMerge w:val="restart"/>
          </w:tcPr>
          <w:p>
            <w:pPr>
              <w:jc w:val="right"/>
              <w:ind w:right="137"/>
              <w:spacing w:after="0"/>
              <w:rPr>
                <w:sz w:val="20"/>
                <w:szCs w:val="20"/>
                <w:color w:val="auto"/>
              </w:rPr>
            </w:pPr>
            <w:r>
              <w:rPr>
                <w:rFonts w:ascii="Arial" w:cs="Arial" w:eastAsia="Arial" w:hAnsi="Arial"/>
                <w:sz w:val="13"/>
                <w:szCs w:val="13"/>
                <w:color w:val="auto"/>
              </w:rPr>
              <w:t>*</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242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3"/>
                <w:szCs w:val="13"/>
                <w:color w:val="auto"/>
              </w:rPr>
              <w:t>Canada</w:t>
            </w:r>
          </w:p>
        </w:tc>
        <w:tc>
          <w:tcPr>
            <w:tcW w:w="1140" w:type="dxa"/>
            <w:vAlign w:val="bottom"/>
            <w:tcBorders>
              <w:right w:val="single" w:sz="8" w:color="auto"/>
            </w:tcBorders>
            <w:vMerge w:val="continue"/>
          </w:tcPr>
          <w:p>
            <w:pPr>
              <w:spacing w:after="0"/>
              <w:rPr>
                <w:sz w:val="7"/>
                <w:szCs w:val="7"/>
                <w:color w:val="auto"/>
              </w:rPr>
            </w:pPr>
          </w:p>
        </w:tc>
        <w:tc>
          <w:tcPr>
            <w:tcW w:w="760" w:type="dxa"/>
            <w:vAlign w:val="bottom"/>
            <w:tcBorders>
              <w:right w:val="single" w:sz="8" w:color="auto"/>
            </w:tcBorders>
            <w:vMerge w:val="continue"/>
          </w:tcPr>
          <w:p>
            <w:pPr>
              <w:spacing w:after="0"/>
              <w:rPr>
                <w:sz w:val="7"/>
                <w:szCs w:val="7"/>
                <w:color w:val="auto"/>
              </w:rPr>
            </w:pPr>
          </w:p>
        </w:tc>
        <w:tc>
          <w:tcPr>
            <w:tcW w:w="940" w:type="dxa"/>
            <w:vAlign w:val="bottom"/>
            <w:tcBorders>
              <w:right w:val="single" w:sz="8" w:color="auto"/>
            </w:tcBorders>
            <w:vMerge w:val="continue"/>
          </w:tcPr>
          <w:p>
            <w:pPr>
              <w:spacing w:after="0"/>
              <w:rPr>
                <w:sz w:val="7"/>
                <w:szCs w:val="7"/>
                <w:color w:val="auto"/>
              </w:rPr>
            </w:pPr>
          </w:p>
        </w:tc>
        <w:tc>
          <w:tcPr>
            <w:tcW w:w="760" w:type="dxa"/>
            <w:vAlign w:val="bottom"/>
            <w:tcBorders>
              <w:right w:val="single" w:sz="8" w:color="auto"/>
            </w:tcBorders>
            <w:vMerge w:val="continue"/>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42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420" w:type="dxa"/>
            <w:vAlign w:val="bottom"/>
            <w:tcBorders>
              <w:left w:val="single" w:sz="8" w:color="auto"/>
              <w:right w:val="single" w:sz="8" w:color="auto"/>
            </w:tcBorders>
          </w:tcPr>
          <w:p>
            <w:pPr>
              <w:ind w:left="80"/>
              <w:spacing w:after="0" w:line="209" w:lineRule="exact"/>
              <w:rPr>
                <w:sz w:val="20"/>
                <w:szCs w:val="20"/>
                <w:color w:val="auto"/>
              </w:rPr>
            </w:pPr>
            <w:r>
              <w:rPr>
                <w:rFonts w:ascii="Arial" w:cs="Arial" w:eastAsia="Arial" w:hAnsi="Arial"/>
                <w:sz w:val="13"/>
                <w:szCs w:val="13"/>
                <w:b w:val="1"/>
                <w:bCs w:val="1"/>
                <w:color w:val="auto"/>
              </w:rPr>
              <w:t>Gerald W. Schwartz</w:t>
            </w:r>
            <w:r>
              <w:rPr>
                <w:rFonts w:ascii="Arial" w:cs="Arial" w:eastAsia="Arial" w:hAnsi="Arial"/>
                <w:sz w:val="19"/>
                <w:szCs w:val="19"/>
                <w:b w:val="1"/>
                <w:bCs w:val="1"/>
                <w:color w:val="auto"/>
                <w:vertAlign w:val="superscript"/>
              </w:rPr>
              <w:t>(2)</w:t>
            </w:r>
          </w:p>
        </w:tc>
        <w:tc>
          <w:tcPr>
            <w:tcW w:w="114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3"/>
                <w:szCs w:val="13"/>
                <w:color w:val="auto"/>
              </w:rPr>
              <w:t>18,600,193 MVS</w:t>
            </w:r>
          </w:p>
        </w:tc>
        <w:tc>
          <w:tcPr>
            <w:tcW w:w="760" w:type="dxa"/>
            <w:vAlign w:val="bottom"/>
            <w:tcBorders>
              <w:bottom w:val="single" w:sz="8" w:color="auto"/>
              <w:right w:val="single" w:sz="8" w:color="auto"/>
            </w:tcBorders>
          </w:tcPr>
          <w:p>
            <w:pPr>
              <w:jc w:val="right"/>
              <w:ind w:right="117"/>
              <w:spacing w:after="0"/>
              <w:rPr>
                <w:sz w:val="20"/>
                <w:szCs w:val="20"/>
                <w:color w:val="auto"/>
              </w:rPr>
            </w:pPr>
            <w:r>
              <w:rPr>
                <w:rFonts w:ascii="Arial" w:cs="Arial" w:eastAsia="Arial" w:hAnsi="Arial"/>
                <w:sz w:val="13"/>
                <w:szCs w:val="13"/>
                <w:color w:val="auto"/>
              </w:rPr>
              <w:t>100.0%</w:t>
            </w:r>
          </w:p>
        </w:tc>
        <w:tc>
          <w:tcPr>
            <w:tcW w:w="940" w:type="dxa"/>
            <w:vAlign w:val="bottom"/>
            <w:tcBorders>
              <w:bottom w:val="single" w:sz="8" w:color="auto"/>
              <w:right w:val="single" w:sz="8" w:color="auto"/>
            </w:tcBorders>
          </w:tcPr>
          <w:p>
            <w:pPr>
              <w:jc w:val="right"/>
              <w:ind w:right="237"/>
              <w:spacing w:after="0"/>
              <w:rPr>
                <w:sz w:val="20"/>
                <w:szCs w:val="20"/>
                <w:color w:val="auto"/>
              </w:rPr>
            </w:pPr>
            <w:r>
              <w:rPr>
                <w:rFonts w:ascii="Arial" w:cs="Arial" w:eastAsia="Arial" w:hAnsi="Arial"/>
                <w:sz w:val="13"/>
                <w:szCs w:val="13"/>
                <w:color w:val="auto"/>
              </w:rPr>
              <w:t>14.4%</w:t>
            </w:r>
          </w:p>
        </w:tc>
        <w:tc>
          <w:tcPr>
            <w:tcW w:w="760" w:type="dxa"/>
            <w:vAlign w:val="bottom"/>
            <w:tcBorders>
              <w:bottom w:val="single" w:sz="8" w:color="auto"/>
              <w:right w:val="single" w:sz="8" w:color="auto"/>
            </w:tcBorders>
          </w:tcPr>
          <w:p>
            <w:pPr>
              <w:jc w:val="right"/>
              <w:ind w:right="137"/>
              <w:spacing w:after="0"/>
              <w:rPr>
                <w:sz w:val="20"/>
                <w:szCs w:val="20"/>
                <w:color w:val="auto"/>
              </w:rPr>
            </w:pPr>
            <w:r>
              <w:rPr>
                <w:rFonts w:ascii="Arial" w:cs="Arial" w:eastAsia="Arial" w:hAnsi="Arial"/>
                <w:sz w:val="13"/>
                <w:szCs w:val="13"/>
                <w:color w:val="auto"/>
              </w:rPr>
              <w:t>80.8%</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2420" w:type="dxa"/>
            <w:vAlign w:val="bottom"/>
            <w:tcBorders>
              <w:left w:val="single" w:sz="8" w:color="auto"/>
              <w:right w:val="single" w:sz="8" w:color="auto"/>
            </w:tcBorders>
          </w:tcPr>
          <w:p>
            <w:pPr>
              <w:ind w:left="80"/>
              <w:spacing w:after="0" w:line="141" w:lineRule="exact"/>
              <w:rPr>
                <w:sz w:val="20"/>
                <w:szCs w:val="20"/>
                <w:color w:val="auto"/>
              </w:rPr>
            </w:pPr>
            <w:r>
              <w:rPr>
                <w:rFonts w:ascii="Arial" w:cs="Arial" w:eastAsia="Arial" w:hAnsi="Arial"/>
                <w:sz w:val="13"/>
                <w:szCs w:val="13"/>
                <w:color w:val="auto"/>
              </w:rPr>
              <w:t>Toronto, Ontario</w:t>
            </w:r>
          </w:p>
        </w:tc>
        <w:tc>
          <w:tcPr>
            <w:tcW w:w="114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13"/>
                <w:szCs w:val="13"/>
                <w:color w:val="auto"/>
              </w:rPr>
              <w:t>517,702 SVS</w:t>
            </w:r>
          </w:p>
        </w:tc>
        <w:tc>
          <w:tcPr>
            <w:tcW w:w="760" w:type="dxa"/>
            <w:vAlign w:val="bottom"/>
            <w:tcBorders>
              <w:right w:val="single" w:sz="8" w:color="auto"/>
            </w:tcBorders>
            <w:vMerge w:val="restart"/>
          </w:tcPr>
          <w:p>
            <w:pPr>
              <w:jc w:val="right"/>
              <w:ind w:right="13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vMerge w:val="restart"/>
          </w:tcPr>
          <w:p>
            <w:pPr>
              <w:jc w:val="right"/>
              <w:ind w:right="237"/>
              <w:spacing w:after="0"/>
              <w:rPr>
                <w:sz w:val="20"/>
                <w:szCs w:val="20"/>
                <w:color w:val="auto"/>
              </w:rPr>
            </w:pPr>
            <w:r>
              <w:rPr>
                <w:rFonts w:ascii="Arial" w:cs="Arial" w:eastAsia="Arial" w:hAnsi="Arial"/>
                <w:sz w:val="13"/>
                <w:szCs w:val="13"/>
                <w:color w:val="auto"/>
              </w:rPr>
              <w:t>*</w:t>
            </w:r>
          </w:p>
        </w:tc>
        <w:tc>
          <w:tcPr>
            <w:tcW w:w="760" w:type="dxa"/>
            <w:vAlign w:val="bottom"/>
            <w:tcBorders>
              <w:right w:val="single" w:sz="8" w:color="auto"/>
            </w:tcBorders>
            <w:vMerge w:val="restart"/>
          </w:tcPr>
          <w:p>
            <w:pPr>
              <w:jc w:val="right"/>
              <w:ind w:right="137"/>
              <w:spacing w:after="0"/>
              <w:rPr>
                <w:sz w:val="20"/>
                <w:szCs w:val="20"/>
                <w:color w:val="auto"/>
              </w:rPr>
            </w:pPr>
            <w:r>
              <w:rPr>
                <w:rFonts w:ascii="Arial" w:cs="Arial" w:eastAsia="Arial" w:hAnsi="Arial"/>
                <w:sz w:val="13"/>
                <w:szCs w:val="13"/>
                <w:color w:val="auto"/>
              </w:rPr>
              <w:t>*</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242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3"/>
                <w:szCs w:val="13"/>
                <w:color w:val="auto"/>
              </w:rPr>
              <w:t>Canada</w:t>
            </w:r>
          </w:p>
        </w:tc>
        <w:tc>
          <w:tcPr>
            <w:tcW w:w="1140" w:type="dxa"/>
            <w:vAlign w:val="bottom"/>
            <w:tcBorders>
              <w:right w:val="single" w:sz="8" w:color="auto"/>
            </w:tcBorders>
            <w:vMerge w:val="continue"/>
          </w:tcPr>
          <w:p>
            <w:pPr>
              <w:spacing w:after="0"/>
              <w:rPr>
                <w:sz w:val="7"/>
                <w:szCs w:val="7"/>
                <w:color w:val="auto"/>
              </w:rPr>
            </w:pPr>
          </w:p>
        </w:tc>
        <w:tc>
          <w:tcPr>
            <w:tcW w:w="760" w:type="dxa"/>
            <w:vAlign w:val="bottom"/>
            <w:tcBorders>
              <w:right w:val="single" w:sz="8" w:color="auto"/>
            </w:tcBorders>
            <w:vMerge w:val="continue"/>
          </w:tcPr>
          <w:p>
            <w:pPr>
              <w:spacing w:after="0"/>
              <w:rPr>
                <w:sz w:val="7"/>
                <w:szCs w:val="7"/>
                <w:color w:val="auto"/>
              </w:rPr>
            </w:pPr>
          </w:p>
        </w:tc>
        <w:tc>
          <w:tcPr>
            <w:tcW w:w="940" w:type="dxa"/>
            <w:vAlign w:val="bottom"/>
            <w:tcBorders>
              <w:right w:val="single" w:sz="8" w:color="auto"/>
            </w:tcBorders>
            <w:vMerge w:val="continue"/>
          </w:tcPr>
          <w:p>
            <w:pPr>
              <w:spacing w:after="0"/>
              <w:rPr>
                <w:sz w:val="7"/>
                <w:szCs w:val="7"/>
                <w:color w:val="auto"/>
              </w:rPr>
            </w:pPr>
          </w:p>
        </w:tc>
        <w:tc>
          <w:tcPr>
            <w:tcW w:w="760" w:type="dxa"/>
            <w:vAlign w:val="bottom"/>
            <w:tcBorders>
              <w:right w:val="single" w:sz="8" w:color="auto"/>
            </w:tcBorders>
            <w:vMerge w:val="continue"/>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42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420" w:type="dxa"/>
            <w:vAlign w:val="bottom"/>
            <w:tcBorders>
              <w:left w:val="single" w:sz="8" w:color="auto"/>
              <w:right w:val="single" w:sz="8" w:color="auto"/>
            </w:tcBorders>
          </w:tcPr>
          <w:p>
            <w:pPr>
              <w:ind w:left="80"/>
              <w:spacing w:after="0" w:line="210" w:lineRule="exact"/>
              <w:rPr>
                <w:sz w:val="20"/>
                <w:szCs w:val="20"/>
                <w:color w:val="auto"/>
              </w:rPr>
            </w:pPr>
            <w:r>
              <w:rPr>
                <w:rFonts w:ascii="Arial" w:cs="Arial" w:eastAsia="Arial" w:hAnsi="Arial"/>
                <w:sz w:val="13"/>
                <w:szCs w:val="13"/>
                <w:b w:val="1"/>
                <w:bCs w:val="1"/>
                <w:color w:val="auto"/>
              </w:rPr>
              <w:t>Letko, Brosseau &amp; Associates Inc.</w:t>
            </w:r>
            <w:r>
              <w:rPr>
                <w:rFonts w:ascii="Arial" w:cs="Arial" w:eastAsia="Arial" w:hAnsi="Arial"/>
                <w:sz w:val="19"/>
                <w:szCs w:val="19"/>
                <w:b w:val="1"/>
                <w:bCs w:val="1"/>
                <w:color w:val="auto"/>
                <w:vertAlign w:val="superscript"/>
              </w:rPr>
              <w:t>(3)</w:t>
            </w:r>
          </w:p>
        </w:tc>
        <w:tc>
          <w:tcPr>
            <w:tcW w:w="1140" w:type="dxa"/>
            <w:vAlign w:val="bottom"/>
            <w:tcBorders>
              <w:right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16,381,753 SVS</w:t>
            </w:r>
          </w:p>
        </w:tc>
        <w:tc>
          <w:tcPr>
            <w:tcW w:w="760" w:type="dxa"/>
            <w:vAlign w:val="bottom"/>
            <w:tcBorders>
              <w:right w:val="single" w:sz="8" w:color="auto"/>
            </w:tcBorders>
            <w:vMerge w:val="restart"/>
          </w:tcPr>
          <w:p>
            <w:pPr>
              <w:jc w:val="right"/>
              <w:ind w:right="117"/>
              <w:spacing w:after="0"/>
              <w:rPr>
                <w:sz w:val="20"/>
                <w:szCs w:val="20"/>
                <w:color w:val="auto"/>
              </w:rPr>
            </w:pPr>
            <w:r>
              <w:rPr>
                <w:rFonts w:ascii="Arial" w:cs="Arial" w:eastAsia="Arial" w:hAnsi="Arial"/>
                <w:sz w:val="13"/>
                <w:szCs w:val="13"/>
                <w:color w:val="auto"/>
              </w:rPr>
              <w:t>14.8%</w:t>
            </w:r>
          </w:p>
        </w:tc>
        <w:tc>
          <w:tcPr>
            <w:tcW w:w="940" w:type="dxa"/>
            <w:vAlign w:val="bottom"/>
            <w:tcBorders>
              <w:right w:val="single" w:sz="8" w:color="auto"/>
            </w:tcBorders>
            <w:vMerge w:val="restart"/>
          </w:tcPr>
          <w:p>
            <w:pPr>
              <w:jc w:val="right"/>
              <w:ind w:right="237"/>
              <w:spacing w:after="0"/>
              <w:rPr>
                <w:sz w:val="20"/>
                <w:szCs w:val="20"/>
                <w:color w:val="auto"/>
              </w:rPr>
            </w:pPr>
            <w:r>
              <w:rPr>
                <w:rFonts w:ascii="Arial" w:cs="Arial" w:eastAsia="Arial" w:hAnsi="Arial"/>
                <w:sz w:val="13"/>
                <w:szCs w:val="13"/>
                <w:color w:val="auto"/>
              </w:rPr>
              <w:t>12.7%</w:t>
            </w:r>
          </w:p>
        </w:tc>
        <w:tc>
          <w:tcPr>
            <w:tcW w:w="760" w:type="dxa"/>
            <w:vAlign w:val="bottom"/>
            <w:tcBorders>
              <w:right w:val="single" w:sz="8" w:color="auto"/>
            </w:tcBorders>
            <w:vMerge w:val="restart"/>
          </w:tcPr>
          <w:p>
            <w:pPr>
              <w:jc w:val="right"/>
              <w:ind w:right="137"/>
              <w:spacing w:after="0"/>
              <w:rPr>
                <w:sz w:val="20"/>
                <w:szCs w:val="20"/>
                <w:color w:val="auto"/>
              </w:rPr>
            </w:pPr>
            <w:r>
              <w:rPr>
                <w:rFonts w:ascii="Arial" w:cs="Arial" w:eastAsia="Arial" w:hAnsi="Arial"/>
                <w:sz w:val="13"/>
                <w:szCs w:val="13"/>
                <w:color w:val="auto"/>
              </w:rPr>
              <w:t>2.8%</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4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Montréal, Québec</w:t>
            </w:r>
          </w:p>
        </w:tc>
        <w:tc>
          <w:tcPr>
            <w:tcW w:w="1140" w:type="dxa"/>
            <w:vAlign w:val="bottom"/>
            <w:tcBorders>
              <w:right w:val="single" w:sz="8" w:color="auto"/>
            </w:tcBorders>
            <w:vMerge w:val="continue"/>
          </w:tcPr>
          <w:p>
            <w:pPr>
              <w:spacing w:after="0"/>
              <w:rPr>
                <w:sz w:val="13"/>
                <w:szCs w:val="13"/>
                <w:color w:val="auto"/>
              </w:rPr>
            </w:pPr>
          </w:p>
        </w:tc>
        <w:tc>
          <w:tcPr>
            <w:tcW w:w="760" w:type="dxa"/>
            <w:vAlign w:val="bottom"/>
            <w:tcBorders>
              <w:right w:val="single" w:sz="8" w:color="auto"/>
            </w:tcBorders>
            <w:vMerge w:val="continue"/>
          </w:tcPr>
          <w:p>
            <w:pPr>
              <w:spacing w:after="0"/>
              <w:rPr>
                <w:sz w:val="13"/>
                <w:szCs w:val="13"/>
                <w:color w:val="auto"/>
              </w:rPr>
            </w:pPr>
          </w:p>
        </w:tc>
        <w:tc>
          <w:tcPr>
            <w:tcW w:w="940" w:type="dxa"/>
            <w:vAlign w:val="bottom"/>
            <w:tcBorders>
              <w:right w:val="single" w:sz="8" w:color="auto"/>
            </w:tcBorders>
            <w:vMerge w:val="continue"/>
          </w:tcPr>
          <w:p>
            <w:pPr>
              <w:spacing w:after="0"/>
              <w:rPr>
                <w:sz w:val="13"/>
                <w:szCs w:val="13"/>
                <w:color w:val="auto"/>
              </w:rPr>
            </w:pPr>
          </w:p>
        </w:tc>
        <w:tc>
          <w:tcPr>
            <w:tcW w:w="760" w:type="dxa"/>
            <w:vAlign w:val="bottom"/>
            <w:tcBorders>
              <w:right w:val="single" w:sz="8" w:color="auto"/>
            </w:tcBorders>
            <w:vMerge w:val="continue"/>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4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Canada</w:t>
            </w:r>
          </w:p>
        </w:tc>
        <w:tc>
          <w:tcPr>
            <w:tcW w:w="114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420" w:type="dxa"/>
            <w:vAlign w:val="bottom"/>
            <w:tcBorders>
              <w:left w:val="single" w:sz="8" w:color="auto"/>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left="1740" w:hanging="262"/>
        <w:spacing w:after="0"/>
        <w:tabs>
          <w:tab w:leader="none" w:pos="1740" w:val="left"/>
        </w:tabs>
        <w:numPr>
          <w:ilvl w:val="0"/>
          <w:numId w:val="38"/>
        </w:numPr>
        <w:rPr>
          <w:rFonts w:ascii="Arial" w:cs="Arial" w:eastAsia="Arial" w:hAnsi="Arial"/>
          <w:sz w:val="11"/>
          <w:szCs w:val="11"/>
          <w:color w:val="auto"/>
        </w:rPr>
      </w:pPr>
      <w:r>
        <w:rPr>
          <w:rFonts w:ascii="Arial" w:cs="Arial" w:eastAsia="Arial" w:hAnsi="Arial"/>
          <w:sz w:val="11"/>
          <w:szCs w:val="11"/>
          <w:color w:val="auto"/>
        </w:rPr>
        <w:t>Less than 1%.</w:t>
      </w:r>
    </w:p>
    <w:p>
      <w:pPr>
        <w:spacing w:after="0" w:line="39" w:lineRule="exact"/>
        <w:rPr>
          <w:sz w:val="20"/>
          <w:szCs w:val="20"/>
          <w:color w:val="auto"/>
        </w:rPr>
      </w:pPr>
    </w:p>
    <w:p>
      <w:pPr>
        <w:jc w:val="both"/>
        <w:ind w:left="1740" w:right="1499" w:hanging="262"/>
        <w:spacing w:after="0" w:line="254" w:lineRule="auto"/>
        <w:tabs>
          <w:tab w:leader="none" w:pos="1740" w:val="left"/>
        </w:tabs>
        <w:numPr>
          <w:ilvl w:val="0"/>
          <w:numId w:val="39"/>
        </w:numPr>
        <w:rPr>
          <w:rFonts w:ascii="Arial" w:cs="Arial" w:eastAsia="Arial" w:hAnsi="Arial"/>
          <w:sz w:val="15"/>
          <w:szCs w:val="15"/>
          <w:color w:val="auto"/>
          <w:vertAlign w:val="superscript"/>
        </w:rPr>
      </w:pPr>
      <w:r>
        <w:rPr>
          <w:rFonts w:ascii="Arial" w:cs="Arial" w:eastAsia="Arial" w:hAnsi="Arial"/>
          <w:sz w:val="10"/>
          <w:szCs w:val="10"/>
          <w:color w:val="auto"/>
        </w:rPr>
        <w:t>The number of shares beneficially owned, controlled or directed, directly or indirectly, by Onex Corporation (“</w:t>
      </w:r>
      <w:r>
        <w:rPr>
          <w:rFonts w:ascii="Arial" w:cs="Arial" w:eastAsia="Arial" w:hAnsi="Arial"/>
          <w:sz w:val="10"/>
          <w:szCs w:val="10"/>
          <w:b w:val="1"/>
          <w:bCs w:val="1"/>
          <w:color w:val="auto"/>
        </w:rPr>
        <w:t>Onex</w:t>
      </w:r>
      <w:r>
        <w:rPr>
          <w:rFonts w:ascii="Arial" w:cs="Arial" w:eastAsia="Arial" w:hAnsi="Arial"/>
          <w:sz w:val="10"/>
          <w:szCs w:val="10"/>
          <w:color w:val="auto"/>
        </w:rPr>
        <w:t>”) includes 945,010 MVS held by a wholly-owned subsidiary of Onex. 814,546 of the MVS beneficially owned by Onex are subject to options granted to certain officers of Onex pursuant to certain Onex management investment plans, which options may be exercised upon specified dispositions by Onex (directly or indirectly) of Celestica’s securities, with respect to which Onex has the right to vote or direct the vote (“</w:t>
      </w:r>
      <w:r>
        <w:rPr>
          <w:rFonts w:ascii="Arial" w:cs="Arial" w:eastAsia="Arial" w:hAnsi="Arial"/>
          <w:sz w:val="10"/>
          <w:szCs w:val="10"/>
          <w:b w:val="1"/>
          <w:bCs w:val="1"/>
          <w:color w:val="auto"/>
        </w:rPr>
        <w:t>MIP Options</w:t>
      </w:r>
      <w:r>
        <w:rPr>
          <w:rFonts w:ascii="Arial" w:cs="Arial" w:eastAsia="Arial" w:hAnsi="Arial"/>
          <w:sz w:val="10"/>
          <w:szCs w:val="10"/>
          <w:color w:val="auto"/>
        </w:rPr>
        <w:t>”), including 688,807 MIP Options granted to Gerald W. Schwartz (each of which MVS will, upon exercise of such options, be automatically converted into an SVS).</w:t>
      </w:r>
    </w:p>
    <w:p>
      <w:pPr>
        <w:spacing w:after="0" w:line="19" w:lineRule="exact"/>
        <w:rPr>
          <w:rFonts w:ascii="Arial" w:cs="Arial" w:eastAsia="Arial" w:hAnsi="Arial"/>
          <w:sz w:val="15"/>
          <w:szCs w:val="15"/>
          <w:color w:val="auto"/>
          <w:vertAlign w:val="superscript"/>
        </w:rPr>
      </w:pPr>
    </w:p>
    <w:p>
      <w:pPr>
        <w:jc w:val="both"/>
        <w:ind w:left="1740" w:right="1499" w:hanging="262"/>
        <w:spacing w:after="0" w:line="231" w:lineRule="auto"/>
        <w:tabs>
          <w:tab w:leader="none" w:pos="1740" w:val="left"/>
        </w:tabs>
        <w:numPr>
          <w:ilvl w:val="0"/>
          <w:numId w:val="39"/>
        </w:numPr>
        <w:rPr>
          <w:rFonts w:ascii="Arial" w:cs="Arial" w:eastAsia="Arial" w:hAnsi="Arial"/>
          <w:sz w:val="16"/>
          <w:szCs w:val="16"/>
          <w:color w:val="auto"/>
          <w:vertAlign w:val="superscript"/>
        </w:rPr>
      </w:pPr>
      <w:r>
        <w:rPr>
          <w:rFonts w:ascii="Arial" w:cs="Arial" w:eastAsia="Arial" w:hAnsi="Arial"/>
          <w:sz w:val="11"/>
          <w:szCs w:val="11"/>
          <w:color w:val="auto"/>
        </w:rPr>
        <w:t>The number of shares beneficially owned, or controlled or directed, directly or indirectly, by Mr. Schwartz consists of 120,657 SVS owned by a company controlled by Mr. Schwartz and all of the 18,600,193 MVS and 397,045 SVS beneficially owned, controlled or directed, directly or indirectly, by Onex as described in footnote 1 above. Mr. Schwartz is the Chairman of the Board, and Chief Executive Officer of Onex. In addition, he indirectly owns multiple voting shares of Onex carrying the right to elect a majority of the Onex board of directors. Accordingly, under applicable securities laws, Mr. Schwartz is deemed to be the beneficial owner of the Celestica shares owned by Onex; Mr. Schwartz has advised the Corporation, however, that he disclaims beneficial ownership of such shares.</w:t>
      </w:r>
    </w:p>
    <w:p>
      <w:pPr>
        <w:spacing w:after="0" w:line="38" w:lineRule="exact"/>
        <w:rPr>
          <w:rFonts w:ascii="Arial" w:cs="Arial" w:eastAsia="Arial" w:hAnsi="Arial"/>
          <w:sz w:val="16"/>
          <w:szCs w:val="16"/>
          <w:color w:val="auto"/>
          <w:vertAlign w:val="superscript"/>
        </w:rPr>
      </w:pPr>
    </w:p>
    <w:p>
      <w:pPr>
        <w:ind w:left="1740" w:right="1499" w:hanging="262"/>
        <w:spacing w:after="0" w:line="204" w:lineRule="auto"/>
        <w:tabs>
          <w:tab w:leader="none" w:pos="1740" w:val="left"/>
        </w:tabs>
        <w:numPr>
          <w:ilvl w:val="0"/>
          <w:numId w:val="39"/>
        </w:numPr>
        <w:rPr>
          <w:rFonts w:ascii="Arial" w:cs="Arial" w:eastAsia="Arial" w:hAnsi="Arial"/>
          <w:sz w:val="16"/>
          <w:szCs w:val="16"/>
          <w:color w:val="auto"/>
          <w:vertAlign w:val="superscript"/>
        </w:rPr>
      </w:pPr>
      <w:r>
        <w:rPr>
          <w:rFonts w:ascii="Arial" w:cs="Arial" w:eastAsia="Arial" w:hAnsi="Arial"/>
          <w:sz w:val="11"/>
          <w:szCs w:val="11"/>
          <w:color w:val="auto"/>
        </w:rPr>
        <w:t>The number of shares reported as held by Letko, Brosseau &amp; Associates Inc. is based on the alternative monthly report it filed on SEDAR on February 9, 2021, reporting ownership as of January 31, 2021.</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Agreement for the Benefit of Holders of SVS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38100</wp:posOffset>
            </wp:positionV>
            <wp:extent cx="3843655"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43655" cy="635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50800</wp:posOffset>
            </wp:positionV>
            <wp:extent cx="3843655"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180" w:lineRule="exact"/>
        <w:rPr>
          <w:sz w:val="20"/>
          <w:szCs w:val="20"/>
          <w:color w:val="auto"/>
        </w:rPr>
      </w:pPr>
    </w:p>
    <w:p>
      <w:pPr>
        <w:jc w:val="both"/>
        <w:ind w:left="1480" w:right="1499"/>
        <w:spacing w:after="0" w:line="258" w:lineRule="auto"/>
        <w:rPr>
          <w:sz w:val="20"/>
          <w:szCs w:val="20"/>
          <w:color w:val="auto"/>
        </w:rPr>
      </w:pPr>
      <w:r>
        <w:rPr>
          <w:rFonts w:ascii="Arial" w:cs="Arial" w:eastAsia="Arial" w:hAnsi="Arial"/>
          <w:sz w:val="13"/>
          <w:szCs w:val="13"/>
          <w:color w:val="auto"/>
        </w:rPr>
        <w:t>Onex, which beneficially owns, controls or directs, directly or indirectly, all of the outstanding MVS, has entered into an agreement with the Corporation and with Computershare Trust Company of Canada (as successor to the Montreal Trust Company of Canada), as trustee for the benefit of the holders of the SVS, for the purpose of ensuring that the holders of the SVS will not be deprived of rights under applicable provincial take-over bid legislation to which they would be otherwise entitled in the event of a take-over bid (as that term is defined in applicable securities legislation) for the MVS if the MVS had been SVS. Subject to certain permitted forms of sale, such as identical or better offers to all holders of SVS, Onex has agreed that it, and any of its affiliates that may hold MVS from time to time, will not sell any MVS, directly or indirectly, pursuant to a take-over bid (as that term is defined under applicable securities legislation) under circumstances in which any applicable securities legislation would have required the same offer or a follow-up offer to be made to holders of SVS if the sale had been a sale of SVS rather than MVS, but otherwise on the same terms.</w:t>
      </w:r>
    </w:p>
    <w:p>
      <w:pPr>
        <w:spacing w:after="0" w:line="29" w:lineRule="exact"/>
        <w:rPr>
          <w:sz w:val="20"/>
          <w:szCs w:val="20"/>
          <w:color w:val="auto"/>
        </w:rPr>
      </w:pPr>
    </w:p>
    <w:p>
      <w:pPr>
        <w:jc w:val="both"/>
        <w:ind w:left="1480" w:right="1499"/>
        <w:spacing w:after="0" w:line="261" w:lineRule="auto"/>
        <w:rPr>
          <w:sz w:val="20"/>
          <w:szCs w:val="20"/>
          <w:color w:val="auto"/>
        </w:rPr>
      </w:pPr>
      <w:r>
        <w:rPr>
          <w:rFonts w:ascii="Arial" w:cs="Arial" w:eastAsia="Arial" w:hAnsi="Arial"/>
          <w:sz w:val="13"/>
          <w:szCs w:val="13"/>
          <w:color w:val="auto"/>
        </w:rPr>
        <w:t>The Restated Articles of Incorporation (the “</w:t>
      </w:r>
      <w:r>
        <w:rPr>
          <w:rFonts w:ascii="Arial" w:cs="Arial" w:eastAsia="Arial" w:hAnsi="Arial"/>
          <w:sz w:val="13"/>
          <w:szCs w:val="13"/>
          <w:b w:val="1"/>
          <w:bCs w:val="1"/>
          <w:color w:val="auto"/>
        </w:rPr>
        <w:t>Articles</w:t>
      </w:r>
      <w:r>
        <w:rPr>
          <w:rFonts w:ascii="Arial" w:cs="Arial" w:eastAsia="Arial" w:hAnsi="Arial"/>
          <w:sz w:val="13"/>
          <w:szCs w:val="13"/>
          <w:color w:val="auto"/>
        </w:rPr>
        <w:t>”) of the Corporation provide “coat-tail” protection to the holders of the SVS by providing that the MVS will be converted automatically into SVS upon any transfer thereof, except (a) a transfer to Onex or any affiliate of Onex, or (b) a transfer of 100% of the outstanding MVS to a purchaser who also has offered to purchase all of the outstanding SVS for a per share consideration identical to, and otherwise on the same terms as, that offered for the MVS, and the MVS held by such purchaser thereafter shall be subject to the provisions relating to conversion (including with respect to the provisions</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 w:name="page17"/>
    <w:bookmarkEnd w:id="16"/>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described in this paragraph) as if all references to Onex were references to such purchaser. In addition, if</w:t>
      </w:r>
    </w:p>
    <w:p>
      <w:pPr>
        <w:spacing w:after="0" w:line="30" w:lineRule="exact"/>
        <w:rPr>
          <w:sz w:val="20"/>
          <w:szCs w:val="20"/>
          <w:color w:val="auto"/>
        </w:rPr>
      </w:pPr>
    </w:p>
    <w:p>
      <w:pPr>
        <w:jc w:val="both"/>
        <w:ind w:left="1480" w:right="1499" w:hanging="2"/>
        <w:spacing w:after="0" w:line="256" w:lineRule="auto"/>
        <w:tabs>
          <w:tab w:leader="none" w:pos="1675" w:val="left"/>
        </w:tabs>
        <w:numPr>
          <w:ilvl w:val="0"/>
          <w:numId w:val="40"/>
        </w:numPr>
        <w:rPr>
          <w:rFonts w:ascii="Arial" w:cs="Arial" w:eastAsia="Arial" w:hAnsi="Arial"/>
          <w:sz w:val="13"/>
          <w:szCs w:val="13"/>
          <w:color w:val="auto"/>
        </w:rPr>
      </w:pPr>
      <w:r>
        <w:rPr>
          <w:rFonts w:ascii="Arial" w:cs="Arial" w:eastAsia="Arial" w:hAnsi="Arial"/>
          <w:sz w:val="13"/>
          <w:szCs w:val="13"/>
          <w:color w:val="auto"/>
        </w:rPr>
        <w:t>any holder of any MVS ceases to be an affiliate of Onex, or (b) Onex and its affiliates cease to have the right, in all cases, to exercise the votes attached to, or to direct the voting of, any of the MVS held by Onex and its affiliates, such MVS shall convert automatically into SVS on a one-for-one basis. For these purposes, (a) “Onex” includes any successor corporation resulting from an amalgamation, merger, arrangement, sale of all or substantially all of its assets, or other business combination or reorganization involving Onex, provided that such successor corporation beneficially owns directly or indirectly all MVS beneficially owned directly or indirectly by Onex immediately prior to such transaction and is controlled by the same person or persons as controlled Onex prior to the consummation of such transaction, (b) a corporation shall be deemed to be a subsidiary of another corporation if, but only if (i) it is controlled by that other, or that other and one or more corporations each of which is controlled by that other, or two or more corporations each of which is controlled by that other, or (ii) it is a subsidiary of a corporation that is that other’s subsidiary, (c) “affiliate” means a subsidiary of Onex or a corporation controlled by the same person or company that controls Onex, and (d) “control” means beneficial ownership of, or control or direction over, securities carrying more than 50% of the votes that may be cast to elect directors if those votes, if cast, could elect more than 50% of the directors. For these purposes, a person is deemed to beneficially own any security which is beneficially owned by a corporation controlled by such person. In addition, if at any time the number of outstanding MVS shall represent less than 5% of the aggregate number of the outstanding MVS and SVS, all of the outstanding MVS shall be automatically converted at such time into SVS on a one-for-one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111760</wp:posOffset>
            </wp:positionV>
            <wp:extent cx="3843655" cy="1898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43655" cy="189865"/>
                    </a:xfrm>
                    <a:prstGeom prst="rect">
                      <a:avLst/>
                    </a:prstGeom>
                    <a:noFill/>
                  </pic:spPr>
                </pic:pic>
              </a:graphicData>
            </a:graphic>
          </wp:anchor>
        </w:drawing>
      </w:r>
    </w:p>
    <w:p>
      <w:pPr>
        <w:spacing w:after="0" w:line="205" w:lineRule="exact"/>
        <w:rPr>
          <w:sz w:val="20"/>
          <w:szCs w:val="20"/>
          <w:color w:val="auto"/>
        </w:rPr>
      </w:pPr>
    </w:p>
    <w:p>
      <w:pPr>
        <w:ind w:left="2720"/>
        <w:spacing w:after="0"/>
        <w:rPr>
          <w:sz w:val="20"/>
          <w:szCs w:val="20"/>
          <w:color w:val="auto"/>
        </w:rPr>
      </w:pPr>
      <w:r>
        <w:rPr>
          <w:rFonts w:ascii="Arial" w:cs="Arial" w:eastAsia="Arial" w:hAnsi="Arial"/>
          <w:sz w:val="16"/>
          <w:szCs w:val="16"/>
          <w:b w:val="1"/>
          <w:bCs w:val="1"/>
          <w:color w:val="auto"/>
        </w:rPr>
        <w:t>INFORMATION RELATING TO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41910</wp:posOffset>
            </wp:positionV>
            <wp:extent cx="3843655"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180"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38100</wp:posOffset>
            </wp:positionV>
            <wp:extent cx="3843655"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43655" cy="635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50800</wp:posOffset>
            </wp:positionV>
            <wp:extent cx="3843655"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190" w:lineRule="exact"/>
        <w:rPr>
          <w:sz w:val="20"/>
          <w:szCs w:val="20"/>
          <w:color w:val="auto"/>
        </w:rPr>
      </w:pPr>
    </w:p>
    <w:p>
      <w:pPr>
        <w:jc w:val="both"/>
        <w:ind w:left="1480" w:right="1499"/>
        <w:spacing w:after="0" w:line="260" w:lineRule="auto"/>
        <w:rPr>
          <w:sz w:val="20"/>
          <w:szCs w:val="20"/>
          <w:color w:val="auto"/>
        </w:rPr>
      </w:pPr>
      <w:r>
        <w:rPr>
          <w:rFonts w:ascii="Arial" w:cs="Arial" w:eastAsia="Arial" w:hAnsi="Arial"/>
          <w:sz w:val="13"/>
          <w:szCs w:val="13"/>
          <w:color w:val="auto"/>
        </w:rPr>
        <w:t>The nine individuals listed herein are being recommended for election as directors of the Corporation, as the current term of office for each director expires at the close of the Meeting. If elected, they will hold office until the close of the next annual meeting of shareholders or until their successors are elected or appointed, unless such office is earlier vacated in accordance with the Corporation’s by-laws. All of the proposed nominees are currently directors of the Corporation. The Articles provide for a minimum of three and a maximum of twenty directors. The Board of Directors has the authority to set the number of directors of the Corporation to be elected at the Meeting and has set that number at nine.</w:t>
      </w:r>
    </w:p>
    <w:p>
      <w:pPr>
        <w:spacing w:after="0" w:line="27" w:lineRule="exact"/>
        <w:rPr>
          <w:sz w:val="20"/>
          <w:szCs w:val="20"/>
          <w:color w:val="auto"/>
        </w:rPr>
      </w:pPr>
    </w:p>
    <w:p>
      <w:pPr>
        <w:jc w:val="both"/>
        <w:ind w:left="1480" w:right="1499"/>
        <w:spacing w:after="0" w:line="274" w:lineRule="auto"/>
        <w:rPr>
          <w:sz w:val="20"/>
          <w:szCs w:val="20"/>
          <w:color w:val="auto"/>
        </w:rPr>
      </w:pPr>
      <w:r>
        <w:rPr>
          <w:rFonts w:ascii="Arial" w:cs="Arial" w:eastAsia="Arial" w:hAnsi="Arial"/>
          <w:sz w:val="12"/>
          <w:szCs w:val="12"/>
          <w:color w:val="auto"/>
        </w:rPr>
        <w:t>During 2020, the Nominating and Corporate Governance Committee (“</w:t>
      </w:r>
      <w:r>
        <w:rPr>
          <w:rFonts w:ascii="Arial" w:cs="Arial" w:eastAsia="Arial" w:hAnsi="Arial"/>
          <w:sz w:val="12"/>
          <w:szCs w:val="12"/>
          <w:b w:val="1"/>
          <w:bCs w:val="1"/>
          <w:color w:val="auto"/>
        </w:rPr>
        <w:t>NCGC</w:t>
      </w:r>
      <w:r>
        <w:rPr>
          <w:rFonts w:ascii="Arial" w:cs="Arial" w:eastAsia="Arial" w:hAnsi="Arial"/>
          <w:sz w:val="12"/>
          <w:szCs w:val="12"/>
          <w:color w:val="auto"/>
        </w:rPr>
        <w:t>”) began a comprehensive board composition review process taking into account the composition of the Board, Board diversity and the Board’s retirement policy, which provides that, unless the Board authorizes an exception, a director shall not stand for re-election after his or her 75</w:t>
      </w:r>
      <w:r>
        <w:rPr>
          <w:rFonts w:ascii="Arial" w:cs="Arial" w:eastAsia="Arial" w:hAnsi="Arial"/>
          <w:sz w:val="17"/>
          <w:szCs w:val="17"/>
          <w:color w:val="auto"/>
          <w:vertAlign w:val="superscript"/>
        </w:rPr>
        <w:t>th</w:t>
      </w:r>
      <w:r>
        <w:rPr>
          <w:rFonts w:ascii="Arial" w:cs="Arial" w:eastAsia="Arial" w:hAnsi="Arial"/>
          <w:sz w:val="12"/>
          <w:szCs w:val="12"/>
          <w:color w:val="auto"/>
        </w:rPr>
        <w:t xml:space="preserve"> birthday. In addition, in 2020 an </w:t>
      </w:r>
      <w:r>
        <w:rPr>
          <w:rFonts w:ascii="Arial" w:cs="Arial" w:eastAsia="Arial" w:hAnsi="Arial"/>
          <w:sz w:val="12"/>
          <w:szCs w:val="12"/>
          <w:i w:val="1"/>
          <w:iCs w:val="1"/>
          <w:color w:val="auto"/>
        </w:rPr>
        <w:t>ad hoc</w:t>
      </w:r>
      <w:r>
        <w:rPr>
          <w:rFonts w:ascii="Arial" w:cs="Arial" w:eastAsia="Arial" w:hAnsi="Arial"/>
          <w:sz w:val="12"/>
          <w:szCs w:val="12"/>
          <w:color w:val="auto"/>
        </w:rPr>
        <w:t xml:space="preserve"> Director Search Committee comprised of Messrs. Cascella, Mionis, Popatia and Wilson was created for the purpose of identifying potential future director nominees. The NCGC recommended, and the Board approved, an exception to the retirement policy for Mr. Ryan for 2021 taking into account his expertise as a long-serving member of the Board, his leadership as Chair of the Human Resources and Compensation Committee (“</w:t>
      </w:r>
      <w:r>
        <w:rPr>
          <w:rFonts w:ascii="Arial" w:cs="Arial" w:eastAsia="Arial" w:hAnsi="Arial"/>
          <w:sz w:val="12"/>
          <w:szCs w:val="12"/>
          <w:b w:val="1"/>
          <w:bCs w:val="1"/>
          <w:color w:val="auto"/>
        </w:rPr>
        <w:t>HRCC</w:t>
      </w:r>
      <w:r>
        <w:rPr>
          <w:rFonts w:ascii="Arial" w:cs="Arial" w:eastAsia="Arial" w:hAnsi="Arial"/>
          <w:sz w:val="12"/>
          <w:szCs w:val="12"/>
          <w:color w:val="auto"/>
        </w:rPr>
        <w:t>”), the need for continuity and stability during the search for a new director in 2021 and the transition to a new Chair of the HRCC, and limitations on in-person interviews for new directors and transition difficulties as a result of coronavirus disease 2019 and related mutations (“</w:t>
      </w:r>
      <w:r>
        <w:rPr>
          <w:rFonts w:ascii="Arial" w:cs="Arial" w:eastAsia="Arial" w:hAnsi="Arial"/>
          <w:sz w:val="12"/>
          <w:szCs w:val="12"/>
          <w:b w:val="1"/>
          <w:bCs w:val="1"/>
          <w:color w:val="auto"/>
        </w:rPr>
        <w:t>COVID-19</w:t>
      </w:r>
      <w:r>
        <w:rPr>
          <w:rFonts w:ascii="Arial" w:cs="Arial" w:eastAsia="Arial" w:hAnsi="Arial"/>
          <w:sz w:val="12"/>
          <w:szCs w:val="12"/>
          <w:color w:val="auto"/>
        </w:rPr>
        <w:t xml:space="preserve">”). In accordance with this exception, Mr. Ryan is standing for re-election at the Meeting. Mr. Ryan has resigned as the Chair of the HRCC effective at the close of the Meeting and Mr. Cascella has been appointed as Chair of the HRCC (if elected as a director), effective as of such resignation. Should Mr. Ryan be elected as a director at the Meeting, he will remain a director and member of the HRCC in order to provide for an orderly transition of the Chair responsibilities to Mr. Cascella. See </w:t>
      </w:r>
      <w:r>
        <w:rPr>
          <w:rFonts w:ascii="Arial" w:cs="Arial" w:eastAsia="Arial" w:hAnsi="Arial"/>
          <w:sz w:val="12"/>
          <w:szCs w:val="12"/>
          <w:i w:val="1"/>
          <w:iCs w:val="1"/>
          <w:color w:val="auto"/>
        </w:rPr>
        <w:t>Corporate Governance — Nomination and Election of Directors.</w:t>
      </w:r>
    </w:p>
    <w:p>
      <w:pPr>
        <w:spacing w:after="0" w:line="36" w:lineRule="exact"/>
        <w:rPr>
          <w:sz w:val="20"/>
          <w:szCs w:val="20"/>
          <w:color w:val="auto"/>
        </w:rPr>
      </w:pPr>
    </w:p>
    <w:p>
      <w:pPr>
        <w:jc w:val="both"/>
        <w:ind w:left="1480" w:right="1499"/>
        <w:spacing w:after="0" w:line="263" w:lineRule="auto"/>
        <w:rPr>
          <w:sz w:val="20"/>
          <w:szCs w:val="20"/>
          <w:color w:val="auto"/>
        </w:rPr>
      </w:pPr>
      <w:r>
        <w:rPr>
          <w:rFonts w:ascii="Arial" w:cs="Arial" w:eastAsia="Arial" w:hAnsi="Arial"/>
          <w:sz w:val="13"/>
          <w:szCs w:val="13"/>
          <w:color w:val="auto"/>
        </w:rPr>
        <w:t>Unless authority to do so is withheld, shares represented by proxies in favour of the Proxy Nominees will be voted in favour of each of the proposed nominees listed below for election as directors. Management of the Corporation does not contemplate that any of the nominees will be unable, or for any reason unwilling, to serve as a director, but if that should occur for any reason prior to their election, the Proxy Nominees may, in their discretion, nominate and vote for another nominee.</w:t>
      </w: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 w:name="page18"/>
    <w:bookmarkEnd w:id="17"/>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71"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auto"/>
        </w:rPr>
        <w:t>Majority Voting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38100</wp:posOffset>
            </wp:positionV>
            <wp:extent cx="3502025"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02025" cy="6350"/>
                    </a:xfrm>
                    <a:prstGeom prst="rect">
                      <a:avLst/>
                    </a:prstGeom>
                    <a:noFill/>
                  </pic:spPr>
                </pic:pic>
              </a:graphicData>
            </a:graphic>
          </wp:anchor>
        </w:drawing>
      </w:r>
    </w:p>
    <w:p>
      <w:pPr>
        <w:spacing w:after="0" w:line="91" w:lineRule="exact"/>
        <w:rPr>
          <w:sz w:val="20"/>
          <w:szCs w:val="20"/>
          <w:color w:val="auto"/>
        </w:rPr>
      </w:pPr>
    </w:p>
    <w:p>
      <w:pPr>
        <w:jc w:val="both"/>
        <w:ind w:left="1480" w:right="1499"/>
        <w:spacing w:after="0" w:line="262" w:lineRule="auto"/>
        <w:rPr>
          <w:sz w:val="20"/>
          <w:szCs w:val="20"/>
          <w:color w:val="auto"/>
        </w:rPr>
      </w:pPr>
      <w:r>
        <w:rPr>
          <w:rFonts w:ascii="Arial" w:cs="Arial" w:eastAsia="Arial" w:hAnsi="Arial"/>
          <w:sz w:val="12"/>
          <w:szCs w:val="12"/>
          <w:color w:val="auto"/>
        </w:rPr>
        <w:t>The Board has adopted a policy that requires, in an uncontested election of directors, that shareholders be able to vote in favour of, or to withhold from voting, separately for each director nominee. If, with respect to any particular nominee, other than the controlling shareholder or a representative of the controlling shareholder, the number of shares withheld from voting by shareholders other than the controlling shareholder and its associates exceeds the number of shares that are voted in favour of the nominee, by shareholders other than the controlling shareholder and its associates, then the Board shall determine, and in so doing shall give due weight to the rights of the controlling shareholder, whether to require the nominee to resign from the Board and, if so required, any such nominee shall immediately tender his or her resignation. A director who tenders a resignation pursuant to this policy will not participate in any meeting of the Board at which the resignation is considered. The Board shall determine whether to accept the resignation, which, if accepted, shall be effective immediately upon such acceptance. The Board shall accept such resignation absent exceptional circumstances. Such a determination by the Board shall be made, and promptly announced by press release (a copy of which will be provided to the Toronto Stock Exchange (“</w:t>
      </w:r>
      <w:r>
        <w:rPr>
          <w:rFonts w:ascii="Arial" w:cs="Arial" w:eastAsia="Arial" w:hAnsi="Arial"/>
          <w:sz w:val="12"/>
          <w:szCs w:val="12"/>
          <w:b w:val="1"/>
          <w:bCs w:val="1"/>
          <w:color w:val="auto"/>
        </w:rPr>
        <w:t>TSX</w:t>
      </w:r>
      <w:r>
        <w:rPr>
          <w:rFonts w:ascii="Arial" w:cs="Arial" w:eastAsia="Arial" w:hAnsi="Arial"/>
          <w:sz w:val="12"/>
          <w:szCs w:val="12"/>
          <w:color w:val="auto"/>
        </w:rPr>
        <w:t>”)), within 90 days after the applicable shareholders’ meeting. If the Board determines not to accept a resignation, the press release will fully state the reasons for such decision. Subject to any corporate law restrictions, the Board may leave any resultant vacancy unfilled until the next annual shareholders’ meeting or it may fill the vacancy through the appointment of a new director whom the Board considers would merit the confidence of the shareholders, or it may call a special meeting of shareholders at which there shall be presented a nominee or nominees to fill the vacant position or positions.</w:t>
      </w:r>
    </w:p>
    <w:p>
      <w:pPr>
        <w:spacing w:after="0" w:line="229"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auto"/>
        </w:rPr>
        <w:t>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1197610</wp:posOffset>
            </wp:positionH>
            <wp:positionV relativeFrom="paragraph">
              <wp:posOffset>38100</wp:posOffset>
            </wp:positionV>
            <wp:extent cx="3577590" cy="17633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77590" cy="1763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left="1480" w:right="1499"/>
        <w:spacing w:after="0" w:line="247" w:lineRule="auto"/>
        <w:rPr>
          <w:sz w:val="20"/>
          <w:szCs w:val="20"/>
          <w:color w:val="auto"/>
        </w:rPr>
      </w:pPr>
      <w:r>
        <w:rPr>
          <w:rFonts w:ascii="Arial" w:cs="Arial" w:eastAsia="Arial" w:hAnsi="Arial"/>
          <w:sz w:val="13"/>
          <w:szCs w:val="13"/>
          <w:color w:val="auto"/>
        </w:rPr>
        <w:t xml:space="preserve">The proposed Board has an average age of 64 and average tenure of seven years. Two of the proposed nine nominees are women (22%), including the current chair of the Audit Committee. Two of the other nominees self-identify as members of visible minorities (22%) while none of the nominees self-identify as Aboriginal peoples or as persons with disabilities (each as defined under the </w:t>
      </w:r>
      <w:r>
        <w:rPr>
          <w:rFonts w:ascii="Arial" w:cs="Arial" w:eastAsia="Arial" w:hAnsi="Arial"/>
          <w:sz w:val="13"/>
          <w:szCs w:val="13"/>
          <w:i w:val="1"/>
          <w:iCs w:val="1"/>
          <w:color w:val="auto"/>
        </w:rPr>
        <w:t>Employment Equity Ac</w:t>
      </w:r>
      <w:r>
        <w:rPr>
          <w:rFonts w:ascii="Arial" w:cs="Arial" w:eastAsia="Arial" w:hAnsi="Arial"/>
          <w:sz w:val="13"/>
          <w:szCs w:val="13"/>
          <w:color w:val="auto"/>
        </w:rPr>
        <w:t xml:space="preserve">t (Canada)). See </w:t>
      </w:r>
      <w:r>
        <w:rPr>
          <w:rFonts w:ascii="Arial" w:cs="Arial" w:eastAsia="Arial" w:hAnsi="Arial"/>
          <w:sz w:val="13"/>
          <w:szCs w:val="13"/>
          <w:i w:val="1"/>
          <w:iCs w:val="1"/>
          <w:color w:val="auto"/>
        </w:rPr>
        <w:t>Corporate Governance — Board Diversity</w:t>
      </w:r>
      <w:r>
        <w:rPr>
          <w:rFonts w:ascii="Arial" w:cs="Arial" w:eastAsia="Arial" w:hAnsi="Arial"/>
          <w:sz w:val="13"/>
          <w:szCs w:val="13"/>
          <w:color w:val="auto"/>
        </w:rPr>
        <w:t>.</w:t>
      </w:r>
    </w:p>
    <w:p>
      <w:pPr>
        <w:spacing w:after="0" w:line="81"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auto"/>
        </w:rPr>
        <w:t>Nominees for Election as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38100</wp:posOffset>
            </wp:positionV>
            <wp:extent cx="3502025"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02025" cy="6350"/>
                    </a:xfrm>
                    <a:prstGeom prst="rect">
                      <a:avLst/>
                    </a:prstGeom>
                    <a:noFill/>
                  </pic:spPr>
                </pic:pic>
              </a:graphicData>
            </a:graphic>
          </wp:anchor>
        </w:drawing>
      </w:r>
    </w:p>
    <w:p>
      <w:pPr>
        <w:spacing w:after="0" w:line="91" w:lineRule="exact"/>
        <w:rPr>
          <w:sz w:val="20"/>
          <w:szCs w:val="20"/>
          <w:color w:val="auto"/>
        </w:rPr>
      </w:pPr>
    </w:p>
    <w:p>
      <w:pPr>
        <w:jc w:val="both"/>
        <w:ind w:left="1480" w:right="1499"/>
        <w:spacing w:after="0" w:line="265" w:lineRule="auto"/>
        <w:rPr>
          <w:sz w:val="20"/>
          <w:szCs w:val="20"/>
          <w:color w:val="auto"/>
        </w:rPr>
      </w:pPr>
      <w:r>
        <w:rPr>
          <w:rFonts w:ascii="Arial" w:cs="Arial" w:eastAsia="Arial" w:hAnsi="Arial"/>
          <w:sz w:val="12"/>
          <w:szCs w:val="12"/>
          <w:color w:val="auto"/>
        </w:rPr>
        <w:t>The following nominee profiles include a summary of each nominee’s career experience, areas of expertise, term as a director of the Corporation, place of residence, age, other public corporations of which they are or were (during the prior five years) directors, and their equity interests in the Corporation. There are no contracts, arrangements or understandings between any director and any executive officer or any other person pursuant to which any one of the nominees has been nominated. For a description of the deferred share units (“</w:t>
      </w:r>
      <w:r>
        <w:rPr>
          <w:rFonts w:ascii="Arial" w:cs="Arial" w:eastAsia="Arial" w:hAnsi="Arial"/>
          <w:sz w:val="12"/>
          <w:szCs w:val="12"/>
          <w:b w:val="1"/>
          <w:bCs w:val="1"/>
          <w:color w:val="auto"/>
        </w:rPr>
        <w:t>DSUs</w:t>
      </w:r>
      <w:r>
        <w:rPr>
          <w:rFonts w:ascii="Arial" w:cs="Arial" w:eastAsia="Arial" w:hAnsi="Arial"/>
          <w:sz w:val="12"/>
          <w:szCs w:val="12"/>
          <w:color w:val="auto"/>
        </w:rPr>
        <w:t>”) and restricted share units (“</w:t>
      </w:r>
      <w:r>
        <w:rPr>
          <w:rFonts w:ascii="Arial" w:cs="Arial" w:eastAsia="Arial" w:hAnsi="Arial"/>
          <w:sz w:val="12"/>
          <w:szCs w:val="12"/>
          <w:b w:val="1"/>
          <w:bCs w:val="1"/>
          <w:color w:val="auto"/>
        </w:rPr>
        <w:t>RSUs</w:t>
      </w:r>
      <w:r>
        <w:rPr>
          <w:rFonts w:ascii="Arial" w:cs="Arial" w:eastAsia="Arial" w:hAnsi="Arial"/>
          <w:sz w:val="12"/>
          <w:szCs w:val="12"/>
          <w:color w:val="auto"/>
        </w:rPr>
        <w:t xml:space="preserve">”) issued to the Corporation’s directors, see </w:t>
      </w:r>
      <w:r>
        <w:rPr>
          <w:rFonts w:ascii="Arial" w:cs="Arial" w:eastAsia="Arial" w:hAnsi="Arial"/>
          <w:sz w:val="12"/>
          <w:szCs w:val="12"/>
          <w:i w:val="1"/>
          <w:iCs w:val="1"/>
          <w:color w:val="auto"/>
        </w:rPr>
        <w:t>Information Relating to Our Directors — Director Compensation and — Directors’ Ownership of Securities</w:t>
      </w:r>
      <w:r>
        <w:rPr>
          <w:rFonts w:ascii="Arial" w:cs="Arial" w:eastAsia="Arial" w:hAnsi="Arial"/>
          <w:sz w:val="12"/>
          <w:szCs w:val="12"/>
          <w:color w:val="auto"/>
        </w:rPr>
        <w:t>.</w:t>
      </w:r>
      <w:r>
        <w:rPr>
          <w:rFonts w:ascii="Arial" w:cs="Arial" w:eastAsia="Arial" w:hAnsi="Arial"/>
          <w:sz w:val="12"/>
          <w:szCs w:val="12"/>
          <w:i w:val="1"/>
          <w:iCs w:val="1"/>
          <w:color w:val="auto"/>
        </w:rPr>
        <w:t xml:space="preserve"> </w:t>
      </w:r>
      <w:r>
        <w:rPr>
          <w:rFonts w:ascii="Arial" w:cs="Arial" w:eastAsia="Arial" w:hAnsi="Arial"/>
          <w:sz w:val="12"/>
          <w:szCs w:val="12"/>
          <w:color w:val="auto"/>
        </w:rPr>
        <w:t>In the case of options, RSUs and performance share units (“</w:t>
      </w:r>
      <w:r>
        <w:rPr>
          <w:rFonts w:ascii="Arial" w:cs="Arial" w:eastAsia="Arial" w:hAnsi="Arial"/>
          <w:sz w:val="12"/>
          <w:szCs w:val="12"/>
          <w:b w:val="1"/>
          <w:bCs w:val="1"/>
          <w:color w:val="auto"/>
        </w:rPr>
        <w:t>PSUs</w:t>
      </w:r>
      <w:r>
        <w:rPr>
          <w:rFonts w:ascii="Arial" w:cs="Arial" w:eastAsia="Arial" w:hAnsi="Arial"/>
          <w:sz w:val="12"/>
          <w:szCs w:val="12"/>
          <w:color w:val="auto"/>
        </w:rPr>
        <w:t xml:space="preserve">”) issued to Mr. Mionis, see </w:t>
      </w:r>
      <w:r>
        <w:rPr>
          <w:rFonts w:ascii="Arial" w:cs="Arial" w:eastAsia="Arial" w:hAnsi="Arial"/>
          <w:sz w:val="12"/>
          <w:szCs w:val="12"/>
          <w:i w:val="1"/>
          <w:iCs w:val="1"/>
          <w:color w:val="auto"/>
        </w:rPr>
        <w:t>Compensation</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Discussion and Analysis </w:t>
      </w:r>
      <w:r>
        <w:rPr>
          <w:rFonts w:ascii="Arial" w:cs="Arial" w:eastAsia="Arial" w:hAnsi="Arial"/>
          <w:sz w:val="12"/>
          <w:szCs w:val="12"/>
          <w:color w:val="auto"/>
        </w:rPr>
        <w:t>and</w:t>
      </w:r>
      <w:r>
        <w:rPr>
          <w:rFonts w:ascii="Arial" w:cs="Arial" w:eastAsia="Arial" w:hAnsi="Arial"/>
          <w:sz w:val="12"/>
          <w:szCs w:val="12"/>
          <w:i w:val="1"/>
          <w:iCs w:val="1"/>
          <w:color w:val="auto"/>
        </w:rPr>
        <w:t xml:space="preserve"> Compensation of Named Executive </w:t>
      </w:r>
      <w:r>
        <w:rPr>
          <w:rFonts w:ascii="Arial" w:cs="Arial" w:eastAsia="Arial" w:hAnsi="Arial"/>
          <w:sz w:val="12"/>
          <w:szCs w:val="12"/>
          <w:color w:val="auto"/>
        </w:rPr>
        <w:t>Officers —</w:t>
      </w:r>
      <w:r>
        <w:rPr>
          <w:rFonts w:ascii="Arial" w:cs="Arial" w:eastAsia="Arial" w:hAnsi="Arial"/>
          <w:sz w:val="12"/>
          <w:szCs w:val="12"/>
          <w:i w:val="1"/>
          <w:iCs w:val="1"/>
          <w:color w:val="auto"/>
        </w:rPr>
        <w:t xml:space="preserve"> Option- Based and Share-Based Awards</w:t>
      </w:r>
      <w:r>
        <w:rPr>
          <w:rFonts w:ascii="Arial" w:cs="Arial" w:eastAsia="Arial" w:hAnsi="Arial"/>
          <w:sz w:val="12"/>
          <w:szCs w:val="12"/>
          <w:color w:val="auto"/>
        </w:rPr>
        <w:t>. As an executive officer of the Corporation, Mr. Mionis has not received any DSUs.</w:t>
      </w: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 w:name="page19"/>
    <w:bookmarkEnd w:id="18"/>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359410</wp:posOffset>
            </wp:positionV>
            <wp:extent cx="4045585"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04558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1320" w:type="dxa"/>
        <w:tblCellMar>
          <w:top w:w="0" w:type="dxa"/>
          <w:left w:w="0" w:type="dxa"/>
          <w:bottom w:w="0" w:type="dxa"/>
          <w:right w:w="0" w:type="dxa"/>
        </w:tblCellMar>
      </w:tblPr>
      <w:tr>
        <w:trPr>
          <w:trHeight w:val="126"/>
        </w:trPr>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4780" w:type="dxa"/>
            <w:vAlign w:val="bottom"/>
            <w:gridSpan w:val="22"/>
          </w:tcPr>
          <w:p>
            <w:pPr>
              <w:spacing w:after="0"/>
              <w:rPr>
                <w:sz w:val="20"/>
                <w:szCs w:val="20"/>
                <w:color w:val="auto"/>
              </w:rPr>
            </w:pPr>
            <w:r>
              <w:rPr>
                <w:rFonts w:ascii="Arial" w:cs="Arial" w:eastAsia="Arial" w:hAnsi="Arial"/>
                <w:sz w:val="11"/>
                <w:szCs w:val="11"/>
                <w:color w:val="auto"/>
                <w:w w:val="98"/>
              </w:rPr>
              <w:t>Mr. Cascella is currently a Strategic Business Development Leader of Royal Philips, a public Dutch</w:t>
            </w: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4780" w:type="dxa"/>
            <w:vAlign w:val="bottom"/>
            <w:gridSpan w:val="22"/>
          </w:tcPr>
          <w:p>
            <w:pPr>
              <w:spacing w:after="0" w:line="120" w:lineRule="exact"/>
              <w:rPr>
                <w:sz w:val="20"/>
                <w:szCs w:val="20"/>
                <w:color w:val="auto"/>
              </w:rPr>
            </w:pPr>
            <w:r>
              <w:rPr>
                <w:rFonts w:ascii="Arial" w:cs="Arial" w:eastAsia="Arial" w:hAnsi="Arial"/>
                <w:sz w:val="11"/>
                <w:szCs w:val="11"/>
                <w:color w:val="auto"/>
                <w:w w:val="94"/>
              </w:rPr>
              <w:t>multinational healthcare company. From 2015 to 2020, he served as Executive Vice President of Royal</w:t>
            </w: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4780" w:type="dxa"/>
            <w:vAlign w:val="bottom"/>
            <w:gridSpan w:val="22"/>
          </w:tcPr>
          <w:p>
            <w:pPr>
              <w:spacing w:after="0" w:line="120" w:lineRule="exact"/>
              <w:rPr>
                <w:sz w:val="20"/>
                <w:szCs w:val="20"/>
                <w:color w:val="auto"/>
              </w:rPr>
            </w:pPr>
            <w:r>
              <w:rPr>
                <w:rFonts w:ascii="Arial" w:cs="Arial" w:eastAsia="Arial" w:hAnsi="Arial"/>
                <w:sz w:val="11"/>
                <w:szCs w:val="11"/>
                <w:color w:val="auto"/>
                <w:w w:val="92"/>
              </w:rPr>
              <w:t>Philips and Chief Executive Officer of Philips’ Diagnosis and Treatment businesses, including businesses</w:t>
            </w: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4780" w:type="dxa"/>
            <w:vAlign w:val="bottom"/>
            <w:gridSpan w:val="22"/>
          </w:tcPr>
          <w:p>
            <w:pPr>
              <w:spacing w:after="0" w:line="120" w:lineRule="exact"/>
              <w:rPr>
                <w:sz w:val="20"/>
                <w:szCs w:val="20"/>
                <w:color w:val="auto"/>
              </w:rPr>
            </w:pPr>
            <w:r>
              <w:rPr>
                <w:rFonts w:ascii="Arial" w:cs="Arial" w:eastAsia="Arial" w:hAnsi="Arial"/>
                <w:sz w:val="11"/>
                <w:szCs w:val="11"/>
                <w:color w:val="auto"/>
                <w:w w:val="94"/>
              </w:rPr>
              <w:t>serving Radiology, Cardiology and Oncology, as well as Enterprise Diagnostic Informatics. Mr. Cascella</w:t>
            </w: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4780" w:type="dxa"/>
            <w:vAlign w:val="bottom"/>
            <w:gridSpan w:val="22"/>
          </w:tcPr>
          <w:p>
            <w:pPr>
              <w:spacing w:after="0" w:line="120" w:lineRule="exact"/>
              <w:rPr>
                <w:sz w:val="20"/>
                <w:szCs w:val="20"/>
                <w:color w:val="auto"/>
              </w:rPr>
            </w:pPr>
            <w:r>
              <w:rPr>
                <w:rFonts w:ascii="Arial" w:cs="Arial" w:eastAsia="Arial" w:hAnsi="Arial"/>
                <w:sz w:val="11"/>
                <w:szCs w:val="11"/>
                <w:color w:val="auto"/>
                <w:w w:val="93"/>
              </w:rPr>
              <w:t>has also served on Philips’ Executive Committee since 2016 and will do so until April 1, 2021 after which</w:t>
            </w: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4780" w:type="dxa"/>
            <w:vAlign w:val="bottom"/>
            <w:gridSpan w:val="22"/>
          </w:tcPr>
          <w:p>
            <w:pPr>
              <w:spacing w:after="0" w:line="120" w:lineRule="exact"/>
              <w:rPr>
                <w:sz w:val="20"/>
                <w:szCs w:val="20"/>
                <w:color w:val="auto"/>
              </w:rPr>
            </w:pPr>
            <w:r>
              <w:rPr>
                <w:rFonts w:ascii="Arial" w:cs="Arial" w:eastAsia="Arial" w:hAnsi="Arial"/>
                <w:sz w:val="11"/>
                <w:szCs w:val="11"/>
                <w:color w:val="auto"/>
                <w:w w:val="91"/>
              </w:rPr>
              <w:t>time he will act as a special advisor to Philips’ strategic business development projects on a part-time basis</w:t>
            </w: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4780" w:type="dxa"/>
            <w:vAlign w:val="bottom"/>
            <w:gridSpan w:val="22"/>
          </w:tcPr>
          <w:p>
            <w:pPr>
              <w:spacing w:after="0" w:line="120" w:lineRule="exact"/>
              <w:rPr>
                <w:sz w:val="20"/>
                <w:szCs w:val="20"/>
                <w:color w:val="auto"/>
              </w:rPr>
            </w:pPr>
            <w:r>
              <w:rPr>
                <w:rFonts w:ascii="Arial" w:cs="Arial" w:eastAsia="Arial" w:hAnsi="Arial"/>
                <w:sz w:val="11"/>
                <w:szCs w:val="11"/>
                <w:color w:val="auto"/>
              </w:rPr>
              <w:t>until the end of 2021. Since 2020, Mr. Cascella has also been serving on the board of directors of</w:t>
            </w: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4780" w:type="dxa"/>
            <w:vAlign w:val="bottom"/>
            <w:gridSpan w:val="22"/>
          </w:tcPr>
          <w:p>
            <w:pPr>
              <w:spacing w:after="0" w:line="120" w:lineRule="exact"/>
              <w:rPr>
                <w:sz w:val="20"/>
                <w:szCs w:val="20"/>
                <w:color w:val="auto"/>
              </w:rPr>
            </w:pPr>
            <w:r>
              <w:rPr>
                <w:rFonts w:ascii="Arial" w:cs="Arial" w:eastAsia="Arial" w:hAnsi="Arial"/>
                <w:sz w:val="11"/>
                <w:szCs w:val="11"/>
                <w:color w:val="auto"/>
                <w:w w:val="93"/>
              </w:rPr>
              <w:t>Metabolon, Inc. He served as the President and Chief Executive Officer of Hologic, Inc., a public medical</w:t>
            </w: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4780" w:type="dxa"/>
            <w:vAlign w:val="bottom"/>
            <w:gridSpan w:val="22"/>
          </w:tcPr>
          <w:p>
            <w:pPr>
              <w:spacing w:after="0" w:line="120" w:lineRule="exact"/>
              <w:rPr>
                <w:sz w:val="20"/>
                <w:szCs w:val="20"/>
                <w:color w:val="auto"/>
              </w:rPr>
            </w:pPr>
            <w:r>
              <w:rPr>
                <w:rFonts w:ascii="Arial" w:cs="Arial" w:eastAsia="Arial" w:hAnsi="Arial"/>
                <w:sz w:val="11"/>
                <w:szCs w:val="11"/>
                <w:color w:val="auto"/>
                <w:w w:val="92"/>
              </w:rPr>
              <w:t>device and diagnostics company, from 2003 to 2013. He has also held senior leadership positions at CFG</w:t>
            </w:r>
          </w:p>
        </w:tc>
        <w:tc>
          <w:tcPr>
            <w:tcW w:w="0" w:type="dxa"/>
            <w:vAlign w:val="bottom"/>
          </w:tcPr>
          <w:p>
            <w:pPr>
              <w:spacing w:after="0"/>
              <w:rPr>
                <w:sz w:val="1"/>
                <w:szCs w:val="1"/>
                <w:color w:val="auto"/>
              </w:rPr>
            </w:pPr>
          </w:p>
        </w:tc>
      </w:tr>
      <w:tr>
        <w:trPr>
          <w:trHeight w:val="119"/>
        </w:trPr>
        <w:tc>
          <w:tcPr>
            <w:tcW w:w="16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Robert A. Cascella</w:t>
            </w:r>
          </w:p>
        </w:tc>
        <w:tc>
          <w:tcPr>
            <w:tcW w:w="4780" w:type="dxa"/>
            <w:vAlign w:val="bottom"/>
            <w:gridSpan w:val="22"/>
          </w:tcPr>
          <w:p>
            <w:pPr>
              <w:spacing w:after="0" w:line="120" w:lineRule="exact"/>
              <w:rPr>
                <w:sz w:val="20"/>
                <w:szCs w:val="20"/>
                <w:color w:val="auto"/>
              </w:rPr>
            </w:pPr>
            <w:r>
              <w:rPr>
                <w:rFonts w:ascii="Arial" w:cs="Arial" w:eastAsia="Arial" w:hAnsi="Arial"/>
                <w:sz w:val="11"/>
                <w:szCs w:val="11"/>
                <w:color w:val="auto"/>
                <w:w w:val="93"/>
              </w:rPr>
              <w:t>Capital, NeoVision Corporation and Fischer Imaging Corporation. Mr. Cascella served on Hologic, Inc.’s</w:t>
            </w:r>
          </w:p>
        </w:tc>
        <w:tc>
          <w:tcPr>
            <w:tcW w:w="0" w:type="dxa"/>
            <w:vAlign w:val="bottom"/>
          </w:tcPr>
          <w:p>
            <w:pPr>
              <w:spacing w:after="0"/>
              <w:rPr>
                <w:sz w:val="1"/>
                <w:szCs w:val="1"/>
                <w:color w:val="auto"/>
              </w:rPr>
            </w:pPr>
          </w:p>
        </w:tc>
      </w:tr>
      <w:tr>
        <w:trPr>
          <w:trHeight w:val="110"/>
        </w:trPr>
        <w:tc>
          <w:tcPr>
            <w:tcW w:w="1600" w:type="dxa"/>
            <w:vAlign w:val="bottom"/>
            <w:gridSpan w:val="2"/>
            <w:vMerge w:val="continue"/>
          </w:tcPr>
          <w:p>
            <w:pPr>
              <w:spacing w:after="0"/>
              <w:rPr>
                <w:sz w:val="9"/>
                <w:szCs w:val="9"/>
                <w:color w:val="auto"/>
              </w:rPr>
            </w:pPr>
          </w:p>
        </w:tc>
        <w:tc>
          <w:tcPr>
            <w:tcW w:w="4780" w:type="dxa"/>
            <w:vAlign w:val="bottom"/>
            <w:gridSpan w:val="22"/>
          </w:tcPr>
          <w:p>
            <w:pPr>
              <w:spacing w:after="0" w:line="110" w:lineRule="exact"/>
              <w:rPr>
                <w:sz w:val="20"/>
                <w:szCs w:val="20"/>
                <w:color w:val="auto"/>
              </w:rPr>
            </w:pPr>
            <w:r>
              <w:rPr>
                <w:rFonts w:ascii="Arial" w:cs="Arial" w:eastAsia="Arial" w:hAnsi="Arial"/>
                <w:sz w:val="11"/>
                <w:szCs w:val="11"/>
                <w:color w:val="auto"/>
                <w:w w:val="92"/>
              </w:rPr>
              <w:t>board of directors from 2008 to 2013. He also previously served on the board of Tegra Medical and acted</w:t>
            </w:r>
          </w:p>
        </w:tc>
        <w:tc>
          <w:tcPr>
            <w:tcW w:w="0" w:type="dxa"/>
            <w:vAlign w:val="bottom"/>
          </w:tcPr>
          <w:p>
            <w:pPr>
              <w:spacing w:after="0"/>
              <w:rPr>
                <w:sz w:val="1"/>
                <w:szCs w:val="1"/>
                <w:color w:val="auto"/>
              </w:rPr>
            </w:pPr>
          </w:p>
        </w:tc>
      </w:tr>
      <w:tr>
        <w:trPr>
          <w:trHeight w:val="129"/>
        </w:trPr>
        <w:tc>
          <w:tcPr>
            <w:tcW w:w="1600" w:type="dxa"/>
            <w:vAlign w:val="bottom"/>
            <w:gridSpan w:val="2"/>
          </w:tcPr>
          <w:p>
            <w:pPr>
              <w:spacing w:after="0"/>
              <w:rPr>
                <w:sz w:val="20"/>
                <w:szCs w:val="20"/>
                <w:color w:val="auto"/>
              </w:rPr>
            </w:pPr>
            <w:r>
              <w:rPr>
                <w:rFonts w:ascii="Arial" w:cs="Arial" w:eastAsia="Arial" w:hAnsi="Arial"/>
                <w:sz w:val="11"/>
                <w:szCs w:val="11"/>
                <w:color w:val="auto"/>
              </w:rPr>
              <w:t>Boca Raton, Florida</w:t>
            </w:r>
          </w:p>
        </w:tc>
        <w:tc>
          <w:tcPr>
            <w:tcW w:w="4780" w:type="dxa"/>
            <w:vAlign w:val="bottom"/>
            <w:gridSpan w:val="22"/>
          </w:tcPr>
          <w:p>
            <w:pPr>
              <w:spacing w:after="0"/>
              <w:rPr>
                <w:sz w:val="20"/>
                <w:szCs w:val="20"/>
                <w:color w:val="auto"/>
              </w:rPr>
            </w:pPr>
            <w:r>
              <w:rPr>
                <w:rFonts w:ascii="Arial" w:cs="Arial" w:eastAsia="Arial" w:hAnsi="Arial"/>
                <w:sz w:val="11"/>
                <w:szCs w:val="11"/>
                <w:color w:val="auto"/>
                <w:w w:val="92"/>
              </w:rPr>
              <w:t>as chair of the boards of Dysis Medical and Miranda Medical. He holds a Bachelor’s degree in Accounting</w:t>
            </w:r>
          </w:p>
        </w:tc>
        <w:tc>
          <w:tcPr>
            <w:tcW w:w="0" w:type="dxa"/>
            <w:vAlign w:val="bottom"/>
          </w:tcPr>
          <w:p>
            <w:pPr>
              <w:spacing w:after="0"/>
              <w:rPr>
                <w:sz w:val="1"/>
                <w:szCs w:val="1"/>
                <w:color w:val="auto"/>
              </w:rPr>
            </w:pPr>
          </w:p>
        </w:tc>
      </w:tr>
      <w:tr>
        <w:trPr>
          <w:trHeight w:val="135"/>
        </w:trPr>
        <w:tc>
          <w:tcPr>
            <w:tcW w:w="1600" w:type="dxa"/>
            <w:vAlign w:val="bottom"/>
            <w:gridSpan w:val="2"/>
          </w:tcPr>
          <w:p>
            <w:pPr>
              <w:spacing w:after="0"/>
              <w:rPr>
                <w:sz w:val="20"/>
                <w:szCs w:val="20"/>
                <w:color w:val="auto"/>
              </w:rPr>
            </w:pPr>
            <w:r>
              <w:rPr>
                <w:rFonts w:ascii="Arial" w:cs="Arial" w:eastAsia="Arial" w:hAnsi="Arial"/>
                <w:sz w:val="11"/>
                <w:szCs w:val="11"/>
                <w:color w:val="auto"/>
              </w:rPr>
              <w:t>U.S.</w:t>
            </w:r>
          </w:p>
        </w:tc>
        <w:tc>
          <w:tcPr>
            <w:tcW w:w="1220" w:type="dxa"/>
            <w:vAlign w:val="bottom"/>
            <w:gridSpan w:val="5"/>
          </w:tcPr>
          <w:p>
            <w:pPr>
              <w:spacing w:after="0"/>
              <w:rPr>
                <w:sz w:val="20"/>
                <w:szCs w:val="20"/>
                <w:color w:val="auto"/>
              </w:rPr>
            </w:pPr>
            <w:r>
              <w:rPr>
                <w:rFonts w:ascii="Arial" w:cs="Arial" w:eastAsia="Arial" w:hAnsi="Arial"/>
                <w:sz w:val="11"/>
                <w:szCs w:val="11"/>
                <w:color w:val="auto"/>
              </w:rPr>
              <w:t>from Fairfield University.</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600" w:type="dxa"/>
            <w:vAlign w:val="bottom"/>
            <w:gridSpan w:val="2"/>
          </w:tcPr>
          <w:p>
            <w:pPr>
              <w:spacing w:after="0"/>
              <w:rPr>
                <w:sz w:val="20"/>
                <w:szCs w:val="20"/>
                <w:color w:val="auto"/>
              </w:rPr>
            </w:pPr>
            <w:r>
              <w:rPr>
                <w:rFonts w:ascii="Arial" w:cs="Arial" w:eastAsia="Arial" w:hAnsi="Arial"/>
                <w:sz w:val="11"/>
                <w:szCs w:val="11"/>
                <w:b w:val="1"/>
                <w:bCs w:val="1"/>
                <w:color w:val="auto"/>
              </w:rPr>
              <w:t xml:space="preserve">Director Since: </w:t>
            </w:r>
            <w:r>
              <w:rPr>
                <w:rFonts w:ascii="Arial" w:cs="Arial" w:eastAsia="Arial" w:hAnsi="Arial"/>
                <w:sz w:val="11"/>
                <w:szCs w:val="11"/>
                <w:color w:val="auto"/>
              </w:rPr>
              <w:t>2019</w:t>
            </w:r>
          </w:p>
        </w:tc>
        <w:tc>
          <w:tcPr>
            <w:tcW w:w="4780" w:type="dxa"/>
            <w:vAlign w:val="bottom"/>
            <w:gridSpan w:val="22"/>
          </w:tcPr>
          <w:p>
            <w:pPr>
              <w:spacing w:after="0"/>
              <w:rPr>
                <w:sz w:val="20"/>
                <w:szCs w:val="20"/>
                <w:color w:val="auto"/>
              </w:rPr>
            </w:pPr>
            <w:r>
              <w:rPr>
                <w:rFonts w:ascii="Arial" w:cs="Arial" w:eastAsia="Arial" w:hAnsi="Arial"/>
                <w:sz w:val="11"/>
                <w:szCs w:val="11"/>
                <w:color w:val="auto"/>
                <w:w w:val="95"/>
              </w:rPr>
              <w:t>Mr. Cascella sits on the Audit Committee, HRCC, and NCGC, and has been appointed as Chair of the</w:t>
            </w:r>
          </w:p>
        </w:tc>
        <w:tc>
          <w:tcPr>
            <w:tcW w:w="0" w:type="dxa"/>
            <w:vAlign w:val="bottom"/>
          </w:tcPr>
          <w:p>
            <w:pPr>
              <w:spacing w:after="0"/>
              <w:rPr>
                <w:sz w:val="1"/>
                <w:szCs w:val="1"/>
                <w:color w:val="auto"/>
              </w:rPr>
            </w:pPr>
          </w:p>
        </w:tc>
      </w:tr>
      <w:tr>
        <w:trPr>
          <w:trHeight w:val="129"/>
        </w:trPr>
        <w:tc>
          <w:tcPr>
            <w:tcW w:w="16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 xml:space="preserve">Age: </w:t>
            </w:r>
            <w:r>
              <w:rPr>
                <w:rFonts w:ascii="Arial" w:cs="Arial" w:eastAsia="Arial" w:hAnsi="Arial"/>
                <w:sz w:val="11"/>
                <w:szCs w:val="11"/>
                <w:color w:val="auto"/>
              </w:rPr>
              <w:t>66</w:t>
            </w:r>
          </w:p>
        </w:tc>
        <w:tc>
          <w:tcPr>
            <w:tcW w:w="2420" w:type="dxa"/>
            <w:vAlign w:val="bottom"/>
            <w:gridSpan w:val="10"/>
          </w:tcPr>
          <w:p>
            <w:pPr>
              <w:spacing w:after="0"/>
              <w:rPr>
                <w:sz w:val="20"/>
                <w:szCs w:val="20"/>
                <w:color w:val="auto"/>
              </w:rPr>
            </w:pPr>
            <w:r>
              <w:rPr>
                <w:rFonts w:ascii="Arial" w:cs="Arial" w:eastAsia="Arial" w:hAnsi="Arial"/>
                <w:sz w:val="11"/>
                <w:szCs w:val="11"/>
                <w:color w:val="auto"/>
              </w:rPr>
              <w:t>HRCC effective at the close of the Meeting.</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160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16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 xml:space="preserve">Status: </w:t>
            </w:r>
            <w:r>
              <w:rPr>
                <w:rFonts w:ascii="Arial" w:cs="Arial" w:eastAsia="Arial" w:hAnsi="Arial"/>
                <w:sz w:val="11"/>
                <w:szCs w:val="11"/>
                <w:color w:val="auto"/>
              </w:rPr>
              <w:t>Independent</w:t>
            </w: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1600" w:type="dxa"/>
            <w:vAlign w:val="bottom"/>
            <w:gridSpan w:val="2"/>
            <w:vMerge w:val="continue"/>
          </w:tcPr>
          <w:p>
            <w:pPr>
              <w:spacing w:after="0"/>
              <w:rPr>
                <w:sz w:val="13"/>
                <w:szCs w:val="13"/>
                <w:color w:val="auto"/>
              </w:rPr>
            </w:pPr>
          </w:p>
        </w:tc>
        <w:tc>
          <w:tcPr>
            <w:tcW w:w="20" w:type="dxa"/>
            <w:vAlign w:val="bottom"/>
            <w:tcBorders>
              <w:bottom w:val="single" w:sz="8" w:color="CCCCCC"/>
            </w:tcBorders>
            <w:shd w:val="clear" w:color="auto" w:fill="CCCCCC"/>
          </w:tcPr>
          <w:p>
            <w:pPr>
              <w:spacing w:after="0"/>
              <w:rPr>
                <w:sz w:val="13"/>
                <w:szCs w:val="13"/>
                <w:color w:val="auto"/>
              </w:rPr>
            </w:pPr>
          </w:p>
        </w:tc>
        <w:tc>
          <w:tcPr>
            <w:tcW w:w="420" w:type="dxa"/>
            <w:vAlign w:val="bottom"/>
            <w:tcBorders>
              <w:bottom w:val="single" w:sz="8" w:color="CCCCCC"/>
              <w:right w:val="single" w:sz="8" w:color="CCCCCC"/>
            </w:tcBorders>
            <w:shd w:val="clear" w:color="auto" w:fill="CCCCCC"/>
          </w:tcPr>
          <w:p>
            <w:pPr>
              <w:spacing w:after="0"/>
              <w:rPr>
                <w:sz w:val="13"/>
                <w:szCs w:val="13"/>
                <w:color w:val="auto"/>
              </w:rPr>
            </w:pPr>
          </w:p>
        </w:tc>
        <w:tc>
          <w:tcPr>
            <w:tcW w:w="360" w:type="dxa"/>
            <w:vAlign w:val="bottom"/>
            <w:tcBorders>
              <w:bottom w:val="single" w:sz="8" w:color="CCCCCC"/>
            </w:tcBorders>
            <w:shd w:val="clear" w:color="auto" w:fill="CCCCCC"/>
          </w:tcPr>
          <w:p>
            <w:pPr>
              <w:spacing w:after="0"/>
              <w:rPr>
                <w:sz w:val="13"/>
                <w:szCs w:val="13"/>
                <w:color w:val="auto"/>
              </w:rPr>
            </w:pPr>
          </w:p>
        </w:tc>
        <w:tc>
          <w:tcPr>
            <w:tcW w:w="60" w:type="dxa"/>
            <w:vAlign w:val="bottom"/>
            <w:tcBorders>
              <w:bottom w:val="single" w:sz="8" w:color="CCCCCC"/>
              <w:right w:val="single" w:sz="8" w:color="CCCCCC"/>
            </w:tcBorders>
            <w:shd w:val="clear" w:color="auto" w:fill="CCCCCC"/>
          </w:tcPr>
          <w:p>
            <w:pPr>
              <w:spacing w:after="0"/>
              <w:rPr>
                <w:sz w:val="13"/>
                <w:szCs w:val="13"/>
                <w:color w:val="auto"/>
              </w:rPr>
            </w:pPr>
          </w:p>
        </w:tc>
        <w:tc>
          <w:tcPr>
            <w:tcW w:w="360" w:type="dxa"/>
            <w:vAlign w:val="bottom"/>
            <w:tcBorders>
              <w:bottom w:val="single" w:sz="8" w:color="CCCCCC"/>
            </w:tcBorders>
            <w:shd w:val="clear" w:color="auto" w:fill="CCCCCC"/>
          </w:tcPr>
          <w:p>
            <w:pPr>
              <w:spacing w:after="0"/>
              <w:rPr>
                <w:sz w:val="13"/>
                <w:szCs w:val="13"/>
                <w:color w:val="auto"/>
              </w:rPr>
            </w:pPr>
          </w:p>
        </w:tc>
        <w:tc>
          <w:tcPr>
            <w:tcW w:w="2100" w:type="dxa"/>
            <w:vAlign w:val="bottom"/>
            <w:tcBorders>
              <w:bottom w:val="single" w:sz="8" w:color="CCCCCC"/>
            </w:tcBorders>
            <w:gridSpan w:val="10"/>
            <w:shd w:val="clear" w:color="auto" w:fill="CCCCCC"/>
          </w:tcPr>
          <w:p>
            <w:pPr>
              <w:ind w:left="20"/>
              <w:spacing w:after="0"/>
              <w:rPr>
                <w:sz w:val="20"/>
                <w:szCs w:val="20"/>
                <w:color w:val="auto"/>
              </w:rPr>
            </w:pPr>
            <w:r>
              <w:rPr>
                <w:rFonts w:ascii="Arial" w:cs="Arial" w:eastAsia="Arial" w:hAnsi="Arial"/>
                <w:sz w:val="11"/>
                <w:szCs w:val="11"/>
                <w:b w:val="1"/>
                <w:bCs w:val="1"/>
                <w:color w:val="auto"/>
                <w:w w:val="95"/>
              </w:rPr>
              <w:t>BOARD AND COMMITTEE ATTENDANCE</w:t>
            </w:r>
          </w:p>
        </w:tc>
        <w:tc>
          <w:tcPr>
            <w:tcW w:w="460" w:type="dxa"/>
            <w:vAlign w:val="bottom"/>
            <w:tcBorders>
              <w:bottom w:val="single" w:sz="8" w:color="CCCCCC"/>
              <w:right w:val="single" w:sz="8" w:color="CCCCCC"/>
            </w:tcBorders>
            <w:shd w:val="clear" w:color="auto" w:fill="CCCCCC"/>
          </w:tcPr>
          <w:p>
            <w:pPr>
              <w:spacing w:after="0"/>
              <w:rPr>
                <w:sz w:val="13"/>
                <w:szCs w:val="13"/>
                <w:color w:val="auto"/>
              </w:rPr>
            </w:pPr>
          </w:p>
        </w:tc>
        <w:tc>
          <w:tcPr>
            <w:tcW w:w="60" w:type="dxa"/>
            <w:vAlign w:val="bottom"/>
            <w:tcBorders>
              <w:bottom w:val="single" w:sz="8" w:color="CCCCCC"/>
            </w:tcBorders>
            <w:shd w:val="clear" w:color="auto" w:fill="CCCCCC"/>
          </w:tcPr>
          <w:p>
            <w:pPr>
              <w:spacing w:after="0"/>
              <w:rPr>
                <w:sz w:val="13"/>
                <w:szCs w:val="13"/>
                <w:color w:val="auto"/>
              </w:rPr>
            </w:pPr>
          </w:p>
        </w:tc>
        <w:tc>
          <w:tcPr>
            <w:tcW w:w="420" w:type="dxa"/>
            <w:vAlign w:val="bottom"/>
            <w:tcBorders>
              <w:bottom w:val="single" w:sz="8" w:color="CCCCCC"/>
            </w:tcBorders>
            <w:shd w:val="clear" w:color="auto" w:fill="CCCCCC"/>
          </w:tcPr>
          <w:p>
            <w:pPr>
              <w:spacing w:after="0"/>
              <w:rPr>
                <w:sz w:val="13"/>
                <w:szCs w:val="13"/>
                <w:color w:val="auto"/>
              </w:rPr>
            </w:pPr>
          </w:p>
        </w:tc>
        <w:tc>
          <w:tcPr>
            <w:tcW w:w="100" w:type="dxa"/>
            <w:vAlign w:val="bottom"/>
            <w:tcBorders>
              <w:bottom w:val="single" w:sz="8" w:color="CCCCCC"/>
              <w:right w:val="single" w:sz="8" w:color="CCCCCC"/>
            </w:tcBorders>
            <w:shd w:val="clear" w:color="auto" w:fill="CCCCCC"/>
          </w:tcPr>
          <w:p>
            <w:pPr>
              <w:spacing w:after="0"/>
              <w:rPr>
                <w:sz w:val="13"/>
                <w:szCs w:val="13"/>
                <w:color w:val="auto"/>
              </w:rPr>
            </w:pPr>
          </w:p>
        </w:tc>
        <w:tc>
          <w:tcPr>
            <w:tcW w:w="60" w:type="dxa"/>
            <w:vAlign w:val="bottom"/>
            <w:tcBorders>
              <w:bottom w:val="single" w:sz="8" w:color="CCCCCC"/>
            </w:tcBorders>
            <w:shd w:val="clear" w:color="auto" w:fill="CCCCCC"/>
          </w:tcPr>
          <w:p>
            <w:pPr>
              <w:spacing w:after="0"/>
              <w:rPr>
                <w:sz w:val="13"/>
                <w:szCs w:val="13"/>
                <w:color w:val="auto"/>
              </w:rPr>
            </w:pPr>
          </w:p>
        </w:tc>
        <w:tc>
          <w:tcPr>
            <w:tcW w:w="320" w:type="dxa"/>
            <w:vAlign w:val="bottom"/>
            <w:tcBorders>
              <w:bottom w:val="single" w:sz="8" w:color="CCCCCC"/>
            </w:tcBorders>
            <w:shd w:val="clear" w:color="auto" w:fill="CCCCCC"/>
          </w:tcPr>
          <w:p>
            <w:pPr>
              <w:spacing w:after="0"/>
              <w:rPr>
                <w:sz w:val="13"/>
                <w:szCs w:val="13"/>
                <w:color w:val="auto"/>
              </w:rPr>
            </w:pPr>
          </w:p>
        </w:tc>
        <w:tc>
          <w:tcPr>
            <w:tcW w:w="40" w:type="dxa"/>
            <w:vAlign w:val="bottom"/>
            <w:tcBorders>
              <w:bottom w:val="single" w:sz="8" w:color="CCCCCC"/>
              <w:right w:val="single" w:sz="8" w:color="CCCCCC"/>
            </w:tcBorders>
            <w:shd w:val="clear" w:color="auto" w:fill="CCCCCC"/>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1600" w:type="dxa"/>
            <w:vAlign w:val="bottom"/>
            <w:gridSpan w:val="2"/>
          </w:tcPr>
          <w:p>
            <w:pPr>
              <w:spacing w:after="0" w:line="91" w:lineRule="exact"/>
              <w:rPr>
                <w:sz w:val="20"/>
                <w:szCs w:val="20"/>
                <w:color w:val="auto"/>
              </w:rPr>
            </w:pPr>
            <w:r>
              <w:rPr>
                <w:rFonts w:ascii="Arial" w:cs="Arial" w:eastAsia="Arial" w:hAnsi="Arial"/>
                <w:sz w:val="10"/>
                <w:szCs w:val="10"/>
                <w:b w:val="1"/>
                <w:bCs w:val="1"/>
                <w:color w:val="auto"/>
              </w:rPr>
              <w:t>Areas of Expertise:</w:t>
            </w:r>
          </w:p>
        </w:tc>
        <w:tc>
          <w:tcPr>
            <w:tcW w:w="2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140" w:type="dxa"/>
            <w:vAlign w:val="bottom"/>
            <w:tcBorders>
              <w:top w:val="single" w:sz="8" w:color="auto"/>
            </w:tcBorders>
            <w:gridSpan w:val="5"/>
            <w:vMerge w:val="restart"/>
          </w:tcPr>
          <w:p>
            <w:pPr>
              <w:jc w:val="center"/>
              <w:ind w:left="330"/>
              <w:spacing w:after="0"/>
              <w:rPr>
                <w:sz w:val="20"/>
                <w:szCs w:val="20"/>
                <w:color w:val="auto"/>
              </w:rPr>
            </w:pPr>
            <w:r>
              <w:rPr>
                <w:rFonts w:ascii="Arial" w:cs="Arial" w:eastAsia="Arial" w:hAnsi="Arial"/>
                <w:sz w:val="11"/>
                <w:szCs w:val="11"/>
                <w:color w:val="auto"/>
                <w:w w:val="96"/>
              </w:rPr>
              <w:t>ATTENDANCE</w:t>
            </w:r>
          </w:p>
        </w:tc>
        <w:tc>
          <w:tcPr>
            <w:tcW w:w="30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460" w:type="dxa"/>
            <w:vAlign w:val="bottom"/>
            <w:tcBorders>
              <w:top w:val="single" w:sz="8" w:color="auto"/>
            </w:tcBorders>
            <w:gridSpan w:val="7"/>
            <w:vMerge w:val="restart"/>
          </w:tcPr>
          <w:p>
            <w:pPr>
              <w:spacing w:after="0"/>
              <w:rPr>
                <w:sz w:val="20"/>
                <w:szCs w:val="20"/>
                <w:color w:val="auto"/>
              </w:rPr>
            </w:pPr>
            <w:r>
              <w:rPr>
                <w:rFonts w:ascii="Arial" w:cs="Arial" w:eastAsia="Arial" w:hAnsi="Arial"/>
                <w:sz w:val="11"/>
                <w:szCs w:val="11"/>
                <w:color w:val="auto"/>
              </w:rPr>
              <w:t>TOTAL ATTENDANCE</w:t>
            </w:r>
          </w:p>
        </w:tc>
        <w:tc>
          <w:tcPr>
            <w:tcW w:w="0" w:type="dxa"/>
            <w:vAlign w:val="bottom"/>
          </w:tcPr>
          <w:p>
            <w:pPr>
              <w:spacing w:after="0"/>
              <w:rPr>
                <w:sz w:val="1"/>
                <w:szCs w:val="1"/>
                <w:color w:val="auto"/>
              </w:rPr>
            </w:pPr>
          </w:p>
        </w:tc>
      </w:tr>
      <w:tr>
        <w:trPr>
          <w:trHeight w:val="38"/>
        </w:trPr>
        <w:tc>
          <w:tcPr>
            <w:tcW w:w="80" w:type="dxa"/>
            <w:vAlign w:val="bottom"/>
            <w:vMerge w:val="restart"/>
          </w:tcPr>
          <w:p>
            <w:pPr>
              <w:spacing w:after="0"/>
              <w:rPr>
                <w:sz w:val="20"/>
                <w:szCs w:val="20"/>
                <w:color w:val="auto"/>
              </w:rPr>
            </w:pPr>
            <w:r>
              <w:rPr>
                <w:rFonts w:ascii="Arial" w:cs="Arial" w:eastAsia="Arial" w:hAnsi="Arial"/>
                <w:sz w:val="11"/>
                <w:szCs w:val="11"/>
                <w:color w:val="auto"/>
              </w:rPr>
              <w:t>•</w:t>
            </w:r>
          </w:p>
        </w:tc>
        <w:tc>
          <w:tcPr>
            <w:tcW w:w="1520" w:type="dxa"/>
            <w:vAlign w:val="bottom"/>
            <w:vMerge w:val="restart"/>
          </w:tcPr>
          <w:p>
            <w:pPr>
              <w:ind w:left="20"/>
              <w:spacing w:after="0"/>
              <w:rPr>
                <w:sz w:val="20"/>
                <w:szCs w:val="20"/>
                <w:color w:val="auto"/>
              </w:rPr>
            </w:pPr>
            <w:r>
              <w:rPr>
                <w:rFonts w:ascii="Arial" w:cs="Arial" w:eastAsia="Arial" w:hAnsi="Arial"/>
                <w:sz w:val="11"/>
                <w:szCs w:val="11"/>
                <w:color w:val="auto"/>
              </w:rPr>
              <w:t>Executive Leadership</w:t>
            </w:r>
          </w:p>
        </w:tc>
        <w:tc>
          <w:tcPr>
            <w:tcW w:w="440" w:type="dxa"/>
            <w:vAlign w:val="bottom"/>
            <w:gridSpan w:val="2"/>
            <w:vMerge w:val="restart"/>
          </w:tcPr>
          <w:p>
            <w:pPr>
              <w:spacing w:after="0"/>
              <w:rPr>
                <w:sz w:val="20"/>
                <w:szCs w:val="20"/>
                <w:color w:val="auto"/>
              </w:rPr>
            </w:pPr>
            <w:r>
              <w:rPr>
                <w:rFonts w:ascii="Arial" w:cs="Arial" w:eastAsia="Arial" w:hAnsi="Arial"/>
                <w:sz w:val="11"/>
                <w:szCs w:val="11"/>
                <w:color w:val="auto"/>
              </w:rPr>
              <w:t>Board</w:t>
            </w: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gridSpan w:val="5"/>
            <w:vMerge w:val="continue"/>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80" w:type="dxa"/>
            <w:vAlign w:val="bottom"/>
            <w:vMerge w:val="continue"/>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440" w:type="dxa"/>
            <w:vAlign w:val="bottom"/>
            <w:gridSpan w:val="2"/>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8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gridSpan w:val="2"/>
          </w:tcPr>
          <w:p>
            <w:pPr>
              <w:jc w:val="center"/>
              <w:ind w:right="180"/>
              <w:spacing w:after="0" w:line="87" w:lineRule="exact"/>
              <w:rPr>
                <w:sz w:val="20"/>
                <w:szCs w:val="20"/>
                <w:color w:val="auto"/>
              </w:rPr>
            </w:pPr>
            <w:r>
              <w:rPr>
                <w:rFonts w:ascii="Arial" w:cs="Arial" w:eastAsia="Arial" w:hAnsi="Arial"/>
                <w:sz w:val="10"/>
                <w:szCs w:val="10"/>
                <w:color w:val="auto"/>
              </w:rPr>
              <w:t>8 of 8</w:t>
            </w:r>
          </w:p>
        </w:tc>
        <w:tc>
          <w:tcPr>
            <w:tcW w:w="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gridSpan w:val="2"/>
          </w:tcPr>
          <w:p>
            <w:pPr>
              <w:spacing w:after="0" w:line="87" w:lineRule="exact"/>
              <w:rPr>
                <w:sz w:val="20"/>
                <w:szCs w:val="20"/>
                <w:color w:val="auto"/>
              </w:rPr>
            </w:pPr>
            <w:r>
              <w:rPr>
                <w:rFonts w:ascii="Arial" w:cs="Arial" w:eastAsia="Arial" w:hAnsi="Arial"/>
                <w:sz w:val="10"/>
                <w:szCs w:val="10"/>
                <w:color w:val="auto"/>
              </w:rPr>
              <w:t>Board</w:t>
            </w:r>
          </w:p>
        </w:tc>
        <w:tc>
          <w:tcPr>
            <w:tcW w:w="420" w:type="dxa"/>
            <w:vAlign w:val="bottom"/>
          </w:tcPr>
          <w:p>
            <w:pPr>
              <w:spacing w:after="0"/>
              <w:rPr>
                <w:sz w:val="7"/>
                <w:szCs w:val="7"/>
                <w:color w:val="auto"/>
              </w:rPr>
            </w:pPr>
          </w:p>
        </w:tc>
        <w:tc>
          <w:tcPr>
            <w:tcW w:w="480" w:type="dxa"/>
            <w:vAlign w:val="bottom"/>
            <w:gridSpan w:val="3"/>
          </w:tcPr>
          <w:p>
            <w:pPr>
              <w:jc w:val="right"/>
              <w:ind w:right="151"/>
              <w:spacing w:after="0" w:line="87" w:lineRule="exact"/>
              <w:rPr>
                <w:sz w:val="20"/>
                <w:szCs w:val="20"/>
                <w:color w:val="auto"/>
              </w:rPr>
            </w:pPr>
            <w:r>
              <w:rPr>
                <w:rFonts w:ascii="Arial" w:cs="Arial" w:eastAsia="Arial" w:hAnsi="Arial"/>
                <w:sz w:val="10"/>
                <w:szCs w:val="10"/>
                <w:color w:val="auto"/>
              </w:rPr>
              <w:t>100%</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20"/>
                <w:szCs w:val="20"/>
                <w:color w:val="auto"/>
              </w:rPr>
            </w:pPr>
            <w:r>
              <w:rPr>
                <w:rFonts w:ascii="Arial" w:cs="Arial" w:eastAsia="Arial" w:hAnsi="Arial"/>
                <w:sz w:val="11"/>
                <w:szCs w:val="11"/>
                <w:color w:val="auto"/>
              </w:rPr>
              <w:t>•</w:t>
            </w:r>
          </w:p>
        </w:tc>
        <w:tc>
          <w:tcPr>
            <w:tcW w:w="1520" w:type="dxa"/>
            <w:vAlign w:val="bottom"/>
          </w:tcPr>
          <w:p>
            <w:pPr>
              <w:ind w:left="20"/>
              <w:spacing w:after="0"/>
              <w:rPr>
                <w:sz w:val="20"/>
                <w:szCs w:val="20"/>
                <w:color w:val="auto"/>
              </w:rPr>
            </w:pPr>
            <w:r>
              <w:rPr>
                <w:rFonts w:ascii="Arial" w:cs="Arial" w:eastAsia="Arial" w:hAnsi="Arial"/>
                <w:sz w:val="11"/>
                <w:szCs w:val="11"/>
                <w:color w:val="auto"/>
              </w:rPr>
              <w:t>Healthcare Technology</w:t>
            </w:r>
          </w:p>
        </w:tc>
        <w:tc>
          <w:tcPr>
            <w:tcW w:w="800" w:type="dxa"/>
            <w:vAlign w:val="bottom"/>
            <w:gridSpan w:val="3"/>
          </w:tcPr>
          <w:p>
            <w:pPr>
              <w:spacing w:after="0"/>
              <w:rPr>
                <w:sz w:val="20"/>
                <w:szCs w:val="20"/>
                <w:color w:val="auto"/>
              </w:rPr>
            </w:pPr>
            <w:r>
              <w:rPr>
                <w:rFonts w:ascii="Arial" w:cs="Arial" w:eastAsia="Arial" w:hAnsi="Arial"/>
                <w:sz w:val="11"/>
                <w:szCs w:val="11"/>
                <w:color w:val="auto"/>
                <w:w w:val="95"/>
              </w:rPr>
              <w:t>Audit Committee</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3"/>
          </w:tcPr>
          <w:p>
            <w:pPr>
              <w:jc w:val="center"/>
              <w:ind w:right="200"/>
              <w:spacing w:after="0"/>
              <w:rPr>
                <w:sz w:val="20"/>
                <w:szCs w:val="20"/>
                <w:color w:val="auto"/>
              </w:rPr>
            </w:pPr>
            <w:r>
              <w:rPr>
                <w:rFonts w:ascii="Arial" w:cs="Arial" w:eastAsia="Arial" w:hAnsi="Arial"/>
                <w:sz w:val="11"/>
                <w:szCs w:val="11"/>
                <w:color w:val="auto"/>
                <w:w w:val="94"/>
              </w:rPr>
              <w:t>6 of 6</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tcPr>
          <w:p>
            <w:pPr>
              <w:spacing w:after="0"/>
              <w:rPr>
                <w:sz w:val="20"/>
                <w:szCs w:val="20"/>
                <w:color w:val="auto"/>
              </w:rPr>
            </w:pPr>
            <w:r>
              <w:rPr>
                <w:rFonts w:ascii="Arial" w:cs="Arial" w:eastAsia="Arial" w:hAnsi="Arial"/>
                <w:sz w:val="11"/>
                <w:szCs w:val="11"/>
                <w:color w:val="auto"/>
                <w:w w:val="93"/>
              </w:rPr>
              <w:t>Committee</w:t>
            </w:r>
          </w:p>
        </w:tc>
        <w:tc>
          <w:tcPr>
            <w:tcW w:w="420" w:type="dxa"/>
            <w:vAlign w:val="bottom"/>
          </w:tcPr>
          <w:p>
            <w:pPr>
              <w:spacing w:after="0"/>
              <w:rPr>
                <w:sz w:val="12"/>
                <w:szCs w:val="12"/>
                <w:color w:val="auto"/>
              </w:rPr>
            </w:pPr>
          </w:p>
        </w:tc>
        <w:tc>
          <w:tcPr>
            <w:tcW w:w="480" w:type="dxa"/>
            <w:vAlign w:val="bottom"/>
            <w:gridSpan w:val="3"/>
          </w:tcPr>
          <w:p>
            <w:pPr>
              <w:jc w:val="right"/>
              <w:ind w:right="151"/>
              <w:spacing w:after="0"/>
              <w:rPr>
                <w:sz w:val="20"/>
                <w:szCs w:val="20"/>
                <w:color w:val="auto"/>
              </w:rPr>
            </w:pPr>
            <w:r>
              <w:rPr>
                <w:rFonts w:ascii="Arial" w:cs="Arial" w:eastAsia="Arial" w:hAnsi="Arial"/>
                <w:sz w:val="11"/>
                <w:szCs w:val="11"/>
                <w:color w:val="auto"/>
                <w:w w:val="92"/>
              </w:rPr>
              <w:t>100%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80" w:type="dxa"/>
            <w:vAlign w:val="bottom"/>
          </w:tcPr>
          <w:p>
            <w:pPr>
              <w:spacing w:after="0"/>
              <w:rPr>
                <w:sz w:val="20"/>
                <w:szCs w:val="20"/>
                <w:color w:val="auto"/>
              </w:rPr>
            </w:pPr>
            <w:r>
              <w:rPr>
                <w:rFonts w:ascii="Arial" w:cs="Arial" w:eastAsia="Arial" w:hAnsi="Arial"/>
                <w:sz w:val="11"/>
                <w:szCs w:val="11"/>
                <w:color w:val="auto"/>
              </w:rPr>
              <w:t>•</w:t>
            </w:r>
          </w:p>
        </w:tc>
        <w:tc>
          <w:tcPr>
            <w:tcW w:w="1520" w:type="dxa"/>
            <w:vAlign w:val="bottom"/>
          </w:tcPr>
          <w:p>
            <w:pPr>
              <w:ind w:left="20"/>
              <w:spacing w:after="0"/>
              <w:rPr>
                <w:sz w:val="20"/>
                <w:szCs w:val="20"/>
                <w:color w:val="auto"/>
              </w:rPr>
            </w:pPr>
            <w:r>
              <w:rPr>
                <w:rFonts w:ascii="Arial" w:cs="Arial" w:eastAsia="Arial" w:hAnsi="Arial"/>
                <w:sz w:val="11"/>
                <w:szCs w:val="11"/>
                <w:color w:val="auto"/>
              </w:rPr>
              <w:t>Strategy &amp; M&amp;A</w:t>
            </w:r>
          </w:p>
        </w:tc>
        <w:tc>
          <w:tcPr>
            <w:tcW w:w="440" w:type="dxa"/>
            <w:vAlign w:val="bottom"/>
            <w:gridSpan w:val="2"/>
          </w:tcPr>
          <w:p>
            <w:pPr>
              <w:spacing w:after="0"/>
              <w:rPr>
                <w:sz w:val="20"/>
                <w:szCs w:val="20"/>
                <w:color w:val="auto"/>
              </w:rPr>
            </w:pPr>
            <w:r>
              <w:rPr>
                <w:rFonts w:ascii="Arial" w:cs="Arial" w:eastAsia="Arial" w:hAnsi="Arial"/>
                <w:sz w:val="11"/>
                <w:szCs w:val="11"/>
                <w:color w:val="auto"/>
              </w:rPr>
              <w:t>HRCC</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3"/>
          </w:tcPr>
          <w:p>
            <w:pPr>
              <w:jc w:val="center"/>
              <w:ind w:right="200"/>
              <w:spacing w:after="0"/>
              <w:rPr>
                <w:sz w:val="20"/>
                <w:szCs w:val="20"/>
                <w:color w:val="auto"/>
              </w:rPr>
            </w:pPr>
            <w:r>
              <w:rPr>
                <w:rFonts w:ascii="Arial" w:cs="Arial" w:eastAsia="Arial" w:hAnsi="Arial"/>
                <w:sz w:val="11"/>
                <w:szCs w:val="11"/>
                <w:color w:val="auto"/>
                <w:w w:val="94"/>
              </w:rPr>
              <w:t>6 of 6</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600" w:type="dxa"/>
            <w:vAlign w:val="bottom"/>
            <w:gridSpan w:val="2"/>
          </w:tcPr>
          <w:p>
            <w:pPr>
              <w:spacing w:after="0"/>
              <w:rPr>
                <w:sz w:val="20"/>
                <w:szCs w:val="20"/>
                <w:color w:val="auto"/>
              </w:rPr>
            </w:pPr>
            <w:r>
              <w:rPr>
                <w:rFonts w:ascii="Arial" w:cs="Arial" w:eastAsia="Arial" w:hAnsi="Arial"/>
                <w:sz w:val="11"/>
                <w:szCs w:val="11"/>
                <w:b w:val="1"/>
                <w:bCs w:val="1"/>
                <w:color w:val="auto"/>
              </w:rPr>
              <w:t>Other Current Public Board</w:t>
            </w:r>
          </w:p>
        </w:tc>
        <w:tc>
          <w:tcPr>
            <w:tcW w:w="440" w:type="dxa"/>
            <w:vAlign w:val="bottom"/>
            <w:tcBorders>
              <w:bottom w:val="single" w:sz="8" w:color="auto"/>
            </w:tcBorders>
            <w:gridSpan w:val="2"/>
          </w:tcPr>
          <w:p>
            <w:pPr>
              <w:spacing w:after="0"/>
              <w:rPr>
                <w:sz w:val="20"/>
                <w:szCs w:val="20"/>
                <w:color w:val="auto"/>
              </w:rPr>
            </w:pPr>
            <w:r>
              <w:rPr>
                <w:rFonts w:ascii="Arial" w:cs="Arial" w:eastAsia="Arial" w:hAnsi="Arial"/>
                <w:sz w:val="11"/>
                <w:szCs w:val="11"/>
                <w:color w:val="auto"/>
              </w:rPr>
              <w:t>NCGC</w:t>
            </w:r>
          </w:p>
        </w:tc>
        <w:tc>
          <w:tcPr>
            <w:tcW w:w="3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1"/>
                <w:szCs w:val="11"/>
                <w:color w:val="auto"/>
                <w:w w:val="94"/>
              </w:rPr>
              <w:t>3 of 3</w:t>
            </w: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0" w:type="dxa"/>
            <w:vAlign w:val="bottom"/>
            <w:gridSpan w:val="2"/>
          </w:tcPr>
          <w:p>
            <w:pPr>
              <w:spacing w:after="0" w:line="112" w:lineRule="exact"/>
              <w:rPr>
                <w:sz w:val="20"/>
                <w:szCs w:val="20"/>
                <w:color w:val="auto"/>
              </w:rPr>
            </w:pPr>
            <w:r>
              <w:rPr>
                <w:rFonts w:ascii="Arial" w:cs="Arial" w:eastAsia="Arial" w:hAnsi="Arial"/>
                <w:sz w:val="11"/>
                <w:szCs w:val="11"/>
                <w:b w:val="1"/>
                <w:bCs w:val="1"/>
                <w:color w:val="auto"/>
              </w:rPr>
              <w:t xml:space="preserve">Directorships: </w:t>
            </w:r>
            <w:r>
              <w:rPr>
                <w:rFonts w:ascii="Arial" w:cs="Arial" w:eastAsia="Arial" w:hAnsi="Arial"/>
                <w:sz w:val="11"/>
                <w:szCs w:val="11"/>
                <w:color w:val="auto"/>
              </w:rPr>
              <w:t>None</w:t>
            </w:r>
          </w:p>
        </w:tc>
        <w:tc>
          <w:tcPr>
            <w:tcW w:w="20" w:type="dxa"/>
            <w:vAlign w:val="bottom"/>
            <w:tcBorders>
              <w:bottom w:val="single" w:sz="8" w:color="auto"/>
            </w:tcBorders>
            <w:shd w:val="clear" w:color="auto" w:fill="000000"/>
          </w:tcPr>
          <w:p>
            <w:pPr>
              <w:spacing w:after="0"/>
              <w:rPr>
                <w:sz w:val="14"/>
                <w:szCs w:val="14"/>
                <w:color w:val="auto"/>
              </w:rPr>
            </w:pPr>
          </w:p>
        </w:tc>
        <w:tc>
          <w:tcPr>
            <w:tcW w:w="420" w:type="dxa"/>
            <w:vAlign w:val="bottom"/>
            <w:tcBorders>
              <w:bottom w:val="single" w:sz="8" w:color="auto"/>
              <w:right w:val="single" w:sz="8" w:color="CCCCCC"/>
            </w:tcBorders>
            <w:shd w:val="clear" w:color="auto" w:fill="CCCCCC"/>
          </w:tcPr>
          <w:p>
            <w:pPr>
              <w:spacing w:after="0"/>
              <w:rPr>
                <w:sz w:val="14"/>
                <w:szCs w:val="14"/>
                <w:color w:val="auto"/>
              </w:rPr>
            </w:pPr>
          </w:p>
        </w:tc>
        <w:tc>
          <w:tcPr>
            <w:tcW w:w="360" w:type="dxa"/>
            <w:vAlign w:val="bottom"/>
            <w:tcBorders>
              <w:bottom w:val="single" w:sz="8" w:color="auto"/>
            </w:tcBorders>
            <w:shd w:val="clear" w:color="auto" w:fill="CCCCCC"/>
          </w:tcPr>
          <w:p>
            <w:pPr>
              <w:spacing w:after="0"/>
              <w:rPr>
                <w:sz w:val="14"/>
                <w:szCs w:val="14"/>
                <w:color w:val="auto"/>
              </w:rPr>
            </w:pPr>
          </w:p>
        </w:tc>
        <w:tc>
          <w:tcPr>
            <w:tcW w:w="60" w:type="dxa"/>
            <w:vAlign w:val="bottom"/>
            <w:tcBorders>
              <w:bottom w:val="single" w:sz="8" w:color="auto"/>
              <w:right w:val="single" w:sz="8" w:color="CCCCCC"/>
            </w:tcBorders>
            <w:shd w:val="clear" w:color="auto" w:fill="CCCCCC"/>
          </w:tcPr>
          <w:p>
            <w:pPr>
              <w:spacing w:after="0"/>
              <w:rPr>
                <w:sz w:val="14"/>
                <w:szCs w:val="14"/>
                <w:color w:val="auto"/>
              </w:rPr>
            </w:pPr>
          </w:p>
        </w:tc>
        <w:tc>
          <w:tcPr>
            <w:tcW w:w="360" w:type="dxa"/>
            <w:vAlign w:val="bottom"/>
            <w:tcBorders>
              <w:bottom w:val="single" w:sz="8" w:color="auto"/>
            </w:tcBorders>
            <w:shd w:val="clear" w:color="auto" w:fill="CCCCCC"/>
          </w:tcPr>
          <w:p>
            <w:pPr>
              <w:spacing w:after="0"/>
              <w:rPr>
                <w:sz w:val="14"/>
                <w:szCs w:val="14"/>
                <w:color w:val="auto"/>
              </w:rPr>
            </w:pPr>
          </w:p>
        </w:tc>
        <w:tc>
          <w:tcPr>
            <w:tcW w:w="200" w:type="dxa"/>
            <w:vAlign w:val="bottom"/>
            <w:tcBorders>
              <w:bottom w:val="single" w:sz="8" w:color="auto"/>
              <w:right w:val="single" w:sz="8" w:color="CCCCCC"/>
            </w:tcBorders>
            <w:shd w:val="clear" w:color="auto" w:fill="CCCCCC"/>
          </w:tcPr>
          <w:p>
            <w:pPr>
              <w:spacing w:after="0"/>
              <w:rPr>
                <w:sz w:val="14"/>
                <w:szCs w:val="14"/>
                <w:color w:val="auto"/>
              </w:rPr>
            </w:pPr>
          </w:p>
        </w:tc>
        <w:tc>
          <w:tcPr>
            <w:tcW w:w="1900" w:type="dxa"/>
            <w:vAlign w:val="bottom"/>
            <w:tcBorders>
              <w:bottom w:val="single" w:sz="8" w:color="auto"/>
            </w:tcBorders>
            <w:gridSpan w:val="9"/>
            <w:shd w:val="clear" w:color="auto" w:fill="CCCCCC"/>
          </w:tcPr>
          <w:p>
            <w:pPr>
              <w:ind w:left="120"/>
              <w:spacing w:after="0" w:line="162" w:lineRule="exact"/>
              <w:rPr>
                <w:sz w:val="20"/>
                <w:szCs w:val="20"/>
                <w:color w:val="auto"/>
              </w:rPr>
            </w:pPr>
            <w:r>
              <w:rPr>
                <w:rFonts w:ascii="Arial" w:cs="Arial" w:eastAsia="Arial" w:hAnsi="Arial"/>
                <w:sz w:val="11"/>
                <w:szCs w:val="11"/>
                <w:b w:val="1"/>
                <w:bCs w:val="1"/>
                <w:color w:val="auto"/>
                <w:w w:val="96"/>
              </w:rPr>
              <w:t>DIRECTOR SHARE OWNERSHIP</w:t>
            </w:r>
            <w:r>
              <w:rPr>
                <w:rFonts w:ascii="Arial" w:cs="Arial" w:eastAsia="Arial" w:hAnsi="Arial"/>
                <w:sz w:val="15"/>
                <w:szCs w:val="15"/>
                <w:b w:val="1"/>
                <w:bCs w:val="1"/>
                <w:color w:val="auto"/>
                <w:w w:val="96"/>
                <w:vertAlign w:val="superscript"/>
              </w:rPr>
              <w:t>(1)</w:t>
            </w:r>
          </w:p>
        </w:tc>
        <w:tc>
          <w:tcPr>
            <w:tcW w:w="460" w:type="dxa"/>
            <w:vAlign w:val="bottom"/>
            <w:tcBorders>
              <w:bottom w:val="single" w:sz="8" w:color="auto"/>
              <w:right w:val="single" w:sz="8" w:color="CCCCCC"/>
            </w:tcBorders>
            <w:shd w:val="clear" w:color="auto" w:fill="CCCCCC"/>
          </w:tcPr>
          <w:p>
            <w:pPr>
              <w:spacing w:after="0"/>
              <w:rPr>
                <w:sz w:val="14"/>
                <w:szCs w:val="14"/>
                <w:color w:val="auto"/>
              </w:rPr>
            </w:pPr>
          </w:p>
        </w:tc>
        <w:tc>
          <w:tcPr>
            <w:tcW w:w="60" w:type="dxa"/>
            <w:vAlign w:val="bottom"/>
            <w:tcBorders>
              <w:bottom w:val="single" w:sz="8" w:color="auto"/>
            </w:tcBorders>
            <w:shd w:val="clear" w:color="auto" w:fill="CCCCCC"/>
          </w:tcPr>
          <w:p>
            <w:pPr>
              <w:spacing w:after="0"/>
              <w:rPr>
                <w:sz w:val="14"/>
                <w:szCs w:val="14"/>
                <w:color w:val="auto"/>
              </w:rPr>
            </w:pPr>
          </w:p>
        </w:tc>
        <w:tc>
          <w:tcPr>
            <w:tcW w:w="420" w:type="dxa"/>
            <w:vAlign w:val="bottom"/>
            <w:tcBorders>
              <w:bottom w:val="single" w:sz="8" w:color="auto"/>
            </w:tcBorders>
            <w:shd w:val="clear" w:color="auto" w:fill="CCCCCC"/>
          </w:tcPr>
          <w:p>
            <w:pPr>
              <w:spacing w:after="0"/>
              <w:rPr>
                <w:sz w:val="14"/>
                <w:szCs w:val="14"/>
                <w:color w:val="auto"/>
              </w:rPr>
            </w:pPr>
          </w:p>
        </w:tc>
        <w:tc>
          <w:tcPr>
            <w:tcW w:w="100" w:type="dxa"/>
            <w:vAlign w:val="bottom"/>
            <w:tcBorders>
              <w:bottom w:val="single" w:sz="8" w:color="auto"/>
              <w:right w:val="single" w:sz="8" w:color="CCCCCC"/>
            </w:tcBorders>
            <w:shd w:val="clear" w:color="auto" w:fill="CCCCCC"/>
          </w:tcPr>
          <w:p>
            <w:pPr>
              <w:spacing w:after="0"/>
              <w:rPr>
                <w:sz w:val="14"/>
                <w:szCs w:val="14"/>
                <w:color w:val="auto"/>
              </w:rPr>
            </w:pPr>
          </w:p>
        </w:tc>
        <w:tc>
          <w:tcPr>
            <w:tcW w:w="60" w:type="dxa"/>
            <w:vAlign w:val="bottom"/>
            <w:tcBorders>
              <w:bottom w:val="single" w:sz="8" w:color="auto"/>
            </w:tcBorders>
            <w:shd w:val="clear" w:color="auto" w:fill="CCCCCC"/>
          </w:tcPr>
          <w:p>
            <w:pPr>
              <w:spacing w:after="0"/>
              <w:rPr>
                <w:sz w:val="14"/>
                <w:szCs w:val="14"/>
                <w:color w:val="auto"/>
              </w:rPr>
            </w:pPr>
          </w:p>
        </w:tc>
        <w:tc>
          <w:tcPr>
            <w:tcW w:w="320" w:type="dxa"/>
            <w:vAlign w:val="bottom"/>
            <w:tcBorders>
              <w:bottom w:val="single" w:sz="8" w:color="auto"/>
            </w:tcBorders>
            <w:shd w:val="clear" w:color="auto" w:fill="CCCCCC"/>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600" w:type="dxa"/>
            <w:vAlign w:val="bottom"/>
            <w:gridSpan w:val="2"/>
          </w:tcPr>
          <w:p>
            <w:pPr>
              <w:spacing w:after="0" w:line="110" w:lineRule="exact"/>
              <w:rPr>
                <w:sz w:val="20"/>
                <w:szCs w:val="20"/>
                <w:color w:val="auto"/>
              </w:rPr>
            </w:pPr>
            <w:r>
              <w:rPr>
                <w:rFonts w:ascii="Arial" w:cs="Arial" w:eastAsia="Arial" w:hAnsi="Arial"/>
                <w:sz w:val="11"/>
                <w:szCs w:val="11"/>
                <w:b w:val="1"/>
                <w:bCs w:val="1"/>
                <w:color w:val="auto"/>
              </w:rPr>
              <w:t>2020 Annual Meeting</w:t>
            </w:r>
          </w:p>
        </w:tc>
        <w:tc>
          <w:tcPr>
            <w:tcW w:w="20" w:type="dxa"/>
            <w:vAlign w:val="bottom"/>
            <w:shd w:val="clear" w:color="auto" w:fill="000000"/>
          </w:tcPr>
          <w:p>
            <w:pPr>
              <w:spacing w:after="0"/>
              <w:rPr>
                <w:sz w:val="9"/>
                <w:szCs w:val="9"/>
                <w:color w:val="auto"/>
              </w:rPr>
            </w:pPr>
          </w:p>
        </w:tc>
        <w:tc>
          <w:tcPr>
            <w:tcW w:w="420" w:type="dxa"/>
            <w:vAlign w:val="bottom"/>
            <w:tcBorders>
              <w:right w:val="single" w:sz="8" w:color="auto"/>
            </w:tcBorders>
            <w:vMerge w:val="restart"/>
          </w:tcPr>
          <w:p>
            <w:pPr>
              <w:ind w:left="40"/>
              <w:spacing w:after="0"/>
              <w:rPr>
                <w:sz w:val="20"/>
                <w:szCs w:val="20"/>
                <w:color w:val="auto"/>
              </w:rPr>
            </w:pPr>
            <w:r>
              <w:rPr>
                <w:rFonts w:ascii="Arial" w:cs="Arial" w:eastAsia="Arial" w:hAnsi="Arial"/>
                <w:sz w:val="11"/>
                <w:szCs w:val="11"/>
                <w:b w:val="1"/>
                <w:bCs w:val="1"/>
                <w:color w:val="auto"/>
              </w:rPr>
              <w:t>As of</w:t>
            </w:r>
          </w:p>
        </w:tc>
        <w:tc>
          <w:tcPr>
            <w:tcW w:w="360" w:type="dxa"/>
            <w:vAlign w:val="bottom"/>
          </w:tcPr>
          <w:p>
            <w:pPr>
              <w:spacing w:after="0"/>
              <w:rPr>
                <w:sz w:val="9"/>
                <w:szCs w:val="9"/>
                <w:color w:val="auto"/>
              </w:rPr>
            </w:pPr>
          </w:p>
        </w:tc>
        <w:tc>
          <w:tcPr>
            <w:tcW w:w="420" w:type="dxa"/>
            <w:vAlign w:val="bottom"/>
            <w:gridSpan w:val="2"/>
          </w:tcPr>
          <w:p>
            <w:pPr>
              <w:ind w:left="20"/>
              <w:spacing w:after="0" w:line="110" w:lineRule="exact"/>
              <w:rPr>
                <w:sz w:val="20"/>
                <w:szCs w:val="20"/>
                <w:color w:val="auto"/>
              </w:rPr>
            </w:pPr>
            <w:r>
              <w:rPr>
                <w:rFonts w:ascii="Arial" w:cs="Arial" w:eastAsia="Arial" w:hAnsi="Arial"/>
                <w:sz w:val="11"/>
                <w:szCs w:val="11"/>
                <w:b w:val="1"/>
                <w:bCs w:val="1"/>
                <w:color w:val="auto"/>
              </w:rPr>
              <w:t>SVS</w:t>
            </w:r>
          </w:p>
        </w:tc>
        <w:tc>
          <w:tcPr>
            <w:tcW w:w="200" w:type="dxa"/>
            <w:vAlign w:val="bottom"/>
            <w:tcBorders>
              <w:righ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Borders>
              <w:right w:val="single" w:sz="8" w:color="auto"/>
            </w:tcBorders>
            <w:gridSpan w:val="3"/>
          </w:tcPr>
          <w:p>
            <w:pPr>
              <w:spacing w:after="0" w:line="110" w:lineRule="exact"/>
              <w:rPr>
                <w:sz w:val="20"/>
                <w:szCs w:val="20"/>
                <w:color w:val="auto"/>
              </w:rPr>
            </w:pPr>
            <w:r>
              <w:rPr>
                <w:rFonts w:ascii="Arial" w:cs="Arial" w:eastAsia="Arial" w:hAnsi="Arial"/>
                <w:sz w:val="11"/>
                <w:szCs w:val="11"/>
                <w:b w:val="1"/>
                <w:bCs w:val="1"/>
                <w:color w:val="auto"/>
              </w:rPr>
              <w:t>DSUs</w:t>
            </w:r>
          </w:p>
        </w:tc>
        <w:tc>
          <w:tcPr>
            <w:tcW w:w="580" w:type="dxa"/>
            <w:vAlign w:val="bottom"/>
            <w:gridSpan w:val="3"/>
          </w:tcPr>
          <w:p>
            <w:pPr>
              <w:ind w:left="300"/>
              <w:spacing w:after="0" w:line="110" w:lineRule="exact"/>
              <w:rPr>
                <w:sz w:val="20"/>
                <w:szCs w:val="20"/>
                <w:color w:val="auto"/>
              </w:rPr>
            </w:pPr>
            <w:r>
              <w:rPr>
                <w:rFonts w:ascii="Arial" w:cs="Arial" w:eastAsia="Arial" w:hAnsi="Arial"/>
                <w:sz w:val="11"/>
                <w:szCs w:val="11"/>
                <w:b w:val="1"/>
                <w:bCs w:val="1"/>
                <w:color w:val="auto"/>
                <w:w w:val="88"/>
              </w:rPr>
              <w:t>RSUs</w:t>
            </w:r>
          </w:p>
        </w:tc>
        <w:tc>
          <w:tcPr>
            <w:tcW w:w="30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right w:val="single" w:sz="8" w:color="auto"/>
            </w:tcBorders>
            <w:vMerge w:val="restart"/>
          </w:tcPr>
          <w:p>
            <w:pPr>
              <w:ind w:left="80"/>
              <w:spacing w:after="0"/>
              <w:rPr>
                <w:sz w:val="20"/>
                <w:szCs w:val="20"/>
                <w:color w:val="auto"/>
              </w:rPr>
            </w:pPr>
            <w:r>
              <w:rPr>
                <w:rFonts w:ascii="Arial" w:cs="Arial" w:eastAsia="Arial" w:hAnsi="Arial"/>
                <w:sz w:val="11"/>
                <w:szCs w:val="11"/>
                <w:b w:val="1"/>
                <w:bCs w:val="1"/>
                <w:color w:val="auto"/>
              </w:rPr>
              <w:t>Total</w:t>
            </w:r>
          </w:p>
        </w:tc>
        <w:tc>
          <w:tcPr>
            <w:tcW w:w="60" w:type="dxa"/>
            <w:vAlign w:val="bottom"/>
          </w:tcPr>
          <w:p>
            <w:pPr>
              <w:spacing w:after="0"/>
              <w:rPr>
                <w:sz w:val="9"/>
                <w:szCs w:val="9"/>
                <w:color w:val="auto"/>
              </w:rPr>
            </w:pPr>
          </w:p>
        </w:tc>
        <w:tc>
          <w:tcPr>
            <w:tcW w:w="4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Total</w:t>
            </w:r>
          </w:p>
        </w:tc>
        <w:tc>
          <w:tcPr>
            <w:tcW w:w="100" w:type="dxa"/>
            <w:vAlign w:val="bottom"/>
            <w:tcBorders>
              <w:right w:val="single" w:sz="8" w:color="auto"/>
            </w:tcBorders>
          </w:tcPr>
          <w:p>
            <w:pPr>
              <w:spacing w:after="0"/>
              <w:rPr>
                <w:sz w:val="9"/>
                <w:szCs w:val="9"/>
                <w:color w:val="auto"/>
              </w:rPr>
            </w:pPr>
          </w:p>
        </w:tc>
        <w:tc>
          <w:tcPr>
            <w:tcW w:w="420" w:type="dxa"/>
            <w:vAlign w:val="bottom"/>
            <w:tcBorders>
              <w:right w:val="single" w:sz="8" w:color="auto"/>
            </w:tcBorders>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89"/>
              </w:rPr>
              <w:t>Target</w:t>
            </w:r>
          </w:p>
        </w:tc>
        <w:tc>
          <w:tcPr>
            <w:tcW w:w="0" w:type="dxa"/>
            <w:vAlign w:val="bottom"/>
          </w:tcPr>
          <w:p>
            <w:pPr>
              <w:spacing w:after="0"/>
              <w:rPr>
                <w:sz w:val="1"/>
                <w:szCs w:val="1"/>
                <w:color w:val="auto"/>
              </w:rPr>
            </w:pPr>
          </w:p>
        </w:tc>
      </w:tr>
      <w:tr>
        <w:trPr>
          <w:trHeight w:val="106"/>
        </w:trPr>
        <w:tc>
          <w:tcPr>
            <w:tcW w:w="1600" w:type="dxa"/>
            <w:vAlign w:val="bottom"/>
            <w:gridSpan w:val="2"/>
          </w:tcPr>
          <w:p>
            <w:pPr>
              <w:spacing w:after="0" w:line="106" w:lineRule="exact"/>
              <w:rPr>
                <w:sz w:val="20"/>
                <w:szCs w:val="20"/>
                <w:color w:val="auto"/>
              </w:rPr>
            </w:pPr>
            <w:r>
              <w:rPr>
                <w:rFonts w:ascii="Arial" w:cs="Arial" w:eastAsia="Arial" w:hAnsi="Arial"/>
                <w:sz w:val="11"/>
                <w:szCs w:val="11"/>
                <w:color w:val="auto"/>
              </w:rPr>
              <w:t>Votes in Favour: 98.99%</w:t>
            </w:r>
          </w:p>
        </w:tc>
        <w:tc>
          <w:tcPr>
            <w:tcW w:w="20" w:type="dxa"/>
            <w:vAlign w:val="bottom"/>
            <w:tcBorders>
              <w:bottom w:val="single" w:sz="8" w:color="auto"/>
            </w:tcBorders>
            <w:shd w:val="clear" w:color="auto" w:fill="000000"/>
          </w:tcPr>
          <w:p>
            <w:pPr>
              <w:spacing w:after="0"/>
              <w:rPr>
                <w:sz w:val="9"/>
                <w:szCs w:val="9"/>
                <w:color w:val="auto"/>
              </w:rPr>
            </w:pPr>
          </w:p>
        </w:tc>
        <w:tc>
          <w:tcPr>
            <w:tcW w:w="420" w:type="dxa"/>
            <w:vAlign w:val="bottom"/>
            <w:tcBorders>
              <w:right w:val="single" w:sz="8" w:color="auto"/>
            </w:tcBorders>
            <w:vMerge w:val="continue"/>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60" w:type="dxa"/>
            <w:vAlign w:val="bottom"/>
            <w:tcBorders>
              <w:bottom w:val="single" w:sz="8" w:color="auto"/>
              <w:right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42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600" w:type="dxa"/>
            <w:vAlign w:val="bottom"/>
            <w:gridSpan w:val="2"/>
          </w:tcPr>
          <w:p>
            <w:pPr>
              <w:spacing w:after="0" w:line="94" w:lineRule="exact"/>
              <w:rPr>
                <w:sz w:val="20"/>
                <w:szCs w:val="20"/>
                <w:color w:val="auto"/>
              </w:rPr>
            </w:pPr>
            <w:r>
              <w:rPr>
                <w:rFonts w:ascii="Arial" w:cs="Arial" w:eastAsia="Arial" w:hAnsi="Arial"/>
                <w:sz w:val="10"/>
                <w:szCs w:val="10"/>
                <w:color w:val="auto"/>
              </w:rPr>
              <w:t>Votes Withheld: 1.01%</w:t>
            </w:r>
          </w:p>
        </w:tc>
        <w:tc>
          <w:tcPr>
            <w:tcW w:w="20" w:type="dxa"/>
            <w:vAlign w:val="bottom"/>
            <w:shd w:val="clear" w:color="auto" w:fill="000000"/>
          </w:tcPr>
          <w:p>
            <w:pPr>
              <w:spacing w:after="0"/>
              <w:rPr>
                <w:sz w:val="8"/>
                <w:szCs w:val="8"/>
                <w:color w:val="auto"/>
              </w:rPr>
            </w:pPr>
          </w:p>
        </w:tc>
        <w:tc>
          <w:tcPr>
            <w:tcW w:w="420" w:type="dxa"/>
            <w:vAlign w:val="bottom"/>
            <w:tcBorders>
              <w:right w:val="single" w:sz="8" w:color="auto"/>
            </w:tcBorders>
          </w:tcPr>
          <w:p>
            <w:pPr>
              <w:ind w:left="40"/>
              <w:spacing w:after="0" w:line="75" w:lineRule="exact"/>
              <w:rPr>
                <w:sz w:val="20"/>
                <w:szCs w:val="20"/>
                <w:color w:val="auto"/>
              </w:rPr>
            </w:pPr>
            <w:r>
              <w:rPr>
                <w:rFonts w:ascii="Arial" w:cs="Arial" w:eastAsia="Arial" w:hAnsi="Arial"/>
                <w:sz w:val="8"/>
                <w:szCs w:val="8"/>
                <w:b w:val="1"/>
                <w:bCs w:val="1"/>
                <w:color w:val="auto"/>
              </w:rPr>
              <w:t>Dec. 31</w:t>
            </w:r>
          </w:p>
        </w:tc>
        <w:tc>
          <w:tcPr>
            <w:tcW w:w="360" w:type="dxa"/>
            <w:vAlign w:val="bottom"/>
          </w:tcPr>
          <w:p>
            <w:pPr>
              <w:jc w:val="center"/>
              <w:ind w:left="11"/>
              <w:spacing w:after="0" w:line="85" w:lineRule="exact"/>
              <w:rPr>
                <w:sz w:val="20"/>
                <w:szCs w:val="20"/>
                <w:color w:val="auto"/>
              </w:rPr>
            </w:pPr>
            <w:r>
              <w:rPr>
                <w:rFonts w:ascii="Arial" w:cs="Arial" w:eastAsia="Arial" w:hAnsi="Arial"/>
                <w:sz w:val="8"/>
                <w:szCs w:val="8"/>
                <w:b w:val="1"/>
                <w:bCs w:val="1"/>
                <w:color w:val="auto"/>
              </w:rPr>
              <w:t>#</w:t>
            </w:r>
          </w:p>
        </w:tc>
        <w:tc>
          <w:tcPr>
            <w:tcW w:w="60" w:type="dxa"/>
            <w:vAlign w:val="bottom"/>
            <w:tcBorders>
              <w:right w:val="single" w:sz="8" w:color="auto"/>
            </w:tcBorders>
          </w:tcPr>
          <w:p>
            <w:pPr>
              <w:spacing w:after="0"/>
              <w:rPr>
                <w:sz w:val="8"/>
                <w:szCs w:val="8"/>
                <w:color w:val="auto"/>
              </w:rPr>
            </w:pPr>
          </w:p>
        </w:tc>
        <w:tc>
          <w:tcPr>
            <w:tcW w:w="360" w:type="dxa"/>
            <w:vAlign w:val="bottom"/>
          </w:tcPr>
          <w:p>
            <w:pPr>
              <w:jc w:val="center"/>
              <w:ind w:left="151"/>
              <w:spacing w:after="0" w:line="85" w:lineRule="exact"/>
              <w:rPr>
                <w:sz w:val="20"/>
                <w:szCs w:val="20"/>
                <w:color w:val="auto"/>
              </w:rPr>
            </w:pPr>
            <w:r>
              <w:rPr>
                <w:rFonts w:ascii="Arial" w:cs="Arial" w:eastAsia="Arial" w:hAnsi="Arial"/>
                <w:sz w:val="8"/>
                <w:szCs w:val="8"/>
                <w:b w:val="1"/>
                <w:bCs w:val="1"/>
                <w:color w:val="auto"/>
                <w:w w:val="88"/>
              </w:rPr>
              <w:t>$</w:t>
            </w:r>
          </w:p>
        </w:tc>
        <w:tc>
          <w:tcPr>
            <w:tcW w:w="200" w:type="dxa"/>
            <w:vAlign w:val="bottom"/>
            <w:tcBorders>
              <w:right w:val="single" w:sz="8" w:color="auto"/>
            </w:tcBorders>
          </w:tcPr>
          <w:p>
            <w:pPr>
              <w:spacing w:after="0"/>
              <w:rPr>
                <w:sz w:val="8"/>
                <w:szCs w:val="8"/>
                <w:color w:val="auto"/>
              </w:rPr>
            </w:pPr>
          </w:p>
        </w:tc>
        <w:tc>
          <w:tcPr>
            <w:tcW w:w="360" w:type="dxa"/>
            <w:vAlign w:val="bottom"/>
          </w:tcPr>
          <w:p>
            <w:pPr>
              <w:jc w:val="center"/>
              <w:ind w:left="10"/>
              <w:spacing w:after="0" w:line="85" w:lineRule="exact"/>
              <w:rPr>
                <w:sz w:val="20"/>
                <w:szCs w:val="20"/>
                <w:color w:val="auto"/>
              </w:rPr>
            </w:pPr>
            <w:r>
              <w:rPr>
                <w:rFonts w:ascii="Arial" w:cs="Arial" w:eastAsia="Arial" w:hAnsi="Arial"/>
                <w:sz w:val="8"/>
                <w:szCs w:val="8"/>
                <w:b w:val="1"/>
                <w:bCs w:val="1"/>
                <w:color w:val="auto"/>
              </w:rPr>
              <w:t>#</w:t>
            </w:r>
          </w:p>
        </w:tc>
        <w:tc>
          <w:tcPr>
            <w:tcW w:w="80" w:type="dxa"/>
            <w:vAlign w:val="bottom"/>
            <w:tcBorders>
              <w:right w:val="single" w:sz="8" w:color="auto"/>
            </w:tcBorders>
          </w:tcPr>
          <w:p>
            <w:pPr>
              <w:spacing w:after="0"/>
              <w:rPr>
                <w:sz w:val="8"/>
                <w:szCs w:val="8"/>
                <w:color w:val="auto"/>
              </w:rPr>
            </w:pPr>
          </w:p>
        </w:tc>
        <w:tc>
          <w:tcPr>
            <w:tcW w:w="400" w:type="dxa"/>
            <w:vAlign w:val="bottom"/>
          </w:tcPr>
          <w:p>
            <w:pPr>
              <w:jc w:val="center"/>
              <w:ind w:left="90"/>
              <w:spacing w:after="0" w:line="85" w:lineRule="exact"/>
              <w:rPr>
                <w:sz w:val="20"/>
                <w:szCs w:val="20"/>
                <w:color w:val="auto"/>
              </w:rPr>
            </w:pPr>
            <w:r>
              <w:rPr>
                <w:rFonts w:ascii="Arial" w:cs="Arial" w:eastAsia="Arial" w:hAnsi="Arial"/>
                <w:sz w:val="8"/>
                <w:szCs w:val="8"/>
                <w:b w:val="1"/>
                <w:bCs w:val="1"/>
                <w:color w:val="auto"/>
              </w:rPr>
              <w:t>$</w:t>
            </w:r>
          </w:p>
        </w:tc>
        <w:tc>
          <w:tcPr>
            <w:tcW w:w="160" w:type="dxa"/>
            <w:vAlign w:val="bottom"/>
            <w:tcBorders>
              <w:right w:val="single" w:sz="8" w:color="auto"/>
            </w:tcBorders>
          </w:tcPr>
          <w:p>
            <w:pPr>
              <w:spacing w:after="0"/>
              <w:rPr>
                <w:sz w:val="8"/>
                <w:szCs w:val="8"/>
                <w:color w:val="auto"/>
              </w:rPr>
            </w:pPr>
          </w:p>
        </w:tc>
        <w:tc>
          <w:tcPr>
            <w:tcW w:w="440" w:type="dxa"/>
            <w:vAlign w:val="bottom"/>
            <w:tcBorders>
              <w:right w:val="single" w:sz="8" w:color="auto"/>
            </w:tcBorders>
          </w:tcPr>
          <w:p>
            <w:pPr>
              <w:jc w:val="center"/>
              <w:spacing w:after="0" w:line="85" w:lineRule="exact"/>
              <w:rPr>
                <w:sz w:val="20"/>
                <w:szCs w:val="20"/>
                <w:color w:val="auto"/>
              </w:rPr>
            </w:pPr>
            <w:r>
              <w:rPr>
                <w:rFonts w:ascii="Arial" w:cs="Arial" w:eastAsia="Arial" w:hAnsi="Arial"/>
                <w:sz w:val="8"/>
                <w:szCs w:val="8"/>
                <w:b w:val="1"/>
                <w:bCs w:val="1"/>
                <w:color w:val="auto"/>
              </w:rPr>
              <w:t>#</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Borders>
              <w:right w:val="single" w:sz="8" w:color="auto"/>
            </w:tcBorders>
          </w:tcPr>
          <w:p>
            <w:pPr>
              <w:jc w:val="center"/>
              <w:ind w:right="111"/>
              <w:spacing w:after="0" w:line="85" w:lineRule="exact"/>
              <w:rPr>
                <w:sz w:val="20"/>
                <w:szCs w:val="20"/>
                <w:color w:val="auto"/>
              </w:rPr>
            </w:pPr>
            <w:r>
              <w:rPr>
                <w:rFonts w:ascii="Arial" w:cs="Arial" w:eastAsia="Arial" w:hAnsi="Arial"/>
                <w:sz w:val="8"/>
                <w:szCs w:val="8"/>
                <w:b w:val="1"/>
                <w:bCs w:val="1"/>
                <w:color w:val="auto"/>
              </w:rPr>
              <w:t>$</w:t>
            </w:r>
          </w:p>
        </w:tc>
        <w:tc>
          <w:tcPr>
            <w:tcW w:w="20" w:type="dxa"/>
            <w:vAlign w:val="bottom"/>
          </w:tcPr>
          <w:p>
            <w:pPr>
              <w:spacing w:after="0"/>
              <w:rPr>
                <w:sz w:val="8"/>
                <w:szCs w:val="8"/>
                <w:color w:val="auto"/>
              </w:rPr>
            </w:pPr>
          </w:p>
        </w:tc>
        <w:tc>
          <w:tcPr>
            <w:tcW w:w="460" w:type="dxa"/>
            <w:vAlign w:val="bottom"/>
            <w:tcBorders>
              <w:right w:val="single" w:sz="8" w:color="auto"/>
            </w:tcBorders>
          </w:tcPr>
          <w:p>
            <w:pPr>
              <w:jc w:val="center"/>
              <w:spacing w:after="0" w:line="75" w:lineRule="exact"/>
              <w:rPr>
                <w:sz w:val="20"/>
                <w:szCs w:val="20"/>
                <w:color w:val="auto"/>
              </w:rPr>
            </w:pPr>
            <w:r>
              <w:rPr>
                <w:rFonts w:ascii="Arial" w:cs="Arial" w:eastAsia="Arial" w:hAnsi="Arial"/>
                <w:sz w:val="8"/>
                <w:szCs w:val="8"/>
                <w:b w:val="1"/>
                <w:bCs w:val="1"/>
                <w:color w:val="auto"/>
              </w:rPr>
              <w:t>#</w:t>
            </w:r>
          </w:p>
        </w:tc>
        <w:tc>
          <w:tcPr>
            <w:tcW w:w="60" w:type="dxa"/>
            <w:vAlign w:val="bottom"/>
          </w:tcPr>
          <w:p>
            <w:pPr>
              <w:spacing w:after="0"/>
              <w:rPr>
                <w:sz w:val="8"/>
                <w:szCs w:val="8"/>
                <w:color w:val="auto"/>
              </w:rPr>
            </w:pPr>
          </w:p>
        </w:tc>
        <w:tc>
          <w:tcPr>
            <w:tcW w:w="420" w:type="dxa"/>
            <w:vAlign w:val="bottom"/>
          </w:tcPr>
          <w:p>
            <w:pPr>
              <w:jc w:val="center"/>
              <w:spacing w:after="0" w:line="75" w:lineRule="exact"/>
              <w:rPr>
                <w:sz w:val="20"/>
                <w:szCs w:val="20"/>
                <w:color w:val="auto"/>
              </w:rPr>
            </w:pPr>
            <w:r>
              <w:rPr>
                <w:rFonts w:ascii="Arial" w:cs="Arial" w:eastAsia="Arial" w:hAnsi="Arial"/>
                <w:sz w:val="8"/>
                <w:szCs w:val="8"/>
                <w:b w:val="1"/>
                <w:bCs w:val="1"/>
                <w:color w:val="auto"/>
              </w:rPr>
              <w:t>Value</w:t>
            </w: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Borders>
              <w:right w:val="single" w:sz="8" w:color="auto"/>
            </w:tcBorders>
            <w:gridSpan w:val="2"/>
          </w:tcPr>
          <w:p>
            <w:pPr>
              <w:jc w:val="center"/>
              <w:ind w:right="100"/>
              <w:spacing w:after="0" w:line="75" w:lineRule="exact"/>
              <w:rPr>
                <w:sz w:val="20"/>
                <w:szCs w:val="20"/>
                <w:color w:val="auto"/>
              </w:rPr>
            </w:pPr>
            <w:r>
              <w:rPr>
                <w:rFonts w:ascii="Arial" w:cs="Arial" w:eastAsia="Arial" w:hAnsi="Arial"/>
                <w:sz w:val="8"/>
                <w:szCs w:val="8"/>
                <w:b w:val="1"/>
                <w:bCs w:val="1"/>
                <w:color w:val="auto"/>
              </w:rPr>
              <w:t>Met</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4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0"/>
                <w:szCs w:val="10"/>
                <w:b w:val="1"/>
                <w:bCs w:val="1"/>
                <w:color w:val="auto"/>
              </w:rPr>
              <w:t>2020</w:t>
            </w:r>
          </w:p>
        </w:tc>
        <w:tc>
          <w:tcPr>
            <w:tcW w:w="360" w:type="dxa"/>
            <w:vAlign w:val="bottom"/>
            <w:tcBorders>
              <w:top w:val="single" w:sz="8" w:color="auto"/>
              <w:bottom w:val="single" w:sz="8" w:color="auto"/>
            </w:tcBorders>
          </w:tcPr>
          <w:p>
            <w:pPr>
              <w:jc w:val="center"/>
              <w:ind w:left="11"/>
              <w:spacing w:after="0"/>
              <w:rPr>
                <w:sz w:val="20"/>
                <w:szCs w:val="20"/>
                <w:color w:val="auto"/>
              </w:rPr>
            </w:pPr>
            <w:r>
              <w:rPr>
                <w:rFonts w:ascii="Arial" w:cs="Arial" w:eastAsia="Arial" w:hAnsi="Arial"/>
                <w:sz w:val="10"/>
                <w:szCs w:val="10"/>
                <w:color w:val="auto"/>
                <w:w w:val="99"/>
              </w:rPr>
              <w:t>—</w:t>
            </w:r>
          </w:p>
        </w:tc>
        <w:tc>
          <w:tcPr>
            <w:tcW w:w="60" w:type="dxa"/>
            <w:vAlign w:val="bottom"/>
            <w:tcBorders>
              <w:top w:val="single" w:sz="8" w:color="auto"/>
              <w:bottom w:val="single" w:sz="8" w:color="auto"/>
              <w:right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center"/>
              <w:ind w:left="131"/>
              <w:spacing w:after="0"/>
              <w:rPr>
                <w:sz w:val="20"/>
                <w:szCs w:val="20"/>
                <w:color w:val="auto"/>
              </w:rPr>
            </w:pPr>
            <w:r>
              <w:rPr>
                <w:rFonts w:ascii="Arial" w:cs="Arial" w:eastAsia="Arial" w:hAnsi="Arial"/>
                <w:sz w:val="10"/>
                <w:szCs w:val="10"/>
                <w:color w:val="auto"/>
                <w:w w:val="99"/>
              </w:rPr>
              <w:t>—</w:t>
            </w:r>
          </w:p>
        </w:tc>
        <w:tc>
          <w:tcPr>
            <w:tcW w:w="200" w:type="dxa"/>
            <w:vAlign w:val="bottom"/>
            <w:tcBorders>
              <w:top w:val="single" w:sz="8" w:color="auto"/>
              <w:bottom w:val="single" w:sz="8" w:color="auto"/>
              <w:right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0"/>
                <w:szCs w:val="10"/>
                <w:color w:val="auto"/>
                <w:w w:val="91"/>
              </w:rPr>
              <w:t>37,028</w:t>
            </w:r>
          </w:p>
        </w:tc>
        <w:tc>
          <w:tcPr>
            <w:tcW w:w="80" w:type="dxa"/>
            <w:vAlign w:val="bottom"/>
            <w:tcBorders>
              <w:top w:val="single" w:sz="8" w:color="auto"/>
              <w:bottom w:val="single" w:sz="8" w:color="auto"/>
              <w:right w:val="single" w:sz="8" w:color="auto"/>
            </w:tcBorders>
          </w:tcPr>
          <w:p>
            <w:pPr>
              <w:spacing w:after="0"/>
              <w:rPr>
                <w:sz w:val="12"/>
                <w:szCs w:val="12"/>
                <w:color w:val="auto"/>
              </w:rPr>
            </w:pPr>
          </w:p>
        </w:tc>
        <w:tc>
          <w:tcPr>
            <w:tcW w:w="560" w:type="dxa"/>
            <w:vAlign w:val="bottom"/>
            <w:tcBorders>
              <w:top w:val="single" w:sz="8" w:color="auto"/>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0"/>
                <w:szCs w:val="10"/>
                <w:color w:val="auto"/>
                <w:w w:val="91"/>
              </w:rPr>
              <w:t>$298,816</w:t>
            </w:r>
          </w:p>
        </w:tc>
        <w:tc>
          <w:tcPr>
            <w:tcW w:w="4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right w:val="single" w:sz="8" w:color="auto"/>
            </w:tcBorders>
          </w:tcPr>
          <w:p>
            <w:pPr>
              <w:jc w:val="center"/>
              <w:ind w:right="111"/>
              <w:spacing w:after="0"/>
              <w:rPr>
                <w:sz w:val="20"/>
                <w:szCs w:val="20"/>
                <w:color w:val="auto"/>
              </w:rPr>
            </w:pPr>
            <w:r>
              <w:rPr>
                <w:rFonts w:ascii="Arial" w:cs="Arial" w:eastAsia="Arial" w:hAnsi="Arial"/>
                <w:sz w:val="10"/>
                <w:szCs w:val="10"/>
                <w:color w:val="auto"/>
                <w:w w:val="99"/>
              </w:rPr>
              <w:t>—</w:t>
            </w: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right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right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4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0"/>
                <w:szCs w:val="10"/>
                <w:b w:val="1"/>
                <w:bCs w:val="1"/>
                <w:color w:val="auto"/>
              </w:rPr>
              <w:t>2019</w:t>
            </w:r>
          </w:p>
        </w:tc>
        <w:tc>
          <w:tcPr>
            <w:tcW w:w="360" w:type="dxa"/>
            <w:vAlign w:val="bottom"/>
            <w:tcBorders>
              <w:bottom w:val="single" w:sz="8" w:color="auto"/>
            </w:tcBorders>
          </w:tcPr>
          <w:p>
            <w:pPr>
              <w:jc w:val="center"/>
              <w:ind w:left="11"/>
              <w:spacing w:after="0"/>
              <w:rPr>
                <w:sz w:val="20"/>
                <w:szCs w:val="20"/>
                <w:color w:val="auto"/>
              </w:rPr>
            </w:pPr>
            <w:r>
              <w:rPr>
                <w:rFonts w:ascii="Arial" w:cs="Arial" w:eastAsia="Arial" w:hAnsi="Arial"/>
                <w:sz w:val="10"/>
                <w:szCs w:val="10"/>
                <w:color w:val="auto"/>
                <w:w w:val="99"/>
              </w:rPr>
              <w:t>—</w:t>
            </w:r>
          </w:p>
        </w:tc>
        <w:tc>
          <w:tcPr>
            <w:tcW w:w="6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jc w:val="center"/>
              <w:ind w:left="131"/>
              <w:spacing w:after="0"/>
              <w:rPr>
                <w:sz w:val="20"/>
                <w:szCs w:val="20"/>
                <w:color w:val="auto"/>
              </w:rPr>
            </w:pPr>
            <w:r>
              <w:rPr>
                <w:rFonts w:ascii="Arial" w:cs="Arial" w:eastAsia="Arial" w:hAnsi="Arial"/>
                <w:sz w:val="10"/>
                <w:szCs w:val="10"/>
                <w:color w:val="auto"/>
                <w:w w:val="99"/>
              </w:rPr>
              <w:t>—</w:t>
            </w:r>
          </w:p>
        </w:tc>
        <w:tc>
          <w:tcPr>
            <w:tcW w:w="20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1"/>
              </w:rPr>
              <w:t>16,081</w:t>
            </w:r>
          </w:p>
        </w:tc>
        <w:tc>
          <w:tcPr>
            <w:tcW w:w="80" w:type="dxa"/>
            <w:vAlign w:val="bottom"/>
            <w:tcBorders>
              <w:bottom w:val="single" w:sz="8" w:color="auto"/>
              <w:right w:val="single" w:sz="8" w:color="auto"/>
            </w:tcBorders>
          </w:tcPr>
          <w:p>
            <w:pPr>
              <w:spacing w:after="0"/>
              <w:rPr>
                <w:sz w:val="12"/>
                <w:szCs w:val="12"/>
                <w:color w:val="auto"/>
              </w:rPr>
            </w:pPr>
          </w:p>
        </w:tc>
        <w:tc>
          <w:tcPr>
            <w:tcW w:w="56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0"/>
                <w:szCs w:val="10"/>
                <w:color w:val="auto"/>
                <w:w w:val="91"/>
              </w:rPr>
              <w:t>$129,774</w:t>
            </w:r>
          </w:p>
        </w:tc>
        <w:tc>
          <w:tcPr>
            <w:tcW w:w="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right w:val="single" w:sz="8" w:color="auto"/>
            </w:tcBorders>
          </w:tcPr>
          <w:p>
            <w:pPr>
              <w:jc w:val="center"/>
              <w:ind w:right="111"/>
              <w:spacing w:after="0"/>
              <w:rPr>
                <w:sz w:val="20"/>
                <w:szCs w:val="20"/>
                <w:color w:val="auto"/>
              </w:rPr>
            </w:pPr>
            <w:r>
              <w:rPr>
                <w:rFonts w:ascii="Arial" w:cs="Arial" w:eastAsia="Arial" w:hAnsi="Arial"/>
                <w:sz w:val="10"/>
                <w:szCs w:val="10"/>
                <w:color w:val="auto"/>
                <w:w w:val="99"/>
              </w:rPr>
              <w:t>—</w:t>
            </w:r>
          </w:p>
        </w:tc>
        <w:tc>
          <w:tcPr>
            <w:tcW w:w="20" w:type="dxa"/>
            <w:vAlign w:val="bottom"/>
          </w:tcPr>
          <w:p>
            <w:pPr>
              <w:spacing w:after="0"/>
              <w:rPr>
                <w:sz w:val="12"/>
                <w:szCs w:val="12"/>
                <w:color w:val="auto"/>
              </w:rPr>
            </w:pPr>
          </w:p>
        </w:tc>
        <w:tc>
          <w:tcPr>
            <w:tcW w:w="460" w:type="dxa"/>
            <w:vAlign w:val="bottom"/>
            <w:tcBorders>
              <w:right w:val="single" w:sz="8" w:color="auto"/>
            </w:tcBorders>
          </w:tcPr>
          <w:p>
            <w:pPr>
              <w:jc w:val="center"/>
              <w:ind w:right="9"/>
              <w:spacing w:after="0"/>
              <w:rPr>
                <w:sz w:val="20"/>
                <w:szCs w:val="20"/>
                <w:color w:val="auto"/>
              </w:rPr>
            </w:pPr>
            <w:r>
              <w:rPr>
                <w:rFonts w:ascii="Arial" w:cs="Arial" w:eastAsia="Arial" w:hAnsi="Arial"/>
                <w:sz w:val="10"/>
                <w:szCs w:val="10"/>
                <w:color w:val="auto"/>
                <w:w w:val="91"/>
              </w:rPr>
              <w:t>37,028</w:t>
            </w:r>
          </w:p>
        </w:tc>
        <w:tc>
          <w:tcPr>
            <w:tcW w:w="60" w:type="dxa"/>
            <w:vAlign w:val="bottom"/>
          </w:tcPr>
          <w:p>
            <w:pPr>
              <w:spacing w:after="0"/>
              <w:rPr>
                <w:sz w:val="12"/>
                <w:szCs w:val="12"/>
                <w:color w:val="auto"/>
              </w:rPr>
            </w:pPr>
          </w:p>
        </w:tc>
        <w:tc>
          <w:tcPr>
            <w:tcW w:w="420" w:type="dxa"/>
            <w:vAlign w:val="bottom"/>
          </w:tcPr>
          <w:p>
            <w:pPr>
              <w:jc w:val="center"/>
              <w:spacing w:after="0"/>
              <w:rPr>
                <w:sz w:val="20"/>
                <w:szCs w:val="20"/>
                <w:color w:val="auto"/>
              </w:rPr>
            </w:pPr>
            <w:r>
              <w:rPr>
                <w:rFonts w:ascii="Arial" w:cs="Arial" w:eastAsia="Arial" w:hAnsi="Arial"/>
                <w:sz w:val="10"/>
                <w:szCs w:val="10"/>
                <w:color w:val="auto"/>
                <w:w w:val="91"/>
              </w:rPr>
              <w:t>$298,816</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0"/>
                <w:szCs w:val="10"/>
                <w:color w:val="auto"/>
                <w:w w:val="95"/>
              </w:rPr>
              <w:t>N/A</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4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0"/>
                <w:szCs w:val="10"/>
                <w:b w:val="1"/>
                <w:bCs w:val="1"/>
                <w:color w:val="auto"/>
                <w:w w:val="92"/>
              </w:rPr>
              <w:t>Change</w:t>
            </w:r>
          </w:p>
        </w:tc>
        <w:tc>
          <w:tcPr>
            <w:tcW w:w="360" w:type="dxa"/>
            <w:vAlign w:val="bottom"/>
            <w:tcBorders>
              <w:bottom w:val="single" w:sz="8" w:color="auto"/>
            </w:tcBorders>
          </w:tcPr>
          <w:p>
            <w:pPr>
              <w:jc w:val="center"/>
              <w:ind w:left="11"/>
              <w:spacing w:after="0"/>
              <w:rPr>
                <w:sz w:val="20"/>
                <w:szCs w:val="20"/>
                <w:color w:val="auto"/>
              </w:rPr>
            </w:pPr>
            <w:r>
              <w:rPr>
                <w:rFonts w:ascii="Arial" w:cs="Arial" w:eastAsia="Arial" w:hAnsi="Arial"/>
                <w:sz w:val="10"/>
                <w:szCs w:val="10"/>
                <w:color w:val="auto"/>
                <w:w w:val="99"/>
              </w:rPr>
              <w:t>—</w:t>
            </w:r>
          </w:p>
        </w:tc>
        <w:tc>
          <w:tcPr>
            <w:tcW w:w="6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jc w:val="center"/>
              <w:ind w:left="131"/>
              <w:spacing w:after="0"/>
              <w:rPr>
                <w:sz w:val="20"/>
                <w:szCs w:val="20"/>
                <w:color w:val="auto"/>
              </w:rPr>
            </w:pPr>
            <w:r>
              <w:rPr>
                <w:rFonts w:ascii="Arial" w:cs="Arial" w:eastAsia="Arial" w:hAnsi="Arial"/>
                <w:sz w:val="10"/>
                <w:szCs w:val="10"/>
                <w:color w:val="auto"/>
                <w:w w:val="99"/>
              </w:rPr>
              <w:t>—</w:t>
            </w:r>
          </w:p>
        </w:tc>
        <w:tc>
          <w:tcPr>
            <w:tcW w:w="20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1"/>
              </w:rPr>
              <w:t>20,947</w:t>
            </w:r>
          </w:p>
        </w:tc>
        <w:tc>
          <w:tcPr>
            <w:tcW w:w="80" w:type="dxa"/>
            <w:vAlign w:val="bottom"/>
            <w:tcBorders>
              <w:bottom w:val="single" w:sz="8" w:color="auto"/>
              <w:right w:val="single" w:sz="8" w:color="auto"/>
            </w:tcBorders>
          </w:tcPr>
          <w:p>
            <w:pPr>
              <w:spacing w:after="0"/>
              <w:rPr>
                <w:sz w:val="12"/>
                <w:szCs w:val="12"/>
                <w:color w:val="auto"/>
              </w:rPr>
            </w:pPr>
          </w:p>
        </w:tc>
        <w:tc>
          <w:tcPr>
            <w:tcW w:w="56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0"/>
                <w:szCs w:val="10"/>
                <w:color w:val="auto"/>
                <w:w w:val="91"/>
              </w:rPr>
              <w:t>$169,042</w:t>
            </w:r>
          </w:p>
        </w:tc>
        <w:tc>
          <w:tcPr>
            <w:tcW w:w="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right w:val="single" w:sz="8" w:color="auto"/>
            </w:tcBorders>
          </w:tcPr>
          <w:p>
            <w:pPr>
              <w:jc w:val="center"/>
              <w:ind w:right="111"/>
              <w:spacing w:after="0"/>
              <w:rPr>
                <w:sz w:val="20"/>
                <w:szCs w:val="20"/>
                <w:color w:val="auto"/>
              </w:rPr>
            </w:pPr>
            <w:r>
              <w:rPr>
                <w:rFonts w:ascii="Arial" w:cs="Arial" w:eastAsia="Arial" w:hAnsi="Arial"/>
                <w:sz w:val="10"/>
                <w:szCs w:val="10"/>
                <w:color w:val="auto"/>
                <w:w w:val="99"/>
              </w:rPr>
              <w:t>—</w:t>
            </w:r>
          </w:p>
        </w:tc>
        <w:tc>
          <w:tcPr>
            <w:tcW w:w="2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780" w:type="dxa"/>
            <w:vAlign w:val="bottom"/>
            <w:gridSpan w:val="22"/>
          </w:tcPr>
          <w:p>
            <w:pPr>
              <w:spacing w:after="0"/>
              <w:rPr>
                <w:sz w:val="20"/>
                <w:szCs w:val="20"/>
                <w:color w:val="auto"/>
              </w:rPr>
            </w:pPr>
            <w:r>
              <w:rPr>
                <w:rFonts w:ascii="Arial" w:cs="Arial" w:eastAsia="Arial" w:hAnsi="Arial"/>
                <w:sz w:val="11"/>
                <w:szCs w:val="11"/>
                <w:color w:val="auto"/>
                <w:w w:val="94"/>
              </w:rPr>
              <w:t>Mr. Chopra most recently served as President and Chief Executive Officer of Canada Post Corporation</w:t>
            </w: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4780" w:type="dxa"/>
            <w:vAlign w:val="bottom"/>
            <w:gridSpan w:val="22"/>
          </w:tcPr>
          <w:p>
            <w:pPr>
              <w:spacing w:after="0" w:line="120" w:lineRule="exact"/>
              <w:rPr>
                <w:sz w:val="20"/>
                <w:szCs w:val="20"/>
                <w:color w:val="auto"/>
              </w:rPr>
            </w:pPr>
            <w:r>
              <w:rPr>
                <w:rFonts w:ascii="Arial" w:cs="Arial" w:eastAsia="Arial" w:hAnsi="Arial"/>
                <w:sz w:val="11"/>
                <w:szCs w:val="11"/>
                <w:color w:val="auto"/>
                <w:w w:val="98"/>
              </w:rPr>
              <w:t>from February 2011 to March 2018. He has more than 30 years of global experience in the financial</w:t>
            </w: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4780" w:type="dxa"/>
            <w:vAlign w:val="bottom"/>
            <w:gridSpan w:val="22"/>
          </w:tcPr>
          <w:p>
            <w:pPr>
              <w:spacing w:after="0" w:line="120" w:lineRule="exact"/>
              <w:rPr>
                <w:sz w:val="20"/>
                <w:szCs w:val="20"/>
                <w:color w:val="auto"/>
              </w:rPr>
            </w:pPr>
            <w:r>
              <w:rPr>
                <w:rFonts w:ascii="Arial" w:cs="Arial" w:eastAsia="Arial" w:hAnsi="Arial"/>
                <w:sz w:val="11"/>
                <w:szCs w:val="11"/>
                <w:color w:val="auto"/>
                <w:w w:val="95"/>
              </w:rPr>
              <w:t>services, technology, logistics and supply chain industries. Mr. Chopra worked for Pitney Bowes Inc., a</w:t>
            </w: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4780" w:type="dxa"/>
            <w:vAlign w:val="bottom"/>
            <w:gridSpan w:val="22"/>
          </w:tcPr>
          <w:p>
            <w:pPr>
              <w:spacing w:after="0" w:line="120" w:lineRule="exact"/>
              <w:rPr>
                <w:sz w:val="20"/>
                <w:szCs w:val="20"/>
                <w:color w:val="auto"/>
              </w:rPr>
            </w:pPr>
            <w:r>
              <w:rPr>
                <w:rFonts w:ascii="Arial" w:cs="Arial" w:eastAsia="Arial" w:hAnsi="Arial"/>
                <w:sz w:val="11"/>
                <w:szCs w:val="11"/>
                <w:color w:val="auto"/>
                <w:w w:val="94"/>
              </w:rPr>
              <w:t>NYSE traded technology company known for postage meters, mail automation and location intelligence</w:t>
            </w: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4780" w:type="dxa"/>
            <w:vAlign w:val="bottom"/>
            <w:gridSpan w:val="22"/>
          </w:tcPr>
          <w:p>
            <w:pPr>
              <w:spacing w:after="0" w:line="120" w:lineRule="exact"/>
              <w:rPr>
                <w:sz w:val="20"/>
                <w:szCs w:val="20"/>
                <w:color w:val="auto"/>
              </w:rPr>
            </w:pPr>
            <w:r>
              <w:rPr>
                <w:rFonts w:ascii="Arial" w:cs="Arial" w:eastAsia="Arial" w:hAnsi="Arial"/>
                <w:sz w:val="11"/>
                <w:szCs w:val="11"/>
                <w:color w:val="auto"/>
                <w:w w:val="91"/>
              </w:rPr>
              <w:t>services, for more than 20 years. He served as President of Pitney Bowes Canada and Latin America from</w:t>
            </w: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4780" w:type="dxa"/>
            <w:vAlign w:val="bottom"/>
            <w:gridSpan w:val="22"/>
          </w:tcPr>
          <w:p>
            <w:pPr>
              <w:spacing w:after="0" w:line="120" w:lineRule="exact"/>
              <w:rPr>
                <w:sz w:val="20"/>
                <w:szCs w:val="20"/>
                <w:color w:val="auto"/>
              </w:rPr>
            </w:pPr>
            <w:r>
              <w:rPr>
                <w:rFonts w:ascii="Arial" w:cs="Arial" w:eastAsia="Arial" w:hAnsi="Arial"/>
                <w:sz w:val="11"/>
                <w:szCs w:val="11"/>
                <w:color w:val="auto"/>
                <w:w w:val="92"/>
              </w:rPr>
              <w:t>2006 to 2010. He held a number of increasingly senior executive roles internationally, including President</w:t>
            </w: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4780" w:type="dxa"/>
            <w:vAlign w:val="bottom"/>
            <w:gridSpan w:val="22"/>
          </w:tcPr>
          <w:p>
            <w:pPr>
              <w:spacing w:after="0" w:line="120" w:lineRule="exact"/>
              <w:rPr>
                <w:sz w:val="20"/>
                <w:szCs w:val="20"/>
                <w:color w:val="auto"/>
              </w:rPr>
            </w:pPr>
            <w:r>
              <w:rPr>
                <w:rFonts w:ascii="Arial" w:cs="Arial" w:eastAsia="Arial" w:hAnsi="Arial"/>
                <w:sz w:val="11"/>
                <w:szCs w:val="11"/>
                <w:color w:val="auto"/>
                <w:w w:val="98"/>
              </w:rPr>
              <w:t>of its new Asia Pacific and Middle East region from 2001 to 2006 and Chief Financial Officer for the</w:t>
            </w: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4780" w:type="dxa"/>
            <w:vAlign w:val="bottom"/>
            <w:gridSpan w:val="22"/>
          </w:tcPr>
          <w:p>
            <w:pPr>
              <w:spacing w:after="0" w:line="120" w:lineRule="exact"/>
              <w:rPr>
                <w:sz w:val="20"/>
                <w:szCs w:val="20"/>
                <w:color w:val="auto"/>
              </w:rPr>
            </w:pPr>
            <w:r>
              <w:rPr>
                <w:rFonts w:ascii="Arial" w:cs="Arial" w:eastAsia="Arial" w:hAnsi="Arial"/>
                <w:sz w:val="11"/>
                <w:szCs w:val="11"/>
                <w:color w:val="auto"/>
                <w:w w:val="98"/>
              </w:rPr>
              <w:t>Europe, Africa and Middle East (EAME) region from 1998 to 2001. He has previously served on the</w:t>
            </w: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4780" w:type="dxa"/>
            <w:vAlign w:val="bottom"/>
            <w:gridSpan w:val="22"/>
          </w:tcPr>
          <w:p>
            <w:pPr>
              <w:spacing w:after="0" w:line="120" w:lineRule="exact"/>
              <w:rPr>
                <w:sz w:val="20"/>
                <w:szCs w:val="20"/>
                <w:color w:val="auto"/>
              </w:rPr>
            </w:pPr>
            <w:r>
              <w:rPr>
                <w:rFonts w:ascii="Arial" w:cs="Arial" w:eastAsia="Arial" w:hAnsi="Arial"/>
                <w:sz w:val="11"/>
                <w:szCs w:val="11"/>
                <w:color w:val="auto"/>
                <w:w w:val="92"/>
              </w:rPr>
              <w:t>boards of Canada Post Corporation, Purolator Inc., SCI Group, the Canada Post Community Foundation,</w:t>
            </w:r>
          </w:p>
        </w:tc>
        <w:tc>
          <w:tcPr>
            <w:tcW w:w="0" w:type="dxa"/>
            <w:vAlign w:val="bottom"/>
          </w:tcPr>
          <w:p>
            <w:pPr>
              <w:spacing w:after="0"/>
              <w:rPr>
                <w:sz w:val="1"/>
                <w:szCs w:val="1"/>
                <w:color w:val="auto"/>
              </w:rPr>
            </w:pPr>
          </w:p>
        </w:tc>
      </w:tr>
      <w:tr>
        <w:trPr>
          <w:trHeight w:val="119"/>
        </w:trPr>
        <w:tc>
          <w:tcPr>
            <w:tcW w:w="16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Deepak Chopra</w:t>
            </w:r>
          </w:p>
        </w:tc>
        <w:tc>
          <w:tcPr>
            <w:tcW w:w="4780" w:type="dxa"/>
            <w:vAlign w:val="bottom"/>
            <w:gridSpan w:val="22"/>
          </w:tcPr>
          <w:p>
            <w:pPr>
              <w:spacing w:after="0" w:line="120" w:lineRule="exact"/>
              <w:rPr>
                <w:sz w:val="20"/>
                <w:szCs w:val="20"/>
                <w:color w:val="auto"/>
              </w:rPr>
            </w:pPr>
            <w:r>
              <w:rPr>
                <w:rFonts w:ascii="Arial" w:cs="Arial" w:eastAsia="Arial" w:hAnsi="Arial"/>
                <w:sz w:val="11"/>
                <w:szCs w:val="11"/>
                <w:color w:val="auto"/>
                <w:w w:val="94"/>
              </w:rPr>
              <w:t>the Toronto Region Board of Trade and the Conference Board of Canada. Mr. Chopra is a Fellow of the</w:t>
            </w:r>
          </w:p>
        </w:tc>
        <w:tc>
          <w:tcPr>
            <w:tcW w:w="0" w:type="dxa"/>
            <w:vAlign w:val="bottom"/>
          </w:tcPr>
          <w:p>
            <w:pPr>
              <w:spacing w:after="0"/>
              <w:rPr>
                <w:sz w:val="1"/>
                <w:szCs w:val="1"/>
                <w:color w:val="auto"/>
              </w:rPr>
            </w:pPr>
          </w:p>
        </w:tc>
      </w:tr>
      <w:tr>
        <w:trPr>
          <w:trHeight w:val="70"/>
        </w:trPr>
        <w:tc>
          <w:tcPr>
            <w:tcW w:w="1600" w:type="dxa"/>
            <w:vAlign w:val="bottom"/>
            <w:gridSpan w:val="2"/>
            <w:vMerge w:val="continue"/>
          </w:tcPr>
          <w:p>
            <w:pPr>
              <w:spacing w:after="0"/>
              <w:rPr>
                <w:sz w:val="6"/>
                <w:szCs w:val="6"/>
                <w:color w:val="auto"/>
              </w:rPr>
            </w:pPr>
          </w:p>
        </w:tc>
        <w:tc>
          <w:tcPr>
            <w:tcW w:w="4780" w:type="dxa"/>
            <w:vAlign w:val="bottom"/>
            <w:gridSpan w:val="22"/>
            <w:vMerge w:val="restart"/>
          </w:tcPr>
          <w:p>
            <w:pPr>
              <w:spacing w:after="0" w:line="120" w:lineRule="exact"/>
              <w:rPr>
                <w:sz w:val="20"/>
                <w:szCs w:val="20"/>
                <w:color w:val="auto"/>
              </w:rPr>
            </w:pPr>
            <w:r>
              <w:rPr>
                <w:rFonts w:ascii="Arial" w:cs="Arial" w:eastAsia="Arial" w:hAnsi="Arial"/>
                <w:sz w:val="11"/>
                <w:szCs w:val="11"/>
                <w:color w:val="auto"/>
                <w:w w:val="95"/>
              </w:rPr>
              <w:t>Institute of Chartered Professional Accountants of Canada and has a Bachelor’s degree in Commerce</w:t>
            </w:r>
          </w:p>
        </w:tc>
        <w:tc>
          <w:tcPr>
            <w:tcW w:w="0" w:type="dxa"/>
            <w:vAlign w:val="bottom"/>
          </w:tcPr>
          <w:p>
            <w:pPr>
              <w:spacing w:after="0"/>
              <w:rPr>
                <w:sz w:val="1"/>
                <w:szCs w:val="1"/>
                <w:color w:val="auto"/>
              </w:rPr>
            </w:pPr>
          </w:p>
        </w:tc>
      </w:tr>
      <w:tr>
        <w:trPr>
          <w:trHeight w:val="50"/>
        </w:trPr>
        <w:tc>
          <w:tcPr>
            <w:tcW w:w="1600" w:type="dxa"/>
            <w:vAlign w:val="bottom"/>
            <w:gridSpan w:val="2"/>
            <w:vMerge w:val="restart"/>
          </w:tcPr>
          <w:p>
            <w:pPr>
              <w:spacing w:after="0" w:line="120" w:lineRule="exact"/>
              <w:rPr>
                <w:sz w:val="20"/>
                <w:szCs w:val="20"/>
                <w:color w:val="auto"/>
              </w:rPr>
            </w:pPr>
            <w:r>
              <w:rPr>
                <w:rFonts w:ascii="Arial" w:cs="Arial" w:eastAsia="Arial" w:hAnsi="Arial"/>
                <w:sz w:val="11"/>
                <w:szCs w:val="11"/>
                <w:color w:val="auto"/>
              </w:rPr>
              <w:t>Toronto, Ontario</w:t>
            </w:r>
          </w:p>
        </w:tc>
        <w:tc>
          <w:tcPr>
            <w:tcW w:w="4780" w:type="dxa"/>
            <w:vAlign w:val="bottom"/>
            <w:gridSpan w:val="2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0"/>
        </w:trPr>
        <w:tc>
          <w:tcPr>
            <w:tcW w:w="1600" w:type="dxa"/>
            <w:vAlign w:val="bottom"/>
            <w:gridSpan w:val="2"/>
            <w:vMerge w:val="continue"/>
          </w:tcPr>
          <w:p>
            <w:pPr>
              <w:spacing w:after="0"/>
              <w:rPr>
                <w:sz w:val="6"/>
                <w:szCs w:val="6"/>
                <w:color w:val="auto"/>
              </w:rPr>
            </w:pPr>
          </w:p>
        </w:tc>
        <w:tc>
          <w:tcPr>
            <w:tcW w:w="3320" w:type="dxa"/>
            <w:vAlign w:val="bottom"/>
            <w:gridSpan w:val="15"/>
            <w:vMerge w:val="restart"/>
          </w:tcPr>
          <w:p>
            <w:pPr>
              <w:spacing w:after="0"/>
              <w:rPr>
                <w:sz w:val="20"/>
                <w:szCs w:val="20"/>
                <w:color w:val="auto"/>
              </w:rPr>
            </w:pPr>
            <w:r>
              <w:rPr>
                <w:rFonts w:ascii="Arial" w:cs="Arial" w:eastAsia="Arial" w:hAnsi="Arial"/>
                <w:sz w:val="11"/>
                <w:szCs w:val="11"/>
                <w:color w:val="auto"/>
                <w:w w:val="96"/>
              </w:rPr>
              <w:t>(Honours) and a Master’s Degree in Business Management (PGDBM).</w:t>
            </w: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1600" w:type="dxa"/>
            <w:vAlign w:val="bottom"/>
            <w:gridSpan w:val="2"/>
            <w:vMerge w:val="restart"/>
          </w:tcPr>
          <w:p>
            <w:pPr>
              <w:spacing w:after="0"/>
              <w:rPr>
                <w:sz w:val="20"/>
                <w:szCs w:val="20"/>
                <w:color w:val="auto"/>
              </w:rPr>
            </w:pPr>
            <w:r>
              <w:rPr>
                <w:rFonts w:ascii="Arial" w:cs="Arial" w:eastAsia="Arial" w:hAnsi="Arial"/>
                <w:sz w:val="11"/>
                <w:szCs w:val="11"/>
                <w:color w:val="auto"/>
              </w:rPr>
              <w:t>Canada</w:t>
            </w:r>
          </w:p>
        </w:tc>
        <w:tc>
          <w:tcPr>
            <w:tcW w:w="3320" w:type="dxa"/>
            <w:vAlign w:val="bottom"/>
            <w:gridSpan w:val="15"/>
            <w:vMerge w:val="continue"/>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1600" w:type="dxa"/>
            <w:vAlign w:val="bottom"/>
            <w:gridSpan w:val="2"/>
            <w:vMerge w:val="continue"/>
          </w:tcPr>
          <w:p>
            <w:pPr>
              <w:spacing w:after="0"/>
              <w:rPr>
                <w:sz w:val="6"/>
                <w:szCs w:val="6"/>
                <w:color w:val="auto"/>
              </w:rPr>
            </w:pPr>
          </w:p>
        </w:tc>
        <w:tc>
          <w:tcPr>
            <w:tcW w:w="3000" w:type="dxa"/>
            <w:vAlign w:val="bottom"/>
            <w:gridSpan w:val="13"/>
            <w:vMerge w:val="restart"/>
          </w:tcPr>
          <w:p>
            <w:pPr>
              <w:spacing w:after="0"/>
              <w:rPr>
                <w:sz w:val="20"/>
                <w:szCs w:val="20"/>
                <w:color w:val="auto"/>
              </w:rPr>
            </w:pPr>
            <w:r>
              <w:rPr>
                <w:rFonts w:ascii="Arial" w:cs="Arial" w:eastAsia="Arial" w:hAnsi="Arial"/>
                <w:sz w:val="11"/>
                <w:szCs w:val="11"/>
                <w:color w:val="auto"/>
              </w:rPr>
              <w:t>Mr. Chopra sits on the Audit Committee, HRCC, and NCGC.</w:t>
            </w: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16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 xml:space="preserve">Director Since: </w:t>
            </w:r>
            <w:r>
              <w:rPr>
                <w:rFonts w:ascii="Arial" w:cs="Arial" w:eastAsia="Arial" w:hAnsi="Arial"/>
                <w:sz w:val="11"/>
                <w:szCs w:val="11"/>
                <w:color w:val="auto"/>
              </w:rPr>
              <w:t>2018</w:t>
            </w:r>
          </w:p>
        </w:tc>
        <w:tc>
          <w:tcPr>
            <w:tcW w:w="3000" w:type="dxa"/>
            <w:vAlign w:val="bottom"/>
            <w:gridSpan w:val="13"/>
            <w:vMerge w:val="continue"/>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1600" w:type="dxa"/>
            <w:vAlign w:val="bottom"/>
            <w:gridSpan w:val="2"/>
            <w:vMerge w:val="continue"/>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1600" w:type="dxa"/>
            <w:vAlign w:val="bottom"/>
            <w:gridSpan w:val="2"/>
          </w:tcPr>
          <w:p>
            <w:pPr>
              <w:spacing w:after="0" w:line="110" w:lineRule="exact"/>
              <w:rPr>
                <w:sz w:val="20"/>
                <w:szCs w:val="20"/>
                <w:color w:val="auto"/>
              </w:rPr>
            </w:pPr>
            <w:r>
              <w:rPr>
                <w:rFonts w:ascii="Arial" w:cs="Arial" w:eastAsia="Arial" w:hAnsi="Arial"/>
                <w:sz w:val="11"/>
                <w:szCs w:val="11"/>
                <w:b w:val="1"/>
                <w:bCs w:val="1"/>
                <w:color w:val="auto"/>
              </w:rPr>
              <w:t xml:space="preserve">Age: </w:t>
            </w:r>
            <w:r>
              <w:rPr>
                <w:rFonts w:ascii="Arial" w:cs="Arial" w:eastAsia="Arial" w:hAnsi="Arial"/>
                <w:sz w:val="11"/>
                <w:szCs w:val="11"/>
                <w:color w:val="auto"/>
              </w:rPr>
              <w:t>57</w:t>
            </w:r>
          </w:p>
        </w:tc>
        <w:tc>
          <w:tcPr>
            <w:tcW w:w="20" w:type="dxa"/>
            <w:vAlign w:val="bottom"/>
            <w:tcBorders>
              <w:bottom w:val="single" w:sz="8" w:color="CCCCCC"/>
            </w:tcBorders>
            <w:shd w:val="clear" w:color="auto" w:fill="CCCCCC"/>
          </w:tcPr>
          <w:p>
            <w:pPr>
              <w:spacing w:after="0"/>
              <w:rPr>
                <w:sz w:val="13"/>
                <w:szCs w:val="13"/>
                <w:color w:val="auto"/>
              </w:rPr>
            </w:pPr>
          </w:p>
        </w:tc>
        <w:tc>
          <w:tcPr>
            <w:tcW w:w="420" w:type="dxa"/>
            <w:vAlign w:val="bottom"/>
            <w:tcBorders>
              <w:bottom w:val="single" w:sz="8" w:color="CCCCCC"/>
              <w:right w:val="single" w:sz="8" w:color="CCCCCC"/>
            </w:tcBorders>
            <w:shd w:val="clear" w:color="auto" w:fill="CCCCCC"/>
          </w:tcPr>
          <w:p>
            <w:pPr>
              <w:spacing w:after="0"/>
              <w:rPr>
                <w:sz w:val="13"/>
                <w:szCs w:val="13"/>
                <w:color w:val="auto"/>
              </w:rPr>
            </w:pPr>
          </w:p>
        </w:tc>
        <w:tc>
          <w:tcPr>
            <w:tcW w:w="360" w:type="dxa"/>
            <w:vAlign w:val="bottom"/>
            <w:tcBorders>
              <w:bottom w:val="single" w:sz="8" w:color="CCCCCC"/>
            </w:tcBorders>
            <w:shd w:val="clear" w:color="auto" w:fill="CCCCCC"/>
          </w:tcPr>
          <w:p>
            <w:pPr>
              <w:spacing w:after="0"/>
              <w:rPr>
                <w:sz w:val="13"/>
                <w:szCs w:val="13"/>
                <w:color w:val="auto"/>
              </w:rPr>
            </w:pPr>
          </w:p>
        </w:tc>
        <w:tc>
          <w:tcPr>
            <w:tcW w:w="60" w:type="dxa"/>
            <w:vAlign w:val="bottom"/>
            <w:tcBorders>
              <w:bottom w:val="single" w:sz="8" w:color="CCCCCC"/>
              <w:right w:val="single" w:sz="8" w:color="CCCCCC"/>
            </w:tcBorders>
            <w:shd w:val="clear" w:color="auto" w:fill="CCCCCC"/>
          </w:tcPr>
          <w:p>
            <w:pPr>
              <w:spacing w:after="0"/>
              <w:rPr>
                <w:sz w:val="13"/>
                <w:szCs w:val="13"/>
                <w:color w:val="auto"/>
              </w:rPr>
            </w:pPr>
          </w:p>
        </w:tc>
        <w:tc>
          <w:tcPr>
            <w:tcW w:w="360" w:type="dxa"/>
            <w:vAlign w:val="bottom"/>
            <w:tcBorders>
              <w:bottom w:val="single" w:sz="8" w:color="CCCCCC"/>
            </w:tcBorders>
            <w:shd w:val="clear" w:color="auto" w:fill="CCCCCC"/>
          </w:tcPr>
          <w:p>
            <w:pPr>
              <w:spacing w:after="0"/>
              <w:rPr>
                <w:sz w:val="13"/>
                <w:szCs w:val="13"/>
                <w:color w:val="auto"/>
              </w:rPr>
            </w:pPr>
          </w:p>
        </w:tc>
        <w:tc>
          <w:tcPr>
            <w:tcW w:w="2100" w:type="dxa"/>
            <w:vAlign w:val="bottom"/>
            <w:tcBorders>
              <w:bottom w:val="single" w:sz="8" w:color="CCCCCC"/>
            </w:tcBorders>
            <w:gridSpan w:val="10"/>
            <w:shd w:val="clear" w:color="auto" w:fill="CCCCCC"/>
          </w:tcPr>
          <w:p>
            <w:pPr>
              <w:ind w:left="20"/>
              <w:spacing w:after="0" w:line="110" w:lineRule="exact"/>
              <w:rPr>
                <w:sz w:val="20"/>
                <w:szCs w:val="20"/>
                <w:color w:val="auto"/>
              </w:rPr>
            </w:pPr>
            <w:r>
              <w:rPr>
                <w:rFonts w:ascii="Arial" w:cs="Arial" w:eastAsia="Arial" w:hAnsi="Arial"/>
                <w:sz w:val="11"/>
                <w:szCs w:val="11"/>
                <w:b w:val="1"/>
                <w:bCs w:val="1"/>
                <w:color w:val="auto"/>
                <w:w w:val="95"/>
              </w:rPr>
              <w:t>BOARD AND COMMITTEE ATTENDANCE</w:t>
            </w:r>
          </w:p>
        </w:tc>
        <w:tc>
          <w:tcPr>
            <w:tcW w:w="460" w:type="dxa"/>
            <w:vAlign w:val="bottom"/>
            <w:tcBorders>
              <w:bottom w:val="single" w:sz="8" w:color="CCCCCC"/>
              <w:right w:val="single" w:sz="8" w:color="CCCCCC"/>
            </w:tcBorders>
            <w:shd w:val="clear" w:color="auto" w:fill="CCCCCC"/>
          </w:tcPr>
          <w:p>
            <w:pPr>
              <w:spacing w:after="0"/>
              <w:rPr>
                <w:sz w:val="13"/>
                <w:szCs w:val="13"/>
                <w:color w:val="auto"/>
              </w:rPr>
            </w:pPr>
          </w:p>
        </w:tc>
        <w:tc>
          <w:tcPr>
            <w:tcW w:w="60" w:type="dxa"/>
            <w:vAlign w:val="bottom"/>
            <w:tcBorders>
              <w:bottom w:val="single" w:sz="8" w:color="CCCCCC"/>
            </w:tcBorders>
            <w:shd w:val="clear" w:color="auto" w:fill="CCCCCC"/>
          </w:tcPr>
          <w:p>
            <w:pPr>
              <w:spacing w:after="0"/>
              <w:rPr>
                <w:sz w:val="13"/>
                <w:szCs w:val="13"/>
                <w:color w:val="auto"/>
              </w:rPr>
            </w:pPr>
          </w:p>
        </w:tc>
        <w:tc>
          <w:tcPr>
            <w:tcW w:w="420" w:type="dxa"/>
            <w:vAlign w:val="bottom"/>
            <w:tcBorders>
              <w:bottom w:val="single" w:sz="8" w:color="CCCCCC"/>
            </w:tcBorders>
            <w:shd w:val="clear" w:color="auto" w:fill="CCCCCC"/>
          </w:tcPr>
          <w:p>
            <w:pPr>
              <w:spacing w:after="0"/>
              <w:rPr>
                <w:sz w:val="13"/>
                <w:szCs w:val="13"/>
                <w:color w:val="auto"/>
              </w:rPr>
            </w:pPr>
          </w:p>
        </w:tc>
        <w:tc>
          <w:tcPr>
            <w:tcW w:w="100" w:type="dxa"/>
            <w:vAlign w:val="bottom"/>
            <w:tcBorders>
              <w:bottom w:val="single" w:sz="8" w:color="CCCCCC"/>
              <w:right w:val="single" w:sz="8" w:color="CCCCCC"/>
            </w:tcBorders>
            <w:shd w:val="clear" w:color="auto" w:fill="CCCCCC"/>
          </w:tcPr>
          <w:p>
            <w:pPr>
              <w:spacing w:after="0"/>
              <w:rPr>
                <w:sz w:val="13"/>
                <w:szCs w:val="13"/>
                <w:color w:val="auto"/>
              </w:rPr>
            </w:pPr>
          </w:p>
        </w:tc>
        <w:tc>
          <w:tcPr>
            <w:tcW w:w="60" w:type="dxa"/>
            <w:vAlign w:val="bottom"/>
            <w:tcBorders>
              <w:bottom w:val="single" w:sz="8" w:color="CCCCCC"/>
            </w:tcBorders>
            <w:shd w:val="clear" w:color="auto" w:fill="CCCCCC"/>
          </w:tcPr>
          <w:p>
            <w:pPr>
              <w:spacing w:after="0"/>
              <w:rPr>
                <w:sz w:val="13"/>
                <w:szCs w:val="13"/>
                <w:color w:val="auto"/>
              </w:rPr>
            </w:pPr>
          </w:p>
        </w:tc>
        <w:tc>
          <w:tcPr>
            <w:tcW w:w="320" w:type="dxa"/>
            <w:vAlign w:val="bottom"/>
            <w:tcBorders>
              <w:bottom w:val="single" w:sz="8" w:color="CCCCCC"/>
            </w:tcBorders>
            <w:shd w:val="clear" w:color="auto" w:fill="CCCCCC"/>
          </w:tcPr>
          <w:p>
            <w:pPr>
              <w:spacing w:after="0"/>
              <w:rPr>
                <w:sz w:val="13"/>
                <w:szCs w:val="13"/>
                <w:color w:val="auto"/>
              </w:rPr>
            </w:pPr>
          </w:p>
        </w:tc>
        <w:tc>
          <w:tcPr>
            <w:tcW w:w="40" w:type="dxa"/>
            <w:vAlign w:val="bottom"/>
            <w:tcBorders>
              <w:bottom w:val="single" w:sz="8" w:color="CCCCCC"/>
              <w:right w:val="single" w:sz="8" w:color="CCCCCC"/>
            </w:tcBorders>
            <w:shd w:val="clear" w:color="auto" w:fill="CCCCCC"/>
          </w:tcPr>
          <w:p>
            <w:pPr>
              <w:spacing w:after="0"/>
              <w:rPr>
                <w:sz w:val="13"/>
                <w:szCs w:val="13"/>
                <w:color w:val="auto"/>
              </w:rPr>
            </w:pPr>
          </w:p>
        </w:tc>
        <w:tc>
          <w:tcPr>
            <w:tcW w:w="0" w:type="dxa"/>
            <w:vAlign w:val="bottom"/>
          </w:tcPr>
          <w:p>
            <w:pPr>
              <w:spacing w:after="0"/>
              <w:rPr>
                <w:sz w:val="1"/>
                <w:szCs w:val="1"/>
                <w:color w:val="auto"/>
              </w:rPr>
            </w:pPr>
          </w:p>
        </w:tc>
      </w:tr>
      <w:tr>
        <w:trPr>
          <w:trHeight w:val="69"/>
        </w:trPr>
        <w:tc>
          <w:tcPr>
            <w:tcW w:w="1600" w:type="dxa"/>
            <w:vAlign w:val="bottom"/>
            <w:gridSpan w:val="2"/>
          </w:tcPr>
          <w:p>
            <w:pPr>
              <w:spacing w:after="0" w:line="69" w:lineRule="exact"/>
              <w:rPr>
                <w:sz w:val="20"/>
                <w:szCs w:val="20"/>
                <w:color w:val="auto"/>
              </w:rPr>
            </w:pPr>
            <w:r>
              <w:rPr>
                <w:rFonts w:ascii="Arial" w:cs="Arial" w:eastAsia="Arial" w:hAnsi="Arial"/>
                <w:sz w:val="7"/>
                <w:szCs w:val="7"/>
                <w:b w:val="1"/>
                <w:bCs w:val="1"/>
                <w:color w:val="auto"/>
              </w:rPr>
              <w:t xml:space="preserve">Status: </w:t>
            </w:r>
            <w:r>
              <w:rPr>
                <w:rFonts w:ascii="Arial" w:cs="Arial" w:eastAsia="Arial" w:hAnsi="Arial"/>
                <w:sz w:val="7"/>
                <w:szCs w:val="7"/>
                <w:color w:val="auto"/>
              </w:rPr>
              <w:t>Independent</w:t>
            </w:r>
          </w:p>
        </w:tc>
        <w:tc>
          <w:tcPr>
            <w:tcW w:w="2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gridSpan w:val="5"/>
            <w:vMerge w:val="restart"/>
          </w:tcPr>
          <w:p>
            <w:pPr>
              <w:jc w:val="center"/>
              <w:ind w:left="330"/>
              <w:spacing w:after="0" w:line="120" w:lineRule="exact"/>
              <w:rPr>
                <w:sz w:val="20"/>
                <w:szCs w:val="20"/>
                <w:color w:val="auto"/>
              </w:rPr>
            </w:pPr>
            <w:r>
              <w:rPr>
                <w:rFonts w:ascii="Arial" w:cs="Arial" w:eastAsia="Arial" w:hAnsi="Arial"/>
                <w:sz w:val="11"/>
                <w:szCs w:val="11"/>
                <w:color w:val="auto"/>
                <w:w w:val="96"/>
              </w:rPr>
              <w:t>ATTENDANCE</w:t>
            </w:r>
          </w:p>
        </w:tc>
        <w:tc>
          <w:tcPr>
            <w:tcW w:w="3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460" w:type="dxa"/>
            <w:vAlign w:val="bottom"/>
            <w:tcBorders>
              <w:top w:val="single" w:sz="8" w:color="auto"/>
            </w:tcBorders>
            <w:gridSpan w:val="7"/>
            <w:vMerge w:val="restart"/>
          </w:tcPr>
          <w:p>
            <w:pPr>
              <w:spacing w:after="0" w:line="120" w:lineRule="exact"/>
              <w:rPr>
                <w:sz w:val="20"/>
                <w:szCs w:val="20"/>
                <w:color w:val="auto"/>
              </w:rPr>
            </w:pPr>
            <w:r>
              <w:rPr>
                <w:rFonts w:ascii="Arial" w:cs="Arial" w:eastAsia="Arial" w:hAnsi="Arial"/>
                <w:sz w:val="11"/>
                <w:szCs w:val="11"/>
                <w:color w:val="auto"/>
              </w:rPr>
              <w:t>TOTAL ATTENDANCE</w:t>
            </w:r>
          </w:p>
        </w:tc>
        <w:tc>
          <w:tcPr>
            <w:tcW w:w="0" w:type="dxa"/>
            <w:vAlign w:val="bottom"/>
          </w:tcPr>
          <w:p>
            <w:pPr>
              <w:spacing w:after="0"/>
              <w:rPr>
                <w:sz w:val="1"/>
                <w:szCs w:val="1"/>
                <w:color w:val="auto"/>
              </w:rPr>
            </w:pPr>
          </w:p>
        </w:tc>
      </w:tr>
      <w:tr>
        <w:trPr>
          <w:trHeight w:val="51"/>
        </w:trPr>
        <w:tc>
          <w:tcPr>
            <w:tcW w:w="16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Areas of Expertise:</w:t>
            </w:r>
          </w:p>
        </w:tc>
        <w:tc>
          <w:tcPr>
            <w:tcW w:w="440" w:type="dxa"/>
            <w:vAlign w:val="bottom"/>
            <w:gridSpan w:val="2"/>
            <w:vMerge w:val="restart"/>
          </w:tcPr>
          <w:p>
            <w:pPr>
              <w:spacing w:after="0"/>
              <w:rPr>
                <w:sz w:val="20"/>
                <w:szCs w:val="20"/>
                <w:color w:val="auto"/>
              </w:rPr>
            </w:pPr>
            <w:r>
              <w:rPr>
                <w:rFonts w:ascii="Arial" w:cs="Arial" w:eastAsia="Arial" w:hAnsi="Arial"/>
                <w:sz w:val="11"/>
                <w:szCs w:val="11"/>
                <w:color w:val="auto"/>
              </w:rPr>
              <w:t>Board</w:t>
            </w: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600" w:type="dxa"/>
            <w:vAlign w:val="bottom"/>
            <w:gridSpan w:val="2"/>
            <w:vMerge w:val="continue"/>
          </w:tcPr>
          <w:p>
            <w:pPr>
              <w:spacing w:after="0" w:line="20" w:lineRule="exact"/>
              <w:rPr>
                <w:sz w:val="1"/>
                <w:szCs w:val="1"/>
                <w:color w:val="auto"/>
              </w:rPr>
            </w:pPr>
          </w:p>
        </w:tc>
        <w:tc>
          <w:tcPr>
            <w:tcW w:w="440" w:type="dxa"/>
            <w:vAlign w:val="bottom"/>
            <w:gridSpan w:val="2"/>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gridSpan w:val="2"/>
            <w:vMerge w:val="continue"/>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gridSpan w:val="2"/>
          </w:tcPr>
          <w:p>
            <w:pPr>
              <w:jc w:val="center"/>
              <w:ind w:right="180"/>
              <w:spacing w:after="0" w:line="87" w:lineRule="exact"/>
              <w:rPr>
                <w:sz w:val="20"/>
                <w:szCs w:val="20"/>
                <w:color w:val="auto"/>
              </w:rPr>
            </w:pPr>
            <w:r>
              <w:rPr>
                <w:rFonts w:ascii="Arial" w:cs="Arial" w:eastAsia="Arial" w:hAnsi="Arial"/>
                <w:sz w:val="10"/>
                <w:szCs w:val="10"/>
                <w:color w:val="auto"/>
              </w:rPr>
              <w:t>8 of 8</w:t>
            </w:r>
          </w:p>
        </w:tc>
        <w:tc>
          <w:tcPr>
            <w:tcW w:w="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gridSpan w:val="2"/>
          </w:tcPr>
          <w:p>
            <w:pPr>
              <w:spacing w:after="0" w:line="87" w:lineRule="exact"/>
              <w:rPr>
                <w:sz w:val="20"/>
                <w:szCs w:val="20"/>
                <w:color w:val="auto"/>
              </w:rPr>
            </w:pPr>
            <w:r>
              <w:rPr>
                <w:rFonts w:ascii="Arial" w:cs="Arial" w:eastAsia="Arial" w:hAnsi="Arial"/>
                <w:sz w:val="10"/>
                <w:szCs w:val="10"/>
                <w:color w:val="auto"/>
              </w:rPr>
              <w:t>Board</w:t>
            </w:r>
          </w:p>
        </w:tc>
        <w:tc>
          <w:tcPr>
            <w:tcW w:w="420" w:type="dxa"/>
            <w:vAlign w:val="bottom"/>
          </w:tcPr>
          <w:p>
            <w:pPr>
              <w:spacing w:after="0"/>
              <w:rPr>
                <w:sz w:val="7"/>
                <w:szCs w:val="7"/>
                <w:color w:val="auto"/>
              </w:rPr>
            </w:pPr>
          </w:p>
        </w:tc>
        <w:tc>
          <w:tcPr>
            <w:tcW w:w="480" w:type="dxa"/>
            <w:vAlign w:val="bottom"/>
            <w:gridSpan w:val="3"/>
          </w:tcPr>
          <w:p>
            <w:pPr>
              <w:jc w:val="right"/>
              <w:ind w:right="151"/>
              <w:spacing w:after="0" w:line="87" w:lineRule="exact"/>
              <w:rPr>
                <w:sz w:val="20"/>
                <w:szCs w:val="20"/>
                <w:color w:val="auto"/>
              </w:rPr>
            </w:pPr>
            <w:r>
              <w:rPr>
                <w:rFonts w:ascii="Arial" w:cs="Arial" w:eastAsia="Arial" w:hAnsi="Arial"/>
                <w:sz w:val="10"/>
                <w:szCs w:val="10"/>
                <w:color w:val="auto"/>
              </w:rPr>
              <w:t>100%</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80" w:type="dxa"/>
            <w:vAlign w:val="bottom"/>
          </w:tcPr>
          <w:p>
            <w:pPr>
              <w:spacing w:after="0" w:line="110" w:lineRule="exact"/>
              <w:rPr>
                <w:sz w:val="20"/>
                <w:szCs w:val="20"/>
                <w:color w:val="auto"/>
              </w:rPr>
            </w:pPr>
            <w:r>
              <w:rPr>
                <w:rFonts w:ascii="Arial" w:cs="Arial" w:eastAsia="Arial" w:hAnsi="Arial"/>
                <w:sz w:val="11"/>
                <w:szCs w:val="11"/>
                <w:color w:val="auto"/>
              </w:rPr>
              <w:t>•</w:t>
            </w:r>
          </w:p>
        </w:tc>
        <w:tc>
          <w:tcPr>
            <w:tcW w:w="1520" w:type="dxa"/>
            <w:vAlign w:val="bottom"/>
          </w:tcPr>
          <w:p>
            <w:pPr>
              <w:ind w:left="20"/>
              <w:spacing w:after="0" w:line="110" w:lineRule="exact"/>
              <w:rPr>
                <w:sz w:val="20"/>
                <w:szCs w:val="20"/>
                <w:color w:val="auto"/>
              </w:rPr>
            </w:pPr>
            <w:r>
              <w:rPr>
                <w:rFonts w:ascii="Arial" w:cs="Arial" w:eastAsia="Arial" w:hAnsi="Arial"/>
                <w:sz w:val="11"/>
                <w:szCs w:val="11"/>
                <w:color w:val="auto"/>
              </w:rPr>
              <w:t>Executive Leadership</w:t>
            </w:r>
          </w:p>
        </w:tc>
        <w:tc>
          <w:tcPr>
            <w:tcW w:w="800" w:type="dxa"/>
            <w:vAlign w:val="bottom"/>
            <w:gridSpan w:val="3"/>
          </w:tcPr>
          <w:p>
            <w:pPr>
              <w:spacing w:after="0" w:line="110" w:lineRule="exact"/>
              <w:rPr>
                <w:sz w:val="20"/>
                <w:szCs w:val="20"/>
                <w:color w:val="auto"/>
              </w:rPr>
            </w:pPr>
            <w:r>
              <w:rPr>
                <w:rFonts w:ascii="Arial" w:cs="Arial" w:eastAsia="Arial" w:hAnsi="Arial"/>
                <w:sz w:val="11"/>
                <w:szCs w:val="11"/>
                <w:color w:val="auto"/>
                <w:w w:val="95"/>
              </w:rPr>
              <w:t>Audit Committee</w:t>
            </w: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gridSpan w:val="3"/>
          </w:tcPr>
          <w:p>
            <w:pPr>
              <w:jc w:val="center"/>
              <w:ind w:right="200"/>
              <w:spacing w:after="0" w:line="110" w:lineRule="exact"/>
              <w:rPr>
                <w:sz w:val="20"/>
                <w:szCs w:val="20"/>
                <w:color w:val="auto"/>
              </w:rPr>
            </w:pPr>
            <w:r>
              <w:rPr>
                <w:rFonts w:ascii="Arial" w:cs="Arial" w:eastAsia="Arial" w:hAnsi="Arial"/>
                <w:sz w:val="11"/>
                <w:szCs w:val="11"/>
                <w:color w:val="auto"/>
                <w:w w:val="94"/>
              </w:rPr>
              <w:t>6 of 6</w:t>
            </w: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gridSpan w:val="2"/>
          </w:tcPr>
          <w:p>
            <w:pPr>
              <w:spacing w:after="0" w:line="110" w:lineRule="exact"/>
              <w:rPr>
                <w:sz w:val="20"/>
                <w:szCs w:val="20"/>
                <w:color w:val="auto"/>
              </w:rPr>
            </w:pPr>
            <w:r>
              <w:rPr>
                <w:rFonts w:ascii="Arial" w:cs="Arial" w:eastAsia="Arial" w:hAnsi="Arial"/>
                <w:sz w:val="11"/>
                <w:szCs w:val="11"/>
                <w:color w:val="auto"/>
                <w:w w:val="93"/>
              </w:rPr>
              <w:t>Committee</w:t>
            </w:r>
          </w:p>
        </w:tc>
        <w:tc>
          <w:tcPr>
            <w:tcW w:w="420" w:type="dxa"/>
            <w:vAlign w:val="bottom"/>
          </w:tcPr>
          <w:p>
            <w:pPr>
              <w:spacing w:after="0"/>
              <w:rPr>
                <w:sz w:val="9"/>
                <w:szCs w:val="9"/>
                <w:color w:val="auto"/>
              </w:rPr>
            </w:pPr>
          </w:p>
        </w:tc>
        <w:tc>
          <w:tcPr>
            <w:tcW w:w="480" w:type="dxa"/>
            <w:vAlign w:val="bottom"/>
            <w:gridSpan w:val="3"/>
          </w:tcPr>
          <w:p>
            <w:pPr>
              <w:jc w:val="right"/>
              <w:ind w:right="151"/>
              <w:spacing w:after="0" w:line="110" w:lineRule="exact"/>
              <w:rPr>
                <w:sz w:val="20"/>
                <w:szCs w:val="20"/>
                <w:color w:val="auto"/>
              </w:rPr>
            </w:pPr>
            <w:r>
              <w:rPr>
                <w:rFonts w:ascii="Arial" w:cs="Arial" w:eastAsia="Arial" w:hAnsi="Arial"/>
                <w:sz w:val="11"/>
                <w:szCs w:val="11"/>
                <w:color w:val="auto"/>
                <w:w w:val="92"/>
              </w:rPr>
              <w:t>100%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0" w:type="dxa"/>
            <w:vAlign w:val="bottom"/>
          </w:tcPr>
          <w:p>
            <w:pPr>
              <w:spacing w:after="0" w:line="123" w:lineRule="exact"/>
              <w:rPr>
                <w:sz w:val="20"/>
                <w:szCs w:val="20"/>
                <w:color w:val="auto"/>
              </w:rPr>
            </w:pPr>
            <w:r>
              <w:rPr>
                <w:rFonts w:ascii="Arial" w:cs="Arial" w:eastAsia="Arial" w:hAnsi="Arial"/>
                <w:sz w:val="11"/>
                <w:szCs w:val="11"/>
                <w:color w:val="auto"/>
              </w:rPr>
              <w:t>•</w:t>
            </w:r>
          </w:p>
        </w:tc>
        <w:tc>
          <w:tcPr>
            <w:tcW w:w="1520" w:type="dxa"/>
            <w:vAlign w:val="bottom"/>
          </w:tcPr>
          <w:p>
            <w:pPr>
              <w:ind w:left="20"/>
              <w:spacing w:after="0" w:line="123" w:lineRule="exact"/>
              <w:rPr>
                <w:sz w:val="20"/>
                <w:szCs w:val="20"/>
                <w:color w:val="auto"/>
              </w:rPr>
            </w:pPr>
            <w:r>
              <w:rPr>
                <w:rFonts w:ascii="Arial" w:cs="Arial" w:eastAsia="Arial" w:hAnsi="Arial"/>
                <w:sz w:val="11"/>
                <w:szCs w:val="11"/>
                <w:color w:val="auto"/>
              </w:rPr>
              <w:t>Logistics &amp; e-Commerce</w:t>
            </w:r>
          </w:p>
        </w:tc>
        <w:tc>
          <w:tcPr>
            <w:tcW w:w="440" w:type="dxa"/>
            <w:vAlign w:val="bottom"/>
            <w:gridSpan w:val="2"/>
          </w:tcPr>
          <w:p>
            <w:pPr>
              <w:spacing w:after="0" w:line="123" w:lineRule="exact"/>
              <w:rPr>
                <w:sz w:val="20"/>
                <w:szCs w:val="20"/>
                <w:color w:val="auto"/>
              </w:rPr>
            </w:pPr>
            <w:r>
              <w:rPr>
                <w:rFonts w:ascii="Arial" w:cs="Arial" w:eastAsia="Arial" w:hAnsi="Arial"/>
                <w:sz w:val="11"/>
                <w:szCs w:val="11"/>
                <w:color w:val="auto"/>
              </w:rPr>
              <w:t>HRCC</w:t>
            </w: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gridSpan w:val="3"/>
          </w:tcPr>
          <w:p>
            <w:pPr>
              <w:jc w:val="center"/>
              <w:ind w:right="200"/>
              <w:spacing w:after="0" w:line="123" w:lineRule="exact"/>
              <w:rPr>
                <w:sz w:val="20"/>
                <w:szCs w:val="20"/>
                <w:color w:val="auto"/>
              </w:rPr>
            </w:pPr>
            <w:r>
              <w:rPr>
                <w:rFonts w:ascii="Arial" w:cs="Arial" w:eastAsia="Arial" w:hAnsi="Arial"/>
                <w:sz w:val="11"/>
                <w:szCs w:val="11"/>
                <w:color w:val="auto"/>
                <w:w w:val="94"/>
              </w:rPr>
              <w:t>6 of 6</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80" w:type="dxa"/>
            <w:vAlign w:val="bottom"/>
          </w:tcPr>
          <w:p>
            <w:pPr>
              <w:spacing w:after="0"/>
              <w:rPr>
                <w:sz w:val="11"/>
                <w:szCs w:val="11"/>
                <w:color w:val="auto"/>
              </w:rPr>
            </w:pPr>
          </w:p>
        </w:tc>
        <w:tc>
          <w:tcPr>
            <w:tcW w:w="1520" w:type="dxa"/>
            <w:vAlign w:val="bottom"/>
          </w:tcPr>
          <w:p>
            <w:pPr>
              <w:ind w:left="20"/>
              <w:spacing w:after="0"/>
              <w:rPr>
                <w:sz w:val="20"/>
                <w:szCs w:val="20"/>
                <w:color w:val="auto"/>
              </w:rPr>
            </w:pPr>
            <w:r>
              <w:rPr>
                <w:rFonts w:ascii="Arial" w:cs="Arial" w:eastAsia="Arial" w:hAnsi="Arial"/>
                <w:sz w:val="11"/>
                <w:szCs w:val="11"/>
                <w:color w:val="auto"/>
              </w:rPr>
              <w:t>Supply-Chain</w:t>
            </w:r>
          </w:p>
        </w:tc>
        <w:tc>
          <w:tcPr>
            <w:tcW w:w="440" w:type="dxa"/>
            <w:vAlign w:val="bottom"/>
            <w:tcBorders>
              <w:bottom w:val="single" w:sz="8" w:color="auto"/>
            </w:tcBorders>
            <w:gridSpan w:val="2"/>
          </w:tcPr>
          <w:p>
            <w:pPr>
              <w:spacing w:after="0" w:line="100" w:lineRule="exact"/>
              <w:rPr>
                <w:sz w:val="20"/>
                <w:szCs w:val="20"/>
                <w:color w:val="auto"/>
              </w:rPr>
            </w:pPr>
            <w:r>
              <w:rPr>
                <w:rFonts w:ascii="Arial" w:cs="Arial" w:eastAsia="Arial" w:hAnsi="Arial"/>
                <w:sz w:val="11"/>
                <w:szCs w:val="11"/>
                <w:color w:val="auto"/>
              </w:rPr>
              <w:t>NCGC</w:t>
            </w:r>
          </w:p>
        </w:tc>
        <w:tc>
          <w:tcPr>
            <w:tcW w:w="3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3"/>
          </w:tcPr>
          <w:p>
            <w:pPr>
              <w:jc w:val="center"/>
              <w:ind w:right="200"/>
              <w:spacing w:after="0" w:line="100" w:lineRule="exact"/>
              <w:rPr>
                <w:sz w:val="20"/>
                <w:szCs w:val="20"/>
                <w:color w:val="auto"/>
              </w:rPr>
            </w:pPr>
            <w:r>
              <w:rPr>
                <w:rFonts w:ascii="Arial" w:cs="Arial" w:eastAsia="Arial" w:hAnsi="Arial"/>
                <w:sz w:val="11"/>
                <w:szCs w:val="11"/>
                <w:color w:val="auto"/>
                <w:w w:val="94"/>
              </w:rPr>
              <w:t>3 of 3</w:t>
            </w: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0" w:type="dxa"/>
            <w:vAlign w:val="bottom"/>
          </w:tcPr>
          <w:p>
            <w:pPr>
              <w:spacing w:after="0"/>
              <w:rPr>
                <w:sz w:val="20"/>
                <w:szCs w:val="20"/>
                <w:color w:val="auto"/>
              </w:rPr>
            </w:pPr>
            <w:r>
              <w:rPr>
                <w:rFonts w:ascii="Arial" w:cs="Arial" w:eastAsia="Arial" w:hAnsi="Arial"/>
                <w:sz w:val="11"/>
                <w:szCs w:val="11"/>
                <w:color w:val="auto"/>
              </w:rPr>
              <w:t>•</w:t>
            </w:r>
          </w:p>
        </w:tc>
        <w:tc>
          <w:tcPr>
            <w:tcW w:w="1520" w:type="dxa"/>
            <w:vAlign w:val="bottom"/>
          </w:tcPr>
          <w:p>
            <w:pPr>
              <w:ind w:left="20"/>
              <w:spacing w:after="0"/>
              <w:rPr>
                <w:sz w:val="20"/>
                <w:szCs w:val="20"/>
                <w:color w:val="auto"/>
              </w:rPr>
            </w:pPr>
            <w:r>
              <w:rPr>
                <w:rFonts w:ascii="Arial" w:cs="Arial" w:eastAsia="Arial" w:hAnsi="Arial"/>
                <w:sz w:val="11"/>
                <w:szCs w:val="11"/>
                <w:color w:val="auto"/>
              </w:rPr>
              <w:t>Global Strategic Development</w:t>
            </w:r>
          </w:p>
        </w:tc>
        <w:tc>
          <w:tcPr>
            <w:tcW w:w="20" w:type="dxa"/>
            <w:vAlign w:val="bottom"/>
            <w:tcBorders>
              <w:bottom w:val="single" w:sz="8" w:color="auto"/>
            </w:tcBorders>
          </w:tcPr>
          <w:p>
            <w:pPr>
              <w:spacing w:after="0"/>
              <w:rPr>
                <w:sz w:val="11"/>
                <w:szCs w:val="11"/>
                <w:color w:val="auto"/>
              </w:rPr>
            </w:pPr>
          </w:p>
        </w:tc>
        <w:tc>
          <w:tcPr>
            <w:tcW w:w="420" w:type="dxa"/>
            <w:vAlign w:val="bottom"/>
            <w:tcBorders>
              <w:top w:val="single" w:sz="8" w:color="CCCCCC"/>
              <w:bottom w:val="single" w:sz="8" w:color="auto"/>
              <w:right w:val="single" w:sz="8" w:color="CCCCCC"/>
            </w:tcBorders>
            <w:shd w:val="clear" w:color="auto" w:fill="CCCCCC"/>
          </w:tcPr>
          <w:p>
            <w:pPr>
              <w:spacing w:after="0"/>
              <w:rPr>
                <w:sz w:val="11"/>
                <w:szCs w:val="11"/>
                <w:color w:val="auto"/>
              </w:rPr>
            </w:pPr>
          </w:p>
        </w:tc>
        <w:tc>
          <w:tcPr>
            <w:tcW w:w="360" w:type="dxa"/>
            <w:vAlign w:val="bottom"/>
            <w:tcBorders>
              <w:top w:val="single" w:sz="8" w:color="CCCCCC"/>
              <w:bottom w:val="single" w:sz="8" w:color="auto"/>
            </w:tcBorders>
            <w:shd w:val="clear" w:color="auto" w:fill="CCCCCC"/>
          </w:tcPr>
          <w:p>
            <w:pPr>
              <w:spacing w:after="0"/>
              <w:rPr>
                <w:sz w:val="11"/>
                <w:szCs w:val="11"/>
                <w:color w:val="auto"/>
              </w:rPr>
            </w:pPr>
          </w:p>
        </w:tc>
        <w:tc>
          <w:tcPr>
            <w:tcW w:w="60" w:type="dxa"/>
            <w:vAlign w:val="bottom"/>
            <w:tcBorders>
              <w:top w:val="single" w:sz="8" w:color="CCCCCC"/>
              <w:bottom w:val="single" w:sz="8" w:color="auto"/>
              <w:right w:val="single" w:sz="8" w:color="CCCCCC"/>
            </w:tcBorders>
            <w:shd w:val="clear" w:color="auto" w:fill="CCCCCC"/>
          </w:tcPr>
          <w:p>
            <w:pPr>
              <w:spacing w:after="0"/>
              <w:rPr>
                <w:sz w:val="11"/>
                <w:szCs w:val="11"/>
                <w:color w:val="auto"/>
              </w:rPr>
            </w:pPr>
          </w:p>
        </w:tc>
        <w:tc>
          <w:tcPr>
            <w:tcW w:w="360" w:type="dxa"/>
            <w:vAlign w:val="bottom"/>
            <w:tcBorders>
              <w:top w:val="single" w:sz="8" w:color="CCCCCC"/>
              <w:bottom w:val="single" w:sz="8" w:color="auto"/>
            </w:tcBorders>
            <w:shd w:val="clear" w:color="auto" w:fill="CCCCCC"/>
          </w:tcPr>
          <w:p>
            <w:pPr>
              <w:spacing w:after="0"/>
              <w:rPr>
                <w:sz w:val="11"/>
                <w:szCs w:val="11"/>
                <w:color w:val="auto"/>
              </w:rPr>
            </w:pPr>
          </w:p>
        </w:tc>
        <w:tc>
          <w:tcPr>
            <w:tcW w:w="200" w:type="dxa"/>
            <w:vAlign w:val="bottom"/>
            <w:tcBorders>
              <w:top w:val="single" w:sz="8" w:color="CCCCCC"/>
              <w:bottom w:val="single" w:sz="8" w:color="auto"/>
              <w:right w:val="single" w:sz="8" w:color="CCCCCC"/>
            </w:tcBorders>
            <w:shd w:val="clear" w:color="auto" w:fill="CCCCCC"/>
          </w:tcPr>
          <w:p>
            <w:pPr>
              <w:spacing w:after="0"/>
              <w:rPr>
                <w:sz w:val="11"/>
                <w:szCs w:val="11"/>
                <w:color w:val="auto"/>
              </w:rPr>
            </w:pPr>
          </w:p>
        </w:tc>
        <w:tc>
          <w:tcPr>
            <w:tcW w:w="1900" w:type="dxa"/>
            <w:vAlign w:val="bottom"/>
            <w:tcBorders>
              <w:top w:val="single" w:sz="8" w:color="CCCCCC"/>
              <w:bottom w:val="single" w:sz="8" w:color="auto"/>
            </w:tcBorders>
            <w:gridSpan w:val="9"/>
            <w:shd w:val="clear" w:color="auto" w:fill="CCCCCC"/>
          </w:tcPr>
          <w:p>
            <w:pPr>
              <w:ind w:left="120"/>
              <w:spacing w:after="0" w:line="133" w:lineRule="exact"/>
              <w:rPr>
                <w:sz w:val="20"/>
                <w:szCs w:val="20"/>
                <w:color w:val="auto"/>
              </w:rPr>
            </w:pPr>
            <w:r>
              <w:rPr>
                <w:rFonts w:ascii="Arial" w:cs="Arial" w:eastAsia="Arial" w:hAnsi="Arial"/>
                <w:sz w:val="11"/>
                <w:szCs w:val="11"/>
                <w:b w:val="1"/>
                <w:bCs w:val="1"/>
                <w:color w:val="auto"/>
                <w:w w:val="96"/>
              </w:rPr>
              <w:t>DIRECTOR SHARE OWNERSHIP</w:t>
            </w:r>
            <w:r>
              <w:rPr>
                <w:rFonts w:ascii="Arial" w:cs="Arial" w:eastAsia="Arial" w:hAnsi="Arial"/>
                <w:sz w:val="15"/>
                <w:szCs w:val="15"/>
                <w:b w:val="1"/>
                <w:bCs w:val="1"/>
                <w:color w:val="auto"/>
                <w:w w:val="96"/>
                <w:vertAlign w:val="superscript"/>
              </w:rPr>
              <w:t>(1)</w:t>
            </w:r>
          </w:p>
        </w:tc>
        <w:tc>
          <w:tcPr>
            <w:tcW w:w="460" w:type="dxa"/>
            <w:vAlign w:val="bottom"/>
            <w:tcBorders>
              <w:top w:val="single" w:sz="8" w:color="CCCCCC"/>
              <w:bottom w:val="single" w:sz="8" w:color="auto"/>
              <w:right w:val="single" w:sz="8" w:color="CCCCCC"/>
            </w:tcBorders>
            <w:shd w:val="clear" w:color="auto" w:fill="CCCCCC"/>
          </w:tcPr>
          <w:p>
            <w:pPr>
              <w:spacing w:after="0"/>
              <w:rPr>
                <w:sz w:val="11"/>
                <w:szCs w:val="11"/>
                <w:color w:val="auto"/>
              </w:rPr>
            </w:pPr>
          </w:p>
        </w:tc>
        <w:tc>
          <w:tcPr>
            <w:tcW w:w="60" w:type="dxa"/>
            <w:vAlign w:val="bottom"/>
            <w:tcBorders>
              <w:top w:val="single" w:sz="8" w:color="CCCCCC"/>
              <w:bottom w:val="single" w:sz="8" w:color="auto"/>
            </w:tcBorders>
            <w:shd w:val="clear" w:color="auto" w:fill="CCCCCC"/>
          </w:tcPr>
          <w:p>
            <w:pPr>
              <w:spacing w:after="0"/>
              <w:rPr>
                <w:sz w:val="11"/>
                <w:szCs w:val="11"/>
                <w:color w:val="auto"/>
              </w:rPr>
            </w:pPr>
          </w:p>
        </w:tc>
        <w:tc>
          <w:tcPr>
            <w:tcW w:w="420" w:type="dxa"/>
            <w:vAlign w:val="bottom"/>
            <w:tcBorders>
              <w:top w:val="single" w:sz="8" w:color="CCCCCC"/>
              <w:bottom w:val="single" w:sz="8" w:color="auto"/>
            </w:tcBorders>
            <w:shd w:val="clear" w:color="auto" w:fill="CCCCCC"/>
          </w:tcPr>
          <w:p>
            <w:pPr>
              <w:spacing w:after="0"/>
              <w:rPr>
                <w:sz w:val="11"/>
                <w:szCs w:val="11"/>
                <w:color w:val="auto"/>
              </w:rPr>
            </w:pPr>
          </w:p>
        </w:tc>
        <w:tc>
          <w:tcPr>
            <w:tcW w:w="100" w:type="dxa"/>
            <w:vAlign w:val="bottom"/>
            <w:tcBorders>
              <w:top w:val="single" w:sz="8" w:color="CCCCCC"/>
              <w:bottom w:val="single" w:sz="8" w:color="auto"/>
              <w:right w:val="single" w:sz="8" w:color="CCCCCC"/>
            </w:tcBorders>
            <w:shd w:val="clear" w:color="auto" w:fill="CCCCCC"/>
          </w:tcPr>
          <w:p>
            <w:pPr>
              <w:spacing w:after="0"/>
              <w:rPr>
                <w:sz w:val="11"/>
                <w:szCs w:val="11"/>
                <w:color w:val="auto"/>
              </w:rPr>
            </w:pPr>
          </w:p>
        </w:tc>
        <w:tc>
          <w:tcPr>
            <w:tcW w:w="60" w:type="dxa"/>
            <w:vAlign w:val="bottom"/>
            <w:tcBorders>
              <w:top w:val="single" w:sz="8" w:color="CCCCCC"/>
              <w:bottom w:val="single" w:sz="8" w:color="auto"/>
            </w:tcBorders>
            <w:shd w:val="clear" w:color="auto" w:fill="CCCCCC"/>
          </w:tcPr>
          <w:p>
            <w:pPr>
              <w:spacing w:after="0"/>
              <w:rPr>
                <w:sz w:val="11"/>
                <w:szCs w:val="11"/>
                <w:color w:val="auto"/>
              </w:rPr>
            </w:pPr>
          </w:p>
        </w:tc>
        <w:tc>
          <w:tcPr>
            <w:tcW w:w="320" w:type="dxa"/>
            <w:vAlign w:val="bottom"/>
            <w:tcBorders>
              <w:top w:val="single" w:sz="8" w:color="CCCCCC"/>
              <w:bottom w:val="single" w:sz="8" w:color="auto"/>
            </w:tcBorders>
            <w:shd w:val="clear" w:color="auto" w:fill="CCCCCC"/>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00" w:type="dxa"/>
            <w:vAlign w:val="bottom"/>
            <w:gridSpan w:val="2"/>
          </w:tcPr>
          <w:p>
            <w:pPr>
              <w:spacing w:after="0"/>
              <w:rPr>
                <w:sz w:val="20"/>
                <w:szCs w:val="20"/>
                <w:color w:val="auto"/>
              </w:rPr>
            </w:pPr>
            <w:r>
              <w:rPr>
                <w:rFonts w:ascii="Arial" w:cs="Arial" w:eastAsia="Arial" w:hAnsi="Arial"/>
                <w:sz w:val="11"/>
                <w:szCs w:val="11"/>
                <w:b w:val="1"/>
                <w:bCs w:val="1"/>
                <w:color w:val="auto"/>
              </w:rPr>
              <w:t>Other Current Public Board</w:t>
            </w:r>
          </w:p>
        </w:tc>
        <w:tc>
          <w:tcPr>
            <w:tcW w:w="20" w:type="dxa"/>
            <w:vAlign w:val="bottom"/>
          </w:tcPr>
          <w:p>
            <w:pPr>
              <w:spacing w:after="0"/>
              <w:rPr>
                <w:sz w:val="12"/>
                <w:szCs w:val="12"/>
                <w:color w:val="auto"/>
              </w:rPr>
            </w:pPr>
          </w:p>
        </w:tc>
        <w:tc>
          <w:tcPr>
            <w:tcW w:w="420" w:type="dxa"/>
            <w:vAlign w:val="bottom"/>
          </w:tcPr>
          <w:p>
            <w:pPr>
              <w:ind w:left="40"/>
              <w:spacing w:after="0"/>
              <w:rPr>
                <w:sz w:val="20"/>
                <w:szCs w:val="20"/>
                <w:color w:val="auto"/>
              </w:rPr>
            </w:pPr>
            <w:r>
              <w:rPr>
                <w:rFonts w:ascii="Arial" w:cs="Arial" w:eastAsia="Arial" w:hAnsi="Arial"/>
                <w:sz w:val="11"/>
                <w:szCs w:val="11"/>
                <w:b w:val="1"/>
                <w:bCs w:val="1"/>
                <w:color w:val="auto"/>
              </w:rPr>
              <w:t>As of</w:t>
            </w:r>
          </w:p>
        </w:tc>
        <w:tc>
          <w:tcPr>
            <w:tcW w:w="3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SVS</w:t>
            </w:r>
          </w:p>
        </w:tc>
        <w:tc>
          <w:tcPr>
            <w:tcW w:w="2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rPr>
              <w:t>DSUs</w:t>
            </w:r>
          </w:p>
        </w:tc>
        <w:tc>
          <w:tcPr>
            <w:tcW w:w="580" w:type="dxa"/>
            <w:vAlign w:val="bottom"/>
            <w:tcBorders>
              <w:bottom w:val="single" w:sz="8" w:color="auto"/>
            </w:tcBorders>
            <w:gridSpan w:val="3"/>
          </w:tcPr>
          <w:p>
            <w:pPr>
              <w:ind w:left="300"/>
              <w:spacing w:after="0"/>
              <w:rPr>
                <w:sz w:val="20"/>
                <w:szCs w:val="20"/>
                <w:color w:val="auto"/>
              </w:rPr>
            </w:pPr>
            <w:r>
              <w:rPr>
                <w:rFonts w:ascii="Arial" w:cs="Arial" w:eastAsia="Arial" w:hAnsi="Arial"/>
                <w:sz w:val="11"/>
                <w:szCs w:val="11"/>
                <w:b w:val="1"/>
                <w:bCs w:val="1"/>
                <w:color w:val="auto"/>
                <w:w w:val="88"/>
              </w:rPr>
              <w:t>RSUs</w:t>
            </w:r>
          </w:p>
        </w:tc>
        <w:tc>
          <w:tcPr>
            <w:tcW w:w="3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tcPr>
          <w:p>
            <w:pPr>
              <w:ind w:left="80"/>
              <w:spacing w:after="0"/>
              <w:rPr>
                <w:sz w:val="20"/>
                <w:szCs w:val="20"/>
                <w:color w:val="auto"/>
              </w:rPr>
            </w:pPr>
            <w:r>
              <w:rPr>
                <w:rFonts w:ascii="Arial" w:cs="Arial" w:eastAsia="Arial" w:hAnsi="Arial"/>
                <w:sz w:val="11"/>
                <w:szCs w:val="11"/>
                <w:b w:val="1"/>
                <w:bCs w:val="1"/>
                <w:color w:val="auto"/>
              </w:rPr>
              <w:t>Total</w:t>
            </w:r>
          </w:p>
        </w:tc>
        <w:tc>
          <w:tcPr>
            <w:tcW w:w="420" w:type="dxa"/>
            <w:vAlign w:val="bottom"/>
          </w:tcPr>
          <w:p>
            <w:pPr>
              <w:jc w:val="center"/>
              <w:spacing w:after="0"/>
              <w:rPr>
                <w:sz w:val="20"/>
                <w:szCs w:val="20"/>
                <w:color w:val="auto"/>
              </w:rPr>
            </w:pPr>
            <w:r>
              <w:rPr>
                <w:rFonts w:ascii="Arial" w:cs="Arial" w:eastAsia="Arial" w:hAnsi="Arial"/>
                <w:sz w:val="11"/>
                <w:szCs w:val="11"/>
                <w:b w:val="1"/>
                <w:bCs w:val="1"/>
                <w:color w:val="auto"/>
                <w:w w:val="91"/>
              </w:rPr>
              <w:t>Total</w:t>
            </w:r>
          </w:p>
        </w:tc>
        <w:tc>
          <w:tcPr>
            <w:tcW w:w="100" w:type="dxa"/>
            <w:vAlign w:val="bottom"/>
          </w:tcPr>
          <w:p>
            <w:pPr>
              <w:spacing w:after="0"/>
              <w:rPr>
                <w:sz w:val="12"/>
                <w:szCs w:val="12"/>
                <w:color w:val="auto"/>
              </w:rPr>
            </w:pPr>
          </w:p>
        </w:tc>
        <w:tc>
          <w:tcPr>
            <w:tcW w:w="42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9"/>
              </w:rPr>
              <w:t>Target</w:t>
            </w:r>
          </w:p>
        </w:tc>
        <w:tc>
          <w:tcPr>
            <w:tcW w:w="0" w:type="dxa"/>
            <w:vAlign w:val="bottom"/>
          </w:tcPr>
          <w:p>
            <w:pPr>
              <w:spacing w:after="0"/>
              <w:rPr>
                <w:sz w:val="1"/>
                <w:szCs w:val="1"/>
                <w:color w:val="auto"/>
              </w:rPr>
            </w:pPr>
          </w:p>
        </w:tc>
      </w:tr>
      <w:tr>
        <w:trPr>
          <w:trHeight w:val="104"/>
        </w:trPr>
        <w:tc>
          <w:tcPr>
            <w:tcW w:w="1600" w:type="dxa"/>
            <w:vAlign w:val="bottom"/>
            <w:gridSpan w:val="2"/>
          </w:tcPr>
          <w:p>
            <w:pPr>
              <w:spacing w:after="0" w:line="105" w:lineRule="exact"/>
              <w:rPr>
                <w:sz w:val="20"/>
                <w:szCs w:val="20"/>
                <w:color w:val="auto"/>
              </w:rPr>
            </w:pPr>
            <w:r>
              <w:rPr>
                <w:rFonts w:ascii="Arial" w:cs="Arial" w:eastAsia="Arial" w:hAnsi="Arial"/>
                <w:sz w:val="11"/>
                <w:szCs w:val="11"/>
                <w:b w:val="1"/>
                <w:bCs w:val="1"/>
                <w:color w:val="auto"/>
              </w:rPr>
              <w:t>Directorships:</w:t>
            </w:r>
          </w:p>
        </w:tc>
        <w:tc>
          <w:tcPr>
            <w:tcW w:w="20" w:type="dxa"/>
            <w:vAlign w:val="bottom"/>
          </w:tcPr>
          <w:p>
            <w:pPr>
              <w:spacing w:after="0"/>
              <w:rPr>
                <w:sz w:val="9"/>
                <w:szCs w:val="9"/>
                <w:color w:val="auto"/>
              </w:rPr>
            </w:pPr>
          </w:p>
        </w:tc>
        <w:tc>
          <w:tcPr>
            <w:tcW w:w="420" w:type="dxa"/>
            <w:vAlign w:val="bottom"/>
          </w:tcPr>
          <w:p>
            <w:pPr>
              <w:ind w:left="40"/>
              <w:spacing w:after="0" w:line="105" w:lineRule="exact"/>
              <w:rPr>
                <w:sz w:val="20"/>
                <w:szCs w:val="20"/>
                <w:color w:val="auto"/>
              </w:rPr>
            </w:pPr>
            <w:r>
              <w:rPr>
                <w:rFonts w:ascii="Arial" w:cs="Arial" w:eastAsia="Arial" w:hAnsi="Arial"/>
                <w:sz w:val="11"/>
                <w:szCs w:val="11"/>
                <w:b w:val="1"/>
                <w:bCs w:val="1"/>
                <w:color w:val="auto"/>
                <w:w w:val="88"/>
              </w:rPr>
              <w:t>Dec. 31</w:t>
            </w:r>
          </w:p>
        </w:tc>
        <w:tc>
          <w:tcPr>
            <w:tcW w:w="360" w:type="dxa"/>
            <w:vAlign w:val="bottom"/>
          </w:tcPr>
          <w:p>
            <w:pPr>
              <w:jc w:val="center"/>
              <w:ind w:left="11"/>
              <w:spacing w:after="0" w:line="105" w:lineRule="exact"/>
              <w:rPr>
                <w:sz w:val="20"/>
                <w:szCs w:val="20"/>
                <w:color w:val="auto"/>
              </w:rPr>
            </w:pPr>
            <w:r>
              <w:rPr>
                <w:rFonts w:ascii="Arial" w:cs="Arial" w:eastAsia="Arial" w:hAnsi="Arial"/>
                <w:sz w:val="11"/>
                <w:szCs w:val="11"/>
                <w:b w:val="1"/>
                <w:bCs w:val="1"/>
                <w:color w:val="auto"/>
                <w:w w:val="97"/>
              </w:rPr>
              <w:t>#</w:t>
            </w:r>
          </w:p>
        </w:tc>
        <w:tc>
          <w:tcPr>
            <w:tcW w:w="420" w:type="dxa"/>
            <w:vAlign w:val="bottom"/>
            <w:gridSpan w:val="2"/>
          </w:tcPr>
          <w:p>
            <w:pPr>
              <w:jc w:val="center"/>
              <w:ind w:left="209"/>
              <w:spacing w:after="0" w:line="105" w:lineRule="exact"/>
              <w:rPr>
                <w:sz w:val="20"/>
                <w:szCs w:val="20"/>
                <w:color w:val="auto"/>
              </w:rPr>
            </w:pPr>
            <w:r>
              <w:rPr>
                <w:rFonts w:ascii="Arial" w:cs="Arial" w:eastAsia="Arial" w:hAnsi="Arial"/>
                <w:sz w:val="10"/>
                <w:szCs w:val="10"/>
                <w:b w:val="1"/>
                <w:bCs w:val="1"/>
                <w:color w:val="auto"/>
                <w:w w:val="71"/>
              </w:rPr>
              <w:t>$</w:t>
            </w:r>
          </w:p>
        </w:tc>
        <w:tc>
          <w:tcPr>
            <w:tcW w:w="560" w:type="dxa"/>
            <w:vAlign w:val="bottom"/>
            <w:gridSpan w:val="2"/>
          </w:tcPr>
          <w:p>
            <w:pPr>
              <w:jc w:val="center"/>
              <w:ind w:left="209"/>
              <w:spacing w:after="0" w:line="105" w:lineRule="exact"/>
              <w:rPr>
                <w:sz w:val="20"/>
                <w:szCs w:val="20"/>
                <w:color w:val="auto"/>
              </w:rPr>
            </w:pPr>
            <w:r>
              <w:rPr>
                <w:rFonts w:ascii="Arial" w:cs="Arial" w:eastAsia="Arial" w:hAnsi="Arial"/>
                <w:sz w:val="11"/>
                <w:szCs w:val="11"/>
                <w:b w:val="1"/>
                <w:bCs w:val="1"/>
                <w:color w:val="auto"/>
                <w:w w:val="97"/>
              </w:rPr>
              <w:t>#</w:t>
            </w:r>
          </w:p>
        </w:tc>
        <w:tc>
          <w:tcPr>
            <w:tcW w:w="480" w:type="dxa"/>
            <w:vAlign w:val="bottom"/>
            <w:gridSpan w:val="2"/>
          </w:tcPr>
          <w:p>
            <w:pPr>
              <w:jc w:val="center"/>
              <w:ind w:left="169"/>
              <w:spacing w:after="0" w:line="105" w:lineRule="exact"/>
              <w:rPr>
                <w:sz w:val="20"/>
                <w:szCs w:val="20"/>
                <w:color w:val="auto"/>
              </w:rPr>
            </w:pPr>
            <w:r>
              <w:rPr>
                <w:rFonts w:ascii="Arial" w:cs="Arial" w:eastAsia="Arial" w:hAnsi="Arial"/>
                <w:sz w:val="11"/>
                <w:szCs w:val="11"/>
                <w:b w:val="1"/>
                <w:bCs w:val="1"/>
                <w:color w:val="auto"/>
                <w:w w:val="97"/>
              </w:rPr>
              <w:t>$</w:t>
            </w:r>
          </w:p>
        </w:tc>
        <w:tc>
          <w:tcPr>
            <w:tcW w:w="160" w:type="dxa"/>
            <w:vAlign w:val="bottom"/>
          </w:tcPr>
          <w:p>
            <w:pPr>
              <w:spacing w:after="0"/>
              <w:rPr>
                <w:sz w:val="9"/>
                <w:szCs w:val="9"/>
                <w:color w:val="auto"/>
              </w:rPr>
            </w:pPr>
          </w:p>
        </w:tc>
        <w:tc>
          <w:tcPr>
            <w:tcW w:w="440" w:type="dxa"/>
            <w:vAlign w:val="bottom"/>
          </w:tcPr>
          <w:p>
            <w:pPr>
              <w:jc w:val="center"/>
              <w:spacing w:after="0" w:line="105" w:lineRule="exact"/>
              <w:rPr>
                <w:sz w:val="20"/>
                <w:szCs w:val="20"/>
                <w:color w:val="auto"/>
              </w:rPr>
            </w:pPr>
            <w:r>
              <w:rPr>
                <w:rFonts w:ascii="Arial" w:cs="Arial" w:eastAsia="Arial" w:hAnsi="Arial"/>
                <w:sz w:val="11"/>
                <w:szCs w:val="11"/>
                <w:b w:val="1"/>
                <w:bCs w:val="1"/>
                <w:color w:val="auto"/>
                <w:w w:val="97"/>
              </w:rPr>
              <w:t>#</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jc w:val="center"/>
              <w:ind w:right="111"/>
              <w:spacing w:after="0" w:line="105" w:lineRule="exact"/>
              <w:rPr>
                <w:sz w:val="20"/>
                <w:szCs w:val="20"/>
                <w:color w:val="auto"/>
              </w:rPr>
            </w:pPr>
            <w:r>
              <w:rPr>
                <w:rFonts w:ascii="Arial" w:cs="Arial" w:eastAsia="Arial" w:hAnsi="Arial"/>
                <w:sz w:val="11"/>
                <w:szCs w:val="11"/>
                <w:b w:val="1"/>
                <w:bCs w:val="1"/>
                <w:color w:val="auto"/>
                <w:w w:val="97"/>
              </w:rPr>
              <w:t>$</w:t>
            </w:r>
          </w:p>
        </w:tc>
        <w:tc>
          <w:tcPr>
            <w:tcW w:w="20" w:type="dxa"/>
            <w:vAlign w:val="bottom"/>
          </w:tcPr>
          <w:p>
            <w:pPr>
              <w:spacing w:after="0"/>
              <w:rPr>
                <w:sz w:val="9"/>
                <w:szCs w:val="9"/>
                <w:color w:val="auto"/>
              </w:rPr>
            </w:pPr>
          </w:p>
        </w:tc>
        <w:tc>
          <w:tcPr>
            <w:tcW w:w="460" w:type="dxa"/>
            <w:vAlign w:val="bottom"/>
          </w:tcPr>
          <w:p>
            <w:pPr>
              <w:jc w:val="center"/>
              <w:spacing w:after="0" w:line="105" w:lineRule="exact"/>
              <w:rPr>
                <w:sz w:val="20"/>
                <w:szCs w:val="20"/>
                <w:color w:val="auto"/>
              </w:rPr>
            </w:pPr>
            <w:r>
              <w:rPr>
                <w:rFonts w:ascii="Arial" w:cs="Arial" w:eastAsia="Arial" w:hAnsi="Arial"/>
                <w:sz w:val="11"/>
                <w:szCs w:val="11"/>
                <w:b w:val="1"/>
                <w:bCs w:val="1"/>
                <w:color w:val="auto"/>
                <w:w w:val="97"/>
              </w:rPr>
              <w:t>#</w:t>
            </w:r>
          </w:p>
        </w:tc>
        <w:tc>
          <w:tcPr>
            <w:tcW w:w="60" w:type="dxa"/>
            <w:vAlign w:val="bottom"/>
          </w:tcPr>
          <w:p>
            <w:pPr>
              <w:spacing w:after="0"/>
              <w:rPr>
                <w:sz w:val="9"/>
                <w:szCs w:val="9"/>
                <w:color w:val="auto"/>
              </w:rPr>
            </w:pPr>
          </w:p>
        </w:tc>
        <w:tc>
          <w:tcPr>
            <w:tcW w:w="420" w:type="dxa"/>
            <w:vAlign w:val="bottom"/>
          </w:tcPr>
          <w:p>
            <w:pPr>
              <w:jc w:val="center"/>
              <w:spacing w:after="0" w:line="105" w:lineRule="exact"/>
              <w:rPr>
                <w:sz w:val="20"/>
                <w:szCs w:val="20"/>
                <w:color w:val="auto"/>
              </w:rPr>
            </w:pPr>
            <w:r>
              <w:rPr>
                <w:rFonts w:ascii="Arial" w:cs="Arial" w:eastAsia="Arial" w:hAnsi="Arial"/>
                <w:sz w:val="11"/>
                <w:szCs w:val="11"/>
                <w:b w:val="1"/>
                <w:bCs w:val="1"/>
                <w:color w:val="auto"/>
                <w:w w:val="81"/>
              </w:rPr>
              <w:t>Value</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gridSpan w:val="2"/>
          </w:tcPr>
          <w:p>
            <w:pPr>
              <w:jc w:val="center"/>
              <w:ind w:right="100"/>
              <w:spacing w:after="0" w:line="105" w:lineRule="exact"/>
              <w:rPr>
                <w:sz w:val="20"/>
                <w:szCs w:val="20"/>
                <w:color w:val="auto"/>
              </w:rPr>
            </w:pPr>
            <w:r>
              <w:rPr>
                <w:rFonts w:ascii="Arial" w:cs="Arial" w:eastAsia="Arial" w:hAnsi="Arial"/>
                <w:sz w:val="11"/>
                <w:szCs w:val="11"/>
                <w:b w:val="1"/>
                <w:bCs w:val="1"/>
                <w:color w:val="auto"/>
                <w:w w:val="94"/>
              </w:rPr>
              <w:t>Met</w:t>
            </w:r>
          </w:p>
        </w:tc>
        <w:tc>
          <w:tcPr>
            <w:tcW w:w="0" w:type="dxa"/>
            <w:vAlign w:val="bottom"/>
          </w:tcPr>
          <w:p>
            <w:pPr>
              <w:spacing w:after="0"/>
              <w:rPr>
                <w:sz w:val="1"/>
                <w:szCs w:val="1"/>
                <w:color w:val="auto"/>
              </w:rPr>
            </w:pPr>
          </w:p>
        </w:tc>
      </w:tr>
      <w:tr>
        <w:trPr>
          <w:trHeight w:val="55"/>
        </w:trPr>
        <w:tc>
          <w:tcPr>
            <w:tcW w:w="80" w:type="dxa"/>
            <w:vAlign w:val="bottom"/>
            <w:vMerge w:val="restart"/>
          </w:tcPr>
          <w:p>
            <w:pPr>
              <w:spacing w:after="0" w:line="122" w:lineRule="exact"/>
              <w:rPr>
                <w:sz w:val="20"/>
                <w:szCs w:val="20"/>
                <w:color w:val="auto"/>
              </w:rPr>
            </w:pPr>
            <w:r>
              <w:rPr>
                <w:rFonts w:ascii="Arial" w:cs="Arial" w:eastAsia="Arial" w:hAnsi="Arial"/>
                <w:sz w:val="11"/>
                <w:szCs w:val="11"/>
                <w:color w:val="auto"/>
              </w:rPr>
              <w:t>•</w:t>
            </w:r>
          </w:p>
        </w:tc>
        <w:tc>
          <w:tcPr>
            <w:tcW w:w="1520" w:type="dxa"/>
            <w:vAlign w:val="bottom"/>
            <w:vMerge w:val="restart"/>
          </w:tcPr>
          <w:p>
            <w:pPr>
              <w:ind w:left="20"/>
              <w:spacing w:after="0" w:line="122" w:lineRule="exact"/>
              <w:rPr>
                <w:sz w:val="20"/>
                <w:szCs w:val="20"/>
                <w:color w:val="auto"/>
              </w:rPr>
            </w:pPr>
            <w:r>
              <w:rPr>
                <w:rFonts w:ascii="Arial" w:cs="Arial" w:eastAsia="Arial" w:hAnsi="Arial"/>
                <w:sz w:val="11"/>
                <w:szCs w:val="11"/>
                <w:color w:val="auto"/>
              </w:rPr>
              <w:t>The North West</w:t>
            </w:r>
          </w:p>
        </w:tc>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8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44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2020</w:t>
            </w:r>
          </w:p>
        </w:tc>
        <w:tc>
          <w:tcPr>
            <w:tcW w:w="360" w:type="dxa"/>
            <w:vAlign w:val="bottom"/>
            <w:vMerge w:val="restart"/>
          </w:tcPr>
          <w:p>
            <w:pPr>
              <w:jc w:val="center"/>
              <w:ind w:left="11"/>
              <w:spacing w:after="0"/>
              <w:rPr>
                <w:sz w:val="20"/>
                <w:szCs w:val="20"/>
                <w:color w:val="auto"/>
              </w:rPr>
            </w:pPr>
            <w:r>
              <w:rPr>
                <w:rFonts w:ascii="Arial" w:cs="Arial" w:eastAsia="Arial" w:hAnsi="Arial"/>
                <w:sz w:val="10"/>
                <w:szCs w:val="10"/>
                <w:color w:val="auto"/>
                <w:w w:val="99"/>
              </w:rPr>
              <w:t>—</w:t>
            </w:r>
          </w:p>
        </w:tc>
        <w:tc>
          <w:tcPr>
            <w:tcW w:w="60" w:type="dxa"/>
            <w:vAlign w:val="bottom"/>
          </w:tcPr>
          <w:p>
            <w:pPr>
              <w:spacing w:after="0"/>
              <w:rPr>
                <w:sz w:val="4"/>
                <w:szCs w:val="4"/>
                <w:color w:val="auto"/>
              </w:rPr>
            </w:pPr>
          </w:p>
        </w:tc>
        <w:tc>
          <w:tcPr>
            <w:tcW w:w="360" w:type="dxa"/>
            <w:vAlign w:val="bottom"/>
            <w:vMerge w:val="restart"/>
          </w:tcPr>
          <w:p>
            <w:pPr>
              <w:jc w:val="center"/>
              <w:ind w:left="131"/>
              <w:spacing w:after="0"/>
              <w:rPr>
                <w:sz w:val="20"/>
                <w:szCs w:val="20"/>
                <w:color w:val="auto"/>
              </w:rPr>
            </w:pPr>
            <w:r>
              <w:rPr>
                <w:rFonts w:ascii="Arial" w:cs="Arial" w:eastAsia="Arial" w:hAnsi="Arial"/>
                <w:sz w:val="10"/>
                <w:szCs w:val="10"/>
                <w:color w:val="auto"/>
                <w:w w:val="99"/>
              </w:rPr>
              <w:t>—</w:t>
            </w:r>
          </w:p>
        </w:tc>
        <w:tc>
          <w:tcPr>
            <w:tcW w:w="560" w:type="dxa"/>
            <w:vAlign w:val="bottom"/>
            <w:gridSpan w:val="2"/>
            <w:vMerge w:val="restart"/>
          </w:tcPr>
          <w:p>
            <w:pPr>
              <w:jc w:val="center"/>
              <w:ind w:left="189"/>
              <w:spacing w:after="0"/>
              <w:rPr>
                <w:sz w:val="20"/>
                <w:szCs w:val="20"/>
                <w:color w:val="auto"/>
              </w:rPr>
            </w:pPr>
            <w:r>
              <w:rPr>
                <w:rFonts w:ascii="Arial" w:cs="Arial" w:eastAsia="Arial" w:hAnsi="Arial"/>
                <w:sz w:val="10"/>
                <w:szCs w:val="10"/>
                <w:color w:val="auto"/>
                <w:w w:val="91"/>
              </w:rPr>
              <w:t>48,816</w:t>
            </w:r>
          </w:p>
        </w:tc>
        <w:tc>
          <w:tcPr>
            <w:tcW w:w="640" w:type="dxa"/>
            <w:vAlign w:val="bottom"/>
            <w:gridSpan w:val="3"/>
            <w:vMerge w:val="restart"/>
          </w:tcPr>
          <w:p>
            <w:pPr>
              <w:jc w:val="center"/>
              <w:ind w:left="9"/>
              <w:spacing w:after="0"/>
              <w:rPr>
                <w:sz w:val="20"/>
                <w:szCs w:val="20"/>
                <w:color w:val="auto"/>
              </w:rPr>
            </w:pPr>
            <w:r>
              <w:rPr>
                <w:rFonts w:ascii="Arial" w:cs="Arial" w:eastAsia="Arial" w:hAnsi="Arial"/>
                <w:sz w:val="10"/>
                <w:szCs w:val="10"/>
                <w:color w:val="auto"/>
                <w:w w:val="91"/>
              </w:rPr>
              <w:t>$393,945</w:t>
            </w:r>
          </w:p>
        </w:tc>
        <w:tc>
          <w:tcPr>
            <w:tcW w:w="580" w:type="dxa"/>
            <w:vAlign w:val="bottom"/>
            <w:gridSpan w:val="3"/>
            <w:vMerge w:val="restart"/>
          </w:tcPr>
          <w:p>
            <w:pPr>
              <w:jc w:val="center"/>
              <w:ind w:right="160"/>
              <w:spacing w:after="0"/>
              <w:rPr>
                <w:sz w:val="20"/>
                <w:szCs w:val="20"/>
                <w:color w:val="auto"/>
              </w:rPr>
            </w:pPr>
            <w:r>
              <w:rPr>
                <w:rFonts w:ascii="Arial" w:cs="Arial" w:eastAsia="Arial" w:hAnsi="Arial"/>
                <w:sz w:val="10"/>
                <w:szCs w:val="10"/>
                <w:color w:val="auto"/>
                <w:w w:val="99"/>
              </w:rPr>
              <w:t>—</w:t>
            </w:r>
          </w:p>
        </w:tc>
        <w:tc>
          <w:tcPr>
            <w:tcW w:w="300" w:type="dxa"/>
            <w:vAlign w:val="bottom"/>
            <w:vMerge w:val="restart"/>
          </w:tcPr>
          <w:p>
            <w:pPr>
              <w:jc w:val="center"/>
              <w:ind w:right="111"/>
              <w:spacing w:after="0"/>
              <w:rPr>
                <w:sz w:val="20"/>
                <w:szCs w:val="20"/>
                <w:color w:val="auto"/>
              </w:rPr>
            </w:pPr>
            <w:r>
              <w:rPr>
                <w:rFonts w:ascii="Arial" w:cs="Arial" w:eastAsia="Arial" w:hAnsi="Arial"/>
                <w:sz w:val="10"/>
                <w:szCs w:val="10"/>
                <w:color w:val="auto"/>
                <w:w w:val="99"/>
              </w:rPr>
              <w:t>—</w:t>
            </w:r>
          </w:p>
        </w:tc>
        <w:tc>
          <w:tcPr>
            <w:tcW w:w="20" w:type="dxa"/>
            <w:vAlign w:val="bottom"/>
            <w:vMerge w:val="restart"/>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1520" w:type="dxa"/>
            <w:vAlign w:val="bottom"/>
          </w:tcPr>
          <w:p>
            <w:pPr>
              <w:ind w:left="20"/>
              <w:spacing w:after="0" w:line="83" w:lineRule="exact"/>
              <w:rPr>
                <w:sz w:val="20"/>
                <w:szCs w:val="20"/>
                <w:color w:val="auto"/>
              </w:rPr>
            </w:pPr>
            <w:r>
              <w:rPr>
                <w:rFonts w:ascii="Arial" w:cs="Arial" w:eastAsia="Arial" w:hAnsi="Arial"/>
                <w:sz w:val="8"/>
                <w:szCs w:val="8"/>
                <w:color w:val="auto"/>
              </w:rPr>
              <w:t>Company Inc. (since 2018)</w:t>
            </w:r>
          </w:p>
        </w:tc>
        <w:tc>
          <w:tcPr>
            <w:tcW w:w="440" w:type="dxa"/>
            <w:vAlign w:val="bottom"/>
            <w:tcBorders>
              <w:bottom w:val="single" w:sz="8" w:color="auto"/>
            </w:tcBorders>
            <w:gridSpan w:val="2"/>
            <w:vMerge w:val="continue"/>
          </w:tcPr>
          <w:p>
            <w:pPr>
              <w:spacing w:after="0"/>
              <w:rPr>
                <w:sz w:val="8"/>
                <w:szCs w:val="8"/>
                <w:color w:val="auto"/>
              </w:rPr>
            </w:pPr>
          </w:p>
        </w:tc>
        <w:tc>
          <w:tcPr>
            <w:tcW w:w="360" w:type="dxa"/>
            <w:vAlign w:val="bottom"/>
            <w:tcBorders>
              <w:bottom w:val="single" w:sz="8" w:color="auto"/>
            </w:tcBorders>
            <w:vMerge w:val="continue"/>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vMerge w:val="continue"/>
          </w:tcPr>
          <w:p>
            <w:pPr>
              <w:spacing w:after="0"/>
              <w:rPr>
                <w:sz w:val="8"/>
                <w:szCs w:val="8"/>
                <w:color w:val="auto"/>
              </w:rPr>
            </w:pPr>
          </w:p>
        </w:tc>
        <w:tc>
          <w:tcPr>
            <w:tcW w:w="560" w:type="dxa"/>
            <w:vAlign w:val="bottom"/>
            <w:tcBorders>
              <w:bottom w:val="single" w:sz="8" w:color="auto"/>
            </w:tcBorders>
            <w:gridSpan w:val="2"/>
            <w:vMerge w:val="continue"/>
          </w:tcPr>
          <w:p>
            <w:pPr>
              <w:spacing w:after="0"/>
              <w:rPr>
                <w:sz w:val="8"/>
                <w:szCs w:val="8"/>
                <w:color w:val="auto"/>
              </w:rPr>
            </w:pPr>
          </w:p>
        </w:tc>
        <w:tc>
          <w:tcPr>
            <w:tcW w:w="640" w:type="dxa"/>
            <w:vAlign w:val="bottom"/>
            <w:tcBorders>
              <w:bottom w:val="single" w:sz="8" w:color="auto"/>
            </w:tcBorders>
            <w:gridSpan w:val="3"/>
            <w:vMerge w:val="continue"/>
          </w:tcPr>
          <w:p>
            <w:pPr>
              <w:spacing w:after="0"/>
              <w:rPr>
                <w:sz w:val="8"/>
                <w:szCs w:val="8"/>
                <w:color w:val="auto"/>
              </w:rPr>
            </w:pPr>
          </w:p>
        </w:tc>
        <w:tc>
          <w:tcPr>
            <w:tcW w:w="580" w:type="dxa"/>
            <w:vAlign w:val="bottom"/>
            <w:tcBorders>
              <w:bottom w:val="single" w:sz="8" w:color="auto"/>
            </w:tcBorders>
            <w:gridSpan w:val="3"/>
            <w:vMerge w:val="continue"/>
          </w:tcPr>
          <w:p>
            <w:pPr>
              <w:spacing w:after="0"/>
              <w:rPr>
                <w:sz w:val="8"/>
                <w:szCs w:val="8"/>
                <w:color w:val="auto"/>
              </w:rPr>
            </w:pPr>
          </w:p>
        </w:tc>
        <w:tc>
          <w:tcPr>
            <w:tcW w:w="300" w:type="dxa"/>
            <w:vAlign w:val="bottom"/>
            <w:tcBorders>
              <w:bottom w:val="single" w:sz="8" w:color="auto"/>
            </w:tcBorders>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80" w:type="dxa"/>
            <w:vAlign w:val="bottom"/>
          </w:tcPr>
          <w:p>
            <w:pPr>
              <w:spacing w:after="0"/>
              <w:rPr>
                <w:sz w:val="20"/>
                <w:szCs w:val="20"/>
                <w:color w:val="auto"/>
              </w:rPr>
            </w:pPr>
            <w:r>
              <w:rPr>
                <w:rFonts w:ascii="Arial" w:cs="Arial" w:eastAsia="Arial" w:hAnsi="Arial"/>
                <w:sz w:val="11"/>
                <w:szCs w:val="11"/>
                <w:color w:val="auto"/>
              </w:rPr>
              <w:t>•</w:t>
            </w:r>
          </w:p>
        </w:tc>
        <w:tc>
          <w:tcPr>
            <w:tcW w:w="1520" w:type="dxa"/>
            <w:vAlign w:val="bottom"/>
          </w:tcPr>
          <w:p>
            <w:pPr>
              <w:ind w:left="20"/>
              <w:spacing w:after="0"/>
              <w:rPr>
                <w:sz w:val="20"/>
                <w:szCs w:val="20"/>
                <w:color w:val="auto"/>
              </w:rPr>
            </w:pPr>
            <w:r>
              <w:rPr>
                <w:rFonts w:ascii="Arial" w:cs="Arial" w:eastAsia="Arial" w:hAnsi="Arial"/>
                <w:sz w:val="11"/>
                <w:szCs w:val="11"/>
                <w:color w:val="auto"/>
              </w:rPr>
              <w:t>The Descartes Systems</w:t>
            </w:r>
          </w:p>
        </w:tc>
        <w:tc>
          <w:tcPr>
            <w:tcW w:w="440" w:type="dxa"/>
            <w:vAlign w:val="bottom"/>
            <w:tcBorders>
              <w:bottom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2019</w:t>
            </w:r>
          </w:p>
        </w:tc>
        <w:tc>
          <w:tcPr>
            <w:tcW w:w="360" w:type="dxa"/>
            <w:vAlign w:val="bottom"/>
            <w:tcBorders>
              <w:bottom w:val="single" w:sz="8" w:color="auto"/>
            </w:tcBorders>
          </w:tcPr>
          <w:p>
            <w:pPr>
              <w:jc w:val="center"/>
              <w:ind w:left="11"/>
              <w:spacing w:after="0"/>
              <w:rPr>
                <w:sz w:val="20"/>
                <w:szCs w:val="20"/>
                <w:color w:val="auto"/>
              </w:rPr>
            </w:pPr>
            <w:r>
              <w:rPr>
                <w:rFonts w:ascii="Arial" w:cs="Arial" w:eastAsia="Arial" w:hAnsi="Arial"/>
                <w:sz w:val="10"/>
                <w:szCs w:val="10"/>
                <w:color w:val="auto"/>
                <w:w w:val="99"/>
              </w:rPr>
              <w:t>—</w:t>
            </w: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center"/>
              <w:ind w:left="131"/>
              <w:spacing w:after="0"/>
              <w:rPr>
                <w:sz w:val="20"/>
                <w:szCs w:val="20"/>
                <w:color w:val="auto"/>
              </w:rPr>
            </w:pPr>
            <w:r>
              <w:rPr>
                <w:rFonts w:ascii="Arial" w:cs="Arial" w:eastAsia="Arial" w:hAnsi="Arial"/>
                <w:sz w:val="10"/>
                <w:szCs w:val="10"/>
                <w:color w:val="auto"/>
                <w:w w:val="99"/>
              </w:rPr>
              <w:t>—</w:t>
            </w:r>
          </w:p>
        </w:tc>
        <w:tc>
          <w:tcPr>
            <w:tcW w:w="560" w:type="dxa"/>
            <w:vAlign w:val="bottom"/>
            <w:tcBorders>
              <w:bottom w:val="single" w:sz="8" w:color="auto"/>
            </w:tcBorders>
            <w:gridSpan w:val="2"/>
          </w:tcPr>
          <w:p>
            <w:pPr>
              <w:jc w:val="center"/>
              <w:ind w:left="189"/>
              <w:spacing w:after="0"/>
              <w:rPr>
                <w:sz w:val="20"/>
                <w:szCs w:val="20"/>
                <w:color w:val="auto"/>
              </w:rPr>
            </w:pPr>
            <w:r>
              <w:rPr>
                <w:rFonts w:ascii="Arial" w:cs="Arial" w:eastAsia="Arial" w:hAnsi="Arial"/>
                <w:sz w:val="10"/>
                <w:szCs w:val="10"/>
                <w:color w:val="auto"/>
                <w:w w:val="91"/>
              </w:rPr>
              <w:t>28,227</w:t>
            </w:r>
          </w:p>
        </w:tc>
        <w:tc>
          <w:tcPr>
            <w:tcW w:w="640" w:type="dxa"/>
            <w:vAlign w:val="bottom"/>
            <w:tcBorders>
              <w:bottom w:val="single" w:sz="8" w:color="auto"/>
            </w:tcBorders>
            <w:gridSpan w:val="3"/>
          </w:tcPr>
          <w:p>
            <w:pPr>
              <w:jc w:val="center"/>
              <w:ind w:left="9"/>
              <w:spacing w:after="0"/>
              <w:rPr>
                <w:sz w:val="20"/>
                <w:szCs w:val="20"/>
                <w:color w:val="auto"/>
              </w:rPr>
            </w:pPr>
            <w:r>
              <w:rPr>
                <w:rFonts w:ascii="Arial" w:cs="Arial" w:eastAsia="Arial" w:hAnsi="Arial"/>
                <w:sz w:val="10"/>
                <w:szCs w:val="10"/>
                <w:color w:val="auto"/>
                <w:w w:val="91"/>
              </w:rPr>
              <w:t>$227,792</w:t>
            </w:r>
          </w:p>
        </w:tc>
        <w:tc>
          <w:tcPr>
            <w:tcW w:w="58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0"/>
                <w:szCs w:val="10"/>
                <w:color w:val="auto"/>
                <w:w w:val="99"/>
              </w:rPr>
              <w:t>—</w:t>
            </w:r>
          </w:p>
        </w:tc>
        <w:tc>
          <w:tcPr>
            <w:tcW w:w="300" w:type="dxa"/>
            <w:vAlign w:val="bottom"/>
            <w:tcBorders>
              <w:bottom w:val="single" w:sz="8" w:color="auto"/>
            </w:tcBorders>
          </w:tcPr>
          <w:p>
            <w:pPr>
              <w:jc w:val="center"/>
              <w:ind w:right="111"/>
              <w:spacing w:after="0"/>
              <w:rPr>
                <w:sz w:val="20"/>
                <w:szCs w:val="20"/>
                <w:color w:val="auto"/>
              </w:rPr>
            </w:pPr>
            <w:r>
              <w:rPr>
                <w:rFonts w:ascii="Arial" w:cs="Arial" w:eastAsia="Arial" w:hAnsi="Arial"/>
                <w:sz w:val="10"/>
                <w:szCs w:val="10"/>
                <w:color w:val="auto"/>
                <w:w w:val="99"/>
              </w:rPr>
              <w:t>—</w:t>
            </w:r>
          </w:p>
        </w:tc>
        <w:tc>
          <w:tcPr>
            <w:tcW w:w="20" w:type="dxa"/>
            <w:vAlign w:val="bottom"/>
          </w:tcPr>
          <w:p>
            <w:pPr>
              <w:spacing w:after="0"/>
              <w:rPr>
                <w:sz w:val="12"/>
                <w:szCs w:val="12"/>
                <w:color w:val="auto"/>
              </w:rPr>
            </w:pPr>
          </w:p>
        </w:tc>
        <w:tc>
          <w:tcPr>
            <w:tcW w:w="460" w:type="dxa"/>
            <w:vAlign w:val="bottom"/>
          </w:tcPr>
          <w:p>
            <w:pPr>
              <w:jc w:val="center"/>
              <w:ind w:right="9"/>
              <w:spacing w:after="0"/>
              <w:rPr>
                <w:sz w:val="20"/>
                <w:szCs w:val="20"/>
                <w:color w:val="auto"/>
              </w:rPr>
            </w:pPr>
            <w:r>
              <w:rPr>
                <w:rFonts w:ascii="Arial" w:cs="Arial" w:eastAsia="Arial" w:hAnsi="Arial"/>
                <w:sz w:val="10"/>
                <w:szCs w:val="10"/>
                <w:color w:val="auto"/>
                <w:w w:val="91"/>
              </w:rPr>
              <w:t>48,816</w:t>
            </w:r>
          </w:p>
        </w:tc>
        <w:tc>
          <w:tcPr>
            <w:tcW w:w="60" w:type="dxa"/>
            <w:vAlign w:val="bottom"/>
          </w:tcPr>
          <w:p>
            <w:pPr>
              <w:spacing w:after="0"/>
              <w:rPr>
                <w:sz w:val="12"/>
                <w:szCs w:val="12"/>
                <w:color w:val="auto"/>
              </w:rPr>
            </w:pPr>
          </w:p>
        </w:tc>
        <w:tc>
          <w:tcPr>
            <w:tcW w:w="420" w:type="dxa"/>
            <w:vAlign w:val="bottom"/>
          </w:tcPr>
          <w:p>
            <w:pPr>
              <w:jc w:val="center"/>
              <w:spacing w:after="0"/>
              <w:rPr>
                <w:sz w:val="20"/>
                <w:szCs w:val="20"/>
                <w:color w:val="auto"/>
              </w:rPr>
            </w:pPr>
            <w:r>
              <w:rPr>
                <w:rFonts w:ascii="Arial" w:cs="Arial" w:eastAsia="Arial" w:hAnsi="Arial"/>
                <w:sz w:val="10"/>
                <w:szCs w:val="10"/>
                <w:color w:val="auto"/>
                <w:w w:val="91"/>
              </w:rPr>
              <w:t>$393,945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gridSpan w:val="2"/>
          </w:tcPr>
          <w:p>
            <w:pPr>
              <w:jc w:val="center"/>
              <w:ind w:right="120"/>
              <w:spacing w:after="0"/>
              <w:rPr>
                <w:sz w:val="20"/>
                <w:szCs w:val="20"/>
                <w:color w:val="auto"/>
              </w:rPr>
            </w:pPr>
            <w:r>
              <w:rPr>
                <w:rFonts w:ascii="Arial" w:cs="Arial" w:eastAsia="Arial" w:hAnsi="Arial"/>
                <w:sz w:val="10"/>
                <w:szCs w:val="10"/>
                <w:color w:val="auto"/>
                <w:w w:val="92"/>
              </w:rPr>
              <w:t>Yes</w:t>
            </w: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1520" w:type="dxa"/>
            <w:vAlign w:val="bottom"/>
          </w:tcPr>
          <w:p>
            <w:pPr>
              <w:ind w:left="20"/>
              <w:spacing w:after="0" w:line="112" w:lineRule="exact"/>
              <w:rPr>
                <w:sz w:val="20"/>
                <w:szCs w:val="20"/>
                <w:color w:val="auto"/>
              </w:rPr>
            </w:pPr>
            <w:r>
              <w:rPr>
                <w:rFonts w:ascii="Arial" w:cs="Arial" w:eastAsia="Arial" w:hAnsi="Arial"/>
                <w:sz w:val="11"/>
                <w:szCs w:val="11"/>
                <w:color w:val="auto"/>
              </w:rPr>
              <w:t>Group Inc. (since 2020)</w:t>
            </w:r>
          </w:p>
        </w:tc>
        <w:tc>
          <w:tcPr>
            <w:tcW w:w="20" w:type="dxa"/>
            <w:vAlign w:val="bottom"/>
          </w:tcPr>
          <w:p>
            <w:pPr>
              <w:spacing w:after="0"/>
              <w:rPr>
                <w:sz w:val="12"/>
                <w:szCs w:val="12"/>
                <w:color w:val="auto"/>
              </w:rPr>
            </w:pPr>
          </w:p>
        </w:tc>
        <w:tc>
          <w:tcPr>
            <w:tcW w:w="420" w:type="dxa"/>
            <w:vAlign w:val="bottom"/>
          </w:tcPr>
          <w:p>
            <w:pPr>
              <w:ind w:left="40"/>
              <w:spacing w:after="0"/>
              <w:rPr>
                <w:sz w:val="20"/>
                <w:szCs w:val="20"/>
                <w:color w:val="auto"/>
              </w:rPr>
            </w:pPr>
            <w:r>
              <w:rPr>
                <w:rFonts w:ascii="Arial" w:cs="Arial" w:eastAsia="Arial" w:hAnsi="Arial"/>
                <w:sz w:val="10"/>
                <w:szCs w:val="10"/>
                <w:b w:val="1"/>
                <w:bCs w:val="1"/>
                <w:color w:val="auto"/>
                <w:w w:val="92"/>
              </w:rPr>
              <w:t>Change</w:t>
            </w:r>
          </w:p>
        </w:tc>
        <w:tc>
          <w:tcPr>
            <w:tcW w:w="360" w:type="dxa"/>
            <w:vAlign w:val="bottom"/>
          </w:tcPr>
          <w:p>
            <w:pPr>
              <w:jc w:val="center"/>
              <w:ind w:left="11"/>
              <w:spacing w:after="0"/>
              <w:rPr>
                <w:sz w:val="20"/>
                <w:szCs w:val="20"/>
                <w:color w:val="auto"/>
              </w:rPr>
            </w:pPr>
            <w:r>
              <w:rPr>
                <w:rFonts w:ascii="Arial" w:cs="Arial" w:eastAsia="Arial" w:hAnsi="Arial"/>
                <w:sz w:val="10"/>
                <w:szCs w:val="10"/>
                <w:color w:val="auto"/>
                <w:w w:val="99"/>
              </w:rPr>
              <w:t>—</w:t>
            </w:r>
          </w:p>
        </w:tc>
        <w:tc>
          <w:tcPr>
            <w:tcW w:w="60" w:type="dxa"/>
            <w:vAlign w:val="bottom"/>
          </w:tcPr>
          <w:p>
            <w:pPr>
              <w:spacing w:after="0"/>
              <w:rPr>
                <w:sz w:val="12"/>
                <w:szCs w:val="12"/>
                <w:color w:val="auto"/>
              </w:rPr>
            </w:pPr>
          </w:p>
        </w:tc>
        <w:tc>
          <w:tcPr>
            <w:tcW w:w="360" w:type="dxa"/>
            <w:vAlign w:val="bottom"/>
          </w:tcPr>
          <w:p>
            <w:pPr>
              <w:jc w:val="center"/>
              <w:ind w:left="131"/>
              <w:spacing w:after="0"/>
              <w:rPr>
                <w:sz w:val="20"/>
                <w:szCs w:val="20"/>
                <w:color w:val="auto"/>
              </w:rPr>
            </w:pPr>
            <w:r>
              <w:rPr>
                <w:rFonts w:ascii="Arial" w:cs="Arial" w:eastAsia="Arial" w:hAnsi="Arial"/>
                <w:sz w:val="10"/>
                <w:szCs w:val="10"/>
                <w:color w:val="auto"/>
                <w:w w:val="99"/>
              </w:rPr>
              <w:t>—</w:t>
            </w:r>
          </w:p>
        </w:tc>
        <w:tc>
          <w:tcPr>
            <w:tcW w:w="560" w:type="dxa"/>
            <w:vAlign w:val="bottom"/>
            <w:gridSpan w:val="2"/>
          </w:tcPr>
          <w:p>
            <w:pPr>
              <w:jc w:val="center"/>
              <w:ind w:left="189"/>
              <w:spacing w:after="0"/>
              <w:rPr>
                <w:sz w:val="20"/>
                <w:szCs w:val="20"/>
                <w:color w:val="auto"/>
              </w:rPr>
            </w:pPr>
            <w:r>
              <w:rPr>
                <w:rFonts w:ascii="Arial" w:cs="Arial" w:eastAsia="Arial" w:hAnsi="Arial"/>
                <w:sz w:val="10"/>
                <w:szCs w:val="10"/>
                <w:color w:val="auto"/>
                <w:w w:val="91"/>
              </w:rPr>
              <w:t>20,589</w:t>
            </w:r>
          </w:p>
        </w:tc>
        <w:tc>
          <w:tcPr>
            <w:tcW w:w="640" w:type="dxa"/>
            <w:vAlign w:val="bottom"/>
            <w:gridSpan w:val="3"/>
          </w:tcPr>
          <w:p>
            <w:pPr>
              <w:jc w:val="center"/>
              <w:ind w:left="9"/>
              <w:spacing w:after="0"/>
              <w:rPr>
                <w:sz w:val="20"/>
                <w:szCs w:val="20"/>
                <w:color w:val="auto"/>
              </w:rPr>
            </w:pPr>
            <w:r>
              <w:rPr>
                <w:rFonts w:ascii="Arial" w:cs="Arial" w:eastAsia="Arial" w:hAnsi="Arial"/>
                <w:sz w:val="10"/>
                <w:szCs w:val="10"/>
                <w:color w:val="auto"/>
                <w:w w:val="91"/>
              </w:rPr>
              <w:t>$166,153</w:t>
            </w:r>
          </w:p>
        </w:tc>
        <w:tc>
          <w:tcPr>
            <w:tcW w:w="580" w:type="dxa"/>
            <w:vAlign w:val="bottom"/>
            <w:gridSpan w:val="3"/>
          </w:tcPr>
          <w:p>
            <w:pPr>
              <w:jc w:val="center"/>
              <w:ind w:right="160"/>
              <w:spacing w:after="0"/>
              <w:rPr>
                <w:sz w:val="20"/>
                <w:szCs w:val="20"/>
                <w:color w:val="auto"/>
              </w:rPr>
            </w:pPr>
            <w:r>
              <w:rPr>
                <w:rFonts w:ascii="Arial" w:cs="Arial" w:eastAsia="Arial" w:hAnsi="Arial"/>
                <w:sz w:val="10"/>
                <w:szCs w:val="10"/>
                <w:color w:val="auto"/>
                <w:w w:val="99"/>
              </w:rPr>
              <w:t>—</w:t>
            </w:r>
          </w:p>
        </w:tc>
        <w:tc>
          <w:tcPr>
            <w:tcW w:w="320" w:type="dxa"/>
            <w:vAlign w:val="bottom"/>
            <w:gridSpan w:val="2"/>
          </w:tcPr>
          <w:p>
            <w:pPr>
              <w:jc w:val="center"/>
              <w:ind w:right="180"/>
              <w:spacing w:after="0"/>
              <w:rPr>
                <w:sz w:val="20"/>
                <w:szCs w:val="20"/>
                <w:color w:val="auto"/>
              </w:rPr>
            </w:pPr>
            <w:r>
              <w:rPr>
                <w:rFonts w:ascii="Arial" w:cs="Arial" w:eastAsia="Arial" w:hAnsi="Arial"/>
                <w:sz w:val="10"/>
                <w:szCs w:val="10"/>
                <w:color w:val="auto"/>
                <w:w w:val="99"/>
              </w:rPr>
              <w:t>—</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-650240</wp:posOffset>
            </wp:positionV>
            <wp:extent cx="3034030" cy="6699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034030" cy="66992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-4853940</wp:posOffset>
            </wp:positionV>
            <wp:extent cx="556260" cy="6889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6260" cy="68897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-2180590</wp:posOffset>
            </wp:positionV>
            <wp:extent cx="549910" cy="6889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9910" cy="688975"/>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1"/>
          <w:szCs w:val="11"/>
          <w:b w:val="1"/>
          <w:bCs w:val="1"/>
          <w:color w:val="auto"/>
        </w:rPr>
        <w:t>2020 Annual Meeting</w:t>
      </w:r>
    </w:p>
    <w:p>
      <w:pPr>
        <w:ind w:left="1320"/>
        <w:spacing w:after="0" w:line="236" w:lineRule="auto"/>
        <w:rPr>
          <w:sz w:val="20"/>
          <w:szCs w:val="20"/>
          <w:color w:val="auto"/>
        </w:rPr>
      </w:pPr>
      <w:r>
        <w:rPr>
          <w:rFonts w:ascii="Arial" w:cs="Arial" w:eastAsia="Arial" w:hAnsi="Arial"/>
          <w:sz w:val="11"/>
          <w:szCs w:val="11"/>
          <w:color w:val="auto"/>
        </w:rPr>
        <w:t>Votes in Favour: 99.05%</w:t>
      </w:r>
    </w:p>
    <w:p>
      <w:pPr>
        <w:ind w:left="1320"/>
        <w:spacing w:after="0"/>
        <w:rPr>
          <w:sz w:val="20"/>
          <w:szCs w:val="20"/>
          <w:color w:val="auto"/>
        </w:rPr>
      </w:pPr>
      <w:r>
        <w:rPr>
          <w:rFonts w:ascii="Arial" w:cs="Arial" w:eastAsia="Arial" w:hAnsi="Arial"/>
          <w:sz w:val="11"/>
          <w:szCs w:val="11"/>
          <w:color w:val="auto"/>
        </w:rPr>
        <w:t>Votes Withheld: 0.95%</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 w:name="page20"/>
    <w:bookmarkEnd w:id="19"/>
    <w:p>
      <w:pPr>
        <w:ind w:left="560"/>
        <w:spacing w:after="0"/>
        <w:rPr>
          <w:rFonts w:ascii="Arial" w:cs="Arial" w:eastAsia="Arial" w:hAnsi="Arial"/>
          <w:sz w:val="10"/>
          <w:szCs w:val="10"/>
          <w:color w:val="003366"/>
        </w:rPr>
      </w:pPr>
      <w:hyperlink w:anchor="page7">
        <w:r>
          <w:rPr>
            <w:rFonts w:ascii="Arial" w:cs="Arial" w:eastAsia="Arial" w:hAnsi="Arial"/>
            <w:sz w:val="10"/>
            <w:szCs w:val="10"/>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367030</wp:posOffset>
            </wp:positionV>
            <wp:extent cx="4045585"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045585" cy="635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320"/>
        <w:spacing w:after="0"/>
        <w:rPr>
          <w:sz w:val="20"/>
          <w:szCs w:val="20"/>
          <w:color w:val="auto"/>
        </w:rPr>
      </w:pPr>
      <w:r>
        <w:rPr>
          <w:rFonts w:ascii="Arial" w:cs="Arial" w:eastAsia="Arial" w:hAnsi="Arial"/>
          <w:sz w:val="11"/>
          <w:szCs w:val="11"/>
          <w:b w:val="1"/>
          <w:bCs w:val="1"/>
          <w:color w:val="auto"/>
        </w:rPr>
        <w:t>Daniel P. DiMaggio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-795655</wp:posOffset>
            </wp:positionV>
            <wp:extent cx="556260" cy="6889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6260" cy="688975"/>
                    </a:xfrm>
                    <a:prstGeom prst="rect">
                      <a:avLst/>
                    </a:prstGeom>
                    <a:noFill/>
                  </pic:spPr>
                </pic:pic>
              </a:graphicData>
            </a:graphic>
          </wp:anchor>
        </w:drawing>
      </w:r>
    </w:p>
    <w:p>
      <w:pPr>
        <w:ind w:left="1320"/>
        <w:spacing w:after="0" w:line="236" w:lineRule="auto"/>
        <w:rPr>
          <w:sz w:val="20"/>
          <w:szCs w:val="20"/>
          <w:color w:val="auto"/>
        </w:rPr>
      </w:pPr>
      <w:r>
        <w:rPr>
          <w:rFonts w:ascii="Arial" w:cs="Arial" w:eastAsia="Arial" w:hAnsi="Arial"/>
          <w:sz w:val="11"/>
          <w:szCs w:val="11"/>
          <w:color w:val="auto"/>
        </w:rPr>
        <w:t>Duluth, Georgia</w:t>
      </w:r>
    </w:p>
    <w:p>
      <w:pPr>
        <w:ind w:left="1320"/>
        <w:spacing w:after="0"/>
        <w:rPr>
          <w:sz w:val="20"/>
          <w:szCs w:val="20"/>
          <w:color w:val="auto"/>
        </w:rPr>
      </w:pPr>
      <w:r>
        <w:rPr>
          <w:rFonts w:ascii="Arial" w:cs="Arial" w:eastAsia="Arial" w:hAnsi="Arial"/>
          <w:sz w:val="11"/>
          <w:szCs w:val="11"/>
          <w:color w:val="auto"/>
        </w:rPr>
        <w:t>U.S.</w:t>
      </w:r>
    </w:p>
    <w:p>
      <w:pPr>
        <w:spacing w:after="0" w:line="31" w:lineRule="exact"/>
        <w:rPr>
          <w:sz w:val="20"/>
          <w:szCs w:val="20"/>
          <w:color w:val="auto"/>
        </w:rPr>
      </w:pPr>
    </w:p>
    <w:p>
      <w:pPr>
        <w:ind w:left="1320"/>
        <w:spacing w:after="0"/>
        <w:rPr>
          <w:sz w:val="20"/>
          <w:szCs w:val="20"/>
          <w:color w:val="auto"/>
        </w:rPr>
      </w:pPr>
      <w:r>
        <w:rPr>
          <w:rFonts w:ascii="Arial" w:cs="Arial" w:eastAsia="Arial" w:hAnsi="Arial"/>
          <w:sz w:val="11"/>
          <w:szCs w:val="11"/>
          <w:b w:val="1"/>
          <w:bCs w:val="1"/>
          <w:color w:val="auto"/>
        </w:rPr>
        <w:t xml:space="preserve">Director Since: </w:t>
      </w:r>
      <w:r>
        <w:rPr>
          <w:rFonts w:ascii="Arial" w:cs="Arial" w:eastAsia="Arial" w:hAnsi="Arial"/>
          <w:sz w:val="11"/>
          <w:szCs w:val="11"/>
          <w:color w:val="auto"/>
        </w:rPr>
        <w:t>2010</w:t>
      </w:r>
    </w:p>
    <w:p>
      <w:pPr>
        <w:ind w:left="1320"/>
        <w:spacing w:after="0" w:line="236" w:lineRule="auto"/>
        <w:rPr>
          <w:sz w:val="20"/>
          <w:szCs w:val="20"/>
          <w:color w:val="auto"/>
        </w:rPr>
      </w:pPr>
      <w:r>
        <w:rPr>
          <w:rFonts w:ascii="Arial" w:cs="Arial" w:eastAsia="Arial" w:hAnsi="Arial"/>
          <w:sz w:val="11"/>
          <w:szCs w:val="11"/>
          <w:b w:val="1"/>
          <w:bCs w:val="1"/>
          <w:color w:val="auto"/>
        </w:rPr>
        <w:t xml:space="preserve">Age: </w:t>
      </w:r>
      <w:r>
        <w:rPr>
          <w:rFonts w:ascii="Arial" w:cs="Arial" w:eastAsia="Arial" w:hAnsi="Arial"/>
          <w:sz w:val="11"/>
          <w:szCs w:val="11"/>
          <w:color w:val="auto"/>
        </w:rPr>
        <w:t>70</w:t>
      </w:r>
    </w:p>
    <w:p>
      <w:pPr>
        <w:ind w:left="1320"/>
        <w:spacing w:after="0"/>
        <w:rPr>
          <w:sz w:val="20"/>
          <w:szCs w:val="20"/>
          <w:color w:val="auto"/>
        </w:rPr>
      </w:pPr>
      <w:r>
        <w:rPr>
          <w:rFonts w:ascii="Arial" w:cs="Arial" w:eastAsia="Arial" w:hAnsi="Arial"/>
          <w:sz w:val="11"/>
          <w:szCs w:val="11"/>
          <w:b w:val="1"/>
          <w:bCs w:val="1"/>
          <w:color w:val="auto"/>
        </w:rPr>
        <w:t xml:space="preserve">Status: </w:t>
      </w:r>
      <w:r>
        <w:rPr>
          <w:rFonts w:ascii="Arial" w:cs="Arial" w:eastAsia="Arial" w:hAnsi="Arial"/>
          <w:sz w:val="11"/>
          <w:szCs w:val="11"/>
          <w:color w:val="auto"/>
        </w:rPr>
        <w:t>Independent</w:t>
      </w:r>
    </w:p>
    <w:p>
      <w:pPr>
        <w:spacing w:after="0" w:line="41" w:lineRule="exact"/>
        <w:rPr>
          <w:sz w:val="20"/>
          <w:szCs w:val="20"/>
          <w:color w:val="auto"/>
        </w:rPr>
      </w:pPr>
    </w:p>
    <w:p>
      <w:pPr>
        <w:ind w:left="1320"/>
        <w:spacing w:after="0"/>
        <w:rPr>
          <w:sz w:val="20"/>
          <w:szCs w:val="20"/>
          <w:color w:val="auto"/>
        </w:rPr>
      </w:pPr>
      <w:r>
        <w:rPr>
          <w:rFonts w:ascii="Arial" w:cs="Arial" w:eastAsia="Arial" w:hAnsi="Arial"/>
          <w:sz w:val="11"/>
          <w:szCs w:val="11"/>
          <w:b w:val="1"/>
          <w:bCs w:val="1"/>
          <w:color w:val="auto"/>
        </w:rPr>
        <w:t>Areas of Expertise:</w:t>
      </w:r>
    </w:p>
    <w:p>
      <w:pPr>
        <w:spacing w:after="0" w:line="5" w:lineRule="exact"/>
        <w:rPr>
          <w:sz w:val="20"/>
          <w:szCs w:val="20"/>
          <w:color w:val="auto"/>
        </w:rPr>
      </w:pPr>
    </w:p>
    <w:p>
      <w:pPr>
        <w:ind w:left="1420" w:hanging="97"/>
        <w:spacing w:after="0"/>
        <w:tabs>
          <w:tab w:leader="none" w:pos="1420" w:val="left"/>
        </w:tabs>
        <w:numPr>
          <w:ilvl w:val="0"/>
          <w:numId w:val="41"/>
        </w:numPr>
        <w:rPr>
          <w:rFonts w:ascii="Arial" w:cs="Arial" w:eastAsia="Arial" w:hAnsi="Arial"/>
          <w:sz w:val="11"/>
          <w:szCs w:val="11"/>
          <w:color w:val="auto"/>
        </w:rPr>
      </w:pPr>
      <w:r>
        <w:rPr>
          <w:rFonts w:ascii="Arial" w:cs="Arial" w:eastAsia="Arial" w:hAnsi="Arial"/>
          <w:sz w:val="11"/>
          <w:szCs w:val="11"/>
          <w:color w:val="auto"/>
        </w:rPr>
        <w:t>Executive Leadership</w:t>
      </w:r>
    </w:p>
    <w:p>
      <w:pPr>
        <w:ind w:left="1420" w:right="120" w:hanging="97"/>
        <w:spacing w:after="0" w:line="245" w:lineRule="auto"/>
        <w:tabs>
          <w:tab w:leader="none" w:pos="1420" w:val="left"/>
        </w:tabs>
        <w:numPr>
          <w:ilvl w:val="0"/>
          <w:numId w:val="41"/>
        </w:numPr>
        <w:rPr>
          <w:rFonts w:ascii="Arial" w:cs="Arial" w:eastAsia="Arial" w:hAnsi="Arial"/>
          <w:sz w:val="11"/>
          <w:szCs w:val="11"/>
          <w:color w:val="auto"/>
        </w:rPr>
      </w:pPr>
      <w:r>
        <w:rPr>
          <w:rFonts w:ascii="Arial" w:cs="Arial" w:eastAsia="Arial" w:hAnsi="Arial"/>
          <w:sz w:val="11"/>
          <w:szCs w:val="11"/>
          <w:color w:val="auto"/>
        </w:rPr>
        <w:t>Global Operations and Supply Chain</w:t>
      </w:r>
    </w:p>
    <w:p>
      <w:pPr>
        <w:ind w:left="1420" w:hanging="97"/>
        <w:spacing w:after="0"/>
        <w:tabs>
          <w:tab w:leader="none" w:pos="1420" w:val="left"/>
        </w:tabs>
        <w:numPr>
          <w:ilvl w:val="0"/>
          <w:numId w:val="41"/>
        </w:numPr>
        <w:rPr>
          <w:rFonts w:ascii="Arial" w:cs="Arial" w:eastAsia="Arial" w:hAnsi="Arial"/>
          <w:sz w:val="11"/>
          <w:szCs w:val="11"/>
          <w:color w:val="auto"/>
        </w:rPr>
      </w:pPr>
      <w:r>
        <w:rPr>
          <w:rFonts w:ascii="Arial" w:cs="Arial" w:eastAsia="Arial" w:hAnsi="Arial"/>
          <w:sz w:val="11"/>
          <w:szCs w:val="11"/>
          <w:color w:val="auto"/>
        </w:rPr>
        <w:t>Financial Literacy</w:t>
      </w:r>
    </w:p>
    <w:p>
      <w:pPr>
        <w:spacing w:after="0" w:line="34" w:lineRule="exact"/>
        <w:rPr>
          <w:sz w:val="20"/>
          <w:szCs w:val="20"/>
          <w:color w:val="auto"/>
        </w:rPr>
      </w:pPr>
    </w:p>
    <w:p>
      <w:pPr>
        <w:ind w:left="1320"/>
        <w:spacing w:after="0"/>
        <w:rPr>
          <w:sz w:val="20"/>
          <w:szCs w:val="20"/>
          <w:color w:val="auto"/>
        </w:rPr>
      </w:pPr>
      <w:r>
        <w:rPr>
          <w:rFonts w:ascii="Arial" w:cs="Arial" w:eastAsia="Arial" w:hAnsi="Arial"/>
          <w:sz w:val="8"/>
          <w:szCs w:val="8"/>
          <w:b w:val="1"/>
          <w:bCs w:val="1"/>
          <w:color w:val="auto"/>
        </w:rPr>
        <w:t>Other Current Public Board</w:t>
      </w:r>
    </w:p>
    <w:p>
      <w:pPr>
        <w:spacing w:after="0" w:line="39" w:lineRule="exact"/>
        <w:rPr>
          <w:sz w:val="20"/>
          <w:szCs w:val="20"/>
          <w:color w:val="auto"/>
        </w:rPr>
      </w:pPr>
    </w:p>
    <w:p>
      <w:pPr>
        <w:ind w:left="1320"/>
        <w:spacing w:after="0"/>
        <w:rPr>
          <w:sz w:val="20"/>
          <w:szCs w:val="20"/>
          <w:color w:val="auto"/>
        </w:rPr>
      </w:pPr>
      <w:r>
        <w:rPr>
          <w:rFonts w:ascii="Arial" w:cs="Arial" w:eastAsia="Arial" w:hAnsi="Arial"/>
          <w:sz w:val="11"/>
          <w:szCs w:val="11"/>
          <w:b w:val="1"/>
          <w:bCs w:val="1"/>
          <w:color w:val="auto"/>
        </w:rPr>
        <w:t xml:space="preserve">Directorships: </w:t>
      </w:r>
      <w:r>
        <w:rPr>
          <w:rFonts w:ascii="Arial" w:cs="Arial" w:eastAsia="Arial" w:hAnsi="Arial"/>
          <w:sz w:val="11"/>
          <w:szCs w:val="11"/>
          <w:color w:val="auto"/>
        </w:rPr>
        <w:t>None</w:t>
      </w:r>
    </w:p>
    <w:p>
      <w:pPr>
        <w:spacing w:after="0" w:line="41" w:lineRule="exact"/>
        <w:rPr>
          <w:sz w:val="20"/>
          <w:szCs w:val="20"/>
          <w:color w:val="auto"/>
        </w:rPr>
      </w:pPr>
    </w:p>
    <w:p>
      <w:pPr>
        <w:ind w:left="1320"/>
        <w:spacing w:after="0"/>
        <w:rPr>
          <w:sz w:val="20"/>
          <w:szCs w:val="20"/>
          <w:color w:val="auto"/>
        </w:rPr>
      </w:pPr>
      <w:r>
        <w:rPr>
          <w:rFonts w:ascii="Arial" w:cs="Arial" w:eastAsia="Arial" w:hAnsi="Arial"/>
          <w:sz w:val="11"/>
          <w:szCs w:val="11"/>
          <w:b w:val="1"/>
          <w:bCs w:val="1"/>
          <w:color w:val="auto"/>
        </w:rPr>
        <w:t>2020 Annual Meeting</w:t>
      </w:r>
    </w:p>
    <w:p>
      <w:pPr>
        <w:ind w:left="1320"/>
        <w:spacing w:after="0" w:line="236" w:lineRule="auto"/>
        <w:rPr>
          <w:sz w:val="20"/>
          <w:szCs w:val="20"/>
          <w:color w:val="auto"/>
        </w:rPr>
      </w:pPr>
      <w:r>
        <w:rPr>
          <w:rFonts w:ascii="Arial" w:cs="Arial" w:eastAsia="Arial" w:hAnsi="Arial"/>
          <w:sz w:val="11"/>
          <w:szCs w:val="11"/>
          <w:color w:val="auto"/>
        </w:rPr>
        <w:t>Votes in Favour: 98.94%</w:t>
      </w:r>
    </w:p>
    <w:p>
      <w:pPr>
        <w:ind w:left="1320"/>
        <w:spacing w:after="0"/>
        <w:rPr>
          <w:sz w:val="20"/>
          <w:szCs w:val="20"/>
          <w:color w:val="auto"/>
        </w:rPr>
      </w:pPr>
      <w:r>
        <w:rPr>
          <w:rFonts w:ascii="Arial" w:cs="Arial" w:eastAsia="Arial" w:hAnsi="Arial"/>
          <w:sz w:val="11"/>
          <w:szCs w:val="11"/>
          <w:color w:val="auto"/>
        </w:rPr>
        <w:t>Votes Withheld: 1.06%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right="1319"/>
        <w:spacing w:after="0" w:line="247" w:lineRule="auto"/>
        <w:rPr>
          <w:sz w:val="20"/>
          <w:szCs w:val="20"/>
          <w:color w:val="auto"/>
        </w:rPr>
      </w:pPr>
      <w:r>
        <w:rPr>
          <w:rFonts w:ascii="Arial" w:cs="Arial" w:eastAsia="Arial" w:hAnsi="Arial"/>
          <w:sz w:val="11"/>
          <w:szCs w:val="11"/>
          <w:color w:val="auto"/>
        </w:rPr>
        <w:t>Mr. DiMaggio is a corporate director. Prior to retiring in 2006, he spent 35 years with United Parcel Services (“</w:t>
      </w:r>
      <w:r>
        <w:rPr>
          <w:rFonts w:ascii="Arial" w:cs="Arial" w:eastAsia="Arial" w:hAnsi="Arial"/>
          <w:sz w:val="11"/>
          <w:szCs w:val="11"/>
          <w:b w:val="1"/>
          <w:bCs w:val="1"/>
          <w:color w:val="auto"/>
        </w:rPr>
        <w:t>UPS</w:t>
      </w:r>
      <w:r>
        <w:rPr>
          <w:rFonts w:ascii="Arial" w:cs="Arial" w:eastAsia="Arial" w:hAnsi="Arial"/>
          <w:sz w:val="11"/>
          <w:szCs w:val="11"/>
          <w:color w:val="auto"/>
        </w:rPr>
        <w:t>”) (a public company), most recently as CEO of the UPS Worldwide Logistics Group. Prior to leading UPS’ Worldwide Logistics Group, Mr. DiMaggio held a number of positions at UPS with increasing responsibility, including leadership roles for the UPS International Marketing Group, as well as the Industrial Engineering function. In addition to his senior leadership roles at UPS, Mr. DiMaggio was a member of the board of directors of Greatwide Logistics Services, Inc. and CEVA Logistics (a public company). He holds a Bachelor of Science degree from the Lowell Technological Institute (now the University of Massachusetts Lowell).</w:t>
      </w:r>
    </w:p>
    <w:p>
      <w:pPr>
        <w:spacing w:after="0" w:line="24" w:lineRule="exact"/>
        <w:rPr>
          <w:sz w:val="20"/>
          <w:szCs w:val="20"/>
          <w:color w:val="auto"/>
        </w:rPr>
      </w:pPr>
    </w:p>
    <w:p>
      <w:pPr>
        <w:spacing w:after="0"/>
        <w:rPr>
          <w:sz w:val="20"/>
          <w:szCs w:val="20"/>
          <w:color w:val="auto"/>
        </w:rPr>
      </w:pPr>
      <w:r>
        <w:rPr>
          <w:rFonts w:ascii="Arial" w:cs="Arial" w:eastAsia="Arial" w:hAnsi="Arial"/>
          <w:sz w:val="11"/>
          <w:szCs w:val="11"/>
          <w:color w:val="auto"/>
        </w:rPr>
        <w:t>Mr. DiMaggio sits on the Audit Committee, HRCC, and NCGC.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3034030" cy="1136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034030" cy="113665"/>
                    </a:xfrm>
                    <a:prstGeom prst="rect">
                      <a:avLst/>
                    </a:prstGeom>
                    <a:noFill/>
                  </pic:spPr>
                </pic:pic>
              </a:graphicData>
            </a:graphic>
          </wp:anchor>
        </w:drawing>
      </w:r>
    </w:p>
    <w:p>
      <w:pPr>
        <w:spacing w:after="0" w:line="69" w:lineRule="exact"/>
        <w:rPr>
          <w:sz w:val="20"/>
          <w:szCs w:val="20"/>
          <w:color w:val="auto"/>
        </w:rPr>
      </w:pPr>
    </w:p>
    <w:p>
      <w:pPr>
        <w:ind w:left="1240"/>
        <w:spacing w:after="0"/>
        <w:rPr>
          <w:sz w:val="20"/>
          <w:szCs w:val="20"/>
          <w:color w:val="auto"/>
        </w:rPr>
      </w:pPr>
      <w:r>
        <w:rPr>
          <w:rFonts w:ascii="Arial" w:cs="Arial" w:eastAsia="Arial" w:hAnsi="Arial"/>
          <w:sz w:val="11"/>
          <w:szCs w:val="11"/>
          <w:b w:val="1"/>
          <w:bCs w:val="1"/>
          <w:color w:val="auto"/>
        </w:rPr>
        <w:t>BOARD AND COMMITTEE ATTENDANCE</w:t>
      </w:r>
    </w:p>
    <w:p>
      <w:pPr>
        <w:spacing w:after="0" w:line="12"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440" w:type="dxa"/>
            <w:vAlign w:val="bottom"/>
            <w:tcBorders>
              <w:top w:val="single" w:sz="8" w:color="auto"/>
            </w:tcBorders>
            <w:vMerge w:val="restart"/>
          </w:tcPr>
          <w:p>
            <w:pPr>
              <w:spacing w:after="0"/>
              <w:rPr>
                <w:sz w:val="20"/>
                <w:szCs w:val="20"/>
                <w:color w:val="auto"/>
              </w:rPr>
            </w:pPr>
            <w:r>
              <w:rPr>
                <w:rFonts w:ascii="Arial" w:cs="Arial" w:eastAsia="Arial" w:hAnsi="Arial"/>
                <w:sz w:val="11"/>
                <w:szCs w:val="11"/>
                <w:color w:val="auto"/>
              </w:rPr>
              <w:t>Board</w:t>
            </w:r>
          </w:p>
        </w:tc>
        <w:tc>
          <w:tcPr>
            <w:tcW w:w="3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5"/>
          </w:tcPr>
          <w:p>
            <w:pPr>
              <w:jc w:val="center"/>
              <w:ind w:left="329"/>
              <w:spacing w:after="0"/>
              <w:rPr>
                <w:sz w:val="20"/>
                <w:szCs w:val="20"/>
                <w:color w:val="auto"/>
              </w:rPr>
            </w:pPr>
            <w:r>
              <w:rPr>
                <w:rFonts w:ascii="Arial" w:cs="Arial" w:eastAsia="Arial" w:hAnsi="Arial"/>
                <w:sz w:val="11"/>
                <w:szCs w:val="11"/>
                <w:color w:val="auto"/>
                <w:w w:val="96"/>
              </w:rPr>
              <w:t>ATTENDANCE</w:t>
            </w:r>
          </w:p>
        </w:tc>
        <w:tc>
          <w:tcPr>
            <w:tcW w:w="3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6"/>
          </w:tcPr>
          <w:p>
            <w:pPr>
              <w:spacing w:after="0"/>
              <w:rPr>
                <w:sz w:val="20"/>
                <w:szCs w:val="20"/>
                <w:color w:val="auto"/>
              </w:rPr>
            </w:pPr>
            <w:r>
              <w:rPr>
                <w:rFonts w:ascii="Arial" w:cs="Arial" w:eastAsia="Arial" w:hAnsi="Arial"/>
                <w:sz w:val="11"/>
                <w:szCs w:val="11"/>
                <w:color w:val="auto"/>
              </w:rPr>
              <w:t>TOTAL ATTENDANCE</w:t>
            </w:r>
          </w:p>
        </w:tc>
        <w:tc>
          <w:tcPr>
            <w:tcW w:w="0" w:type="dxa"/>
            <w:vAlign w:val="bottom"/>
          </w:tcPr>
          <w:p>
            <w:pPr>
              <w:spacing w:after="0"/>
              <w:rPr>
                <w:sz w:val="1"/>
                <w:szCs w:val="1"/>
                <w:color w:val="auto"/>
              </w:rPr>
            </w:pPr>
          </w:p>
        </w:tc>
      </w:tr>
      <w:tr>
        <w:trPr>
          <w:trHeight w:val="20"/>
        </w:trPr>
        <w:tc>
          <w:tcPr>
            <w:tcW w:w="440" w:type="dxa"/>
            <w:vAlign w:val="bottom"/>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4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gridSpan w:val="2"/>
          </w:tcPr>
          <w:p>
            <w:pPr>
              <w:jc w:val="center"/>
              <w:ind w:right="180"/>
              <w:spacing w:after="0" w:line="106" w:lineRule="exact"/>
              <w:rPr>
                <w:sz w:val="20"/>
                <w:szCs w:val="20"/>
                <w:color w:val="auto"/>
              </w:rPr>
            </w:pPr>
            <w:r>
              <w:rPr>
                <w:rFonts w:ascii="Arial" w:cs="Arial" w:eastAsia="Arial" w:hAnsi="Arial"/>
                <w:sz w:val="11"/>
                <w:szCs w:val="11"/>
                <w:color w:val="auto"/>
                <w:w w:val="94"/>
              </w:rPr>
              <w:t>8 of 8</w:t>
            </w:r>
          </w:p>
        </w:tc>
        <w:tc>
          <w:tcPr>
            <w:tcW w:w="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500" w:type="dxa"/>
            <w:vAlign w:val="bottom"/>
            <w:gridSpan w:val="2"/>
          </w:tcPr>
          <w:p>
            <w:pPr>
              <w:spacing w:after="0" w:line="106" w:lineRule="exact"/>
              <w:rPr>
                <w:sz w:val="20"/>
                <w:szCs w:val="20"/>
                <w:color w:val="auto"/>
              </w:rPr>
            </w:pPr>
            <w:r>
              <w:rPr>
                <w:rFonts w:ascii="Arial" w:cs="Arial" w:eastAsia="Arial" w:hAnsi="Arial"/>
                <w:sz w:val="11"/>
                <w:szCs w:val="11"/>
                <w:color w:val="auto"/>
              </w:rPr>
              <w:t>Board</w:t>
            </w:r>
          </w:p>
        </w:tc>
        <w:tc>
          <w:tcPr>
            <w:tcW w:w="920" w:type="dxa"/>
            <w:vAlign w:val="bottom"/>
            <w:gridSpan w:val="3"/>
          </w:tcPr>
          <w:p>
            <w:pPr>
              <w:jc w:val="right"/>
              <w:ind w:right="149"/>
              <w:spacing w:after="0" w:line="106" w:lineRule="exact"/>
              <w:rPr>
                <w:sz w:val="20"/>
                <w:szCs w:val="20"/>
                <w:color w:val="auto"/>
              </w:rPr>
            </w:pPr>
            <w:r>
              <w:rPr>
                <w:rFonts w:ascii="Arial" w:cs="Arial" w:eastAsia="Arial" w:hAnsi="Arial"/>
                <w:sz w:val="11"/>
                <w:szCs w:val="11"/>
                <w:color w:val="auto"/>
              </w:rPr>
              <w:t>100%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800" w:type="dxa"/>
            <w:vAlign w:val="bottom"/>
            <w:gridSpan w:val="2"/>
          </w:tcPr>
          <w:p>
            <w:pPr>
              <w:spacing w:after="0"/>
              <w:rPr>
                <w:sz w:val="20"/>
                <w:szCs w:val="20"/>
                <w:color w:val="auto"/>
              </w:rPr>
            </w:pPr>
            <w:r>
              <w:rPr>
                <w:rFonts w:ascii="Arial" w:cs="Arial" w:eastAsia="Arial" w:hAnsi="Arial"/>
                <w:sz w:val="11"/>
                <w:szCs w:val="11"/>
                <w:color w:val="auto"/>
                <w:w w:val="95"/>
              </w:rPr>
              <w:t>Audit Committee</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3"/>
          </w:tcPr>
          <w:p>
            <w:pPr>
              <w:jc w:val="center"/>
              <w:ind w:right="200"/>
              <w:spacing w:after="0"/>
              <w:rPr>
                <w:sz w:val="20"/>
                <w:szCs w:val="20"/>
                <w:color w:val="auto"/>
              </w:rPr>
            </w:pPr>
            <w:r>
              <w:rPr>
                <w:rFonts w:ascii="Arial" w:cs="Arial" w:eastAsia="Arial" w:hAnsi="Arial"/>
                <w:sz w:val="11"/>
                <w:szCs w:val="11"/>
                <w:color w:val="auto"/>
                <w:w w:val="94"/>
              </w:rPr>
              <w:t>6 of 6</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gridSpan w:val="2"/>
          </w:tcPr>
          <w:p>
            <w:pPr>
              <w:spacing w:after="0"/>
              <w:rPr>
                <w:sz w:val="20"/>
                <w:szCs w:val="20"/>
                <w:color w:val="auto"/>
              </w:rPr>
            </w:pPr>
            <w:r>
              <w:rPr>
                <w:rFonts w:ascii="Arial" w:cs="Arial" w:eastAsia="Arial" w:hAnsi="Arial"/>
                <w:sz w:val="11"/>
                <w:szCs w:val="11"/>
                <w:color w:val="auto"/>
                <w:w w:val="90"/>
              </w:rPr>
              <w:t>Committee</w:t>
            </w:r>
          </w:p>
        </w:tc>
        <w:tc>
          <w:tcPr>
            <w:tcW w:w="920" w:type="dxa"/>
            <w:vAlign w:val="bottom"/>
            <w:gridSpan w:val="3"/>
          </w:tcPr>
          <w:p>
            <w:pPr>
              <w:jc w:val="right"/>
              <w:ind w:right="149"/>
              <w:spacing w:after="0"/>
              <w:rPr>
                <w:sz w:val="20"/>
                <w:szCs w:val="20"/>
                <w:color w:val="auto"/>
              </w:rPr>
            </w:pPr>
            <w:r>
              <w:rPr>
                <w:rFonts w:ascii="Arial" w:cs="Arial" w:eastAsia="Arial" w:hAnsi="Arial"/>
                <w:sz w:val="11"/>
                <w:szCs w:val="11"/>
                <w:color w:val="auto"/>
              </w:rPr>
              <w:t>100%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line="120" w:lineRule="exact"/>
              <w:rPr>
                <w:sz w:val="20"/>
                <w:szCs w:val="20"/>
                <w:color w:val="auto"/>
              </w:rPr>
            </w:pPr>
            <w:r>
              <w:rPr>
                <w:rFonts w:ascii="Arial" w:cs="Arial" w:eastAsia="Arial" w:hAnsi="Arial"/>
                <w:sz w:val="11"/>
                <w:szCs w:val="11"/>
                <w:color w:val="auto"/>
              </w:rPr>
              <w:t>HRCC</w:t>
            </w: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gridSpan w:val="3"/>
          </w:tcPr>
          <w:p>
            <w:pPr>
              <w:jc w:val="center"/>
              <w:ind w:right="200"/>
              <w:spacing w:after="0" w:line="120" w:lineRule="exact"/>
              <w:rPr>
                <w:sz w:val="20"/>
                <w:szCs w:val="20"/>
                <w:color w:val="auto"/>
              </w:rPr>
            </w:pPr>
            <w:r>
              <w:rPr>
                <w:rFonts w:ascii="Arial" w:cs="Arial" w:eastAsia="Arial" w:hAnsi="Arial"/>
                <w:sz w:val="11"/>
                <w:szCs w:val="11"/>
                <w:color w:val="auto"/>
                <w:w w:val="94"/>
              </w:rPr>
              <w:t>6 of 6</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40" w:type="dxa"/>
            <w:vAlign w:val="bottom"/>
          </w:tcPr>
          <w:p>
            <w:pPr>
              <w:spacing w:after="0"/>
              <w:rPr>
                <w:sz w:val="20"/>
                <w:szCs w:val="20"/>
                <w:color w:val="auto"/>
              </w:rPr>
            </w:pPr>
            <w:r>
              <w:rPr>
                <w:rFonts w:ascii="Arial" w:cs="Arial" w:eastAsia="Arial" w:hAnsi="Arial"/>
                <w:sz w:val="11"/>
                <w:szCs w:val="11"/>
                <w:color w:val="auto"/>
              </w:rPr>
              <w:t>NCGC</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3"/>
          </w:tcPr>
          <w:p>
            <w:pPr>
              <w:jc w:val="center"/>
              <w:ind w:right="200"/>
              <w:spacing w:after="0"/>
              <w:rPr>
                <w:sz w:val="20"/>
                <w:szCs w:val="20"/>
                <w:color w:val="auto"/>
              </w:rPr>
            </w:pPr>
            <w:r>
              <w:rPr>
                <w:rFonts w:ascii="Arial" w:cs="Arial" w:eastAsia="Arial" w:hAnsi="Arial"/>
                <w:sz w:val="11"/>
                <w:szCs w:val="11"/>
                <w:color w:val="auto"/>
                <w:w w:val="94"/>
              </w:rPr>
              <w:t>3 of 3</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4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40" w:type="dxa"/>
            <w:vAlign w:val="bottom"/>
            <w:tcBorders>
              <w:left w:val="single" w:sz="8" w:color="auto"/>
              <w:bottom w:val="single" w:sz="8" w:color="auto"/>
              <w:right w:val="single" w:sz="8" w:color="CCCCCC"/>
            </w:tcBorders>
            <w:shd w:val="clear" w:color="auto" w:fill="CCCCCC"/>
          </w:tcPr>
          <w:p>
            <w:pPr>
              <w:spacing w:after="0"/>
              <w:rPr>
                <w:sz w:val="14"/>
                <w:szCs w:val="14"/>
                <w:color w:val="auto"/>
              </w:rPr>
            </w:pPr>
          </w:p>
        </w:tc>
        <w:tc>
          <w:tcPr>
            <w:tcW w:w="360" w:type="dxa"/>
            <w:vAlign w:val="bottom"/>
            <w:tcBorders>
              <w:bottom w:val="single" w:sz="8" w:color="auto"/>
            </w:tcBorders>
            <w:shd w:val="clear" w:color="auto" w:fill="CCCCCC"/>
          </w:tcPr>
          <w:p>
            <w:pPr>
              <w:spacing w:after="0"/>
              <w:rPr>
                <w:sz w:val="14"/>
                <w:szCs w:val="14"/>
                <w:color w:val="auto"/>
              </w:rPr>
            </w:pPr>
          </w:p>
        </w:tc>
        <w:tc>
          <w:tcPr>
            <w:tcW w:w="60" w:type="dxa"/>
            <w:vAlign w:val="bottom"/>
            <w:tcBorders>
              <w:bottom w:val="single" w:sz="8" w:color="auto"/>
              <w:right w:val="single" w:sz="8" w:color="CCCCCC"/>
            </w:tcBorders>
            <w:shd w:val="clear" w:color="auto" w:fill="CCCCCC"/>
          </w:tcPr>
          <w:p>
            <w:pPr>
              <w:spacing w:after="0"/>
              <w:rPr>
                <w:sz w:val="14"/>
                <w:szCs w:val="14"/>
                <w:color w:val="auto"/>
              </w:rPr>
            </w:pPr>
          </w:p>
        </w:tc>
        <w:tc>
          <w:tcPr>
            <w:tcW w:w="560" w:type="dxa"/>
            <w:vAlign w:val="bottom"/>
            <w:tcBorders>
              <w:bottom w:val="single" w:sz="8" w:color="auto"/>
              <w:right w:val="single" w:sz="8" w:color="CCCCCC"/>
            </w:tcBorders>
            <w:shd w:val="clear" w:color="auto" w:fill="CCCCCC"/>
          </w:tcPr>
          <w:p>
            <w:pPr>
              <w:spacing w:after="0"/>
              <w:rPr>
                <w:sz w:val="14"/>
                <w:szCs w:val="14"/>
                <w:color w:val="auto"/>
              </w:rPr>
            </w:pPr>
          </w:p>
        </w:tc>
        <w:tc>
          <w:tcPr>
            <w:tcW w:w="1880" w:type="dxa"/>
            <w:vAlign w:val="bottom"/>
            <w:tcBorders>
              <w:bottom w:val="single" w:sz="8" w:color="auto"/>
              <w:right w:val="single" w:sz="8" w:color="CCCCCC"/>
            </w:tcBorders>
            <w:gridSpan w:val="7"/>
            <w:shd w:val="clear" w:color="auto" w:fill="CCCCCC"/>
          </w:tcPr>
          <w:p>
            <w:pPr>
              <w:ind w:left="120"/>
              <w:spacing w:after="0" w:line="169" w:lineRule="exact"/>
              <w:rPr>
                <w:sz w:val="20"/>
                <w:szCs w:val="20"/>
                <w:color w:val="auto"/>
              </w:rPr>
            </w:pPr>
            <w:r>
              <w:rPr>
                <w:rFonts w:ascii="Arial" w:cs="Arial" w:eastAsia="Arial" w:hAnsi="Arial"/>
                <w:sz w:val="11"/>
                <w:szCs w:val="11"/>
                <w:b w:val="1"/>
                <w:bCs w:val="1"/>
                <w:color w:val="auto"/>
                <w:w w:val="94"/>
              </w:rPr>
              <w:t>DIRECTOR SHARE OWNERSHIP</w:t>
            </w:r>
            <w:r>
              <w:rPr>
                <w:rFonts w:ascii="Arial" w:cs="Arial" w:eastAsia="Arial" w:hAnsi="Arial"/>
                <w:sz w:val="15"/>
                <w:szCs w:val="15"/>
                <w:b w:val="1"/>
                <w:bCs w:val="1"/>
                <w:color w:val="auto"/>
                <w:w w:val="94"/>
                <w:vertAlign w:val="superscript"/>
              </w:rPr>
              <w:t>(1)</w:t>
            </w:r>
          </w:p>
        </w:tc>
        <w:tc>
          <w:tcPr>
            <w:tcW w:w="20" w:type="dxa"/>
            <w:vAlign w:val="bottom"/>
            <w:tcBorders>
              <w:bottom w:val="single" w:sz="8" w:color="auto"/>
            </w:tcBorders>
            <w:shd w:val="clear" w:color="auto" w:fill="CCCCCC"/>
          </w:tcPr>
          <w:p>
            <w:pPr>
              <w:spacing w:after="0"/>
              <w:rPr>
                <w:sz w:val="14"/>
                <w:szCs w:val="14"/>
                <w:color w:val="auto"/>
              </w:rPr>
            </w:pPr>
          </w:p>
        </w:tc>
        <w:tc>
          <w:tcPr>
            <w:tcW w:w="460" w:type="dxa"/>
            <w:vAlign w:val="bottom"/>
            <w:tcBorders>
              <w:bottom w:val="single" w:sz="8" w:color="auto"/>
              <w:right w:val="single" w:sz="8" w:color="CCCCCC"/>
            </w:tcBorders>
            <w:shd w:val="clear" w:color="auto" w:fill="CCCCCC"/>
          </w:tcPr>
          <w:p>
            <w:pPr>
              <w:spacing w:after="0"/>
              <w:rPr>
                <w:sz w:val="14"/>
                <w:szCs w:val="14"/>
                <w:color w:val="auto"/>
              </w:rPr>
            </w:pPr>
          </w:p>
        </w:tc>
        <w:tc>
          <w:tcPr>
            <w:tcW w:w="40" w:type="dxa"/>
            <w:vAlign w:val="bottom"/>
            <w:tcBorders>
              <w:bottom w:val="single" w:sz="8" w:color="auto"/>
            </w:tcBorders>
            <w:shd w:val="clear" w:color="auto" w:fill="CCCCCC"/>
          </w:tcPr>
          <w:p>
            <w:pPr>
              <w:spacing w:after="0"/>
              <w:rPr>
                <w:sz w:val="14"/>
                <w:szCs w:val="14"/>
                <w:color w:val="auto"/>
              </w:rPr>
            </w:pPr>
          </w:p>
        </w:tc>
        <w:tc>
          <w:tcPr>
            <w:tcW w:w="540" w:type="dxa"/>
            <w:vAlign w:val="bottom"/>
            <w:tcBorders>
              <w:bottom w:val="single" w:sz="8" w:color="auto"/>
              <w:right w:val="single" w:sz="8" w:color="CCCCCC"/>
            </w:tcBorders>
            <w:shd w:val="clear" w:color="auto" w:fill="CCCCCC"/>
          </w:tcPr>
          <w:p>
            <w:pPr>
              <w:spacing w:after="0"/>
              <w:rPr>
                <w:sz w:val="14"/>
                <w:szCs w:val="14"/>
                <w:color w:val="auto"/>
              </w:rPr>
            </w:pPr>
          </w:p>
        </w:tc>
        <w:tc>
          <w:tcPr>
            <w:tcW w:w="60" w:type="dxa"/>
            <w:vAlign w:val="bottom"/>
            <w:tcBorders>
              <w:bottom w:val="single" w:sz="8" w:color="auto"/>
            </w:tcBorders>
            <w:shd w:val="clear" w:color="auto" w:fill="CCCCCC"/>
          </w:tcPr>
          <w:p>
            <w:pPr>
              <w:spacing w:after="0"/>
              <w:rPr>
                <w:sz w:val="14"/>
                <w:szCs w:val="14"/>
                <w:color w:val="auto"/>
              </w:rPr>
            </w:pPr>
          </w:p>
        </w:tc>
        <w:tc>
          <w:tcPr>
            <w:tcW w:w="320" w:type="dxa"/>
            <w:vAlign w:val="bottom"/>
            <w:tcBorders>
              <w:bottom w:val="single" w:sz="8" w:color="auto"/>
            </w:tcBorders>
            <w:shd w:val="clear" w:color="auto" w:fill="CCCCCC"/>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1"/>
                <w:szCs w:val="11"/>
                <w:b w:val="1"/>
                <w:bCs w:val="1"/>
                <w:color w:val="auto"/>
              </w:rPr>
              <w:t>As of</w:t>
            </w:r>
          </w:p>
        </w:tc>
        <w:tc>
          <w:tcPr>
            <w:tcW w:w="360" w:type="dxa"/>
            <w:vAlign w:val="bottom"/>
            <w:tcBorders>
              <w:bottom w:val="single" w:sz="8" w:color="auto"/>
            </w:tcBorders>
          </w:tcPr>
          <w:p>
            <w:pPr>
              <w:spacing w:after="0"/>
              <w:rPr>
                <w:sz w:val="12"/>
                <w:szCs w:val="12"/>
                <w:color w:val="auto"/>
              </w:rPr>
            </w:pPr>
          </w:p>
        </w:tc>
        <w:tc>
          <w:tcPr>
            <w:tcW w:w="6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SVS</w:t>
            </w:r>
          </w:p>
        </w:tc>
        <w:tc>
          <w:tcPr>
            <w:tcW w:w="1000" w:type="dxa"/>
            <w:vAlign w:val="bottom"/>
            <w:tcBorders>
              <w:bottom w:val="single" w:sz="8" w:color="auto"/>
              <w:right w:val="single" w:sz="8" w:color="auto"/>
            </w:tcBorders>
            <w:gridSpan w:val="3"/>
          </w:tcPr>
          <w:p>
            <w:pPr>
              <w:jc w:val="right"/>
              <w:ind w:right="380"/>
              <w:spacing w:after="0"/>
              <w:rPr>
                <w:sz w:val="20"/>
                <w:szCs w:val="20"/>
                <w:color w:val="auto"/>
              </w:rPr>
            </w:pPr>
            <w:r>
              <w:rPr>
                <w:rFonts w:ascii="Arial" w:cs="Arial" w:eastAsia="Arial" w:hAnsi="Arial"/>
                <w:sz w:val="11"/>
                <w:szCs w:val="11"/>
                <w:b w:val="1"/>
                <w:bCs w:val="1"/>
                <w:color w:val="auto"/>
              </w:rPr>
              <w:t>DSUs</w:t>
            </w:r>
          </w:p>
        </w:tc>
        <w:tc>
          <w:tcPr>
            <w:tcW w:w="580" w:type="dxa"/>
            <w:vAlign w:val="bottom"/>
            <w:tcBorders>
              <w:bottom w:val="single" w:sz="8" w:color="auto"/>
            </w:tcBorders>
            <w:gridSpan w:val="3"/>
          </w:tcPr>
          <w:p>
            <w:pPr>
              <w:ind w:left="300"/>
              <w:spacing w:after="0"/>
              <w:rPr>
                <w:sz w:val="20"/>
                <w:szCs w:val="20"/>
                <w:color w:val="auto"/>
              </w:rPr>
            </w:pPr>
            <w:r>
              <w:rPr>
                <w:rFonts w:ascii="Arial" w:cs="Arial" w:eastAsia="Arial" w:hAnsi="Arial"/>
                <w:sz w:val="11"/>
                <w:szCs w:val="11"/>
                <w:b w:val="1"/>
                <w:bCs w:val="1"/>
                <w:color w:val="auto"/>
                <w:w w:val="88"/>
              </w:rPr>
              <w:t>RSUs</w:t>
            </w:r>
          </w:p>
        </w:tc>
        <w:tc>
          <w:tcPr>
            <w:tcW w:w="300" w:type="dxa"/>
            <w:vAlign w:val="bottom"/>
            <w:tcBorders>
              <w:bottom w:val="single" w:sz="8" w:color="auto"/>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right w:val="single" w:sz="8" w:color="auto"/>
            </w:tcBorders>
          </w:tcPr>
          <w:p>
            <w:pPr>
              <w:ind w:left="80"/>
              <w:spacing w:after="0"/>
              <w:rPr>
                <w:sz w:val="20"/>
                <w:szCs w:val="20"/>
                <w:color w:val="auto"/>
              </w:rPr>
            </w:pPr>
            <w:r>
              <w:rPr>
                <w:rFonts w:ascii="Arial" w:cs="Arial" w:eastAsia="Arial" w:hAnsi="Arial"/>
                <w:sz w:val="11"/>
                <w:szCs w:val="11"/>
                <w:b w:val="1"/>
                <w:bCs w:val="1"/>
                <w:color w:val="auto"/>
              </w:rPr>
              <w:t>Total</w:t>
            </w:r>
          </w:p>
        </w:tc>
        <w:tc>
          <w:tcPr>
            <w:tcW w:w="40" w:type="dxa"/>
            <w:vAlign w:val="bottom"/>
          </w:tcPr>
          <w:p>
            <w:pPr>
              <w:spacing w:after="0"/>
              <w:rPr>
                <w:sz w:val="12"/>
                <w:szCs w:val="12"/>
                <w:color w:val="auto"/>
              </w:rPr>
            </w:pPr>
          </w:p>
        </w:tc>
        <w:tc>
          <w:tcPr>
            <w:tcW w:w="540" w:type="dxa"/>
            <w:vAlign w:val="bottom"/>
            <w:tcBorders>
              <w:right w:val="single" w:sz="8" w:color="auto"/>
            </w:tcBorders>
          </w:tcPr>
          <w:p>
            <w:pPr>
              <w:jc w:val="center"/>
              <w:ind w:right="48"/>
              <w:spacing w:after="0"/>
              <w:rPr>
                <w:sz w:val="20"/>
                <w:szCs w:val="20"/>
                <w:color w:val="auto"/>
              </w:rPr>
            </w:pPr>
            <w:r>
              <w:rPr>
                <w:rFonts w:ascii="Arial" w:cs="Arial" w:eastAsia="Arial" w:hAnsi="Arial"/>
                <w:sz w:val="11"/>
                <w:szCs w:val="11"/>
                <w:b w:val="1"/>
                <w:bCs w:val="1"/>
                <w:color w:val="auto"/>
                <w:w w:val="91"/>
              </w:rPr>
              <w:t>Total</w:t>
            </w:r>
          </w:p>
        </w:tc>
        <w:tc>
          <w:tcPr>
            <w:tcW w:w="420" w:type="dxa"/>
            <w:vAlign w:val="bottom"/>
            <w:tcBorders>
              <w:right w:val="single" w:sz="8" w:color="auto"/>
            </w:tcBorders>
            <w:gridSpan w:val="3"/>
          </w:tcPr>
          <w:p>
            <w:pPr>
              <w:jc w:val="center"/>
              <w:ind w:right="80"/>
              <w:spacing w:after="0"/>
              <w:rPr>
                <w:sz w:val="20"/>
                <w:szCs w:val="20"/>
                <w:color w:val="auto"/>
              </w:rPr>
            </w:pPr>
            <w:r>
              <w:rPr>
                <w:rFonts w:ascii="Arial" w:cs="Arial" w:eastAsia="Arial" w:hAnsi="Arial"/>
                <w:sz w:val="11"/>
                <w:szCs w:val="11"/>
                <w:b w:val="1"/>
                <w:bCs w:val="1"/>
                <w:color w:val="auto"/>
                <w:w w:val="89"/>
              </w:rPr>
              <w:t>Target</w:t>
            </w:r>
          </w:p>
        </w:tc>
        <w:tc>
          <w:tcPr>
            <w:tcW w:w="0" w:type="dxa"/>
            <w:vAlign w:val="bottom"/>
          </w:tcPr>
          <w:p>
            <w:pPr>
              <w:spacing w:after="0"/>
              <w:rPr>
                <w:sz w:val="1"/>
                <w:szCs w:val="1"/>
                <w:color w:val="auto"/>
              </w:rPr>
            </w:pPr>
          </w:p>
        </w:tc>
      </w:tr>
      <w:tr>
        <w:trPr>
          <w:trHeight w:val="150"/>
        </w:trPr>
        <w:tc>
          <w:tcPr>
            <w:tcW w:w="4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1"/>
                <w:szCs w:val="11"/>
                <w:b w:val="1"/>
                <w:bCs w:val="1"/>
                <w:color w:val="auto"/>
                <w:w w:val="88"/>
              </w:rPr>
              <w:t>Dec. 31</w:t>
            </w:r>
          </w:p>
        </w:tc>
        <w:tc>
          <w:tcPr>
            <w:tcW w:w="360" w:type="dxa"/>
            <w:vAlign w:val="bottom"/>
          </w:tcPr>
          <w:p>
            <w:pPr>
              <w:jc w:val="center"/>
              <w:ind w:left="9"/>
              <w:spacing w:after="0"/>
              <w:rPr>
                <w:sz w:val="20"/>
                <w:szCs w:val="20"/>
                <w:color w:val="auto"/>
              </w:rPr>
            </w:pPr>
            <w:r>
              <w:rPr>
                <w:rFonts w:ascii="Arial" w:cs="Arial" w:eastAsia="Arial" w:hAnsi="Arial"/>
                <w:sz w:val="11"/>
                <w:szCs w:val="11"/>
                <w:b w:val="1"/>
                <w:bCs w:val="1"/>
                <w:color w:val="auto"/>
                <w:w w:val="97"/>
              </w:rPr>
              <w:t>#</w:t>
            </w:r>
          </w:p>
        </w:tc>
        <w:tc>
          <w:tcPr>
            <w:tcW w:w="60" w:type="dxa"/>
            <w:vAlign w:val="bottom"/>
            <w:tcBorders>
              <w:right w:val="single" w:sz="8" w:color="auto"/>
            </w:tcBorders>
          </w:tcPr>
          <w:p>
            <w:pPr>
              <w:spacing w:after="0"/>
              <w:rPr>
                <w:sz w:val="13"/>
                <w:szCs w:val="13"/>
                <w:color w:val="auto"/>
              </w:rPr>
            </w:pP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right w:val="single" w:sz="8" w:color="auto"/>
            </w:tcBorders>
          </w:tcPr>
          <w:p>
            <w:pPr>
              <w:jc w:val="right"/>
              <w:ind w:right="149"/>
              <w:spacing w:after="0"/>
              <w:rPr>
                <w:sz w:val="20"/>
                <w:szCs w:val="20"/>
                <w:color w:val="auto"/>
              </w:rPr>
            </w:pPr>
            <w:r>
              <w:rPr>
                <w:rFonts w:ascii="Arial" w:cs="Arial" w:eastAsia="Arial" w:hAnsi="Arial"/>
                <w:sz w:val="11"/>
                <w:szCs w:val="11"/>
                <w:b w:val="1"/>
                <w:bCs w:val="1"/>
                <w:color w:val="auto"/>
              </w:rPr>
              <w:t>#</w:t>
            </w:r>
          </w:p>
        </w:tc>
        <w:tc>
          <w:tcPr>
            <w:tcW w:w="400" w:type="dxa"/>
            <w:vAlign w:val="bottom"/>
          </w:tcPr>
          <w:p>
            <w:pPr>
              <w:jc w:val="right"/>
              <w:ind w:right="49"/>
              <w:spacing w:after="0"/>
              <w:rPr>
                <w:sz w:val="20"/>
                <w:szCs w:val="20"/>
                <w:color w:val="auto"/>
              </w:rPr>
            </w:pPr>
            <w:r>
              <w:rPr>
                <w:rFonts w:ascii="Arial" w:cs="Arial" w:eastAsia="Arial" w:hAnsi="Arial"/>
                <w:sz w:val="11"/>
                <w:szCs w:val="11"/>
                <w:b w:val="1"/>
                <w:bCs w:val="1"/>
                <w:color w:val="auto"/>
              </w:rPr>
              <w:t>$</w:t>
            </w:r>
          </w:p>
        </w:tc>
        <w:tc>
          <w:tcPr>
            <w:tcW w:w="160" w:type="dxa"/>
            <w:vAlign w:val="bottom"/>
            <w:tcBorders>
              <w:right w:val="single" w:sz="8" w:color="auto"/>
            </w:tcBorders>
          </w:tcPr>
          <w:p>
            <w:pPr>
              <w:spacing w:after="0"/>
              <w:rPr>
                <w:sz w:val="13"/>
                <w:szCs w:val="13"/>
                <w:color w:val="auto"/>
              </w:rPr>
            </w:pPr>
          </w:p>
        </w:tc>
        <w:tc>
          <w:tcPr>
            <w:tcW w:w="44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Borders>
              <w:right w:val="single" w:sz="8" w:color="auto"/>
            </w:tcBorders>
          </w:tcPr>
          <w:p>
            <w:pPr>
              <w:jc w:val="center"/>
              <w:ind w:right="109"/>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right w:val="single" w:sz="8" w:color="auto"/>
            </w:tcBorders>
            <w:gridSpan w:val="2"/>
          </w:tcPr>
          <w:p>
            <w:pPr>
              <w:jc w:val="right"/>
              <w:ind w:right="167"/>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3"/>
                <w:szCs w:val="13"/>
                <w:color w:val="auto"/>
              </w:rPr>
            </w:pPr>
          </w:p>
        </w:tc>
        <w:tc>
          <w:tcPr>
            <w:tcW w:w="540" w:type="dxa"/>
            <w:vAlign w:val="bottom"/>
            <w:tcBorders>
              <w:right w:val="single" w:sz="8" w:color="auto"/>
            </w:tcBorders>
          </w:tcPr>
          <w:p>
            <w:pPr>
              <w:jc w:val="center"/>
              <w:ind w:right="8"/>
              <w:spacing w:after="0"/>
              <w:rPr>
                <w:sz w:val="20"/>
                <w:szCs w:val="20"/>
                <w:color w:val="auto"/>
              </w:rPr>
            </w:pPr>
            <w:r>
              <w:rPr>
                <w:rFonts w:ascii="Arial" w:cs="Arial" w:eastAsia="Arial" w:hAnsi="Arial"/>
                <w:sz w:val="11"/>
                <w:szCs w:val="11"/>
                <w:b w:val="1"/>
                <w:bCs w:val="1"/>
                <w:color w:val="auto"/>
                <w:w w:val="81"/>
              </w:rPr>
              <w:t>Value</w:t>
            </w:r>
          </w:p>
        </w:tc>
        <w:tc>
          <w:tcPr>
            <w:tcW w:w="60" w:type="dxa"/>
            <w:vAlign w:val="bottom"/>
          </w:tcPr>
          <w:p>
            <w:pPr>
              <w:spacing w:after="0"/>
              <w:rPr>
                <w:sz w:val="13"/>
                <w:szCs w:val="13"/>
                <w:color w:val="auto"/>
              </w:rPr>
            </w:pPr>
          </w:p>
        </w:tc>
        <w:tc>
          <w:tcPr>
            <w:tcW w:w="36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auto"/>
                <w:w w:val="94"/>
              </w:rPr>
              <w:t>Met</w:t>
            </w:r>
          </w:p>
        </w:tc>
        <w:tc>
          <w:tcPr>
            <w:tcW w:w="0" w:type="dxa"/>
            <w:vAlign w:val="bottom"/>
          </w:tcPr>
          <w:p>
            <w:pPr>
              <w:spacing w:after="0"/>
              <w:rPr>
                <w:sz w:val="1"/>
                <w:szCs w:val="1"/>
                <w:color w:val="auto"/>
              </w:rPr>
            </w:pPr>
          </w:p>
        </w:tc>
      </w:tr>
      <w:tr>
        <w:trPr>
          <w:trHeight w:val="148"/>
        </w:trPr>
        <w:tc>
          <w:tcPr>
            <w:tcW w:w="44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0"/>
                <w:szCs w:val="10"/>
                <w:b w:val="1"/>
                <w:bCs w:val="1"/>
                <w:color w:val="auto"/>
              </w:rPr>
              <w:t>2020</w:t>
            </w:r>
          </w:p>
        </w:tc>
        <w:tc>
          <w:tcPr>
            <w:tcW w:w="360" w:type="dxa"/>
            <w:vAlign w:val="bottom"/>
            <w:tcBorders>
              <w:top w:val="single" w:sz="8" w:color="auto"/>
              <w:bottom w:val="single" w:sz="8" w:color="auto"/>
            </w:tcBorders>
          </w:tcPr>
          <w:p>
            <w:pPr>
              <w:jc w:val="center"/>
              <w:ind w:left="9"/>
              <w:spacing w:after="0"/>
              <w:rPr>
                <w:sz w:val="20"/>
                <w:szCs w:val="20"/>
                <w:color w:val="auto"/>
              </w:rPr>
            </w:pPr>
            <w:r>
              <w:rPr>
                <w:rFonts w:ascii="Arial" w:cs="Arial" w:eastAsia="Arial" w:hAnsi="Arial"/>
                <w:sz w:val="10"/>
                <w:szCs w:val="10"/>
                <w:color w:val="auto"/>
                <w:w w:val="99"/>
              </w:rPr>
              <w:t>—</w:t>
            </w:r>
          </w:p>
        </w:tc>
        <w:tc>
          <w:tcPr>
            <w:tcW w:w="60" w:type="dxa"/>
            <w:vAlign w:val="bottom"/>
            <w:tcBorders>
              <w:top w:val="single" w:sz="8" w:color="auto"/>
              <w:bottom w:val="single" w:sz="8" w:color="auto"/>
              <w:right w:val="single" w:sz="8" w:color="auto"/>
            </w:tcBorders>
          </w:tcPr>
          <w:p>
            <w:pPr>
              <w:spacing w:after="0"/>
              <w:rPr>
                <w:sz w:val="12"/>
                <w:szCs w:val="12"/>
                <w:color w:val="auto"/>
              </w:rPr>
            </w:pPr>
          </w:p>
        </w:tc>
        <w:tc>
          <w:tcPr>
            <w:tcW w:w="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440" w:type="dxa"/>
            <w:vAlign w:val="bottom"/>
            <w:tcBorders>
              <w:top w:val="single" w:sz="8" w:color="auto"/>
              <w:bottom w:val="single" w:sz="8" w:color="auto"/>
              <w:right w:val="single" w:sz="8" w:color="auto"/>
            </w:tcBorders>
          </w:tcPr>
          <w:p>
            <w:pPr>
              <w:jc w:val="right"/>
              <w:ind w:right="9"/>
              <w:spacing w:after="0"/>
              <w:rPr>
                <w:sz w:val="20"/>
                <w:szCs w:val="20"/>
                <w:color w:val="auto"/>
              </w:rPr>
            </w:pPr>
            <w:r>
              <w:rPr>
                <w:rFonts w:ascii="Arial" w:cs="Arial" w:eastAsia="Arial" w:hAnsi="Arial"/>
                <w:sz w:val="10"/>
                <w:szCs w:val="10"/>
                <w:color w:val="auto"/>
                <w:w w:val="99"/>
              </w:rPr>
              <w:t>242,474</w:t>
            </w:r>
          </w:p>
        </w:tc>
        <w:tc>
          <w:tcPr>
            <w:tcW w:w="560" w:type="dxa"/>
            <w:vAlign w:val="bottom"/>
            <w:tcBorders>
              <w:top w:val="single" w:sz="8" w:color="auto"/>
              <w:bottom w:val="single" w:sz="8" w:color="auto"/>
              <w:right w:val="single" w:sz="8" w:color="auto"/>
            </w:tcBorders>
            <w:gridSpan w:val="2"/>
          </w:tcPr>
          <w:p>
            <w:pPr>
              <w:jc w:val="right"/>
              <w:ind w:right="60"/>
              <w:spacing w:after="0"/>
              <w:rPr>
                <w:sz w:val="20"/>
                <w:szCs w:val="20"/>
                <w:color w:val="auto"/>
              </w:rPr>
            </w:pPr>
            <w:r>
              <w:rPr>
                <w:rFonts w:ascii="Arial" w:cs="Arial" w:eastAsia="Arial" w:hAnsi="Arial"/>
                <w:sz w:val="10"/>
                <w:szCs w:val="10"/>
                <w:color w:val="auto"/>
                <w:w w:val="95"/>
              </w:rPr>
              <w:t>$1,956,765</w:t>
            </w:r>
          </w:p>
        </w:tc>
        <w:tc>
          <w:tcPr>
            <w:tcW w:w="4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right w:val="single" w:sz="8" w:color="auto"/>
            </w:tcBorders>
          </w:tcPr>
          <w:p>
            <w:pPr>
              <w:jc w:val="center"/>
              <w:ind w:right="109"/>
              <w:spacing w:after="0"/>
              <w:rPr>
                <w:sz w:val="20"/>
                <w:szCs w:val="20"/>
                <w:color w:val="auto"/>
              </w:rPr>
            </w:pPr>
            <w:r>
              <w:rPr>
                <w:rFonts w:ascii="Arial" w:cs="Arial" w:eastAsia="Arial" w:hAnsi="Arial"/>
                <w:sz w:val="10"/>
                <w:szCs w:val="10"/>
                <w:color w:val="auto"/>
                <w:w w:val="99"/>
              </w:rPr>
              <w:t>—</w:t>
            </w: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right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40" w:type="dxa"/>
            <w:vAlign w:val="bottom"/>
            <w:tcBorders>
              <w:top w:val="single" w:sz="8" w:color="auto"/>
              <w:right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0"/>
                <w:szCs w:val="10"/>
                <w:b w:val="1"/>
                <w:bCs w:val="1"/>
                <w:color w:val="auto"/>
              </w:rPr>
              <w:t>2019</w:t>
            </w:r>
          </w:p>
        </w:tc>
        <w:tc>
          <w:tcPr>
            <w:tcW w:w="360" w:type="dxa"/>
            <w:vAlign w:val="bottom"/>
            <w:tcBorders>
              <w:bottom w:val="single" w:sz="8" w:color="auto"/>
            </w:tcBorders>
          </w:tcPr>
          <w:p>
            <w:pPr>
              <w:jc w:val="center"/>
              <w:ind w:left="9"/>
              <w:spacing w:after="0"/>
              <w:rPr>
                <w:sz w:val="20"/>
                <w:szCs w:val="20"/>
                <w:color w:val="auto"/>
              </w:rPr>
            </w:pPr>
            <w:r>
              <w:rPr>
                <w:rFonts w:ascii="Arial" w:cs="Arial" w:eastAsia="Arial" w:hAnsi="Arial"/>
                <w:sz w:val="10"/>
                <w:szCs w:val="10"/>
                <w:color w:val="auto"/>
                <w:w w:val="99"/>
              </w:rPr>
              <w:t>—</w:t>
            </w:r>
          </w:p>
        </w:tc>
        <w:tc>
          <w:tcPr>
            <w:tcW w:w="60" w:type="dxa"/>
            <w:vAlign w:val="bottom"/>
            <w:tcBorders>
              <w:bottom w:val="single" w:sz="8" w:color="auto"/>
              <w:right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440" w:type="dxa"/>
            <w:vAlign w:val="bottom"/>
            <w:tcBorders>
              <w:bottom w:val="single" w:sz="8" w:color="auto"/>
              <w:right w:val="single" w:sz="8" w:color="auto"/>
            </w:tcBorders>
          </w:tcPr>
          <w:p>
            <w:pPr>
              <w:jc w:val="right"/>
              <w:ind w:right="9"/>
              <w:spacing w:after="0"/>
              <w:rPr>
                <w:sz w:val="20"/>
                <w:szCs w:val="20"/>
                <w:color w:val="auto"/>
              </w:rPr>
            </w:pPr>
            <w:r>
              <w:rPr>
                <w:rFonts w:ascii="Arial" w:cs="Arial" w:eastAsia="Arial" w:hAnsi="Arial"/>
                <w:sz w:val="10"/>
                <w:szCs w:val="10"/>
                <w:color w:val="auto"/>
                <w:w w:val="99"/>
              </w:rPr>
              <w:t>211,053</w:t>
            </w:r>
          </w:p>
        </w:tc>
        <w:tc>
          <w:tcPr>
            <w:tcW w:w="560" w:type="dxa"/>
            <w:vAlign w:val="bottom"/>
            <w:tcBorders>
              <w:bottom w:val="single" w:sz="8" w:color="auto"/>
              <w:right w:val="single" w:sz="8" w:color="auto"/>
            </w:tcBorders>
            <w:gridSpan w:val="2"/>
          </w:tcPr>
          <w:p>
            <w:pPr>
              <w:jc w:val="right"/>
              <w:ind w:right="60"/>
              <w:spacing w:after="0"/>
              <w:rPr>
                <w:sz w:val="20"/>
                <w:szCs w:val="20"/>
                <w:color w:val="auto"/>
              </w:rPr>
            </w:pPr>
            <w:r>
              <w:rPr>
                <w:rFonts w:ascii="Arial" w:cs="Arial" w:eastAsia="Arial" w:hAnsi="Arial"/>
                <w:sz w:val="10"/>
                <w:szCs w:val="10"/>
                <w:color w:val="auto"/>
                <w:w w:val="95"/>
              </w:rPr>
              <w:t>$1,703,198</w:t>
            </w:r>
          </w:p>
        </w:tc>
        <w:tc>
          <w:tcPr>
            <w:tcW w:w="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right w:val="single" w:sz="8" w:color="auto"/>
            </w:tcBorders>
          </w:tcPr>
          <w:p>
            <w:pPr>
              <w:jc w:val="center"/>
              <w:ind w:right="109"/>
              <w:spacing w:after="0"/>
              <w:rPr>
                <w:sz w:val="20"/>
                <w:szCs w:val="20"/>
                <w:color w:val="auto"/>
              </w:rPr>
            </w:pPr>
            <w:r>
              <w:rPr>
                <w:rFonts w:ascii="Arial" w:cs="Arial" w:eastAsia="Arial" w:hAnsi="Arial"/>
                <w:sz w:val="10"/>
                <w:szCs w:val="10"/>
                <w:color w:val="auto"/>
                <w:w w:val="99"/>
              </w:rPr>
              <w:t>—</w:t>
            </w:r>
          </w:p>
        </w:tc>
        <w:tc>
          <w:tcPr>
            <w:tcW w:w="480" w:type="dxa"/>
            <w:vAlign w:val="bottom"/>
            <w:tcBorders>
              <w:right w:val="single" w:sz="8" w:color="auto"/>
            </w:tcBorders>
            <w:gridSpan w:val="2"/>
          </w:tcPr>
          <w:p>
            <w:pPr>
              <w:jc w:val="right"/>
              <w:ind w:right="27"/>
              <w:spacing w:after="0"/>
              <w:rPr>
                <w:sz w:val="20"/>
                <w:szCs w:val="20"/>
                <w:color w:val="auto"/>
              </w:rPr>
            </w:pPr>
            <w:r>
              <w:rPr>
                <w:rFonts w:ascii="Arial" w:cs="Arial" w:eastAsia="Arial" w:hAnsi="Arial"/>
                <w:sz w:val="10"/>
                <w:szCs w:val="10"/>
                <w:color w:val="auto"/>
              </w:rPr>
              <w:t>242,474</w:t>
            </w:r>
          </w:p>
        </w:tc>
        <w:tc>
          <w:tcPr>
            <w:tcW w:w="40" w:type="dxa"/>
            <w:vAlign w:val="bottom"/>
          </w:tcPr>
          <w:p>
            <w:pPr>
              <w:spacing w:after="0"/>
              <w:rPr>
                <w:sz w:val="12"/>
                <w:szCs w:val="12"/>
                <w:color w:val="auto"/>
              </w:rPr>
            </w:pPr>
          </w:p>
        </w:tc>
        <w:tc>
          <w:tcPr>
            <w:tcW w:w="540" w:type="dxa"/>
            <w:vAlign w:val="bottom"/>
            <w:tcBorders>
              <w:right w:val="single" w:sz="8" w:color="auto"/>
            </w:tcBorders>
          </w:tcPr>
          <w:p>
            <w:pPr>
              <w:jc w:val="center"/>
              <w:ind w:right="28"/>
              <w:spacing w:after="0"/>
              <w:rPr>
                <w:sz w:val="20"/>
                <w:szCs w:val="20"/>
                <w:color w:val="auto"/>
              </w:rPr>
            </w:pPr>
            <w:r>
              <w:rPr>
                <w:rFonts w:ascii="Arial" w:cs="Arial" w:eastAsia="Arial" w:hAnsi="Arial"/>
                <w:sz w:val="10"/>
                <w:szCs w:val="10"/>
                <w:color w:val="auto"/>
                <w:w w:val="91"/>
              </w:rPr>
              <w:t>$1,956,765</w:t>
            </w:r>
          </w:p>
        </w:tc>
        <w:tc>
          <w:tcPr>
            <w:tcW w:w="60" w:type="dxa"/>
            <w:vAlign w:val="bottom"/>
          </w:tcPr>
          <w:p>
            <w:pPr>
              <w:spacing w:after="0"/>
              <w:rPr>
                <w:sz w:val="12"/>
                <w:szCs w:val="12"/>
                <w:color w:val="auto"/>
              </w:rPr>
            </w:pPr>
          </w:p>
        </w:tc>
        <w:tc>
          <w:tcPr>
            <w:tcW w:w="36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0"/>
                <w:szCs w:val="10"/>
                <w:color w:val="auto"/>
                <w:w w:val="92"/>
              </w:rPr>
              <w:t>Yes</w:t>
            </w:r>
          </w:p>
        </w:tc>
        <w:tc>
          <w:tcPr>
            <w:tcW w:w="0" w:type="dxa"/>
            <w:vAlign w:val="bottom"/>
          </w:tcPr>
          <w:p>
            <w:pPr>
              <w:spacing w:after="0"/>
              <w:rPr>
                <w:sz w:val="1"/>
                <w:szCs w:val="1"/>
                <w:color w:val="auto"/>
              </w:rPr>
            </w:pPr>
          </w:p>
        </w:tc>
      </w:tr>
      <w:tr>
        <w:trPr>
          <w:trHeight w:val="149"/>
        </w:trPr>
        <w:tc>
          <w:tcPr>
            <w:tcW w:w="4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0"/>
                <w:szCs w:val="10"/>
                <w:b w:val="1"/>
                <w:bCs w:val="1"/>
                <w:color w:val="auto"/>
                <w:w w:val="92"/>
              </w:rPr>
              <w:t>Change</w:t>
            </w:r>
          </w:p>
        </w:tc>
        <w:tc>
          <w:tcPr>
            <w:tcW w:w="360" w:type="dxa"/>
            <w:vAlign w:val="bottom"/>
            <w:tcBorders>
              <w:bottom w:val="single" w:sz="8" w:color="auto"/>
            </w:tcBorders>
          </w:tcPr>
          <w:p>
            <w:pPr>
              <w:jc w:val="center"/>
              <w:ind w:left="9"/>
              <w:spacing w:after="0"/>
              <w:rPr>
                <w:sz w:val="20"/>
                <w:szCs w:val="20"/>
                <w:color w:val="auto"/>
              </w:rPr>
            </w:pPr>
            <w:r>
              <w:rPr>
                <w:rFonts w:ascii="Arial" w:cs="Arial" w:eastAsia="Arial" w:hAnsi="Arial"/>
                <w:sz w:val="10"/>
                <w:szCs w:val="10"/>
                <w:color w:val="auto"/>
                <w:w w:val="99"/>
              </w:rPr>
              <w:t>—</w:t>
            </w:r>
          </w:p>
        </w:tc>
        <w:tc>
          <w:tcPr>
            <w:tcW w:w="60" w:type="dxa"/>
            <w:vAlign w:val="bottom"/>
            <w:tcBorders>
              <w:bottom w:val="single" w:sz="8" w:color="auto"/>
              <w:right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440" w:type="dxa"/>
            <w:vAlign w:val="bottom"/>
            <w:tcBorders>
              <w:bottom w:val="single" w:sz="8" w:color="auto"/>
              <w:right w:val="single" w:sz="8" w:color="auto"/>
            </w:tcBorders>
          </w:tcPr>
          <w:p>
            <w:pPr>
              <w:jc w:val="right"/>
              <w:ind w:right="9"/>
              <w:spacing w:after="0"/>
              <w:rPr>
                <w:sz w:val="20"/>
                <w:szCs w:val="20"/>
                <w:color w:val="auto"/>
              </w:rPr>
            </w:pPr>
            <w:r>
              <w:rPr>
                <w:rFonts w:ascii="Arial" w:cs="Arial" w:eastAsia="Arial" w:hAnsi="Arial"/>
                <w:sz w:val="10"/>
                <w:szCs w:val="10"/>
                <w:color w:val="auto"/>
              </w:rPr>
              <w:t>31,421</w:t>
            </w:r>
          </w:p>
        </w:tc>
        <w:tc>
          <w:tcPr>
            <w:tcW w:w="560" w:type="dxa"/>
            <w:vAlign w:val="bottom"/>
            <w:tcBorders>
              <w:bottom w:val="single" w:sz="8" w:color="auto"/>
              <w:right w:val="single" w:sz="8" w:color="auto"/>
            </w:tcBorders>
            <w:gridSpan w:val="2"/>
          </w:tcPr>
          <w:p>
            <w:pPr>
              <w:jc w:val="right"/>
              <w:ind w:right="60"/>
              <w:spacing w:after="0"/>
              <w:rPr>
                <w:sz w:val="20"/>
                <w:szCs w:val="20"/>
                <w:color w:val="auto"/>
              </w:rPr>
            </w:pPr>
            <w:r>
              <w:rPr>
                <w:rFonts w:ascii="Arial" w:cs="Arial" w:eastAsia="Arial" w:hAnsi="Arial"/>
                <w:sz w:val="10"/>
                <w:szCs w:val="10"/>
                <w:color w:val="auto"/>
              </w:rPr>
              <w:t>$253,567</w:t>
            </w:r>
          </w:p>
        </w:tc>
        <w:tc>
          <w:tcPr>
            <w:tcW w:w="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right w:val="single" w:sz="8" w:color="auto"/>
            </w:tcBorders>
          </w:tcPr>
          <w:p>
            <w:pPr>
              <w:jc w:val="center"/>
              <w:ind w:right="109"/>
              <w:spacing w:after="0"/>
              <w:rPr>
                <w:sz w:val="20"/>
                <w:szCs w:val="20"/>
                <w:color w:val="auto"/>
              </w:rPr>
            </w:pPr>
            <w:r>
              <w:rPr>
                <w:rFonts w:ascii="Arial" w:cs="Arial" w:eastAsia="Arial" w:hAnsi="Arial"/>
                <w:sz w:val="10"/>
                <w:szCs w:val="10"/>
                <w:color w:val="auto"/>
                <w:w w:val="99"/>
              </w:rPr>
              <w:t>—</w:t>
            </w:r>
          </w:p>
        </w:tc>
        <w:tc>
          <w:tcPr>
            <w:tcW w:w="2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220980</wp:posOffset>
            </wp:positionV>
            <wp:extent cx="4045585"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045585" cy="6350"/>
                    </a:xfrm>
                    <a:prstGeom prst="rect">
                      <a:avLst/>
                    </a:prstGeom>
                    <a:noFill/>
                  </pic:spPr>
                </pic:pic>
              </a:graphicData>
            </a:graphic>
          </wp:anchor>
        </w:drawing>
      </w:r>
    </w:p>
    <w:p>
      <w:pPr>
        <w:spacing w:after="0" w:line="331" w:lineRule="exact"/>
        <w:rPr>
          <w:sz w:val="20"/>
          <w:szCs w:val="20"/>
          <w:color w:val="auto"/>
        </w:rPr>
      </w:pPr>
    </w:p>
    <w:p>
      <w:pPr>
        <w:sectPr>
          <w:pgSz w:w="11900" w:h="16838" w:orient="portrait"/>
          <w:cols w:equalWidth="0" w:num="2">
            <w:col w:w="2560" w:space="360"/>
            <w:col w:w="6099"/>
          </w:cols>
          <w:pgMar w:left="1440" w:top="13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320"/>
        <w:spacing w:after="0"/>
        <w:rPr>
          <w:sz w:val="20"/>
          <w:szCs w:val="20"/>
          <w:color w:val="auto"/>
        </w:rPr>
      </w:pPr>
      <w:r>
        <w:rPr>
          <w:rFonts w:ascii="Arial" w:cs="Arial" w:eastAsia="Arial" w:hAnsi="Arial"/>
          <w:sz w:val="11"/>
          <w:szCs w:val="11"/>
          <w:b w:val="1"/>
          <w:bCs w:val="1"/>
          <w:color w:val="auto"/>
        </w:rPr>
        <w:t>Laurette T. Koellner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-795655</wp:posOffset>
            </wp:positionV>
            <wp:extent cx="549910" cy="6889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49910" cy="688975"/>
                    </a:xfrm>
                    <a:prstGeom prst="rect">
                      <a:avLst/>
                    </a:prstGeom>
                    <a:noFill/>
                  </pic:spPr>
                </pic:pic>
              </a:graphicData>
            </a:graphic>
          </wp:anchor>
        </w:drawing>
      </w:r>
    </w:p>
    <w:p>
      <w:pPr>
        <w:ind w:left="1320"/>
        <w:spacing w:after="0" w:line="236" w:lineRule="auto"/>
        <w:rPr>
          <w:sz w:val="20"/>
          <w:szCs w:val="20"/>
          <w:color w:val="auto"/>
        </w:rPr>
      </w:pPr>
      <w:r>
        <w:rPr>
          <w:rFonts w:ascii="Arial" w:cs="Arial" w:eastAsia="Arial" w:hAnsi="Arial"/>
          <w:sz w:val="11"/>
          <w:szCs w:val="11"/>
          <w:color w:val="auto"/>
        </w:rPr>
        <w:t>Merritt Island, Florida</w:t>
      </w:r>
    </w:p>
    <w:p>
      <w:pPr>
        <w:ind w:left="1320"/>
        <w:spacing w:after="0"/>
        <w:rPr>
          <w:sz w:val="20"/>
          <w:szCs w:val="20"/>
          <w:color w:val="auto"/>
        </w:rPr>
      </w:pPr>
      <w:r>
        <w:rPr>
          <w:rFonts w:ascii="Arial" w:cs="Arial" w:eastAsia="Arial" w:hAnsi="Arial"/>
          <w:sz w:val="11"/>
          <w:szCs w:val="11"/>
          <w:color w:val="auto"/>
        </w:rPr>
        <w:t>U.S.</w:t>
      </w:r>
    </w:p>
    <w:p>
      <w:pPr>
        <w:spacing w:after="0" w:line="21" w:lineRule="exact"/>
        <w:rPr>
          <w:sz w:val="20"/>
          <w:szCs w:val="20"/>
          <w:color w:val="auto"/>
        </w:rPr>
      </w:pPr>
    </w:p>
    <w:p>
      <w:pPr>
        <w:ind w:left="1320"/>
        <w:spacing w:after="0"/>
        <w:rPr>
          <w:sz w:val="20"/>
          <w:szCs w:val="20"/>
          <w:color w:val="auto"/>
        </w:rPr>
      </w:pPr>
      <w:r>
        <w:rPr>
          <w:rFonts w:ascii="Arial" w:cs="Arial" w:eastAsia="Arial" w:hAnsi="Arial"/>
          <w:sz w:val="11"/>
          <w:szCs w:val="11"/>
          <w:b w:val="1"/>
          <w:bCs w:val="1"/>
          <w:color w:val="auto"/>
        </w:rPr>
        <w:t xml:space="preserve">Director Since: </w:t>
      </w:r>
      <w:r>
        <w:rPr>
          <w:rFonts w:ascii="Arial" w:cs="Arial" w:eastAsia="Arial" w:hAnsi="Arial"/>
          <w:sz w:val="11"/>
          <w:szCs w:val="11"/>
          <w:color w:val="auto"/>
        </w:rPr>
        <w:t>2009</w:t>
      </w:r>
    </w:p>
    <w:p>
      <w:pPr>
        <w:ind w:left="1320"/>
        <w:spacing w:after="0" w:line="236" w:lineRule="auto"/>
        <w:rPr>
          <w:sz w:val="20"/>
          <w:szCs w:val="20"/>
          <w:color w:val="auto"/>
        </w:rPr>
      </w:pPr>
      <w:r>
        <w:rPr>
          <w:rFonts w:ascii="Arial" w:cs="Arial" w:eastAsia="Arial" w:hAnsi="Arial"/>
          <w:sz w:val="11"/>
          <w:szCs w:val="11"/>
          <w:b w:val="1"/>
          <w:bCs w:val="1"/>
          <w:color w:val="auto"/>
        </w:rPr>
        <w:t xml:space="preserve">Age: </w:t>
      </w:r>
      <w:r>
        <w:rPr>
          <w:rFonts w:ascii="Arial" w:cs="Arial" w:eastAsia="Arial" w:hAnsi="Arial"/>
          <w:sz w:val="11"/>
          <w:szCs w:val="11"/>
          <w:color w:val="auto"/>
        </w:rPr>
        <w:t>66</w:t>
      </w:r>
    </w:p>
    <w:p>
      <w:pPr>
        <w:ind w:left="1320"/>
        <w:spacing w:after="0"/>
        <w:rPr>
          <w:sz w:val="20"/>
          <w:szCs w:val="20"/>
          <w:color w:val="auto"/>
        </w:rPr>
      </w:pPr>
      <w:r>
        <w:rPr>
          <w:rFonts w:ascii="Arial" w:cs="Arial" w:eastAsia="Arial" w:hAnsi="Arial"/>
          <w:sz w:val="11"/>
          <w:szCs w:val="11"/>
          <w:b w:val="1"/>
          <w:bCs w:val="1"/>
          <w:color w:val="auto"/>
        </w:rPr>
        <w:t xml:space="preserve">Status: </w:t>
      </w:r>
      <w:r>
        <w:rPr>
          <w:rFonts w:ascii="Arial" w:cs="Arial" w:eastAsia="Arial" w:hAnsi="Arial"/>
          <w:sz w:val="11"/>
          <w:szCs w:val="11"/>
          <w:color w:val="auto"/>
        </w:rPr>
        <w:t>Independent</w:t>
      </w:r>
    </w:p>
    <w:p>
      <w:pPr>
        <w:spacing w:after="0" w:line="21" w:lineRule="exact"/>
        <w:rPr>
          <w:sz w:val="20"/>
          <w:szCs w:val="20"/>
          <w:color w:val="auto"/>
        </w:rPr>
      </w:pPr>
    </w:p>
    <w:p>
      <w:pPr>
        <w:ind w:left="1320"/>
        <w:spacing w:after="0"/>
        <w:rPr>
          <w:sz w:val="20"/>
          <w:szCs w:val="20"/>
          <w:color w:val="auto"/>
        </w:rPr>
      </w:pPr>
      <w:r>
        <w:rPr>
          <w:rFonts w:ascii="Arial" w:cs="Arial" w:eastAsia="Arial" w:hAnsi="Arial"/>
          <w:sz w:val="11"/>
          <w:szCs w:val="11"/>
          <w:b w:val="1"/>
          <w:bCs w:val="1"/>
          <w:color w:val="auto"/>
        </w:rPr>
        <w:t>Areas of Expertise:</w:t>
      </w:r>
    </w:p>
    <w:p>
      <w:pPr>
        <w:spacing w:after="0" w:line="12" w:lineRule="exact"/>
        <w:rPr>
          <w:sz w:val="20"/>
          <w:szCs w:val="20"/>
          <w:color w:val="auto"/>
        </w:rPr>
      </w:pPr>
    </w:p>
    <w:p>
      <w:pPr>
        <w:ind w:left="1420" w:right="320" w:hanging="97"/>
        <w:spacing w:after="0" w:line="245" w:lineRule="auto"/>
        <w:tabs>
          <w:tab w:leader="none" w:pos="1420" w:val="left"/>
        </w:tabs>
        <w:numPr>
          <w:ilvl w:val="0"/>
          <w:numId w:val="42"/>
        </w:numPr>
        <w:rPr>
          <w:rFonts w:ascii="Arial" w:cs="Arial" w:eastAsia="Arial" w:hAnsi="Arial"/>
          <w:sz w:val="11"/>
          <w:szCs w:val="11"/>
          <w:color w:val="auto"/>
        </w:rPr>
      </w:pPr>
      <w:r>
        <w:rPr>
          <w:rFonts w:ascii="Arial" w:cs="Arial" w:eastAsia="Arial" w:hAnsi="Arial"/>
          <w:sz w:val="11"/>
          <w:szCs w:val="11"/>
          <w:color w:val="auto"/>
        </w:rPr>
        <w:t>Public Company Board Expertise</w:t>
      </w:r>
    </w:p>
    <w:p>
      <w:pPr>
        <w:ind w:left="1420" w:hanging="97"/>
        <w:spacing w:after="0"/>
        <w:tabs>
          <w:tab w:leader="none" w:pos="1420" w:val="left"/>
        </w:tabs>
        <w:numPr>
          <w:ilvl w:val="0"/>
          <w:numId w:val="42"/>
        </w:numPr>
        <w:rPr>
          <w:rFonts w:ascii="Arial" w:cs="Arial" w:eastAsia="Arial" w:hAnsi="Arial"/>
          <w:sz w:val="11"/>
          <w:szCs w:val="11"/>
          <w:color w:val="auto"/>
        </w:rPr>
      </w:pPr>
      <w:r>
        <w:rPr>
          <w:rFonts w:ascii="Arial" w:cs="Arial" w:eastAsia="Arial" w:hAnsi="Arial"/>
          <w:sz w:val="11"/>
          <w:szCs w:val="11"/>
          <w:color w:val="auto"/>
        </w:rPr>
        <w:t>Audit and Finance</w:t>
      </w:r>
    </w:p>
    <w:p>
      <w:pPr>
        <w:spacing w:after="0" w:line="2" w:lineRule="exact"/>
        <w:rPr>
          <w:rFonts w:ascii="Arial" w:cs="Arial" w:eastAsia="Arial" w:hAnsi="Arial"/>
          <w:sz w:val="11"/>
          <w:szCs w:val="11"/>
          <w:color w:val="auto"/>
        </w:rPr>
      </w:pPr>
    </w:p>
    <w:p>
      <w:pPr>
        <w:ind w:left="1420" w:hanging="97"/>
        <w:spacing w:after="0"/>
        <w:tabs>
          <w:tab w:leader="none" w:pos="1420" w:val="left"/>
        </w:tabs>
        <w:numPr>
          <w:ilvl w:val="0"/>
          <w:numId w:val="42"/>
        </w:numPr>
        <w:rPr>
          <w:rFonts w:ascii="Arial" w:cs="Arial" w:eastAsia="Arial" w:hAnsi="Arial"/>
          <w:sz w:val="11"/>
          <w:szCs w:val="11"/>
          <w:color w:val="auto"/>
        </w:rPr>
      </w:pPr>
      <w:r>
        <w:rPr>
          <w:rFonts w:ascii="Arial" w:cs="Arial" w:eastAsia="Arial" w:hAnsi="Arial"/>
          <w:sz w:val="11"/>
          <w:szCs w:val="11"/>
          <w:color w:val="auto"/>
        </w:rPr>
        <w:t>Human Resources</w:t>
      </w:r>
    </w:p>
    <w:p>
      <w:pPr>
        <w:spacing w:after="0" w:line="24" w:lineRule="exact"/>
        <w:rPr>
          <w:sz w:val="20"/>
          <w:szCs w:val="20"/>
          <w:color w:val="auto"/>
        </w:rPr>
      </w:pPr>
    </w:p>
    <w:p>
      <w:pPr>
        <w:ind w:left="1320"/>
        <w:spacing w:after="0"/>
        <w:rPr>
          <w:sz w:val="20"/>
          <w:szCs w:val="20"/>
          <w:color w:val="auto"/>
        </w:rPr>
      </w:pPr>
      <w:r>
        <w:rPr>
          <w:rFonts w:ascii="Arial" w:cs="Arial" w:eastAsia="Arial" w:hAnsi="Arial"/>
          <w:sz w:val="11"/>
          <w:szCs w:val="11"/>
          <w:b w:val="1"/>
          <w:bCs w:val="1"/>
          <w:color w:val="auto"/>
        </w:rPr>
        <w:t>Other Current Public Board</w:t>
      </w:r>
    </w:p>
    <w:p>
      <w:pPr>
        <w:ind w:left="1320"/>
        <w:spacing w:after="0" w:line="236" w:lineRule="auto"/>
        <w:rPr>
          <w:sz w:val="20"/>
          <w:szCs w:val="20"/>
          <w:color w:val="auto"/>
        </w:rPr>
      </w:pPr>
      <w:r>
        <w:rPr>
          <w:rFonts w:ascii="Arial" w:cs="Arial" w:eastAsia="Arial" w:hAnsi="Arial"/>
          <w:sz w:val="11"/>
          <w:szCs w:val="11"/>
          <w:b w:val="1"/>
          <w:bCs w:val="1"/>
          <w:color w:val="auto"/>
        </w:rPr>
        <w:t>Directorships:</w:t>
      </w:r>
    </w:p>
    <w:p>
      <w:pPr>
        <w:ind w:left="1420" w:hanging="97"/>
        <w:spacing w:after="0" w:line="242" w:lineRule="auto"/>
        <w:tabs>
          <w:tab w:leader="none" w:pos="1420" w:val="left"/>
        </w:tabs>
        <w:numPr>
          <w:ilvl w:val="0"/>
          <w:numId w:val="43"/>
        </w:numPr>
        <w:rPr>
          <w:rFonts w:ascii="Arial" w:cs="Arial" w:eastAsia="Arial" w:hAnsi="Arial"/>
          <w:sz w:val="11"/>
          <w:szCs w:val="11"/>
          <w:color w:val="auto"/>
        </w:rPr>
      </w:pPr>
      <w:r>
        <w:rPr>
          <w:rFonts w:ascii="Arial" w:cs="Arial" w:eastAsia="Arial" w:hAnsi="Arial"/>
          <w:sz w:val="11"/>
          <w:szCs w:val="11"/>
          <w:color w:val="auto"/>
        </w:rPr>
        <w:t>Papa John’s International, Inc. (since 2014)</w:t>
      </w:r>
    </w:p>
    <w:p>
      <w:pPr>
        <w:ind w:left="1420" w:right="40" w:hanging="97"/>
        <w:spacing w:after="0" w:line="270" w:lineRule="auto"/>
        <w:tabs>
          <w:tab w:leader="none" w:pos="1420" w:val="left"/>
        </w:tabs>
        <w:numPr>
          <w:ilvl w:val="0"/>
          <w:numId w:val="43"/>
        </w:numPr>
        <w:rPr>
          <w:rFonts w:ascii="Arial" w:cs="Arial" w:eastAsia="Arial" w:hAnsi="Arial"/>
          <w:sz w:val="10"/>
          <w:szCs w:val="10"/>
          <w:color w:val="auto"/>
        </w:rPr>
      </w:pPr>
      <w:r>
        <w:rPr>
          <w:rFonts w:ascii="Arial" w:cs="Arial" w:eastAsia="Arial" w:hAnsi="Arial"/>
          <w:sz w:val="10"/>
          <w:szCs w:val="10"/>
          <w:color w:val="auto"/>
        </w:rPr>
        <w:t>The Goodyear Tire &amp; Rubber Company (since 2015)</w:t>
      </w:r>
    </w:p>
    <w:p>
      <w:pPr>
        <w:ind w:left="1420" w:right="520" w:hanging="97"/>
        <w:spacing w:after="0" w:line="291" w:lineRule="auto"/>
        <w:tabs>
          <w:tab w:leader="none" w:pos="1420" w:val="left"/>
        </w:tabs>
        <w:numPr>
          <w:ilvl w:val="0"/>
          <w:numId w:val="43"/>
        </w:numPr>
        <w:rPr>
          <w:rFonts w:ascii="Arial" w:cs="Arial" w:eastAsia="Arial" w:hAnsi="Arial"/>
          <w:sz w:val="10"/>
          <w:szCs w:val="10"/>
          <w:color w:val="auto"/>
        </w:rPr>
      </w:pPr>
      <w:r>
        <w:rPr>
          <w:rFonts w:ascii="Arial" w:cs="Arial" w:eastAsia="Arial" w:hAnsi="Arial"/>
          <w:sz w:val="10"/>
          <w:szCs w:val="10"/>
          <w:color w:val="auto"/>
        </w:rPr>
        <w:t>Nucor Corporation (since 2015)</w:t>
      </w:r>
    </w:p>
    <w:p>
      <w:pPr>
        <w:spacing w:after="0" w:line="1" w:lineRule="exact"/>
        <w:rPr>
          <w:sz w:val="20"/>
          <w:szCs w:val="20"/>
          <w:color w:val="auto"/>
        </w:rPr>
      </w:pPr>
    </w:p>
    <w:p>
      <w:pPr>
        <w:ind w:left="1320"/>
        <w:spacing w:after="0"/>
        <w:rPr>
          <w:sz w:val="20"/>
          <w:szCs w:val="20"/>
          <w:color w:val="auto"/>
        </w:rPr>
      </w:pPr>
      <w:r>
        <w:rPr>
          <w:rFonts w:ascii="Arial" w:cs="Arial" w:eastAsia="Arial" w:hAnsi="Arial"/>
          <w:sz w:val="11"/>
          <w:szCs w:val="11"/>
          <w:b w:val="1"/>
          <w:bCs w:val="1"/>
          <w:color w:val="auto"/>
        </w:rPr>
        <w:t>2020 Annual Meeting</w:t>
      </w:r>
    </w:p>
    <w:p>
      <w:pPr>
        <w:ind w:left="1320"/>
        <w:spacing w:after="0" w:line="236" w:lineRule="auto"/>
        <w:rPr>
          <w:sz w:val="20"/>
          <w:szCs w:val="20"/>
          <w:color w:val="auto"/>
        </w:rPr>
      </w:pPr>
      <w:r>
        <w:rPr>
          <w:rFonts w:ascii="Arial" w:cs="Arial" w:eastAsia="Arial" w:hAnsi="Arial"/>
          <w:sz w:val="11"/>
          <w:szCs w:val="11"/>
          <w:color w:val="auto"/>
        </w:rPr>
        <w:t>Votes in Favour: 98.15%</w:t>
      </w:r>
    </w:p>
    <w:p>
      <w:pPr>
        <w:ind w:left="1320"/>
        <w:spacing w:after="0"/>
        <w:rPr>
          <w:sz w:val="20"/>
          <w:szCs w:val="20"/>
          <w:color w:val="auto"/>
        </w:rPr>
      </w:pPr>
      <w:r>
        <w:rPr>
          <w:rFonts w:ascii="Arial" w:cs="Arial" w:eastAsia="Arial" w:hAnsi="Arial"/>
          <w:sz w:val="11"/>
          <w:szCs w:val="11"/>
          <w:color w:val="auto"/>
        </w:rPr>
        <w:t>Votes Withheld: 1.85%</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both"/>
        <w:ind w:right="1319"/>
        <w:spacing w:after="0" w:line="253" w:lineRule="auto"/>
        <w:rPr>
          <w:sz w:val="20"/>
          <w:szCs w:val="20"/>
          <w:color w:val="auto"/>
        </w:rPr>
      </w:pPr>
      <w:r>
        <w:rPr>
          <w:rFonts w:ascii="Arial" w:cs="Arial" w:eastAsia="Arial" w:hAnsi="Arial"/>
          <w:sz w:val="10"/>
          <w:szCs w:val="10"/>
          <w:color w:val="auto"/>
        </w:rPr>
        <w:t>Ms. Koellner is a corporate director. She most recently served as Executive Chairman of International Lease Finance Corporation, an aircraft leasing subsidiary of American International Group, Inc. (“</w:t>
      </w:r>
      <w:r>
        <w:rPr>
          <w:rFonts w:ascii="Arial" w:cs="Arial" w:eastAsia="Arial" w:hAnsi="Arial"/>
          <w:sz w:val="10"/>
          <w:szCs w:val="10"/>
          <w:b w:val="1"/>
          <w:bCs w:val="1"/>
          <w:color w:val="auto"/>
        </w:rPr>
        <w:t>AIG</w:t>
      </w:r>
      <w:r>
        <w:rPr>
          <w:rFonts w:ascii="Arial" w:cs="Arial" w:eastAsia="Arial" w:hAnsi="Arial"/>
          <w:sz w:val="10"/>
          <w:szCs w:val="10"/>
          <w:color w:val="auto"/>
        </w:rPr>
        <w:t>”) from 2012 until its sale in 2014. Ms. Koellner retired as President of Boeing International, a division of The Boeing Company, in 2008. While at Boeing, she was a member of the Office of the Chairman and served as the Executive Vice President, Internal Services, Chief Human Resources and Administrative Officer, President of Shared Services and Corporate Controller. Ms. Koellner previously served on the board of directors and was the Chair of the Audit Committee of Hillshire Brands Company (a public company, formerly Sara Lee Corporation and now merged with Tyson Foods, Inc.) and on the board of directors of AIG (a public company). She holds a Bachelor of Science degree in Business Management from the University of Central Florida and a Master of Business Administration from Stetson University, as well as a Certified Professional Contracts Manager designation from the National Contracts Management Association.</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Ms. Koellner sits on the Audit Committee (Chair), HRCC, and NCGC.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3034030" cy="1136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034030" cy="113665"/>
                    </a:xfrm>
                    <a:prstGeom prst="rect">
                      <a:avLst/>
                    </a:prstGeom>
                    <a:noFill/>
                  </pic:spPr>
                </pic:pic>
              </a:graphicData>
            </a:graphic>
          </wp:anchor>
        </w:drawing>
      </w:r>
    </w:p>
    <w:p>
      <w:pPr>
        <w:spacing w:after="0" w:line="69" w:lineRule="exact"/>
        <w:rPr>
          <w:sz w:val="20"/>
          <w:szCs w:val="20"/>
          <w:color w:val="auto"/>
        </w:rPr>
      </w:pPr>
    </w:p>
    <w:p>
      <w:pPr>
        <w:ind w:left="1240"/>
        <w:spacing w:after="0"/>
        <w:rPr>
          <w:sz w:val="20"/>
          <w:szCs w:val="20"/>
          <w:color w:val="auto"/>
        </w:rPr>
      </w:pPr>
      <w:r>
        <w:rPr>
          <w:rFonts w:ascii="Arial" w:cs="Arial" w:eastAsia="Arial" w:hAnsi="Arial"/>
          <w:sz w:val="11"/>
          <w:szCs w:val="11"/>
          <w:b w:val="1"/>
          <w:bCs w:val="1"/>
          <w:color w:val="auto"/>
        </w:rPr>
        <w:t>BOARD AND COMMITTEE ATTENDANCE</w:t>
      </w:r>
    </w:p>
    <w:p>
      <w:pPr>
        <w:spacing w:after="0" w:line="12"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440" w:type="dxa"/>
            <w:vAlign w:val="bottom"/>
            <w:tcBorders>
              <w:top w:val="single" w:sz="8" w:color="auto"/>
            </w:tcBorders>
            <w:vMerge w:val="restart"/>
          </w:tcPr>
          <w:p>
            <w:pPr>
              <w:spacing w:after="0"/>
              <w:rPr>
                <w:sz w:val="20"/>
                <w:szCs w:val="20"/>
                <w:color w:val="auto"/>
              </w:rPr>
            </w:pPr>
            <w:r>
              <w:rPr>
                <w:rFonts w:ascii="Arial" w:cs="Arial" w:eastAsia="Arial" w:hAnsi="Arial"/>
                <w:sz w:val="11"/>
                <w:szCs w:val="11"/>
                <w:color w:val="auto"/>
              </w:rPr>
              <w:t>Board</w:t>
            </w:r>
          </w:p>
        </w:tc>
        <w:tc>
          <w:tcPr>
            <w:tcW w:w="3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5"/>
          </w:tcPr>
          <w:p>
            <w:pPr>
              <w:jc w:val="center"/>
              <w:ind w:left="329"/>
              <w:spacing w:after="0"/>
              <w:rPr>
                <w:sz w:val="20"/>
                <w:szCs w:val="20"/>
                <w:color w:val="auto"/>
              </w:rPr>
            </w:pPr>
            <w:r>
              <w:rPr>
                <w:rFonts w:ascii="Arial" w:cs="Arial" w:eastAsia="Arial" w:hAnsi="Arial"/>
                <w:sz w:val="11"/>
                <w:szCs w:val="11"/>
                <w:color w:val="auto"/>
                <w:w w:val="96"/>
              </w:rPr>
              <w:t>ATTENDANCE</w:t>
            </w:r>
          </w:p>
        </w:tc>
        <w:tc>
          <w:tcPr>
            <w:tcW w:w="3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6"/>
          </w:tcPr>
          <w:p>
            <w:pPr>
              <w:spacing w:after="0"/>
              <w:rPr>
                <w:sz w:val="20"/>
                <w:szCs w:val="20"/>
                <w:color w:val="auto"/>
              </w:rPr>
            </w:pPr>
            <w:r>
              <w:rPr>
                <w:rFonts w:ascii="Arial" w:cs="Arial" w:eastAsia="Arial" w:hAnsi="Arial"/>
                <w:sz w:val="11"/>
                <w:szCs w:val="11"/>
                <w:color w:val="auto"/>
              </w:rPr>
              <w:t>TOTAL ATTENDANCE</w:t>
            </w:r>
          </w:p>
        </w:tc>
        <w:tc>
          <w:tcPr>
            <w:tcW w:w="0" w:type="dxa"/>
            <w:vAlign w:val="bottom"/>
          </w:tcPr>
          <w:p>
            <w:pPr>
              <w:spacing w:after="0"/>
              <w:rPr>
                <w:sz w:val="1"/>
                <w:szCs w:val="1"/>
                <w:color w:val="auto"/>
              </w:rPr>
            </w:pPr>
          </w:p>
        </w:tc>
      </w:tr>
      <w:tr>
        <w:trPr>
          <w:trHeight w:val="20"/>
        </w:trPr>
        <w:tc>
          <w:tcPr>
            <w:tcW w:w="440" w:type="dxa"/>
            <w:vAlign w:val="bottom"/>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4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gridSpan w:val="2"/>
          </w:tcPr>
          <w:p>
            <w:pPr>
              <w:jc w:val="center"/>
              <w:ind w:right="180"/>
              <w:spacing w:after="0" w:line="106" w:lineRule="exact"/>
              <w:rPr>
                <w:sz w:val="20"/>
                <w:szCs w:val="20"/>
                <w:color w:val="auto"/>
              </w:rPr>
            </w:pPr>
            <w:r>
              <w:rPr>
                <w:rFonts w:ascii="Arial" w:cs="Arial" w:eastAsia="Arial" w:hAnsi="Arial"/>
                <w:sz w:val="11"/>
                <w:szCs w:val="11"/>
                <w:color w:val="auto"/>
                <w:w w:val="94"/>
              </w:rPr>
              <w:t>8 of 8</w:t>
            </w:r>
          </w:p>
        </w:tc>
        <w:tc>
          <w:tcPr>
            <w:tcW w:w="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500" w:type="dxa"/>
            <w:vAlign w:val="bottom"/>
            <w:gridSpan w:val="2"/>
          </w:tcPr>
          <w:p>
            <w:pPr>
              <w:spacing w:after="0" w:line="106" w:lineRule="exact"/>
              <w:rPr>
                <w:sz w:val="20"/>
                <w:szCs w:val="20"/>
                <w:color w:val="auto"/>
              </w:rPr>
            </w:pPr>
            <w:r>
              <w:rPr>
                <w:rFonts w:ascii="Arial" w:cs="Arial" w:eastAsia="Arial" w:hAnsi="Arial"/>
                <w:sz w:val="11"/>
                <w:szCs w:val="11"/>
                <w:color w:val="auto"/>
              </w:rPr>
              <w:t>Board</w:t>
            </w:r>
          </w:p>
        </w:tc>
        <w:tc>
          <w:tcPr>
            <w:tcW w:w="920" w:type="dxa"/>
            <w:vAlign w:val="bottom"/>
            <w:gridSpan w:val="3"/>
          </w:tcPr>
          <w:p>
            <w:pPr>
              <w:jc w:val="right"/>
              <w:ind w:right="149"/>
              <w:spacing w:after="0" w:line="106" w:lineRule="exact"/>
              <w:rPr>
                <w:sz w:val="20"/>
                <w:szCs w:val="20"/>
                <w:color w:val="auto"/>
              </w:rPr>
            </w:pPr>
            <w:r>
              <w:rPr>
                <w:rFonts w:ascii="Arial" w:cs="Arial" w:eastAsia="Arial" w:hAnsi="Arial"/>
                <w:sz w:val="11"/>
                <w:szCs w:val="11"/>
                <w:color w:val="auto"/>
              </w:rPr>
              <w:t>100%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800" w:type="dxa"/>
            <w:vAlign w:val="bottom"/>
            <w:gridSpan w:val="2"/>
          </w:tcPr>
          <w:p>
            <w:pPr>
              <w:spacing w:after="0"/>
              <w:rPr>
                <w:sz w:val="20"/>
                <w:szCs w:val="20"/>
                <w:color w:val="auto"/>
              </w:rPr>
            </w:pPr>
            <w:r>
              <w:rPr>
                <w:rFonts w:ascii="Arial" w:cs="Arial" w:eastAsia="Arial" w:hAnsi="Arial"/>
                <w:sz w:val="11"/>
                <w:szCs w:val="11"/>
                <w:color w:val="auto"/>
                <w:w w:val="95"/>
              </w:rPr>
              <w:t>Audit Committee</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3"/>
          </w:tcPr>
          <w:p>
            <w:pPr>
              <w:jc w:val="center"/>
              <w:ind w:right="200"/>
              <w:spacing w:after="0"/>
              <w:rPr>
                <w:sz w:val="20"/>
                <w:szCs w:val="20"/>
                <w:color w:val="auto"/>
              </w:rPr>
            </w:pPr>
            <w:r>
              <w:rPr>
                <w:rFonts w:ascii="Arial" w:cs="Arial" w:eastAsia="Arial" w:hAnsi="Arial"/>
                <w:sz w:val="11"/>
                <w:szCs w:val="11"/>
                <w:color w:val="auto"/>
                <w:w w:val="94"/>
              </w:rPr>
              <w:t>6 of 6</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gridSpan w:val="2"/>
          </w:tcPr>
          <w:p>
            <w:pPr>
              <w:spacing w:after="0"/>
              <w:rPr>
                <w:sz w:val="20"/>
                <w:szCs w:val="20"/>
                <w:color w:val="auto"/>
              </w:rPr>
            </w:pPr>
            <w:r>
              <w:rPr>
                <w:rFonts w:ascii="Arial" w:cs="Arial" w:eastAsia="Arial" w:hAnsi="Arial"/>
                <w:sz w:val="11"/>
                <w:szCs w:val="11"/>
                <w:color w:val="auto"/>
                <w:w w:val="90"/>
              </w:rPr>
              <w:t>Committee</w:t>
            </w:r>
          </w:p>
        </w:tc>
        <w:tc>
          <w:tcPr>
            <w:tcW w:w="920" w:type="dxa"/>
            <w:vAlign w:val="bottom"/>
            <w:gridSpan w:val="3"/>
          </w:tcPr>
          <w:p>
            <w:pPr>
              <w:jc w:val="right"/>
              <w:ind w:right="149"/>
              <w:spacing w:after="0"/>
              <w:rPr>
                <w:sz w:val="20"/>
                <w:szCs w:val="20"/>
                <w:color w:val="auto"/>
              </w:rPr>
            </w:pPr>
            <w:r>
              <w:rPr>
                <w:rFonts w:ascii="Arial" w:cs="Arial" w:eastAsia="Arial" w:hAnsi="Arial"/>
                <w:sz w:val="11"/>
                <w:szCs w:val="11"/>
                <w:color w:val="auto"/>
              </w:rPr>
              <w:t>100%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40" w:type="dxa"/>
            <w:vAlign w:val="bottom"/>
          </w:tcPr>
          <w:p>
            <w:pPr>
              <w:spacing w:after="0"/>
              <w:rPr>
                <w:sz w:val="20"/>
                <w:szCs w:val="20"/>
                <w:color w:val="auto"/>
              </w:rPr>
            </w:pPr>
            <w:r>
              <w:rPr>
                <w:rFonts w:ascii="Arial" w:cs="Arial" w:eastAsia="Arial" w:hAnsi="Arial"/>
                <w:sz w:val="11"/>
                <w:szCs w:val="11"/>
                <w:color w:val="auto"/>
              </w:rPr>
              <w:t>HRCC</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3"/>
          </w:tcPr>
          <w:p>
            <w:pPr>
              <w:jc w:val="center"/>
              <w:ind w:right="200"/>
              <w:spacing w:after="0"/>
              <w:rPr>
                <w:sz w:val="20"/>
                <w:szCs w:val="20"/>
                <w:color w:val="auto"/>
              </w:rPr>
            </w:pPr>
            <w:r>
              <w:rPr>
                <w:rFonts w:ascii="Arial" w:cs="Arial" w:eastAsia="Arial" w:hAnsi="Arial"/>
                <w:sz w:val="11"/>
                <w:szCs w:val="11"/>
                <w:color w:val="auto"/>
                <w:w w:val="94"/>
              </w:rPr>
              <w:t>6 of 6</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0" w:type="dxa"/>
            <w:vAlign w:val="bottom"/>
          </w:tcPr>
          <w:p>
            <w:pPr>
              <w:spacing w:after="0"/>
              <w:rPr>
                <w:sz w:val="20"/>
                <w:szCs w:val="20"/>
                <w:color w:val="auto"/>
              </w:rPr>
            </w:pPr>
            <w:r>
              <w:rPr>
                <w:rFonts w:ascii="Arial" w:cs="Arial" w:eastAsia="Arial" w:hAnsi="Arial"/>
                <w:sz w:val="11"/>
                <w:szCs w:val="11"/>
                <w:color w:val="auto"/>
              </w:rPr>
              <w:t>NCGC</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3"/>
          </w:tcPr>
          <w:p>
            <w:pPr>
              <w:jc w:val="center"/>
              <w:ind w:right="200"/>
              <w:spacing w:after="0"/>
              <w:rPr>
                <w:sz w:val="20"/>
                <w:szCs w:val="20"/>
                <w:color w:val="auto"/>
              </w:rPr>
            </w:pPr>
            <w:r>
              <w:rPr>
                <w:rFonts w:ascii="Arial" w:cs="Arial" w:eastAsia="Arial" w:hAnsi="Arial"/>
                <w:sz w:val="11"/>
                <w:szCs w:val="11"/>
                <w:color w:val="auto"/>
                <w:w w:val="94"/>
              </w:rPr>
              <w:t>3 of 3</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4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40" w:type="dxa"/>
            <w:vAlign w:val="bottom"/>
            <w:tcBorders>
              <w:left w:val="single" w:sz="8" w:color="auto"/>
              <w:bottom w:val="single" w:sz="8" w:color="auto"/>
              <w:right w:val="single" w:sz="8" w:color="CCCCCC"/>
            </w:tcBorders>
            <w:shd w:val="clear" w:color="auto" w:fill="CCCCCC"/>
          </w:tcPr>
          <w:p>
            <w:pPr>
              <w:spacing w:after="0"/>
              <w:rPr>
                <w:sz w:val="14"/>
                <w:szCs w:val="14"/>
                <w:color w:val="auto"/>
              </w:rPr>
            </w:pPr>
          </w:p>
        </w:tc>
        <w:tc>
          <w:tcPr>
            <w:tcW w:w="360" w:type="dxa"/>
            <w:vAlign w:val="bottom"/>
            <w:tcBorders>
              <w:bottom w:val="single" w:sz="8" w:color="auto"/>
            </w:tcBorders>
            <w:shd w:val="clear" w:color="auto" w:fill="CCCCCC"/>
          </w:tcPr>
          <w:p>
            <w:pPr>
              <w:spacing w:after="0"/>
              <w:rPr>
                <w:sz w:val="14"/>
                <w:szCs w:val="14"/>
                <w:color w:val="auto"/>
              </w:rPr>
            </w:pPr>
          </w:p>
        </w:tc>
        <w:tc>
          <w:tcPr>
            <w:tcW w:w="60" w:type="dxa"/>
            <w:vAlign w:val="bottom"/>
            <w:tcBorders>
              <w:bottom w:val="single" w:sz="8" w:color="auto"/>
              <w:right w:val="single" w:sz="8" w:color="CCCCCC"/>
            </w:tcBorders>
            <w:shd w:val="clear" w:color="auto" w:fill="CCCCCC"/>
          </w:tcPr>
          <w:p>
            <w:pPr>
              <w:spacing w:after="0"/>
              <w:rPr>
                <w:sz w:val="14"/>
                <w:szCs w:val="14"/>
                <w:color w:val="auto"/>
              </w:rPr>
            </w:pPr>
          </w:p>
        </w:tc>
        <w:tc>
          <w:tcPr>
            <w:tcW w:w="560" w:type="dxa"/>
            <w:vAlign w:val="bottom"/>
            <w:tcBorders>
              <w:bottom w:val="single" w:sz="8" w:color="auto"/>
              <w:right w:val="single" w:sz="8" w:color="CCCCCC"/>
            </w:tcBorders>
            <w:shd w:val="clear" w:color="auto" w:fill="CCCCCC"/>
          </w:tcPr>
          <w:p>
            <w:pPr>
              <w:spacing w:after="0"/>
              <w:rPr>
                <w:sz w:val="14"/>
                <w:szCs w:val="14"/>
                <w:color w:val="auto"/>
              </w:rPr>
            </w:pPr>
          </w:p>
        </w:tc>
        <w:tc>
          <w:tcPr>
            <w:tcW w:w="1880" w:type="dxa"/>
            <w:vAlign w:val="bottom"/>
            <w:tcBorders>
              <w:bottom w:val="single" w:sz="8" w:color="auto"/>
              <w:right w:val="single" w:sz="8" w:color="CCCCCC"/>
            </w:tcBorders>
            <w:gridSpan w:val="7"/>
            <w:shd w:val="clear" w:color="auto" w:fill="CCCCCC"/>
          </w:tcPr>
          <w:p>
            <w:pPr>
              <w:ind w:left="120"/>
              <w:spacing w:after="0" w:line="169" w:lineRule="exact"/>
              <w:rPr>
                <w:sz w:val="20"/>
                <w:szCs w:val="20"/>
                <w:color w:val="auto"/>
              </w:rPr>
            </w:pPr>
            <w:r>
              <w:rPr>
                <w:rFonts w:ascii="Arial" w:cs="Arial" w:eastAsia="Arial" w:hAnsi="Arial"/>
                <w:sz w:val="11"/>
                <w:szCs w:val="11"/>
                <w:b w:val="1"/>
                <w:bCs w:val="1"/>
                <w:color w:val="auto"/>
                <w:w w:val="94"/>
              </w:rPr>
              <w:t>DIRECTOR SHARE OWNERSHIP</w:t>
            </w:r>
            <w:r>
              <w:rPr>
                <w:rFonts w:ascii="Arial" w:cs="Arial" w:eastAsia="Arial" w:hAnsi="Arial"/>
                <w:sz w:val="15"/>
                <w:szCs w:val="15"/>
                <w:b w:val="1"/>
                <w:bCs w:val="1"/>
                <w:color w:val="auto"/>
                <w:w w:val="94"/>
                <w:vertAlign w:val="superscript"/>
              </w:rPr>
              <w:t>(1)</w:t>
            </w:r>
          </w:p>
        </w:tc>
        <w:tc>
          <w:tcPr>
            <w:tcW w:w="20" w:type="dxa"/>
            <w:vAlign w:val="bottom"/>
            <w:tcBorders>
              <w:bottom w:val="single" w:sz="8" w:color="auto"/>
            </w:tcBorders>
            <w:shd w:val="clear" w:color="auto" w:fill="CCCCCC"/>
          </w:tcPr>
          <w:p>
            <w:pPr>
              <w:spacing w:after="0"/>
              <w:rPr>
                <w:sz w:val="14"/>
                <w:szCs w:val="14"/>
                <w:color w:val="auto"/>
              </w:rPr>
            </w:pPr>
          </w:p>
        </w:tc>
        <w:tc>
          <w:tcPr>
            <w:tcW w:w="460" w:type="dxa"/>
            <w:vAlign w:val="bottom"/>
            <w:tcBorders>
              <w:bottom w:val="single" w:sz="8" w:color="auto"/>
              <w:right w:val="single" w:sz="8" w:color="CCCCCC"/>
            </w:tcBorders>
            <w:shd w:val="clear" w:color="auto" w:fill="CCCCCC"/>
          </w:tcPr>
          <w:p>
            <w:pPr>
              <w:spacing w:after="0"/>
              <w:rPr>
                <w:sz w:val="14"/>
                <w:szCs w:val="14"/>
                <w:color w:val="auto"/>
              </w:rPr>
            </w:pPr>
          </w:p>
        </w:tc>
        <w:tc>
          <w:tcPr>
            <w:tcW w:w="40" w:type="dxa"/>
            <w:vAlign w:val="bottom"/>
            <w:tcBorders>
              <w:bottom w:val="single" w:sz="8" w:color="auto"/>
            </w:tcBorders>
            <w:shd w:val="clear" w:color="auto" w:fill="CCCCCC"/>
          </w:tcPr>
          <w:p>
            <w:pPr>
              <w:spacing w:after="0"/>
              <w:rPr>
                <w:sz w:val="14"/>
                <w:szCs w:val="14"/>
                <w:color w:val="auto"/>
              </w:rPr>
            </w:pPr>
          </w:p>
        </w:tc>
        <w:tc>
          <w:tcPr>
            <w:tcW w:w="540" w:type="dxa"/>
            <w:vAlign w:val="bottom"/>
            <w:tcBorders>
              <w:bottom w:val="single" w:sz="8" w:color="auto"/>
              <w:right w:val="single" w:sz="8" w:color="CCCCCC"/>
            </w:tcBorders>
            <w:shd w:val="clear" w:color="auto" w:fill="CCCCCC"/>
          </w:tcPr>
          <w:p>
            <w:pPr>
              <w:spacing w:after="0"/>
              <w:rPr>
                <w:sz w:val="14"/>
                <w:szCs w:val="14"/>
                <w:color w:val="auto"/>
              </w:rPr>
            </w:pPr>
          </w:p>
        </w:tc>
        <w:tc>
          <w:tcPr>
            <w:tcW w:w="60" w:type="dxa"/>
            <w:vAlign w:val="bottom"/>
            <w:tcBorders>
              <w:bottom w:val="single" w:sz="8" w:color="auto"/>
            </w:tcBorders>
            <w:shd w:val="clear" w:color="auto" w:fill="CCCCCC"/>
          </w:tcPr>
          <w:p>
            <w:pPr>
              <w:spacing w:after="0"/>
              <w:rPr>
                <w:sz w:val="14"/>
                <w:szCs w:val="14"/>
                <w:color w:val="auto"/>
              </w:rPr>
            </w:pPr>
          </w:p>
        </w:tc>
        <w:tc>
          <w:tcPr>
            <w:tcW w:w="320" w:type="dxa"/>
            <w:vAlign w:val="bottom"/>
            <w:tcBorders>
              <w:bottom w:val="single" w:sz="8" w:color="auto"/>
            </w:tcBorders>
            <w:shd w:val="clear" w:color="auto" w:fill="CCCCCC"/>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1"/>
                <w:szCs w:val="11"/>
                <w:b w:val="1"/>
                <w:bCs w:val="1"/>
                <w:color w:val="auto"/>
              </w:rPr>
              <w:t>As of</w:t>
            </w:r>
          </w:p>
        </w:tc>
        <w:tc>
          <w:tcPr>
            <w:tcW w:w="360" w:type="dxa"/>
            <w:vAlign w:val="bottom"/>
            <w:tcBorders>
              <w:bottom w:val="single" w:sz="8" w:color="auto"/>
            </w:tcBorders>
          </w:tcPr>
          <w:p>
            <w:pPr>
              <w:spacing w:after="0"/>
              <w:rPr>
                <w:sz w:val="12"/>
                <w:szCs w:val="12"/>
                <w:color w:val="auto"/>
              </w:rPr>
            </w:pPr>
          </w:p>
        </w:tc>
        <w:tc>
          <w:tcPr>
            <w:tcW w:w="6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SVS</w:t>
            </w:r>
          </w:p>
        </w:tc>
        <w:tc>
          <w:tcPr>
            <w:tcW w:w="1000" w:type="dxa"/>
            <w:vAlign w:val="bottom"/>
            <w:tcBorders>
              <w:bottom w:val="single" w:sz="8" w:color="auto"/>
              <w:right w:val="single" w:sz="8" w:color="auto"/>
            </w:tcBorders>
            <w:gridSpan w:val="3"/>
          </w:tcPr>
          <w:p>
            <w:pPr>
              <w:jc w:val="right"/>
              <w:ind w:right="380"/>
              <w:spacing w:after="0"/>
              <w:rPr>
                <w:sz w:val="20"/>
                <w:szCs w:val="20"/>
                <w:color w:val="auto"/>
              </w:rPr>
            </w:pPr>
            <w:r>
              <w:rPr>
                <w:rFonts w:ascii="Arial" w:cs="Arial" w:eastAsia="Arial" w:hAnsi="Arial"/>
                <w:sz w:val="11"/>
                <w:szCs w:val="11"/>
                <w:b w:val="1"/>
                <w:bCs w:val="1"/>
                <w:color w:val="auto"/>
              </w:rPr>
              <w:t>DSUs</w:t>
            </w:r>
          </w:p>
        </w:tc>
        <w:tc>
          <w:tcPr>
            <w:tcW w:w="580" w:type="dxa"/>
            <w:vAlign w:val="bottom"/>
            <w:tcBorders>
              <w:bottom w:val="single" w:sz="8" w:color="auto"/>
            </w:tcBorders>
            <w:gridSpan w:val="3"/>
          </w:tcPr>
          <w:p>
            <w:pPr>
              <w:ind w:left="300"/>
              <w:spacing w:after="0"/>
              <w:rPr>
                <w:sz w:val="20"/>
                <w:szCs w:val="20"/>
                <w:color w:val="auto"/>
              </w:rPr>
            </w:pPr>
            <w:r>
              <w:rPr>
                <w:rFonts w:ascii="Arial" w:cs="Arial" w:eastAsia="Arial" w:hAnsi="Arial"/>
                <w:sz w:val="11"/>
                <w:szCs w:val="11"/>
                <w:b w:val="1"/>
                <w:bCs w:val="1"/>
                <w:color w:val="auto"/>
                <w:w w:val="88"/>
              </w:rPr>
              <w:t>RSUs</w:t>
            </w:r>
          </w:p>
        </w:tc>
        <w:tc>
          <w:tcPr>
            <w:tcW w:w="300" w:type="dxa"/>
            <w:vAlign w:val="bottom"/>
            <w:tcBorders>
              <w:bottom w:val="single" w:sz="8" w:color="auto"/>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right w:val="single" w:sz="8" w:color="auto"/>
            </w:tcBorders>
          </w:tcPr>
          <w:p>
            <w:pPr>
              <w:ind w:left="80"/>
              <w:spacing w:after="0"/>
              <w:rPr>
                <w:sz w:val="20"/>
                <w:szCs w:val="20"/>
                <w:color w:val="auto"/>
              </w:rPr>
            </w:pPr>
            <w:r>
              <w:rPr>
                <w:rFonts w:ascii="Arial" w:cs="Arial" w:eastAsia="Arial" w:hAnsi="Arial"/>
                <w:sz w:val="11"/>
                <w:szCs w:val="11"/>
                <w:b w:val="1"/>
                <w:bCs w:val="1"/>
                <w:color w:val="auto"/>
              </w:rPr>
              <w:t>Total</w:t>
            </w:r>
          </w:p>
        </w:tc>
        <w:tc>
          <w:tcPr>
            <w:tcW w:w="40" w:type="dxa"/>
            <w:vAlign w:val="bottom"/>
          </w:tcPr>
          <w:p>
            <w:pPr>
              <w:spacing w:after="0"/>
              <w:rPr>
                <w:sz w:val="12"/>
                <w:szCs w:val="12"/>
                <w:color w:val="auto"/>
              </w:rPr>
            </w:pPr>
          </w:p>
        </w:tc>
        <w:tc>
          <w:tcPr>
            <w:tcW w:w="540" w:type="dxa"/>
            <w:vAlign w:val="bottom"/>
            <w:tcBorders>
              <w:right w:val="single" w:sz="8" w:color="auto"/>
            </w:tcBorders>
          </w:tcPr>
          <w:p>
            <w:pPr>
              <w:jc w:val="center"/>
              <w:ind w:right="48"/>
              <w:spacing w:after="0"/>
              <w:rPr>
                <w:sz w:val="20"/>
                <w:szCs w:val="20"/>
                <w:color w:val="auto"/>
              </w:rPr>
            </w:pPr>
            <w:r>
              <w:rPr>
                <w:rFonts w:ascii="Arial" w:cs="Arial" w:eastAsia="Arial" w:hAnsi="Arial"/>
                <w:sz w:val="11"/>
                <w:szCs w:val="11"/>
                <w:b w:val="1"/>
                <w:bCs w:val="1"/>
                <w:color w:val="auto"/>
                <w:w w:val="91"/>
              </w:rPr>
              <w:t>Total</w:t>
            </w:r>
          </w:p>
        </w:tc>
        <w:tc>
          <w:tcPr>
            <w:tcW w:w="420" w:type="dxa"/>
            <w:vAlign w:val="bottom"/>
            <w:tcBorders>
              <w:right w:val="single" w:sz="8" w:color="auto"/>
            </w:tcBorders>
            <w:gridSpan w:val="3"/>
          </w:tcPr>
          <w:p>
            <w:pPr>
              <w:jc w:val="center"/>
              <w:ind w:right="80"/>
              <w:spacing w:after="0"/>
              <w:rPr>
                <w:sz w:val="20"/>
                <w:szCs w:val="20"/>
                <w:color w:val="auto"/>
              </w:rPr>
            </w:pPr>
            <w:r>
              <w:rPr>
                <w:rFonts w:ascii="Arial" w:cs="Arial" w:eastAsia="Arial" w:hAnsi="Arial"/>
                <w:sz w:val="11"/>
                <w:szCs w:val="11"/>
                <w:b w:val="1"/>
                <w:bCs w:val="1"/>
                <w:color w:val="auto"/>
                <w:w w:val="89"/>
              </w:rPr>
              <w:t>Target</w:t>
            </w:r>
          </w:p>
        </w:tc>
        <w:tc>
          <w:tcPr>
            <w:tcW w:w="0" w:type="dxa"/>
            <w:vAlign w:val="bottom"/>
          </w:tcPr>
          <w:p>
            <w:pPr>
              <w:spacing w:after="0"/>
              <w:rPr>
                <w:sz w:val="1"/>
                <w:szCs w:val="1"/>
                <w:color w:val="auto"/>
              </w:rPr>
            </w:pPr>
          </w:p>
        </w:tc>
      </w:tr>
      <w:tr>
        <w:trPr>
          <w:trHeight w:val="150"/>
        </w:trPr>
        <w:tc>
          <w:tcPr>
            <w:tcW w:w="4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1"/>
                <w:szCs w:val="11"/>
                <w:b w:val="1"/>
                <w:bCs w:val="1"/>
                <w:color w:val="auto"/>
                <w:w w:val="88"/>
              </w:rPr>
              <w:t>Dec. 31</w:t>
            </w:r>
          </w:p>
        </w:tc>
        <w:tc>
          <w:tcPr>
            <w:tcW w:w="360" w:type="dxa"/>
            <w:vAlign w:val="bottom"/>
          </w:tcPr>
          <w:p>
            <w:pPr>
              <w:jc w:val="center"/>
              <w:ind w:left="9"/>
              <w:spacing w:after="0"/>
              <w:rPr>
                <w:sz w:val="20"/>
                <w:szCs w:val="20"/>
                <w:color w:val="auto"/>
              </w:rPr>
            </w:pPr>
            <w:r>
              <w:rPr>
                <w:rFonts w:ascii="Arial" w:cs="Arial" w:eastAsia="Arial" w:hAnsi="Arial"/>
                <w:sz w:val="11"/>
                <w:szCs w:val="11"/>
                <w:b w:val="1"/>
                <w:bCs w:val="1"/>
                <w:color w:val="auto"/>
                <w:w w:val="97"/>
              </w:rPr>
              <w:t>#</w:t>
            </w:r>
          </w:p>
        </w:tc>
        <w:tc>
          <w:tcPr>
            <w:tcW w:w="60" w:type="dxa"/>
            <w:vAlign w:val="bottom"/>
            <w:tcBorders>
              <w:right w:val="single" w:sz="8" w:color="auto"/>
            </w:tcBorders>
          </w:tcPr>
          <w:p>
            <w:pPr>
              <w:spacing w:after="0"/>
              <w:rPr>
                <w:sz w:val="13"/>
                <w:szCs w:val="13"/>
                <w:color w:val="auto"/>
              </w:rPr>
            </w:pP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right w:val="single" w:sz="8" w:color="auto"/>
            </w:tcBorders>
          </w:tcPr>
          <w:p>
            <w:pPr>
              <w:jc w:val="right"/>
              <w:ind w:right="149"/>
              <w:spacing w:after="0"/>
              <w:rPr>
                <w:sz w:val="20"/>
                <w:szCs w:val="20"/>
                <w:color w:val="auto"/>
              </w:rPr>
            </w:pPr>
            <w:r>
              <w:rPr>
                <w:rFonts w:ascii="Arial" w:cs="Arial" w:eastAsia="Arial" w:hAnsi="Arial"/>
                <w:sz w:val="11"/>
                <w:szCs w:val="11"/>
                <w:b w:val="1"/>
                <w:bCs w:val="1"/>
                <w:color w:val="auto"/>
              </w:rPr>
              <w:t>#</w:t>
            </w:r>
          </w:p>
        </w:tc>
        <w:tc>
          <w:tcPr>
            <w:tcW w:w="400" w:type="dxa"/>
            <w:vAlign w:val="bottom"/>
          </w:tcPr>
          <w:p>
            <w:pPr>
              <w:jc w:val="right"/>
              <w:ind w:right="49"/>
              <w:spacing w:after="0"/>
              <w:rPr>
                <w:sz w:val="20"/>
                <w:szCs w:val="20"/>
                <w:color w:val="auto"/>
              </w:rPr>
            </w:pPr>
            <w:r>
              <w:rPr>
                <w:rFonts w:ascii="Arial" w:cs="Arial" w:eastAsia="Arial" w:hAnsi="Arial"/>
                <w:sz w:val="11"/>
                <w:szCs w:val="11"/>
                <w:b w:val="1"/>
                <w:bCs w:val="1"/>
                <w:color w:val="auto"/>
              </w:rPr>
              <w:t>$</w:t>
            </w:r>
          </w:p>
        </w:tc>
        <w:tc>
          <w:tcPr>
            <w:tcW w:w="160" w:type="dxa"/>
            <w:vAlign w:val="bottom"/>
            <w:tcBorders>
              <w:right w:val="single" w:sz="8" w:color="auto"/>
            </w:tcBorders>
          </w:tcPr>
          <w:p>
            <w:pPr>
              <w:spacing w:after="0"/>
              <w:rPr>
                <w:sz w:val="13"/>
                <w:szCs w:val="13"/>
                <w:color w:val="auto"/>
              </w:rPr>
            </w:pPr>
          </w:p>
        </w:tc>
        <w:tc>
          <w:tcPr>
            <w:tcW w:w="44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Borders>
              <w:right w:val="single" w:sz="8" w:color="auto"/>
            </w:tcBorders>
          </w:tcPr>
          <w:p>
            <w:pPr>
              <w:jc w:val="center"/>
              <w:ind w:right="109"/>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right w:val="single" w:sz="8" w:color="auto"/>
            </w:tcBorders>
            <w:gridSpan w:val="2"/>
          </w:tcPr>
          <w:p>
            <w:pPr>
              <w:jc w:val="right"/>
              <w:ind w:right="167"/>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3"/>
                <w:szCs w:val="13"/>
                <w:color w:val="auto"/>
              </w:rPr>
            </w:pPr>
          </w:p>
        </w:tc>
        <w:tc>
          <w:tcPr>
            <w:tcW w:w="540" w:type="dxa"/>
            <w:vAlign w:val="bottom"/>
            <w:tcBorders>
              <w:right w:val="single" w:sz="8" w:color="auto"/>
            </w:tcBorders>
          </w:tcPr>
          <w:p>
            <w:pPr>
              <w:jc w:val="center"/>
              <w:ind w:right="8"/>
              <w:spacing w:after="0"/>
              <w:rPr>
                <w:sz w:val="20"/>
                <w:szCs w:val="20"/>
                <w:color w:val="auto"/>
              </w:rPr>
            </w:pPr>
            <w:r>
              <w:rPr>
                <w:rFonts w:ascii="Arial" w:cs="Arial" w:eastAsia="Arial" w:hAnsi="Arial"/>
                <w:sz w:val="11"/>
                <w:szCs w:val="11"/>
                <w:b w:val="1"/>
                <w:bCs w:val="1"/>
                <w:color w:val="auto"/>
                <w:w w:val="81"/>
              </w:rPr>
              <w:t>Value</w:t>
            </w:r>
          </w:p>
        </w:tc>
        <w:tc>
          <w:tcPr>
            <w:tcW w:w="60" w:type="dxa"/>
            <w:vAlign w:val="bottom"/>
          </w:tcPr>
          <w:p>
            <w:pPr>
              <w:spacing w:after="0"/>
              <w:rPr>
                <w:sz w:val="13"/>
                <w:szCs w:val="13"/>
                <w:color w:val="auto"/>
              </w:rPr>
            </w:pPr>
          </w:p>
        </w:tc>
        <w:tc>
          <w:tcPr>
            <w:tcW w:w="36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auto"/>
                <w:w w:val="94"/>
              </w:rPr>
              <w:t>Met</w:t>
            </w:r>
          </w:p>
        </w:tc>
        <w:tc>
          <w:tcPr>
            <w:tcW w:w="0" w:type="dxa"/>
            <w:vAlign w:val="bottom"/>
          </w:tcPr>
          <w:p>
            <w:pPr>
              <w:spacing w:after="0"/>
              <w:rPr>
                <w:sz w:val="1"/>
                <w:szCs w:val="1"/>
                <w:color w:val="auto"/>
              </w:rPr>
            </w:pPr>
          </w:p>
        </w:tc>
      </w:tr>
      <w:tr>
        <w:trPr>
          <w:trHeight w:val="148"/>
        </w:trPr>
        <w:tc>
          <w:tcPr>
            <w:tcW w:w="44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0"/>
                <w:szCs w:val="10"/>
                <w:b w:val="1"/>
                <w:bCs w:val="1"/>
                <w:color w:val="auto"/>
              </w:rPr>
              <w:t>2020</w:t>
            </w:r>
          </w:p>
        </w:tc>
        <w:tc>
          <w:tcPr>
            <w:tcW w:w="360" w:type="dxa"/>
            <w:vAlign w:val="bottom"/>
            <w:tcBorders>
              <w:top w:val="single" w:sz="8" w:color="auto"/>
              <w:bottom w:val="single" w:sz="8" w:color="auto"/>
            </w:tcBorders>
          </w:tcPr>
          <w:p>
            <w:pPr>
              <w:jc w:val="center"/>
              <w:ind w:left="9"/>
              <w:spacing w:after="0"/>
              <w:rPr>
                <w:sz w:val="20"/>
                <w:szCs w:val="20"/>
                <w:color w:val="auto"/>
              </w:rPr>
            </w:pPr>
            <w:r>
              <w:rPr>
                <w:rFonts w:ascii="Arial" w:cs="Arial" w:eastAsia="Arial" w:hAnsi="Arial"/>
                <w:sz w:val="10"/>
                <w:szCs w:val="10"/>
                <w:color w:val="auto"/>
                <w:w w:val="99"/>
              </w:rPr>
              <w:t>—</w:t>
            </w:r>
          </w:p>
        </w:tc>
        <w:tc>
          <w:tcPr>
            <w:tcW w:w="60" w:type="dxa"/>
            <w:vAlign w:val="bottom"/>
            <w:tcBorders>
              <w:top w:val="single" w:sz="8" w:color="auto"/>
              <w:bottom w:val="single" w:sz="8" w:color="auto"/>
              <w:right w:val="single" w:sz="8" w:color="auto"/>
            </w:tcBorders>
          </w:tcPr>
          <w:p>
            <w:pPr>
              <w:spacing w:after="0"/>
              <w:rPr>
                <w:sz w:val="12"/>
                <w:szCs w:val="12"/>
                <w:color w:val="auto"/>
              </w:rPr>
            </w:pPr>
          </w:p>
        </w:tc>
        <w:tc>
          <w:tcPr>
            <w:tcW w:w="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440" w:type="dxa"/>
            <w:vAlign w:val="bottom"/>
            <w:tcBorders>
              <w:top w:val="single" w:sz="8" w:color="auto"/>
              <w:bottom w:val="single" w:sz="8" w:color="auto"/>
              <w:right w:val="single" w:sz="8" w:color="auto"/>
            </w:tcBorders>
          </w:tcPr>
          <w:p>
            <w:pPr>
              <w:jc w:val="right"/>
              <w:ind w:right="9"/>
              <w:spacing w:after="0"/>
              <w:rPr>
                <w:sz w:val="20"/>
                <w:szCs w:val="20"/>
                <w:color w:val="auto"/>
              </w:rPr>
            </w:pPr>
            <w:r>
              <w:rPr>
                <w:rFonts w:ascii="Arial" w:cs="Arial" w:eastAsia="Arial" w:hAnsi="Arial"/>
                <w:sz w:val="10"/>
                <w:szCs w:val="10"/>
                <w:color w:val="auto"/>
                <w:w w:val="99"/>
              </w:rPr>
              <w:t>252,779</w:t>
            </w:r>
          </w:p>
        </w:tc>
        <w:tc>
          <w:tcPr>
            <w:tcW w:w="560" w:type="dxa"/>
            <w:vAlign w:val="bottom"/>
            <w:tcBorders>
              <w:top w:val="single" w:sz="8" w:color="auto"/>
              <w:bottom w:val="single" w:sz="8" w:color="auto"/>
              <w:right w:val="single" w:sz="8" w:color="auto"/>
            </w:tcBorders>
            <w:gridSpan w:val="2"/>
          </w:tcPr>
          <w:p>
            <w:pPr>
              <w:jc w:val="right"/>
              <w:ind w:right="60"/>
              <w:spacing w:after="0"/>
              <w:rPr>
                <w:sz w:val="20"/>
                <w:szCs w:val="20"/>
                <w:color w:val="auto"/>
              </w:rPr>
            </w:pPr>
            <w:r>
              <w:rPr>
                <w:rFonts w:ascii="Arial" w:cs="Arial" w:eastAsia="Arial" w:hAnsi="Arial"/>
                <w:sz w:val="10"/>
                <w:szCs w:val="10"/>
                <w:color w:val="auto"/>
                <w:w w:val="95"/>
              </w:rPr>
              <w:t>$2,039,927</w:t>
            </w:r>
          </w:p>
        </w:tc>
        <w:tc>
          <w:tcPr>
            <w:tcW w:w="4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right w:val="single" w:sz="8" w:color="auto"/>
            </w:tcBorders>
          </w:tcPr>
          <w:p>
            <w:pPr>
              <w:jc w:val="center"/>
              <w:ind w:right="109"/>
              <w:spacing w:after="0"/>
              <w:rPr>
                <w:sz w:val="20"/>
                <w:szCs w:val="20"/>
                <w:color w:val="auto"/>
              </w:rPr>
            </w:pPr>
            <w:r>
              <w:rPr>
                <w:rFonts w:ascii="Arial" w:cs="Arial" w:eastAsia="Arial" w:hAnsi="Arial"/>
                <w:sz w:val="10"/>
                <w:szCs w:val="10"/>
                <w:color w:val="auto"/>
                <w:w w:val="99"/>
              </w:rPr>
              <w:t>—</w:t>
            </w: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right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40" w:type="dxa"/>
            <w:vAlign w:val="bottom"/>
            <w:tcBorders>
              <w:top w:val="single" w:sz="8" w:color="auto"/>
              <w:right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0"/>
                <w:szCs w:val="10"/>
                <w:b w:val="1"/>
                <w:bCs w:val="1"/>
                <w:color w:val="auto"/>
              </w:rPr>
              <w:t>2019</w:t>
            </w:r>
          </w:p>
        </w:tc>
        <w:tc>
          <w:tcPr>
            <w:tcW w:w="360" w:type="dxa"/>
            <w:vAlign w:val="bottom"/>
            <w:tcBorders>
              <w:bottom w:val="single" w:sz="8" w:color="auto"/>
            </w:tcBorders>
          </w:tcPr>
          <w:p>
            <w:pPr>
              <w:jc w:val="center"/>
              <w:ind w:left="9"/>
              <w:spacing w:after="0"/>
              <w:rPr>
                <w:sz w:val="20"/>
                <w:szCs w:val="20"/>
                <w:color w:val="auto"/>
              </w:rPr>
            </w:pPr>
            <w:r>
              <w:rPr>
                <w:rFonts w:ascii="Arial" w:cs="Arial" w:eastAsia="Arial" w:hAnsi="Arial"/>
                <w:sz w:val="10"/>
                <w:szCs w:val="10"/>
                <w:color w:val="auto"/>
                <w:w w:val="99"/>
              </w:rPr>
              <w:t>—</w:t>
            </w:r>
          </w:p>
        </w:tc>
        <w:tc>
          <w:tcPr>
            <w:tcW w:w="60" w:type="dxa"/>
            <w:vAlign w:val="bottom"/>
            <w:tcBorders>
              <w:bottom w:val="single" w:sz="8" w:color="auto"/>
              <w:right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440" w:type="dxa"/>
            <w:vAlign w:val="bottom"/>
            <w:tcBorders>
              <w:bottom w:val="single" w:sz="8" w:color="auto"/>
              <w:right w:val="single" w:sz="8" w:color="auto"/>
            </w:tcBorders>
          </w:tcPr>
          <w:p>
            <w:pPr>
              <w:jc w:val="right"/>
              <w:ind w:right="9"/>
              <w:spacing w:after="0"/>
              <w:rPr>
                <w:sz w:val="20"/>
                <w:szCs w:val="20"/>
                <w:color w:val="auto"/>
              </w:rPr>
            </w:pPr>
            <w:r>
              <w:rPr>
                <w:rFonts w:ascii="Arial" w:cs="Arial" w:eastAsia="Arial" w:hAnsi="Arial"/>
                <w:sz w:val="10"/>
                <w:szCs w:val="10"/>
                <w:color w:val="auto"/>
                <w:w w:val="99"/>
              </w:rPr>
              <w:t>230,081</w:t>
            </w:r>
          </w:p>
        </w:tc>
        <w:tc>
          <w:tcPr>
            <w:tcW w:w="560" w:type="dxa"/>
            <w:vAlign w:val="bottom"/>
            <w:tcBorders>
              <w:bottom w:val="single" w:sz="8" w:color="auto"/>
              <w:right w:val="single" w:sz="8" w:color="auto"/>
            </w:tcBorders>
            <w:gridSpan w:val="2"/>
          </w:tcPr>
          <w:p>
            <w:pPr>
              <w:jc w:val="right"/>
              <w:ind w:right="60"/>
              <w:spacing w:after="0"/>
              <w:rPr>
                <w:sz w:val="20"/>
                <w:szCs w:val="20"/>
                <w:color w:val="auto"/>
              </w:rPr>
            </w:pPr>
            <w:r>
              <w:rPr>
                <w:rFonts w:ascii="Arial" w:cs="Arial" w:eastAsia="Arial" w:hAnsi="Arial"/>
                <w:sz w:val="10"/>
                <w:szCs w:val="10"/>
                <w:color w:val="auto"/>
                <w:w w:val="95"/>
              </w:rPr>
              <w:t>$1,856,754</w:t>
            </w:r>
          </w:p>
        </w:tc>
        <w:tc>
          <w:tcPr>
            <w:tcW w:w="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right w:val="single" w:sz="8" w:color="auto"/>
            </w:tcBorders>
          </w:tcPr>
          <w:p>
            <w:pPr>
              <w:jc w:val="center"/>
              <w:ind w:right="109"/>
              <w:spacing w:after="0"/>
              <w:rPr>
                <w:sz w:val="20"/>
                <w:szCs w:val="20"/>
                <w:color w:val="auto"/>
              </w:rPr>
            </w:pPr>
            <w:r>
              <w:rPr>
                <w:rFonts w:ascii="Arial" w:cs="Arial" w:eastAsia="Arial" w:hAnsi="Arial"/>
                <w:sz w:val="10"/>
                <w:szCs w:val="10"/>
                <w:color w:val="auto"/>
                <w:w w:val="99"/>
              </w:rPr>
              <w:t>—</w:t>
            </w:r>
          </w:p>
        </w:tc>
        <w:tc>
          <w:tcPr>
            <w:tcW w:w="480" w:type="dxa"/>
            <w:vAlign w:val="bottom"/>
            <w:tcBorders>
              <w:right w:val="single" w:sz="8" w:color="auto"/>
            </w:tcBorders>
            <w:gridSpan w:val="2"/>
          </w:tcPr>
          <w:p>
            <w:pPr>
              <w:jc w:val="right"/>
              <w:ind w:right="27"/>
              <w:spacing w:after="0"/>
              <w:rPr>
                <w:sz w:val="20"/>
                <w:szCs w:val="20"/>
                <w:color w:val="auto"/>
              </w:rPr>
            </w:pPr>
            <w:r>
              <w:rPr>
                <w:rFonts w:ascii="Arial" w:cs="Arial" w:eastAsia="Arial" w:hAnsi="Arial"/>
                <w:sz w:val="10"/>
                <w:szCs w:val="10"/>
                <w:color w:val="auto"/>
              </w:rPr>
              <w:t>252,779</w:t>
            </w:r>
          </w:p>
        </w:tc>
        <w:tc>
          <w:tcPr>
            <w:tcW w:w="40" w:type="dxa"/>
            <w:vAlign w:val="bottom"/>
          </w:tcPr>
          <w:p>
            <w:pPr>
              <w:spacing w:after="0"/>
              <w:rPr>
                <w:sz w:val="12"/>
                <w:szCs w:val="12"/>
                <w:color w:val="auto"/>
              </w:rPr>
            </w:pPr>
          </w:p>
        </w:tc>
        <w:tc>
          <w:tcPr>
            <w:tcW w:w="540" w:type="dxa"/>
            <w:vAlign w:val="bottom"/>
            <w:tcBorders>
              <w:right w:val="single" w:sz="8" w:color="auto"/>
            </w:tcBorders>
          </w:tcPr>
          <w:p>
            <w:pPr>
              <w:jc w:val="center"/>
              <w:ind w:right="28"/>
              <w:spacing w:after="0"/>
              <w:rPr>
                <w:sz w:val="20"/>
                <w:szCs w:val="20"/>
                <w:color w:val="auto"/>
              </w:rPr>
            </w:pPr>
            <w:r>
              <w:rPr>
                <w:rFonts w:ascii="Arial" w:cs="Arial" w:eastAsia="Arial" w:hAnsi="Arial"/>
                <w:sz w:val="10"/>
                <w:szCs w:val="10"/>
                <w:color w:val="auto"/>
                <w:w w:val="91"/>
              </w:rPr>
              <w:t>$2,039,927</w:t>
            </w:r>
          </w:p>
        </w:tc>
        <w:tc>
          <w:tcPr>
            <w:tcW w:w="60" w:type="dxa"/>
            <w:vAlign w:val="bottom"/>
          </w:tcPr>
          <w:p>
            <w:pPr>
              <w:spacing w:after="0"/>
              <w:rPr>
                <w:sz w:val="12"/>
                <w:szCs w:val="12"/>
                <w:color w:val="auto"/>
              </w:rPr>
            </w:pPr>
          </w:p>
        </w:tc>
        <w:tc>
          <w:tcPr>
            <w:tcW w:w="36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0"/>
                <w:szCs w:val="10"/>
                <w:color w:val="auto"/>
                <w:w w:val="92"/>
              </w:rPr>
              <w:t>Yes</w:t>
            </w:r>
          </w:p>
        </w:tc>
        <w:tc>
          <w:tcPr>
            <w:tcW w:w="0" w:type="dxa"/>
            <w:vAlign w:val="bottom"/>
          </w:tcPr>
          <w:p>
            <w:pPr>
              <w:spacing w:after="0"/>
              <w:rPr>
                <w:sz w:val="1"/>
                <w:szCs w:val="1"/>
                <w:color w:val="auto"/>
              </w:rPr>
            </w:pPr>
          </w:p>
        </w:tc>
      </w:tr>
      <w:tr>
        <w:trPr>
          <w:trHeight w:val="149"/>
        </w:trPr>
        <w:tc>
          <w:tcPr>
            <w:tcW w:w="4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0"/>
                <w:szCs w:val="10"/>
                <w:b w:val="1"/>
                <w:bCs w:val="1"/>
                <w:color w:val="auto"/>
                <w:w w:val="92"/>
              </w:rPr>
              <w:t>Change</w:t>
            </w:r>
          </w:p>
        </w:tc>
        <w:tc>
          <w:tcPr>
            <w:tcW w:w="360" w:type="dxa"/>
            <w:vAlign w:val="bottom"/>
            <w:tcBorders>
              <w:bottom w:val="single" w:sz="8" w:color="auto"/>
            </w:tcBorders>
          </w:tcPr>
          <w:p>
            <w:pPr>
              <w:jc w:val="center"/>
              <w:ind w:left="9"/>
              <w:spacing w:after="0"/>
              <w:rPr>
                <w:sz w:val="20"/>
                <w:szCs w:val="20"/>
                <w:color w:val="auto"/>
              </w:rPr>
            </w:pPr>
            <w:r>
              <w:rPr>
                <w:rFonts w:ascii="Arial" w:cs="Arial" w:eastAsia="Arial" w:hAnsi="Arial"/>
                <w:sz w:val="10"/>
                <w:szCs w:val="10"/>
                <w:color w:val="auto"/>
                <w:w w:val="99"/>
              </w:rPr>
              <w:t>—</w:t>
            </w:r>
          </w:p>
        </w:tc>
        <w:tc>
          <w:tcPr>
            <w:tcW w:w="60" w:type="dxa"/>
            <w:vAlign w:val="bottom"/>
            <w:tcBorders>
              <w:bottom w:val="single" w:sz="8" w:color="auto"/>
              <w:right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440" w:type="dxa"/>
            <w:vAlign w:val="bottom"/>
            <w:tcBorders>
              <w:bottom w:val="single" w:sz="8" w:color="auto"/>
              <w:right w:val="single" w:sz="8" w:color="auto"/>
            </w:tcBorders>
          </w:tcPr>
          <w:p>
            <w:pPr>
              <w:jc w:val="right"/>
              <w:ind w:right="9"/>
              <w:spacing w:after="0"/>
              <w:rPr>
                <w:sz w:val="20"/>
                <w:szCs w:val="20"/>
                <w:color w:val="auto"/>
              </w:rPr>
            </w:pPr>
            <w:r>
              <w:rPr>
                <w:rFonts w:ascii="Arial" w:cs="Arial" w:eastAsia="Arial" w:hAnsi="Arial"/>
                <w:sz w:val="10"/>
                <w:szCs w:val="10"/>
                <w:color w:val="auto"/>
              </w:rPr>
              <w:t>22,698</w:t>
            </w:r>
          </w:p>
        </w:tc>
        <w:tc>
          <w:tcPr>
            <w:tcW w:w="560" w:type="dxa"/>
            <w:vAlign w:val="bottom"/>
            <w:tcBorders>
              <w:bottom w:val="single" w:sz="8" w:color="auto"/>
              <w:right w:val="single" w:sz="8" w:color="auto"/>
            </w:tcBorders>
            <w:gridSpan w:val="2"/>
          </w:tcPr>
          <w:p>
            <w:pPr>
              <w:jc w:val="right"/>
              <w:ind w:right="60"/>
              <w:spacing w:after="0"/>
              <w:rPr>
                <w:sz w:val="20"/>
                <w:szCs w:val="20"/>
                <w:color w:val="auto"/>
              </w:rPr>
            </w:pPr>
            <w:r>
              <w:rPr>
                <w:rFonts w:ascii="Arial" w:cs="Arial" w:eastAsia="Arial" w:hAnsi="Arial"/>
                <w:sz w:val="10"/>
                <w:szCs w:val="10"/>
                <w:color w:val="auto"/>
              </w:rPr>
              <w:t>$183,173</w:t>
            </w:r>
          </w:p>
        </w:tc>
        <w:tc>
          <w:tcPr>
            <w:tcW w:w="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right w:val="single" w:sz="8" w:color="auto"/>
            </w:tcBorders>
          </w:tcPr>
          <w:p>
            <w:pPr>
              <w:jc w:val="center"/>
              <w:ind w:right="109"/>
              <w:spacing w:after="0"/>
              <w:rPr>
                <w:sz w:val="20"/>
                <w:szCs w:val="20"/>
                <w:color w:val="auto"/>
              </w:rPr>
            </w:pPr>
            <w:r>
              <w:rPr>
                <w:rFonts w:ascii="Arial" w:cs="Arial" w:eastAsia="Arial" w:hAnsi="Arial"/>
                <w:sz w:val="10"/>
                <w:szCs w:val="10"/>
                <w:color w:val="auto"/>
                <w:w w:val="99"/>
              </w:rPr>
              <w:t>—</w:t>
            </w:r>
          </w:p>
        </w:tc>
        <w:tc>
          <w:tcPr>
            <w:tcW w:w="2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640" w:lineRule="exact"/>
        <w:rPr>
          <w:sz w:val="20"/>
          <w:szCs w:val="20"/>
          <w:color w:val="auto"/>
        </w:rPr>
      </w:pPr>
    </w:p>
    <w:p>
      <w:pPr>
        <w:sectPr>
          <w:pgSz w:w="11900" w:h="16838" w:orient="portrait"/>
          <w:cols w:equalWidth="0" w:num="2">
            <w:col w:w="2780" w:space="140"/>
            <w:col w:w="6099"/>
          </w:cols>
          <w:pgMar w:left="1440" w:top="13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202565</wp:posOffset>
            </wp:positionV>
            <wp:extent cx="5019040" cy="12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20" w:name="page21"/>
    <w:bookmarkEnd w:id="20"/>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359410</wp:posOffset>
            </wp:positionV>
            <wp:extent cx="4045585"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04558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2920" w:right="1319"/>
        <w:spacing w:after="0" w:line="257" w:lineRule="auto"/>
        <w:rPr>
          <w:sz w:val="20"/>
          <w:szCs w:val="20"/>
          <w:color w:val="auto"/>
        </w:rPr>
      </w:pPr>
      <w:r>
        <w:rPr>
          <w:rFonts w:ascii="Arial" w:cs="Arial" w:eastAsia="Arial" w:hAnsi="Arial"/>
          <w:sz w:val="11"/>
          <w:szCs w:val="11"/>
          <w:color w:val="auto"/>
        </w:rPr>
        <w:t>Mr. Mionis is currently the President and Chief Executive Officer (“</w:t>
      </w:r>
      <w:r>
        <w:rPr>
          <w:rFonts w:ascii="Arial" w:cs="Arial" w:eastAsia="Arial" w:hAnsi="Arial"/>
          <w:sz w:val="11"/>
          <w:szCs w:val="11"/>
          <w:b w:val="1"/>
          <w:bCs w:val="1"/>
          <w:color w:val="auto"/>
        </w:rPr>
        <w:t>CEO</w:t>
      </w:r>
      <w:r>
        <w:rPr>
          <w:rFonts w:ascii="Arial" w:cs="Arial" w:eastAsia="Arial" w:hAnsi="Arial"/>
          <w:sz w:val="11"/>
          <w:szCs w:val="11"/>
          <w:color w:val="auto"/>
        </w:rPr>
        <w:t xml:space="preserve">”) of the Corporation, and is a member of the Board of Directors. For a description of his role as President and CEO, see </w:t>
      </w:r>
      <w:r>
        <w:rPr>
          <w:rFonts w:ascii="Arial" w:cs="Arial" w:eastAsia="Arial" w:hAnsi="Arial"/>
          <w:sz w:val="11"/>
          <w:szCs w:val="11"/>
          <w:i w:val="1"/>
          <w:iCs w:val="1"/>
          <w:color w:val="auto"/>
        </w:rPr>
        <w:t>Compensation</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Discussion and Analysis </w:t>
      </w:r>
      <w:r>
        <w:rPr>
          <w:rFonts w:ascii="Arial" w:cs="Arial" w:eastAsia="Arial" w:hAnsi="Arial"/>
          <w:sz w:val="11"/>
          <w:szCs w:val="11"/>
          <w:color w:val="auto"/>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-252730</wp:posOffset>
            </wp:positionV>
            <wp:extent cx="556260" cy="6889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6260" cy="688975"/>
                    </a:xfrm>
                    <a:prstGeom prst="rect">
                      <a:avLst/>
                    </a:prstGeom>
                    <a:noFill/>
                  </pic:spPr>
                </pic:pic>
              </a:graphicData>
            </a:graphic>
          </wp:anchor>
        </w:drawing>
      </w:r>
    </w:p>
    <w:p>
      <w:pPr>
        <w:spacing w:after="0" w:line="5" w:lineRule="exact"/>
        <w:rPr>
          <w:sz w:val="20"/>
          <w:szCs w:val="20"/>
          <w:color w:val="auto"/>
        </w:rPr>
      </w:pPr>
    </w:p>
    <w:tbl>
      <w:tblPr>
        <w:tblLayout w:type="fixed"/>
        <w:tblInd w:w="1320" w:type="dxa"/>
        <w:tblCellMar>
          <w:top w:w="0" w:type="dxa"/>
          <w:left w:w="0" w:type="dxa"/>
          <w:bottom w:w="0" w:type="dxa"/>
          <w:right w:w="0" w:type="dxa"/>
        </w:tblCellMar>
      </w:tblPr>
      <w:tr>
        <w:trPr>
          <w:trHeight w:val="126"/>
        </w:trPr>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400" w:type="dxa"/>
            <w:vAlign w:val="bottom"/>
            <w:gridSpan w:val="4"/>
          </w:tcPr>
          <w:p>
            <w:pPr>
              <w:spacing w:after="0"/>
              <w:rPr>
                <w:sz w:val="20"/>
                <w:szCs w:val="20"/>
                <w:color w:val="auto"/>
              </w:rPr>
            </w:pPr>
            <w:r>
              <w:rPr>
                <w:rFonts w:ascii="Arial" w:cs="Arial" w:eastAsia="Arial" w:hAnsi="Arial"/>
                <w:sz w:val="11"/>
                <w:szCs w:val="11"/>
                <w:color w:val="auto"/>
                <w:w w:val="99"/>
              </w:rPr>
              <w:t>From July 2013 until August</w:t>
            </w:r>
          </w:p>
        </w:tc>
        <w:tc>
          <w:tcPr>
            <w:tcW w:w="3380" w:type="dxa"/>
            <w:vAlign w:val="bottom"/>
            <w:gridSpan w:val="12"/>
          </w:tcPr>
          <w:p>
            <w:pPr>
              <w:ind w:left="40"/>
              <w:spacing w:after="0"/>
              <w:rPr>
                <w:sz w:val="20"/>
                <w:szCs w:val="20"/>
                <w:color w:val="auto"/>
              </w:rPr>
            </w:pPr>
            <w:r>
              <w:rPr>
                <w:rFonts w:ascii="Arial" w:cs="Arial" w:eastAsia="Arial" w:hAnsi="Arial"/>
                <w:sz w:val="11"/>
                <w:szCs w:val="11"/>
                <w:color w:val="auto"/>
                <w:w w:val="96"/>
              </w:rPr>
              <w:t>2015, he was an Operating Partner at Pamplona Capital Management</w:t>
            </w:r>
          </w:p>
        </w:tc>
        <w:tc>
          <w:tcPr>
            <w:tcW w:w="0" w:type="dxa"/>
            <w:vAlign w:val="bottom"/>
          </w:tcPr>
          <w:p>
            <w:pPr>
              <w:spacing w:after="0"/>
              <w:rPr>
                <w:sz w:val="1"/>
                <w:szCs w:val="1"/>
                <w:color w:val="auto"/>
              </w:rPr>
            </w:pPr>
          </w:p>
        </w:tc>
      </w:tr>
      <w:tr>
        <w:trPr>
          <w:trHeight w:val="133"/>
        </w:trPr>
        <w:tc>
          <w:tcPr>
            <w:tcW w:w="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4780" w:type="dxa"/>
            <w:vAlign w:val="bottom"/>
            <w:gridSpan w:val="16"/>
          </w:tcPr>
          <w:p>
            <w:pPr>
              <w:spacing w:after="0"/>
              <w:rPr>
                <w:sz w:val="20"/>
                <w:szCs w:val="20"/>
                <w:color w:val="auto"/>
              </w:rPr>
            </w:pPr>
            <w:r>
              <w:rPr>
                <w:rFonts w:ascii="Arial" w:cs="Arial" w:eastAsia="Arial" w:hAnsi="Arial"/>
                <w:sz w:val="11"/>
                <w:szCs w:val="11"/>
                <w:color w:val="auto"/>
                <w:w w:val="93"/>
              </w:rPr>
              <w:t>(“</w:t>
            </w:r>
            <w:r>
              <w:rPr>
                <w:rFonts w:ascii="Arial" w:cs="Arial" w:eastAsia="Arial" w:hAnsi="Arial"/>
                <w:sz w:val="11"/>
                <w:szCs w:val="11"/>
                <w:b w:val="1"/>
                <w:bCs w:val="1"/>
                <w:color w:val="auto"/>
                <w:w w:val="93"/>
              </w:rPr>
              <w:t>Pamplona</w:t>
            </w:r>
            <w:r>
              <w:rPr>
                <w:rFonts w:ascii="Arial" w:cs="Arial" w:eastAsia="Arial" w:hAnsi="Arial"/>
                <w:sz w:val="11"/>
                <w:szCs w:val="11"/>
                <w:color w:val="auto"/>
                <w:w w:val="93"/>
              </w:rPr>
              <w:t>”), a global private equity firm focused on companies in the industrial, aerospace, healthcare</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4780" w:type="dxa"/>
            <w:vAlign w:val="bottom"/>
            <w:gridSpan w:val="16"/>
          </w:tcPr>
          <w:p>
            <w:pPr>
              <w:spacing w:after="0"/>
              <w:rPr>
                <w:sz w:val="20"/>
                <w:szCs w:val="20"/>
                <w:color w:val="auto"/>
              </w:rPr>
            </w:pPr>
            <w:r>
              <w:rPr>
                <w:rFonts w:ascii="Arial" w:cs="Arial" w:eastAsia="Arial" w:hAnsi="Arial"/>
                <w:sz w:val="11"/>
                <w:szCs w:val="11"/>
                <w:color w:val="auto"/>
                <w:w w:val="92"/>
              </w:rPr>
              <w:t>and automotive industries. Before joining Pamplona, Mr. Mionis spent over six years as the President and</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4780" w:type="dxa"/>
            <w:vAlign w:val="bottom"/>
            <w:gridSpan w:val="16"/>
          </w:tcPr>
          <w:p>
            <w:pPr>
              <w:spacing w:after="0"/>
              <w:rPr>
                <w:sz w:val="20"/>
                <w:szCs w:val="20"/>
                <w:color w:val="auto"/>
              </w:rPr>
            </w:pPr>
            <w:r>
              <w:rPr>
                <w:rFonts w:ascii="Arial" w:cs="Arial" w:eastAsia="Arial" w:hAnsi="Arial"/>
                <w:sz w:val="11"/>
                <w:szCs w:val="11"/>
                <w:color w:val="auto"/>
                <w:w w:val="96"/>
              </w:rPr>
              <w:t>CEO  of  StandardAero,  a  global  aerospace  maintenance,  repair  and  overhaul  company.  Before</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4780" w:type="dxa"/>
            <w:vAlign w:val="bottom"/>
            <w:gridSpan w:val="16"/>
          </w:tcPr>
          <w:p>
            <w:pPr>
              <w:spacing w:after="0"/>
              <w:rPr>
                <w:sz w:val="20"/>
                <w:szCs w:val="20"/>
                <w:color w:val="auto"/>
              </w:rPr>
            </w:pPr>
            <w:r>
              <w:rPr>
                <w:rFonts w:ascii="Arial" w:cs="Arial" w:eastAsia="Arial" w:hAnsi="Arial"/>
                <w:sz w:val="11"/>
                <w:szCs w:val="11"/>
                <w:color w:val="auto"/>
              </w:rPr>
              <w:t>StandardAero, Mr. Mionis held senior leadership roles at Honeywell, including as the head of the</w:t>
            </w:r>
          </w:p>
        </w:tc>
        <w:tc>
          <w:tcPr>
            <w:tcW w:w="0" w:type="dxa"/>
            <w:vAlign w:val="bottom"/>
          </w:tcPr>
          <w:p>
            <w:pPr>
              <w:spacing w:after="0"/>
              <w:rPr>
                <w:sz w:val="1"/>
                <w:szCs w:val="1"/>
                <w:color w:val="auto"/>
              </w:rPr>
            </w:pPr>
          </w:p>
        </w:tc>
      </w:tr>
      <w:tr>
        <w:trPr>
          <w:trHeight w:val="129"/>
        </w:trPr>
        <w:tc>
          <w:tcPr>
            <w:tcW w:w="16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Robert A. Mionis</w:t>
            </w:r>
          </w:p>
        </w:tc>
        <w:tc>
          <w:tcPr>
            <w:tcW w:w="4780" w:type="dxa"/>
            <w:vAlign w:val="bottom"/>
            <w:gridSpan w:val="16"/>
          </w:tcPr>
          <w:p>
            <w:pPr>
              <w:spacing w:after="0"/>
              <w:rPr>
                <w:sz w:val="20"/>
                <w:szCs w:val="20"/>
                <w:color w:val="auto"/>
              </w:rPr>
            </w:pPr>
            <w:r>
              <w:rPr>
                <w:rFonts w:ascii="Arial" w:cs="Arial" w:eastAsia="Arial" w:hAnsi="Arial"/>
                <w:sz w:val="11"/>
                <w:szCs w:val="11"/>
                <w:color w:val="auto"/>
                <w:w w:val="95"/>
              </w:rPr>
              <w:t>Integrated Supply Chain Organization for Honeywell Aerospace. Prior to Honeywell, Mr. Mionis held a</w:t>
            </w:r>
          </w:p>
        </w:tc>
        <w:tc>
          <w:tcPr>
            <w:tcW w:w="0" w:type="dxa"/>
            <w:vAlign w:val="bottom"/>
          </w:tcPr>
          <w:p>
            <w:pPr>
              <w:spacing w:after="0"/>
              <w:rPr>
                <w:sz w:val="1"/>
                <w:szCs w:val="1"/>
                <w:color w:val="auto"/>
              </w:rPr>
            </w:pPr>
          </w:p>
        </w:tc>
      </w:tr>
      <w:tr>
        <w:trPr>
          <w:trHeight w:val="50"/>
        </w:trPr>
        <w:tc>
          <w:tcPr>
            <w:tcW w:w="1600" w:type="dxa"/>
            <w:vAlign w:val="bottom"/>
            <w:gridSpan w:val="2"/>
            <w:vMerge w:val="continue"/>
          </w:tcPr>
          <w:p>
            <w:pPr>
              <w:spacing w:after="0"/>
              <w:rPr>
                <w:sz w:val="4"/>
                <w:szCs w:val="4"/>
                <w:color w:val="auto"/>
              </w:rPr>
            </w:pPr>
          </w:p>
        </w:tc>
        <w:tc>
          <w:tcPr>
            <w:tcW w:w="4780" w:type="dxa"/>
            <w:vAlign w:val="bottom"/>
            <w:gridSpan w:val="16"/>
            <w:vMerge w:val="restart"/>
          </w:tcPr>
          <w:p>
            <w:pPr>
              <w:spacing w:after="0"/>
              <w:rPr>
                <w:sz w:val="20"/>
                <w:szCs w:val="20"/>
                <w:color w:val="auto"/>
              </w:rPr>
            </w:pPr>
            <w:r>
              <w:rPr>
                <w:rFonts w:ascii="Arial" w:cs="Arial" w:eastAsia="Arial" w:hAnsi="Arial"/>
                <w:sz w:val="11"/>
                <w:szCs w:val="11"/>
                <w:color w:val="auto"/>
                <w:w w:val="95"/>
              </w:rPr>
              <w:t>variety of progressively senior leadership roles with General Electric and Axcelis Technologies (each a</w:t>
            </w:r>
          </w:p>
        </w:tc>
        <w:tc>
          <w:tcPr>
            <w:tcW w:w="0" w:type="dxa"/>
            <w:vAlign w:val="bottom"/>
          </w:tcPr>
          <w:p>
            <w:pPr>
              <w:spacing w:after="0"/>
              <w:rPr>
                <w:sz w:val="1"/>
                <w:szCs w:val="1"/>
                <w:color w:val="auto"/>
              </w:rPr>
            </w:pPr>
          </w:p>
        </w:tc>
      </w:tr>
      <w:tr>
        <w:trPr>
          <w:trHeight w:val="80"/>
        </w:trPr>
        <w:tc>
          <w:tcPr>
            <w:tcW w:w="1600" w:type="dxa"/>
            <w:vAlign w:val="bottom"/>
            <w:gridSpan w:val="2"/>
            <w:vMerge w:val="restart"/>
          </w:tcPr>
          <w:p>
            <w:pPr>
              <w:spacing w:after="0" w:line="120" w:lineRule="exact"/>
              <w:rPr>
                <w:sz w:val="20"/>
                <w:szCs w:val="20"/>
                <w:color w:val="auto"/>
              </w:rPr>
            </w:pPr>
            <w:r>
              <w:rPr>
                <w:rFonts w:ascii="Arial" w:cs="Arial" w:eastAsia="Arial" w:hAnsi="Arial"/>
                <w:sz w:val="11"/>
                <w:szCs w:val="11"/>
                <w:color w:val="auto"/>
              </w:rPr>
              <w:t>Hampton, New Hampshire</w:t>
            </w:r>
          </w:p>
        </w:tc>
        <w:tc>
          <w:tcPr>
            <w:tcW w:w="4780" w:type="dxa"/>
            <w:vAlign w:val="bottom"/>
            <w:gridSpan w:val="1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1600" w:type="dxa"/>
            <w:vAlign w:val="bottom"/>
            <w:gridSpan w:val="2"/>
            <w:vMerge w:val="continue"/>
          </w:tcPr>
          <w:p>
            <w:pPr>
              <w:spacing w:after="0"/>
              <w:rPr>
                <w:sz w:val="3"/>
                <w:szCs w:val="3"/>
                <w:color w:val="auto"/>
              </w:rPr>
            </w:pPr>
          </w:p>
        </w:tc>
        <w:tc>
          <w:tcPr>
            <w:tcW w:w="4780" w:type="dxa"/>
            <w:vAlign w:val="bottom"/>
            <w:gridSpan w:val="16"/>
            <w:vMerge w:val="restart"/>
          </w:tcPr>
          <w:p>
            <w:pPr>
              <w:spacing w:after="0"/>
              <w:rPr>
                <w:sz w:val="20"/>
                <w:szCs w:val="20"/>
                <w:color w:val="auto"/>
              </w:rPr>
            </w:pPr>
            <w:r>
              <w:rPr>
                <w:rFonts w:ascii="Arial" w:cs="Arial" w:eastAsia="Arial" w:hAnsi="Arial"/>
                <w:sz w:val="11"/>
                <w:szCs w:val="11"/>
                <w:color w:val="auto"/>
                <w:w w:val="97"/>
              </w:rPr>
              <w:t>public company) and AlliedSignal. He holds a Bachelor of Science in Electrical Engineering from the</w:t>
            </w:r>
          </w:p>
        </w:tc>
        <w:tc>
          <w:tcPr>
            <w:tcW w:w="0" w:type="dxa"/>
            <w:vAlign w:val="bottom"/>
          </w:tcPr>
          <w:p>
            <w:pPr>
              <w:spacing w:after="0" w:line="20" w:lineRule="exact"/>
              <w:rPr>
                <w:sz w:val="1"/>
                <w:szCs w:val="1"/>
                <w:color w:val="auto"/>
              </w:rPr>
            </w:pPr>
          </w:p>
        </w:tc>
      </w:tr>
      <w:tr>
        <w:trPr>
          <w:trHeight w:val="90"/>
        </w:trPr>
        <w:tc>
          <w:tcPr>
            <w:tcW w:w="1600" w:type="dxa"/>
            <w:vAlign w:val="bottom"/>
            <w:gridSpan w:val="2"/>
            <w:vMerge w:val="restart"/>
          </w:tcPr>
          <w:p>
            <w:pPr>
              <w:spacing w:after="0"/>
              <w:rPr>
                <w:sz w:val="20"/>
                <w:szCs w:val="20"/>
                <w:color w:val="auto"/>
              </w:rPr>
            </w:pPr>
            <w:r>
              <w:rPr>
                <w:rFonts w:ascii="Arial" w:cs="Arial" w:eastAsia="Arial" w:hAnsi="Arial"/>
                <w:sz w:val="11"/>
                <w:szCs w:val="11"/>
                <w:color w:val="auto"/>
              </w:rPr>
              <w:t>U.S.</w:t>
            </w:r>
          </w:p>
        </w:tc>
        <w:tc>
          <w:tcPr>
            <w:tcW w:w="4780" w:type="dxa"/>
            <w:vAlign w:val="bottom"/>
            <w:gridSpan w:val="1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1600" w:type="dxa"/>
            <w:vAlign w:val="bottom"/>
            <w:gridSpan w:val="2"/>
            <w:vMerge w:val="continue"/>
          </w:tcPr>
          <w:p>
            <w:pPr>
              <w:spacing w:after="0"/>
              <w:rPr>
                <w:sz w:val="3"/>
                <w:szCs w:val="3"/>
                <w:color w:val="auto"/>
              </w:rPr>
            </w:pPr>
          </w:p>
        </w:tc>
        <w:tc>
          <w:tcPr>
            <w:tcW w:w="1400" w:type="dxa"/>
            <w:vAlign w:val="bottom"/>
            <w:gridSpan w:val="4"/>
            <w:vMerge w:val="restart"/>
          </w:tcPr>
          <w:p>
            <w:pPr>
              <w:spacing w:after="0"/>
              <w:rPr>
                <w:sz w:val="20"/>
                <w:szCs w:val="20"/>
                <w:color w:val="auto"/>
              </w:rPr>
            </w:pPr>
            <w:r>
              <w:rPr>
                <w:rFonts w:ascii="Arial" w:cs="Arial" w:eastAsia="Arial" w:hAnsi="Arial"/>
                <w:sz w:val="11"/>
                <w:szCs w:val="11"/>
                <w:color w:val="auto"/>
                <w:w w:val="97"/>
              </w:rPr>
              <w:t>University of Massachusetts.</w:t>
            </w: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0"/>
        </w:trPr>
        <w:tc>
          <w:tcPr>
            <w:tcW w:w="16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 xml:space="preserve">Director Since: </w:t>
            </w:r>
            <w:r>
              <w:rPr>
                <w:rFonts w:ascii="Arial" w:cs="Arial" w:eastAsia="Arial" w:hAnsi="Arial"/>
                <w:sz w:val="11"/>
                <w:szCs w:val="11"/>
                <w:color w:val="auto"/>
              </w:rPr>
              <w:t>2015</w:t>
            </w:r>
          </w:p>
        </w:tc>
        <w:tc>
          <w:tcPr>
            <w:tcW w:w="1400" w:type="dxa"/>
            <w:vAlign w:val="bottom"/>
            <w:gridSpan w:val="4"/>
            <w:vMerge w:val="continue"/>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00" w:type="dxa"/>
            <w:vAlign w:val="bottom"/>
            <w:gridSpan w:val="2"/>
            <w:vMerge w:val="continue"/>
          </w:tcPr>
          <w:p>
            <w:pPr>
              <w:spacing w:after="0"/>
              <w:rPr>
                <w:sz w:val="3"/>
                <w:szCs w:val="3"/>
                <w:color w:val="auto"/>
              </w:rPr>
            </w:pPr>
          </w:p>
        </w:tc>
        <w:tc>
          <w:tcPr>
            <w:tcW w:w="4380" w:type="dxa"/>
            <w:vAlign w:val="bottom"/>
            <w:gridSpan w:val="14"/>
            <w:vMerge w:val="restart"/>
          </w:tcPr>
          <w:p>
            <w:pPr>
              <w:spacing w:after="0"/>
              <w:rPr>
                <w:sz w:val="20"/>
                <w:szCs w:val="20"/>
                <w:color w:val="auto"/>
              </w:rPr>
            </w:pPr>
            <w:r>
              <w:rPr>
                <w:rFonts w:ascii="Arial" w:cs="Arial" w:eastAsia="Arial" w:hAnsi="Arial"/>
                <w:sz w:val="11"/>
                <w:szCs w:val="11"/>
                <w:color w:val="auto"/>
              </w:rPr>
              <w:t>Mr. Mionis does not sit on any committees of the Board of Directors of the Corporation.</w:t>
            </w: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160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 xml:space="preserve">Age: </w:t>
            </w:r>
            <w:r>
              <w:rPr>
                <w:rFonts w:ascii="Arial" w:cs="Arial" w:eastAsia="Arial" w:hAnsi="Arial"/>
                <w:sz w:val="11"/>
                <w:szCs w:val="11"/>
                <w:color w:val="auto"/>
              </w:rPr>
              <w:t>58</w:t>
            </w:r>
          </w:p>
        </w:tc>
        <w:tc>
          <w:tcPr>
            <w:tcW w:w="4380" w:type="dxa"/>
            <w:vAlign w:val="bottom"/>
            <w:gridSpan w:val="14"/>
            <w:vMerge w:val="continue"/>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16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 xml:space="preserve">Status: </w:t>
            </w:r>
            <w:r>
              <w:rPr>
                <w:rFonts w:ascii="Arial" w:cs="Arial" w:eastAsia="Arial" w:hAnsi="Arial"/>
                <w:sz w:val="11"/>
                <w:szCs w:val="11"/>
                <w:color w:val="auto"/>
              </w:rPr>
              <w:t>Not Independent</w:t>
            </w:r>
          </w:p>
        </w:tc>
        <w:tc>
          <w:tcPr>
            <w:tcW w:w="4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1600" w:type="dxa"/>
            <w:vAlign w:val="bottom"/>
            <w:gridSpan w:val="2"/>
            <w:vMerge w:val="continue"/>
          </w:tcPr>
          <w:p>
            <w:pPr>
              <w:spacing w:after="0"/>
              <w:rPr>
                <w:sz w:val="5"/>
                <w:szCs w:val="5"/>
                <w:color w:val="auto"/>
              </w:rPr>
            </w:pPr>
          </w:p>
        </w:tc>
        <w:tc>
          <w:tcPr>
            <w:tcW w:w="420" w:type="dxa"/>
            <w:vAlign w:val="bottom"/>
            <w:tcBorders>
              <w:left w:val="single" w:sz="8" w:color="CCCCCC"/>
              <w:right w:val="single" w:sz="8" w:color="CCCCCC"/>
            </w:tcBorders>
            <w:shd w:val="clear" w:color="auto" w:fill="CCCCCC"/>
          </w:tcPr>
          <w:p>
            <w:pPr>
              <w:spacing w:after="0"/>
              <w:rPr>
                <w:sz w:val="5"/>
                <w:szCs w:val="5"/>
                <w:color w:val="auto"/>
              </w:rPr>
            </w:pPr>
          </w:p>
        </w:tc>
        <w:tc>
          <w:tcPr>
            <w:tcW w:w="380" w:type="dxa"/>
            <w:vAlign w:val="bottom"/>
            <w:shd w:val="clear" w:color="auto" w:fill="CCCCCC"/>
          </w:tcPr>
          <w:p>
            <w:pPr>
              <w:spacing w:after="0"/>
              <w:rPr>
                <w:sz w:val="5"/>
                <w:szCs w:val="5"/>
                <w:color w:val="auto"/>
              </w:rPr>
            </w:pPr>
          </w:p>
        </w:tc>
        <w:tc>
          <w:tcPr>
            <w:tcW w:w="40" w:type="dxa"/>
            <w:vAlign w:val="bottom"/>
            <w:tcBorders>
              <w:right w:val="single" w:sz="8" w:color="CCCCCC"/>
            </w:tcBorders>
            <w:shd w:val="clear" w:color="auto" w:fill="CCCCCC"/>
          </w:tcPr>
          <w:p>
            <w:pPr>
              <w:spacing w:after="0"/>
              <w:rPr>
                <w:sz w:val="5"/>
                <w:szCs w:val="5"/>
                <w:color w:val="auto"/>
              </w:rPr>
            </w:pPr>
          </w:p>
        </w:tc>
        <w:tc>
          <w:tcPr>
            <w:tcW w:w="560" w:type="dxa"/>
            <w:vAlign w:val="bottom"/>
            <w:tcBorders>
              <w:right w:val="single" w:sz="8" w:color="CCCCCC"/>
            </w:tcBorders>
            <w:shd w:val="clear" w:color="auto" w:fill="CCCCCC"/>
          </w:tcPr>
          <w:p>
            <w:pPr>
              <w:spacing w:after="0"/>
              <w:rPr>
                <w:sz w:val="5"/>
                <w:szCs w:val="5"/>
                <w:color w:val="auto"/>
              </w:rPr>
            </w:pPr>
          </w:p>
        </w:tc>
        <w:tc>
          <w:tcPr>
            <w:tcW w:w="1440" w:type="dxa"/>
            <w:vAlign w:val="bottom"/>
            <w:gridSpan w:val="5"/>
            <w:vMerge w:val="restart"/>
            <w:shd w:val="clear" w:color="auto" w:fill="CCCCCC"/>
          </w:tcPr>
          <w:p>
            <w:pPr>
              <w:ind w:left="320"/>
              <w:spacing w:after="0"/>
              <w:rPr>
                <w:sz w:val="20"/>
                <w:szCs w:val="20"/>
                <w:color w:val="auto"/>
              </w:rPr>
            </w:pPr>
            <w:r>
              <w:rPr>
                <w:rFonts w:ascii="Arial" w:cs="Arial" w:eastAsia="Arial" w:hAnsi="Arial"/>
                <w:sz w:val="11"/>
                <w:szCs w:val="11"/>
                <w:b w:val="1"/>
                <w:bCs w:val="1"/>
                <w:color w:val="auto"/>
                <w:w w:val="92"/>
              </w:rPr>
              <w:t>BOARD ATTENDANCE</w:t>
            </w:r>
          </w:p>
        </w:tc>
        <w:tc>
          <w:tcPr>
            <w:tcW w:w="180" w:type="dxa"/>
            <w:vAlign w:val="bottom"/>
            <w:shd w:val="clear" w:color="auto" w:fill="CCCCCC"/>
          </w:tcPr>
          <w:p>
            <w:pPr>
              <w:spacing w:after="0"/>
              <w:rPr>
                <w:sz w:val="5"/>
                <w:szCs w:val="5"/>
                <w:color w:val="auto"/>
              </w:rPr>
            </w:pPr>
          </w:p>
        </w:tc>
        <w:tc>
          <w:tcPr>
            <w:tcW w:w="260" w:type="dxa"/>
            <w:vAlign w:val="bottom"/>
            <w:tcBorders>
              <w:right w:val="single" w:sz="8" w:color="CCCCCC"/>
            </w:tcBorders>
            <w:shd w:val="clear" w:color="auto" w:fill="CCCCCC"/>
          </w:tcPr>
          <w:p>
            <w:pPr>
              <w:spacing w:after="0"/>
              <w:rPr>
                <w:sz w:val="5"/>
                <w:szCs w:val="5"/>
                <w:color w:val="auto"/>
              </w:rPr>
            </w:pPr>
          </w:p>
        </w:tc>
        <w:tc>
          <w:tcPr>
            <w:tcW w:w="80" w:type="dxa"/>
            <w:vAlign w:val="bottom"/>
            <w:shd w:val="clear" w:color="auto" w:fill="CCCCCC"/>
          </w:tcPr>
          <w:p>
            <w:pPr>
              <w:spacing w:after="0"/>
              <w:rPr>
                <w:sz w:val="5"/>
                <w:szCs w:val="5"/>
                <w:color w:val="auto"/>
              </w:rPr>
            </w:pPr>
          </w:p>
        </w:tc>
        <w:tc>
          <w:tcPr>
            <w:tcW w:w="420" w:type="dxa"/>
            <w:vAlign w:val="bottom"/>
            <w:tcBorders>
              <w:right w:val="single" w:sz="8" w:color="CCCCCC"/>
            </w:tcBorders>
            <w:shd w:val="clear" w:color="auto" w:fill="CCCCCC"/>
          </w:tcPr>
          <w:p>
            <w:pPr>
              <w:spacing w:after="0"/>
              <w:rPr>
                <w:sz w:val="5"/>
                <w:szCs w:val="5"/>
                <w:color w:val="auto"/>
              </w:rPr>
            </w:pPr>
          </w:p>
        </w:tc>
        <w:tc>
          <w:tcPr>
            <w:tcW w:w="600" w:type="dxa"/>
            <w:vAlign w:val="bottom"/>
            <w:tcBorders>
              <w:right w:val="single" w:sz="8" w:color="CCCCCC"/>
            </w:tcBorders>
            <w:shd w:val="clear" w:color="auto" w:fill="CCCCCC"/>
          </w:tcPr>
          <w:p>
            <w:pPr>
              <w:spacing w:after="0"/>
              <w:rPr>
                <w:sz w:val="5"/>
                <w:szCs w:val="5"/>
                <w:color w:val="auto"/>
              </w:rPr>
            </w:pPr>
          </w:p>
        </w:tc>
        <w:tc>
          <w:tcPr>
            <w:tcW w:w="80" w:type="dxa"/>
            <w:vAlign w:val="bottom"/>
            <w:shd w:val="clear" w:color="auto" w:fill="CCCCCC"/>
          </w:tcPr>
          <w:p>
            <w:pPr>
              <w:spacing w:after="0"/>
              <w:rPr>
                <w:sz w:val="5"/>
                <w:szCs w:val="5"/>
                <w:color w:val="auto"/>
              </w:rPr>
            </w:pPr>
          </w:p>
        </w:tc>
        <w:tc>
          <w:tcPr>
            <w:tcW w:w="320" w:type="dxa"/>
            <w:vAlign w:val="bottom"/>
            <w:tcBorders>
              <w:right w:val="single" w:sz="8" w:color="CCCCCC"/>
            </w:tcBorders>
            <w:shd w:val="clear" w:color="auto" w:fill="CCCCCC"/>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1600" w:type="dxa"/>
            <w:vAlign w:val="bottom"/>
            <w:gridSpan w:val="2"/>
          </w:tcPr>
          <w:p>
            <w:pPr>
              <w:spacing w:after="0" w:line="88" w:lineRule="exact"/>
              <w:rPr>
                <w:sz w:val="20"/>
                <w:szCs w:val="20"/>
                <w:color w:val="auto"/>
              </w:rPr>
            </w:pPr>
            <w:r>
              <w:rPr>
                <w:rFonts w:ascii="Arial" w:cs="Arial" w:eastAsia="Arial" w:hAnsi="Arial"/>
                <w:sz w:val="10"/>
                <w:szCs w:val="10"/>
                <w:b w:val="1"/>
                <w:bCs w:val="1"/>
                <w:color w:val="auto"/>
              </w:rPr>
              <w:t>Areas of Expertise:</w:t>
            </w:r>
          </w:p>
        </w:tc>
        <w:tc>
          <w:tcPr>
            <w:tcW w:w="420" w:type="dxa"/>
            <w:vAlign w:val="bottom"/>
            <w:tcBorders>
              <w:left w:val="single" w:sz="8" w:color="CCCCCC"/>
              <w:bottom w:val="single" w:sz="8" w:color="auto"/>
              <w:right w:val="single" w:sz="8" w:color="CCCCCC"/>
            </w:tcBorders>
            <w:shd w:val="clear" w:color="auto" w:fill="CCCCCC"/>
          </w:tcPr>
          <w:p>
            <w:pPr>
              <w:spacing w:after="0"/>
              <w:rPr>
                <w:sz w:val="7"/>
                <w:szCs w:val="7"/>
                <w:color w:val="auto"/>
              </w:rPr>
            </w:pPr>
          </w:p>
        </w:tc>
        <w:tc>
          <w:tcPr>
            <w:tcW w:w="380" w:type="dxa"/>
            <w:vAlign w:val="bottom"/>
            <w:tcBorders>
              <w:bottom w:val="single" w:sz="8" w:color="auto"/>
            </w:tcBorders>
            <w:shd w:val="clear" w:color="auto" w:fill="CCCCCC"/>
          </w:tcPr>
          <w:p>
            <w:pPr>
              <w:spacing w:after="0"/>
              <w:rPr>
                <w:sz w:val="7"/>
                <w:szCs w:val="7"/>
                <w:color w:val="auto"/>
              </w:rPr>
            </w:pPr>
          </w:p>
        </w:tc>
        <w:tc>
          <w:tcPr>
            <w:tcW w:w="40" w:type="dxa"/>
            <w:vAlign w:val="bottom"/>
            <w:tcBorders>
              <w:bottom w:val="single" w:sz="8" w:color="auto"/>
              <w:right w:val="single" w:sz="8" w:color="CCCCCC"/>
            </w:tcBorders>
            <w:shd w:val="clear" w:color="auto" w:fill="CCCCCC"/>
          </w:tcPr>
          <w:p>
            <w:pPr>
              <w:spacing w:after="0"/>
              <w:rPr>
                <w:sz w:val="7"/>
                <w:szCs w:val="7"/>
                <w:color w:val="auto"/>
              </w:rPr>
            </w:pPr>
          </w:p>
        </w:tc>
        <w:tc>
          <w:tcPr>
            <w:tcW w:w="560" w:type="dxa"/>
            <w:vAlign w:val="bottom"/>
            <w:tcBorders>
              <w:bottom w:val="single" w:sz="8" w:color="auto"/>
              <w:right w:val="single" w:sz="8" w:color="CCCCCC"/>
            </w:tcBorders>
            <w:shd w:val="clear" w:color="auto" w:fill="CCCCCC"/>
          </w:tcPr>
          <w:p>
            <w:pPr>
              <w:spacing w:after="0"/>
              <w:rPr>
                <w:sz w:val="7"/>
                <w:szCs w:val="7"/>
                <w:color w:val="auto"/>
              </w:rPr>
            </w:pPr>
          </w:p>
        </w:tc>
        <w:tc>
          <w:tcPr>
            <w:tcW w:w="1440" w:type="dxa"/>
            <w:vAlign w:val="bottom"/>
            <w:tcBorders>
              <w:bottom w:val="single" w:sz="8" w:color="auto"/>
            </w:tcBorders>
            <w:gridSpan w:val="5"/>
            <w:vMerge w:val="continue"/>
            <w:shd w:val="clear" w:color="auto" w:fill="CCCCCC"/>
          </w:tcPr>
          <w:p>
            <w:pPr>
              <w:spacing w:after="0"/>
              <w:rPr>
                <w:sz w:val="7"/>
                <w:szCs w:val="7"/>
                <w:color w:val="auto"/>
              </w:rPr>
            </w:pPr>
          </w:p>
        </w:tc>
        <w:tc>
          <w:tcPr>
            <w:tcW w:w="180" w:type="dxa"/>
            <w:vAlign w:val="bottom"/>
            <w:tcBorders>
              <w:bottom w:val="single" w:sz="8" w:color="auto"/>
            </w:tcBorders>
            <w:shd w:val="clear" w:color="auto" w:fill="CCCCCC"/>
          </w:tcPr>
          <w:p>
            <w:pPr>
              <w:spacing w:after="0"/>
              <w:rPr>
                <w:sz w:val="7"/>
                <w:szCs w:val="7"/>
                <w:color w:val="auto"/>
              </w:rPr>
            </w:pPr>
          </w:p>
        </w:tc>
        <w:tc>
          <w:tcPr>
            <w:tcW w:w="260" w:type="dxa"/>
            <w:vAlign w:val="bottom"/>
            <w:tcBorders>
              <w:bottom w:val="single" w:sz="8" w:color="auto"/>
              <w:right w:val="single" w:sz="8" w:color="CCCCCC"/>
            </w:tcBorders>
            <w:shd w:val="clear" w:color="auto" w:fill="CCCCCC"/>
          </w:tcPr>
          <w:p>
            <w:pPr>
              <w:spacing w:after="0"/>
              <w:rPr>
                <w:sz w:val="7"/>
                <w:szCs w:val="7"/>
                <w:color w:val="auto"/>
              </w:rPr>
            </w:pPr>
          </w:p>
        </w:tc>
        <w:tc>
          <w:tcPr>
            <w:tcW w:w="80" w:type="dxa"/>
            <w:vAlign w:val="bottom"/>
            <w:tcBorders>
              <w:bottom w:val="single" w:sz="8" w:color="auto"/>
            </w:tcBorders>
            <w:shd w:val="clear" w:color="auto" w:fill="CCCCCC"/>
          </w:tcPr>
          <w:p>
            <w:pPr>
              <w:spacing w:after="0"/>
              <w:rPr>
                <w:sz w:val="7"/>
                <w:szCs w:val="7"/>
                <w:color w:val="auto"/>
              </w:rPr>
            </w:pPr>
          </w:p>
        </w:tc>
        <w:tc>
          <w:tcPr>
            <w:tcW w:w="420" w:type="dxa"/>
            <w:vAlign w:val="bottom"/>
            <w:tcBorders>
              <w:bottom w:val="single" w:sz="8" w:color="auto"/>
              <w:right w:val="single" w:sz="8" w:color="CCCCCC"/>
            </w:tcBorders>
            <w:shd w:val="clear" w:color="auto" w:fill="CCCCCC"/>
          </w:tcPr>
          <w:p>
            <w:pPr>
              <w:spacing w:after="0"/>
              <w:rPr>
                <w:sz w:val="7"/>
                <w:szCs w:val="7"/>
                <w:color w:val="auto"/>
              </w:rPr>
            </w:pPr>
          </w:p>
        </w:tc>
        <w:tc>
          <w:tcPr>
            <w:tcW w:w="600" w:type="dxa"/>
            <w:vAlign w:val="bottom"/>
            <w:tcBorders>
              <w:bottom w:val="single" w:sz="8" w:color="auto"/>
              <w:right w:val="single" w:sz="8" w:color="CCCCCC"/>
            </w:tcBorders>
            <w:shd w:val="clear" w:color="auto" w:fill="CCCCCC"/>
          </w:tcPr>
          <w:p>
            <w:pPr>
              <w:spacing w:after="0"/>
              <w:rPr>
                <w:sz w:val="7"/>
                <w:szCs w:val="7"/>
                <w:color w:val="auto"/>
              </w:rPr>
            </w:pPr>
          </w:p>
        </w:tc>
        <w:tc>
          <w:tcPr>
            <w:tcW w:w="80" w:type="dxa"/>
            <w:vAlign w:val="bottom"/>
            <w:tcBorders>
              <w:bottom w:val="single" w:sz="8" w:color="auto"/>
            </w:tcBorders>
            <w:shd w:val="clear" w:color="auto" w:fill="CCCCCC"/>
          </w:tcPr>
          <w:p>
            <w:pPr>
              <w:spacing w:after="0"/>
              <w:rPr>
                <w:sz w:val="7"/>
                <w:szCs w:val="7"/>
                <w:color w:val="auto"/>
              </w:rPr>
            </w:pPr>
          </w:p>
        </w:tc>
        <w:tc>
          <w:tcPr>
            <w:tcW w:w="320" w:type="dxa"/>
            <w:vAlign w:val="bottom"/>
            <w:tcBorders>
              <w:bottom w:val="single" w:sz="8" w:color="auto"/>
              <w:right w:val="single" w:sz="8" w:color="CCCCCC"/>
            </w:tcBorders>
            <w:shd w:val="clear" w:color="auto" w:fill="CCCCCC"/>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80" w:type="dxa"/>
            <w:vAlign w:val="bottom"/>
          </w:tcPr>
          <w:p>
            <w:pPr>
              <w:spacing w:after="0" w:line="110" w:lineRule="exact"/>
              <w:rPr>
                <w:sz w:val="20"/>
                <w:szCs w:val="20"/>
                <w:color w:val="auto"/>
              </w:rPr>
            </w:pPr>
            <w:r>
              <w:rPr>
                <w:rFonts w:ascii="Arial" w:cs="Arial" w:eastAsia="Arial" w:hAnsi="Arial"/>
                <w:sz w:val="11"/>
                <w:szCs w:val="11"/>
                <w:color w:val="auto"/>
              </w:rPr>
              <w:t>•</w:t>
            </w:r>
          </w:p>
        </w:tc>
        <w:tc>
          <w:tcPr>
            <w:tcW w:w="1520" w:type="dxa"/>
            <w:vAlign w:val="bottom"/>
          </w:tcPr>
          <w:p>
            <w:pPr>
              <w:ind w:left="20"/>
              <w:spacing w:after="0" w:line="110" w:lineRule="exact"/>
              <w:rPr>
                <w:sz w:val="20"/>
                <w:szCs w:val="20"/>
                <w:color w:val="auto"/>
              </w:rPr>
            </w:pPr>
            <w:r>
              <w:rPr>
                <w:rFonts w:ascii="Arial" w:cs="Arial" w:eastAsia="Arial" w:hAnsi="Arial"/>
                <w:sz w:val="11"/>
                <w:szCs w:val="11"/>
                <w:color w:val="auto"/>
              </w:rPr>
              <w:t>Business Transformation</w:t>
            </w:r>
          </w:p>
        </w:tc>
        <w:tc>
          <w:tcPr>
            <w:tcW w:w="420" w:type="dxa"/>
            <w:vAlign w:val="bottom"/>
            <w:vMerge w:val="restart"/>
          </w:tcPr>
          <w:p>
            <w:pPr>
              <w:spacing w:after="0"/>
              <w:rPr>
                <w:sz w:val="20"/>
                <w:szCs w:val="20"/>
                <w:color w:val="auto"/>
              </w:rPr>
            </w:pPr>
            <w:r>
              <w:rPr>
                <w:rFonts w:ascii="Arial" w:cs="Arial" w:eastAsia="Arial" w:hAnsi="Arial"/>
                <w:sz w:val="11"/>
                <w:szCs w:val="11"/>
                <w:color w:val="auto"/>
              </w:rPr>
              <w:t>Board</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40" w:type="dxa"/>
            <w:vAlign w:val="bottom"/>
            <w:gridSpan w:val="6"/>
          </w:tcPr>
          <w:p>
            <w:pPr>
              <w:jc w:val="center"/>
              <w:ind w:left="149"/>
              <w:spacing w:after="0" w:line="110" w:lineRule="exact"/>
              <w:rPr>
                <w:sz w:val="20"/>
                <w:szCs w:val="20"/>
                <w:color w:val="auto"/>
              </w:rPr>
            </w:pPr>
            <w:r>
              <w:rPr>
                <w:rFonts w:ascii="Arial" w:cs="Arial" w:eastAsia="Arial" w:hAnsi="Arial"/>
                <w:sz w:val="11"/>
                <w:szCs w:val="11"/>
                <w:color w:val="auto"/>
                <w:w w:val="96"/>
              </w:rPr>
              <w:t>ATTENDANCE</w:t>
            </w:r>
          </w:p>
        </w:tc>
        <w:tc>
          <w:tcPr>
            <w:tcW w:w="80" w:type="dxa"/>
            <w:vAlign w:val="bottom"/>
          </w:tcPr>
          <w:p>
            <w:pPr>
              <w:spacing w:after="0"/>
              <w:rPr>
                <w:sz w:val="11"/>
                <w:szCs w:val="11"/>
                <w:color w:val="auto"/>
              </w:rPr>
            </w:pPr>
          </w:p>
        </w:tc>
        <w:tc>
          <w:tcPr>
            <w:tcW w:w="1420" w:type="dxa"/>
            <w:vAlign w:val="bottom"/>
            <w:gridSpan w:val="4"/>
          </w:tcPr>
          <w:p>
            <w:pPr>
              <w:spacing w:after="0" w:line="110" w:lineRule="exact"/>
              <w:rPr>
                <w:sz w:val="20"/>
                <w:szCs w:val="20"/>
                <w:color w:val="auto"/>
              </w:rPr>
            </w:pPr>
            <w:r>
              <w:rPr>
                <w:rFonts w:ascii="Arial" w:cs="Arial" w:eastAsia="Arial" w:hAnsi="Arial"/>
                <w:sz w:val="11"/>
                <w:szCs w:val="11"/>
                <w:color w:val="auto"/>
              </w:rPr>
              <w:t>TOTAL ATTENDANCE</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1520" w:type="dxa"/>
            <w:vAlign w:val="bottom"/>
          </w:tcPr>
          <w:p>
            <w:pPr>
              <w:ind w:left="20"/>
              <w:spacing w:after="0"/>
              <w:rPr>
                <w:sz w:val="20"/>
                <w:szCs w:val="20"/>
                <w:color w:val="auto"/>
              </w:rPr>
            </w:pPr>
            <w:r>
              <w:rPr>
                <w:rFonts w:ascii="Arial" w:cs="Arial" w:eastAsia="Arial" w:hAnsi="Arial"/>
                <w:sz w:val="11"/>
                <w:szCs w:val="11"/>
                <w:color w:val="auto"/>
              </w:rPr>
              <w:t>and Strategy</w:t>
            </w:r>
          </w:p>
        </w:tc>
        <w:tc>
          <w:tcPr>
            <w:tcW w:w="420" w:type="dxa"/>
            <w:vAlign w:val="bottom"/>
            <w:tcBorders>
              <w:bottom w:val="single" w:sz="8" w:color="auto"/>
            </w:tcBorders>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center"/>
              <w:ind w:left="9"/>
              <w:spacing w:after="0"/>
              <w:rPr>
                <w:sz w:val="20"/>
                <w:szCs w:val="20"/>
                <w:color w:val="auto"/>
              </w:rPr>
            </w:pPr>
            <w:r>
              <w:rPr>
                <w:rFonts w:ascii="Arial" w:cs="Arial" w:eastAsia="Arial" w:hAnsi="Arial"/>
                <w:sz w:val="11"/>
                <w:szCs w:val="11"/>
                <w:color w:val="auto"/>
                <w:w w:val="94"/>
              </w:rPr>
              <w:t>8 of 8</w:t>
            </w:r>
          </w:p>
        </w:tc>
        <w:tc>
          <w:tcPr>
            <w:tcW w:w="180" w:type="dxa"/>
            <w:vAlign w:val="bottom"/>
            <w:tcBorders>
              <w:top w:val="single" w:sz="8" w:color="auto"/>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1"/>
                <w:szCs w:val="11"/>
                <w:color w:val="auto"/>
                <w:w w:val="99"/>
              </w:rPr>
              <w:t>100%</w:t>
            </w:r>
          </w:p>
        </w:tc>
        <w:tc>
          <w:tcPr>
            <w:tcW w:w="80" w:type="dxa"/>
            <w:vAlign w:val="bottom"/>
            <w:tcBorders>
              <w:top w:val="single" w:sz="8" w:color="auto"/>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80" w:type="dxa"/>
            <w:vAlign w:val="bottom"/>
          </w:tcPr>
          <w:p>
            <w:pPr>
              <w:spacing w:after="0" w:line="112" w:lineRule="exact"/>
              <w:rPr>
                <w:sz w:val="20"/>
                <w:szCs w:val="20"/>
                <w:color w:val="auto"/>
              </w:rPr>
            </w:pPr>
            <w:r>
              <w:rPr>
                <w:rFonts w:ascii="Arial" w:cs="Arial" w:eastAsia="Arial" w:hAnsi="Arial"/>
                <w:sz w:val="11"/>
                <w:szCs w:val="11"/>
                <w:color w:val="auto"/>
              </w:rPr>
              <w:t>•</w:t>
            </w:r>
          </w:p>
        </w:tc>
        <w:tc>
          <w:tcPr>
            <w:tcW w:w="1520" w:type="dxa"/>
            <w:vAlign w:val="bottom"/>
          </w:tcPr>
          <w:p>
            <w:pPr>
              <w:ind w:left="20"/>
              <w:spacing w:after="0" w:line="112" w:lineRule="exact"/>
              <w:rPr>
                <w:sz w:val="20"/>
                <w:szCs w:val="20"/>
                <w:color w:val="auto"/>
              </w:rPr>
            </w:pPr>
            <w:r>
              <w:rPr>
                <w:rFonts w:ascii="Arial" w:cs="Arial" w:eastAsia="Arial" w:hAnsi="Arial"/>
                <w:sz w:val="11"/>
                <w:szCs w:val="11"/>
                <w:color w:val="auto"/>
              </w:rPr>
              <w:t>Operations</w:t>
            </w:r>
          </w:p>
        </w:tc>
        <w:tc>
          <w:tcPr>
            <w:tcW w:w="420" w:type="dxa"/>
            <w:vAlign w:val="bottom"/>
            <w:tcBorders>
              <w:left w:val="single" w:sz="8" w:color="auto"/>
              <w:right w:val="single" w:sz="8" w:color="CCCCCC"/>
            </w:tcBorders>
            <w:shd w:val="clear" w:color="auto" w:fill="CCCCCC"/>
          </w:tcPr>
          <w:p>
            <w:pPr>
              <w:spacing w:after="0"/>
              <w:rPr>
                <w:sz w:val="15"/>
                <w:szCs w:val="15"/>
                <w:color w:val="auto"/>
              </w:rPr>
            </w:pPr>
          </w:p>
        </w:tc>
        <w:tc>
          <w:tcPr>
            <w:tcW w:w="380" w:type="dxa"/>
            <w:vAlign w:val="bottom"/>
            <w:shd w:val="clear" w:color="auto" w:fill="CCCCCC"/>
          </w:tcPr>
          <w:p>
            <w:pPr>
              <w:spacing w:after="0"/>
              <w:rPr>
                <w:sz w:val="15"/>
                <w:szCs w:val="15"/>
                <w:color w:val="auto"/>
              </w:rPr>
            </w:pPr>
          </w:p>
        </w:tc>
        <w:tc>
          <w:tcPr>
            <w:tcW w:w="40" w:type="dxa"/>
            <w:vAlign w:val="bottom"/>
            <w:tcBorders>
              <w:right w:val="single" w:sz="8" w:color="CCCCCC"/>
            </w:tcBorders>
            <w:shd w:val="clear" w:color="auto" w:fill="CCCCCC"/>
          </w:tcPr>
          <w:p>
            <w:pPr>
              <w:spacing w:after="0"/>
              <w:rPr>
                <w:sz w:val="15"/>
                <w:szCs w:val="15"/>
                <w:color w:val="auto"/>
              </w:rPr>
            </w:pPr>
          </w:p>
        </w:tc>
        <w:tc>
          <w:tcPr>
            <w:tcW w:w="560" w:type="dxa"/>
            <w:vAlign w:val="bottom"/>
            <w:tcBorders>
              <w:right w:val="single" w:sz="8" w:color="CCCCCC"/>
            </w:tcBorders>
            <w:shd w:val="clear" w:color="auto" w:fill="CCCCCC"/>
          </w:tcPr>
          <w:p>
            <w:pPr>
              <w:spacing w:after="0"/>
              <w:rPr>
                <w:sz w:val="15"/>
                <w:szCs w:val="15"/>
                <w:color w:val="auto"/>
              </w:rPr>
            </w:pPr>
          </w:p>
        </w:tc>
        <w:tc>
          <w:tcPr>
            <w:tcW w:w="1880" w:type="dxa"/>
            <w:vAlign w:val="bottom"/>
            <w:tcBorders>
              <w:right w:val="single" w:sz="8" w:color="CCCCCC"/>
            </w:tcBorders>
            <w:gridSpan w:val="7"/>
            <w:shd w:val="clear" w:color="auto" w:fill="CCCCCC"/>
          </w:tcPr>
          <w:p>
            <w:pPr>
              <w:ind w:left="100"/>
              <w:spacing w:after="0" w:line="119" w:lineRule="exact"/>
              <w:rPr>
                <w:sz w:val="20"/>
                <w:szCs w:val="20"/>
                <w:color w:val="auto"/>
              </w:rPr>
            </w:pPr>
            <w:r>
              <w:rPr>
                <w:rFonts w:ascii="Arial" w:cs="Arial" w:eastAsia="Arial" w:hAnsi="Arial"/>
                <w:sz w:val="9"/>
                <w:szCs w:val="9"/>
                <w:b w:val="1"/>
                <w:bCs w:val="1"/>
                <w:color w:val="auto"/>
              </w:rPr>
              <w:t>EXECUTIVE SHARE OWNERSHIP</w:t>
            </w:r>
            <w:r>
              <w:rPr>
                <w:rFonts w:ascii="Arial" w:cs="Arial" w:eastAsia="Arial" w:hAnsi="Arial"/>
                <w:sz w:val="13"/>
                <w:szCs w:val="13"/>
                <w:b w:val="1"/>
                <w:bCs w:val="1"/>
                <w:color w:val="auto"/>
                <w:vertAlign w:val="superscript"/>
              </w:rPr>
              <w:t>(2)</w:t>
            </w:r>
          </w:p>
        </w:tc>
        <w:tc>
          <w:tcPr>
            <w:tcW w:w="80" w:type="dxa"/>
            <w:vAlign w:val="bottom"/>
            <w:shd w:val="clear" w:color="auto" w:fill="CCCCCC"/>
          </w:tcPr>
          <w:p>
            <w:pPr>
              <w:spacing w:after="0"/>
              <w:rPr>
                <w:sz w:val="15"/>
                <w:szCs w:val="15"/>
                <w:color w:val="auto"/>
              </w:rPr>
            </w:pPr>
          </w:p>
        </w:tc>
        <w:tc>
          <w:tcPr>
            <w:tcW w:w="420" w:type="dxa"/>
            <w:vAlign w:val="bottom"/>
            <w:tcBorders>
              <w:right w:val="single" w:sz="8" w:color="CCCCCC"/>
            </w:tcBorders>
            <w:shd w:val="clear" w:color="auto" w:fill="CCCCCC"/>
          </w:tcPr>
          <w:p>
            <w:pPr>
              <w:spacing w:after="0"/>
              <w:rPr>
                <w:sz w:val="15"/>
                <w:szCs w:val="15"/>
                <w:color w:val="auto"/>
              </w:rPr>
            </w:pPr>
          </w:p>
        </w:tc>
        <w:tc>
          <w:tcPr>
            <w:tcW w:w="600" w:type="dxa"/>
            <w:vAlign w:val="bottom"/>
            <w:tcBorders>
              <w:right w:val="single" w:sz="8" w:color="CCCCCC"/>
            </w:tcBorders>
            <w:shd w:val="clear" w:color="auto" w:fill="CCCCCC"/>
          </w:tcPr>
          <w:p>
            <w:pPr>
              <w:spacing w:after="0"/>
              <w:rPr>
                <w:sz w:val="15"/>
                <w:szCs w:val="15"/>
                <w:color w:val="auto"/>
              </w:rPr>
            </w:pPr>
          </w:p>
        </w:tc>
        <w:tc>
          <w:tcPr>
            <w:tcW w:w="80" w:type="dxa"/>
            <w:vAlign w:val="bottom"/>
            <w:shd w:val="clear" w:color="auto" w:fill="CCCCCC"/>
          </w:tcPr>
          <w:p>
            <w:pPr>
              <w:spacing w:after="0"/>
              <w:rPr>
                <w:sz w:val="15"/>
                <w:szCs w:val="15"/>
                <w:color w:val="auto"/>
              </w:rPr>
            </w:pPr>
          </w:p>
        </w:tc>
        <w:tc>
          <w:tcPr>
            <w:tcW w:w="320" w:type="dxa"/>
            <w:vAlign w:val="bottom"/>
            <w:tcBorders>
              <w:right w:val="single" w:sz="8" w:color="auto"/>
            </w:tcBorders>
            <w:shd w:val="clear" w:color="auto" w:fill="CCCCCC"/>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80" w:type="dxa"/>
            <w:vAlign w:val="bottom"/>
          </w:tcPr>
          <w:p>
            <w:pPr>
              <w:spacing w:after="0" w:line="37" w:lineRule="exact"/>
              <w:rPr>
                <w:sz w:val="20"/>
                <w:szCs w:val="20"/>
                <w:color w:val="auto"/>
              </w:rPr>
            </w:pPr>
            <w:r>
              <w:rPr>
                <w:rFonts w:ascii="Arial" w:cs="Arial" w:eastAsia="Arial" w:hAnsi="Arial"/>
                <w:sz w:val="4"/>
                <w:szCs w:val="4"/>
                <w:color w:val="auto"/>
              </w:rPr>
              <w:t>•</w:t>
            </w:r>
          </w:p>
        </w:tc>
        <w:tc>
          <w:tcPr>
            <w:tcW w:w="1520" w:type="dxa"/>
            <w:vAlign w:val="bottom"/>
          </w:tcPr>
          <w:p>
            <w:pPr>
              <w:ind w:left="20"/>
              <w:spacing w:after="0" w:line="37" w:lineRule="exact"/>
              <w:rPr>
                <w:sz w:val="20"/>
                <w:szCs w:val="20"/>
                <w:color w:val="auto"/>
              </w:rPr>
            </w:pPr>
            <w:r>
              <w:rPr>
                <w:rFonts w:ascii="Arial" w:cs="Arial" w:eastAsia="Arial" w:hAnsi="Arial"/>
                <w:sz w:val="4"/>
                <w:szCs w:val="4"/>
                <w:color w:val="auto"/>
              </w:rPr>
              <w:t>Technology and</w:t>
            </w:r>
          </w:p>
        </w:tc>
        <w:tc>
          <w:tcPr>
            <w:tcW w:w="420" w:type="dxa"/>
            <w:vAlign w:val="bottom"/>
            <w:tcBorders>
              <w:top w:val="single" w:sz="8" w:color="auto"/>
              <w:left w:val="single" w:sz="8" w:color="auto"/>
              <w:right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600" w:type="dxa"/>
            <w:vAlign w:val="bottom"/>
            <w:tcBorders>
              <w:top w:val="single" w:sz="8" w:color="auto"/>
              <w:right w:val="single" w:sz="8" w:color="auto"/>
            </w:tcBorders>
            <w:gridSpan w:val="2"/>
            <w:vMerge w:val="restart"/>
          </w:tcPr>
          <w:p>
            <w:pPr>
              <w:spacing w:after="0"/>
              <w:rPr>
                <w:sz w:val="20"/>
                <w:szCs w:val="20"/>
                <w:color w:val="auto"/>
              </w:rPr>
            </w:pPr>
            <w:r>
              <w:rPr>
                <w:rFonts w:ascii="Arial" w:cs="Arial" w:eastAsia="Arial" w:hAnsi="Arial"/>
                <w:sz w:val="11"/>
                <w:szCs w:val="11"/>
                <w:b w:val="1"/>
                <w:bCs w:val="1"/>
                <w:color w:val="auto"/>
              </w:rPr>
              <w:t>SVS</w:t>
            </w:r>
          </w:p>
        </w:tc>
        <w:tc>
          <w:tcPr>
            <w:tcW w:w="1000" w:type="dxa"/>
            <w:vAlign w:val="bottom"/>
            <w:tcBorders>
              <w:top w:val="single" w:sz="8" w:color="auto"/>
              <w:right w:val="single" w:sz="8" w:color="auto"/>
            </w:tcBorders>
            <w:gridSpan w:val="3"/>
            <w:vMerge w:val="restart"/>
          </w:tcPr>
          <w:p>
            <w:pPr>
              <w:jc w:val="right"/>
              <w:ind w:right="380"/>
              <w:spacing w:after="0"/>
              <w:rPr>
                <w:sz w:val="20"/>
                <w:szCs w:val="20"/>
                <w:color w:val="auto"/>
              </w:rPr>
            </w:pPr>
            <w:r>
              <w:rPr>
                <w:rFonts w:ascii="Arial" w:cs="Arial" w:eastAsia="Arial" w:hAnsi="Arial"/>
                <w:sz w:val="11"/>
                <w:szCs w:val="11"/>
                <w:b w:val="1"/>
                <w:bCs w:val="1"/>
                <w:color w:val="auto"/>
              </w:rPr>
              <w:t>RSUs</w:t>
            </w:r>
          </w:p>
        </w:tc>
        <w:tc>
          <w:tcPr>
            <w:tcW w:w="880" w:type="dxa"/>
            <w:vAlign w:val="bottom"/>
            <w:tcBorders>
              <w:top w:val="single" w:sz="8" w:color="auto"/>
              <w:right w:val="single" w:sz="8" w:color="auto"/>
            </w:tcBorders>
            <w:gridSpan w:val="4"/>
            <w:vMerge w:val="restart"/>
          </w:tcPr>
          <w:p>
            <w:pPr>
              <w:ind w:left="320"/>
              <w:spacing w:after="0"/>
              <w:rPr>
                <w:sz w:val="20"/>
                <w:szCs w:val="20"/>
                <w:color w:val="auto"/>
              </w:rPr>
            </w:pPr>
            <w:r>
              <w:rPr>
                <w:rFonts w:ascii="Arial" w:cs="Arial" w:eastAsia="Arial" w:hAnsi="Arial"/>
                <w:sz w:val="11"/>
                <w:szCs w:val="11"/>
                <w:b w:val="1"/>
                <w:bCs w:val="1"/>
                <w:color w:val="auto"/>
              </w:rPr>
              <w:t>PSUs</w:t>
            </w:r>
          </w:p>
        </w:tc>
        <w:tc>
          <w:tcPr>
            <w:tcW w:w="80" w:type="dxa"/>
            <w:vAlign w:val="bottom"/>
            <w:tcBorders>
              <w:top w:val="single" w:sz="8" w:color="auto"/>
            </w:tcBorders>
          </w:tcPr>
          <w:p>
            <w:pPr>
              <w:spacing w:after="0"/>
              <w:rPr>
                <w:sz w:val="3"/>
                <w:szCs w:val="3"/>
                <w:color w:val="auto"/>
              </w:rPr>
            </w:pPr>
          </w:p>
        </w:tc>
        <w:tc>
          <w:tcPr>
            <w:tcW w:w="420" w:type="dxa"/>
            <w:vAlign w:val="bottom"/>
            <w:tcBorders>
              <w:top w:val="single" w:sz="8" w:color="auto"/>
              <w:right w:val="single" w:sz="8" w:color="auto"/>
            </w:tcBorders>
          </w:tcPr>
          <w:p>
            <w:pPr>
              <w:spacing w:after="0"/>
              <w:rPr>
                <w:sz w:val="3"/>
                <w:szCs w:val="3"/>
                <w:color w:val="auto"/>
              </w:rPr>
            </w:pPr>
          </w:p>
        </w:tc>
        <w:tc>
          <w:tcPr>
            <w:tcW w:w="600" w:type="dxa"/>
            <w:vAlign w:val="bottom"/>
            <w:tcBorders>
              <w:top w:val="single" w:sz="8" w:color="auto"/>
              <w:right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2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2"/>
        </w:trPr>
        <w:tc>
          <w:tcPr>
            <w:tcW w:w="80" w:type="dxa"/>
            <w:vAlign w:val="bottom"/>
          </w:tcPr>
          <w:p>
            <w:pPr>
              <w:spacing w:after="0"/>
              <w:rPr>
                <w:sz w:val="8"/>
                <w:szCs w:val="8"/>
                <w:color w:val="auto"/>
              </w:rPr>
            </w:pPr>
          </w:p>
        </w:tc>
        <w:tc>
          <w:tcPr>
            <w:tcW w:w="1520" w:type="dxa"/>
            <w:vAlign w:val="bottom"/>
          </w:tcPr>
          <w:p>
            <w:pPr>
              <w:ind w:left="20"/>
              <w:spacing w:after="0" w:line="103" w:lineRule="exact"/>
              <w:rPr>
                <w:sz w:val="20"/>
                <w:szCs w:val="20"/>
                <w:color w:val="auto"/>
              </w:rPr>
            </w:pPr>
            <w:r>
              <w:rPr>
                <w:rFonts w:ascii="Arial" w:cs="Arial" w:eastAsia="Arial" w:hAnsi="Arial"/>
                <w:sz w:val="11"/>
                <w:szCs w:val="11"/>
                <w:color w:val="auto"/>
              </w:rPr>
              <w:t>Engineering</w:t>
            </w:r>
          </w:p>
        </w:tc>
        <w:tc>
          <w:tcPr>
            <w:tcW w:w="420" w:type="dxa"/>
            <w:vAlign w:val="bottom"/>
            <w:tcBorders>
              <w:left w:val="single" w:sz="8" w:color="auto"/>
              <w:right w:val="single" w:sz="8" w:color="auto"/>
            </w:tcBorders>
          </w:tcPr>
          <w:p>
            <w:pPr>
              <w:ind w:left="40"/>
              <w:spacing w:after="0" w:line="103" w:lineRule="exact"/>
              <w:rPr>
                <w:sz w:val="20"/>
                <w:szCs w:val="20"/>
                <w:color w:val="auto"/>
              </w:rPr>
            </w:pPr>
            <w:r>
              <w:rPr>
                <w:rFonts w:ascii="Arial" w:cs="Arial" w:eastAsia="Arial" w:hAnsi="Arial"/>
                <w:sz w:val="11"/>
                <w:szCs w:val="11"/>
                <w:b w:val="1"/>
                <w:bCs w:val="1"/>
                <w:color w:val="auto"/>
              </w:rPr>
              <w:t>As of</w:t>
            </w:r>
          </w:p>
        </w:tc>
        <w:tc>
          <w:tcPr>
            <w:tcW w:w="380" w:type="dxa"/>
            <w:vAlign w:val="bottom"/>
            <w:tcBorders>
              <w:bottom w:val="single" w:sz="8" w:color="auto"/>
            </w:tcBorders>
          </w:tcPr>
          <w:p>
            <w:pPr>
              <w:spacing w:after="0"/>
              <w:rPr>
                <w:sz w:val="8"/>
                <w:szCs w:val="8"/>
                <w:color w:val="auto"/>
              </w:rPr>
            </w:pPr>
          </w:p>
        </w:tc>
        <w:tc>
          <w:tcPr>
            <w:tcW w:w="600" w:type="dxa"/>
            <w:vAlign w:val="bottom"/>
            <w:tcBorders>
              <w:bottom w:val="single" w:sz="8" w:color="auto"/>
              <w:right w:val="single" w:sz="8" w:color="auto"/>
            </w:tcBorders>
            <w:gridSpan w:val="2"/>
            <w:vMerge w:val="continue"/>
          </w:tcPr>
          <w:p>
            <w:pPr>
              <w:spacing w:after="0"/>
              <w:rPr>
                <w:sz w:val="8"/>
                <w:szCs w:val="8"/>
                <w:color w:val="auto"/>
              </w:rPr>
            </w:pPr>
          </w:p>
        </w:tc>
        <w:tc>
          <w:tcPr>
            <w:tcW w:w="1000" w:type="dxa"/>
            <w:vAlign w:val="bottom"/>
            <w:tcBorders>
              <w:bottom w:val="single" w:sz="8" w:color="auto"/>
              <w:right w:val="single" w:sz="8" w:color="auto"/>
            </w:tcBorders>
            <w:gridSpan w:val="3"/>
            <w:vMerge w:val="continue"/>
          </w:tcPr>
          <w:p>
            <w:pPr>
              <w:spacing w:after="0"/>
              <w:rPr>
                <w:sz w:val="8"/>
                <w:szCs w:val="8"/>
                <w:color w:val="auto"/>
              </w:rPr>
            </w:pPr>
          </w:p>
        </w:tc>
        <w:tc>
          <w:tcPr>
            <w:tcW w:w="880" w:type="dxa"/>
            <w:vAlign w:val="bottom"/>
            <w:tcBorders>
              <w:bottom w:val="single" w:sz="8" w:color="auto"/>
              <w:right w:val="single" w:sz="8" w:color="auto"/>
            </w:tcBorders>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Borders>
              <w:right w:val="single" w:sz="8" w:color="auto"/>
            </w:tcBorders>
          </w:tcPr>
          <w:p>
            <w:pPr>
              <w:ind w:left="40"/>
              <w:spacing w:after="0" w:line="103" w:lineRule="exact"/>
              <w:rPr>
                <w:sz w:val="20"/>
                <w:szCs w:val="20"/>
                <w:color w:val="auto"/>
              </w:rPr>
            </w:pPr>
            <w:r>
              <w:rPr>
                <w:rFonts w:ascii="Arial" w:cs="Arial" w:eastAsia="Arial" w:hAnsi="Arial"/>
                <w:sz w:val="11"/>
                <w:szCs w:val="11"/>
                <w:b w:val="1"/>
                <w:bCs w:val="1"/>
                <w:color w:val="auto"/>
              </w:rPr>
              <w:t>Total</w:t>
            </w:r>
          </w:p>
        </w:tc>
        <w:tc>
          <w:tcPr>
            <w:tcW w:w="600" w:type="dxa"/>
            <w:vAlign w:val="bottom"/>
            <w:tcBorders>
              <w:right w:val="single" w:sz="8" w:color="auto"/>
            </w:tcBorders>
          </w:tcPr>
          <w:p>
            <w:pPr>
              <w:jc w:val="center"/>
              <w:ind w:right="8"/>
              <w:spacing w:after="0" w:line="103" w:lineRule="exact"/>
              <w:rPr>
                <w:sz w:val="20"/>
                <w:szCs w:val="20"/>
                <w:color w:val="auto"/>
              </w:rPr>
            </w:pPr>
            <w:r>
              <w:rPr>
                <w:rFonts w:ascii="Arial" w:cs="Arial" w:eastAsia="Arial" w:hAnsi="Arial"/>
                <w:sz w:val="11"/>
                <w:szCs w:val="11"/>
                <w:b w:val="1"/>
                <w:bCs w:val="1"/>
                <w:color w:val="auto"/>
                <w:w w:val="83"/>
              </w:rPr>
              <w:t>Total</w:t>
            </w:r>
          </w:p>
        </w:tc>
        <w:tc>
          <w:tcPr>
            <w:tcW w:w="400" w:type="dxa"/>
            <w:vAlign w:val="bottom"/>
            <w:tcBorders>
              <w:right w:val="single" w:sz="8" w:color="auto"/>
            </w:tcBorders>
            <w:gridSpan w:val="2"/>
          </w:tcPr>
          <w:p>
            <w:pPr>
              <w:jc w:val="center"/>
              <w:ind w:right="29"/>
              <w:spacing w:after="0" w:line="103" w:lineRule="exact"/>
              <w:rPr>
                <w:sz w:val="20"/>
                <w:szCs w:val="20"/>
                <w:color w:val="auto"/>
              </w:rPr>
            </w:pPr>
            <w:r>
              <w:rPr>
                <w:rFonts w:ascii="Arial" w:cs="Arial" w:eastAsia="Arial" w:hAnsi="Arial"/>
                <w:sz w:val="11"/>
                <w:szCs w:val="11"/>
                <w:b w:val="1"/>
                <w:bCs w:val="1"/>
                <w:color w:val="auto"/>
                <w:w w:val="83"/>
              </w:rPr>
              <w:t>Target</w:t>
            </w:r>
          </w:p>
        </w:tc>
        <w:tc>
          <w:tcPr>
            <w:tcW w:w="0" w:type="dxa"/>
            <w:vAlign w:val="bottom"/>
          </w:tcPr>
          <w:p>
            <w:pPr>
              <w:spacing w:after="0"/>
              <w:rPr>
                <w:sz w:val="1"/>
                <w:szCs w:val="1"/>
                <w:color w:val="auto"/>
              </w:rPr>
            </w:pPr>
          </w:p>
        </w:tc>
      </w:tr>
      <w:tr>
        <w:trPr>
          <w:trHeight w:val="142"/>
        </w:trPr>
        <w:tc>
          <w:tcPr>
            <w:tcW w:w="80" w:type="dxa"/>
            <w:vAlign w:val="bottom"/>
          </w:tcPr>
          <w:p>
            <w:pPr>
              <w:spacing w:after="0"/>
              <w:rPr>
                <w:sz w:val="20"/>
                <w:szCs w:val="20"/>
                <w:color w:val="auto"/>
              </w:rPr>
            </w:pPr>
            <w:r>
              <w:rPr>
                <w:rFonts w:ascii="Arial" w:cs="Arial" w:eastAsia="Arial" w:hAnsi="Arial"/>
                <w:sz w:val="11"/>
                <w:szCs w:val="11"/>
                <w:color w:val="auto"/>
              </w:rPr>
              <w:t>•</w:t>
            </w:r>
          </w:p>
        </w:tc>
        <w:tc>
          <w:tcPr>
            <w:tcW w:w="1520" w:type="dxa"/>
            <w:vAlign w:val="bottom"/>
          </w:tcPr>
          <w:p>
            <w:pPr>
              <w:ind w:left="20"/>
              <w:spacing w:after="0"/>
              <w:rPr>
                <w:sz w:val="20"/>
                <w:szCs w:val="20"/>
                <w:color w:val="auto"/>
              </w:rPr>
            </w:pPr>
            <w:r>
              <w:rPr>
                <w:rFonts w:ascii="Arial" w:cs="Arial" w:eastAsia="Arial" w:hAnsi="Arial"/>
                <w:sz w:val="11"/>
                <w:szCs w:val="11"/>
                <w:color w:val="auto"/>
              </w:rPr>
              <w:t>Risk Management</w:t>
            </w:r>
          </w:p>
        </w:tc>
        <w:tc>
          <w:tcPr>
            <w:tcW w:w="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b w:val="1"/>
                <w:bCs w:val="1"/>
                <w:color w:val="auto"/>
                <w:w w:val="88"/>
              </w:rPr>
              <w:t>Dec. 31</w:t>
            </w:r>
          </w:p>
        </w:tc>
        <w:tc>
          <w:tcPr>
            <w:tcW w:w="380" w:type="dxa"/>
            <w:vAlign w:val="bottom"/>
          </w:tcPr>
          <w:p>
            <w:pPr>
              <w:jc w:val="center"/>
              <w:spacing w:after="0"/>
              <w:rPr>
                <w:sz w:val="20"/>
                <w:szCs w:val="20"/>
                <w:color w:val="auto"/>
              </w:rPr>
            </w:pPr>
            <w:r>
              <w:rPr>
                <w:rFonts w:ascii="Arial" w:cs="Arial" w:eastAsia="Arial" w:hAnsi="Arial"/>
                <w:sz w:val="11"/>
                <w:szCs w:val="11"/>
                <w:b w:val="1"/>
                <w:bCs w:val="1"/>
                <w:color w:val="auto"/>
                <w:w w:val="97"/>
              </w:rPr>
              <w:t>#</w:t>
            </w:r>
          </w:p>
        </w:tc>
        <w:tc>
          <w:tcPr>
            <w:tcW w:w="4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right w:val="single" w:sz="8" w:color="auto"/>
            </w:tcBorders>
          </w:tcPr>
          <w:p>
            <w:pPr>
              <w:jc w:val="right"/>
              <w:ind w:right="149"/>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ind w:right="129"/>
              <w:spacing w:after="0"/>
              <w:rPr>
                <w:sz w:val="20"/>
                <w:szCs w:val="20"/>
                <w:color w:val="auto"/>
              </w:rPr>
            </w:pPr>
            <w:r>
              <w:rPr>
                <w:rFonts w:ascii="Arial" w:cs="Arial" w:eastAsia="Arial" w:hAnsi="Arial"/>
                <w:sz w:val="11"/>
                <w:szCs w:val="11"/>
                <w:b w:val="1"/>
                <w:bCs w:val="1"/>
                <w:color w:val="auto"/>
              </w:rPr>
              <w:t>$</w:t>
            </w:r>
          </w:p>
        </w:tc>
        <w:tc>
          <w:tcPr>
            <w:tcW w:w="100" w:type="dxa"/>
            <w:vAlign w:val="bottom"/>
            <w:tcBorders>
              <w:right w:val="single" w:sz="8" w:color="auto"/>
            </w:tcBorders>
          </w:tcPr>
          <w:p>
            <w:pPr>
              <w:spacing w:after="0"/>
              <w:rPr>
                <w:sz w:val="12"/>
                <w:szCs w:val="12"/>
                <w:color w:val="auto"/>
              </w:rPr>
            </w:pPr>
          </w:p>
        </w:tc>
        <w:tc>
          <w:tcPr>
            <w:tcW w:w="420" w:type="dxa"/>
            <w:vAlign w:val="bottom"/>
            <w:tcBorders>
              <w:right w:val="single" w:sz="8" w:color="auto"/>
            </w:tcBorders>
          </w:tcPr>
          <w:p>
            <w:pPr>
              <w:jc w:val="right"/>
              <w:ind w:right="149"/>
              <w:spacing w:after="0"/>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12"/>
                <w:szCs w:val="12"/>
                <w:color w:val="auto"/>
              </w:rPr>
            </w:pPr>
          </w:p>
        </w:tc>
        <w:tc>
          <w:tcPr>
            <w:tcW w:w="4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right w:val="single" w:sz="8" w:color="auto"/>
            </w:tcBorders>
            <w:gridSpan w:val="2"/>
          </w:tcPr>
          <w:p>
            <w:pPr>
              <w:jc w:val="right"/>
              <w:ind w:right="187"/>
              <w:spacing w:after="0"/>
              <w:rPr>
                <w:sz w:val="20"/>
                <w:szCs w:val="20"/>
                <w:color w:val="auto"/>
              </w:rPr>
            </w:pPr>
            <w:r>
              <w:rPr>
                <w:rFonts w:ascii="Arial" w:cs="Arial" w:eastAsia="Arial" w:hAnsi="Arial"/>
                <w:sz w:val="11"/>
                <w:szCs w:val="11"/>
                <w:b w:val="1"/>
                <w:bCs w:val="1"/>
                <w:color w:val="auto"/>
              </w:rPr>
              <w:t>#</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81"/>
              </w:rPr>
              <w:t>Value</w:t>
            </w:r>
          </w:p>
        </w:tc>
        <w:tc>
          <w:tcPr>
            <w:tcW w:w="80" w:type="dxa"/>
            <w:vAlign w:val="bottom"/>
          </w:tcPr>
          <w:p>
            <w:pPr>
              <w:spacing w:after="0"/>
              <w:rPr>
                <w:sz w:val="12"/>
                <w:szCs w:val="12"/>
                <w:color w:val="auto"/>
              </w:rPr>
            </w:pPr>
          </w:p>
        </w:tc>
        <w:tc>
          <w:tcPr>
            <w:tcW w:w="320" w:type="dxa"/>
            <w:vAlign w:val="bottom"/>
            <w:tcBorders>
              <w:right w:val="single" w:sz="8" w:color="auto"/>
            </w:tcBorders>
          </w:tcPr>
          <w:p>
            <w:pPr>
              <w:jc w:val="center"/>
              <w:ind w:right="89"/>
              <w:spacing w:after="0"/>
              <w:rPr>
                <w:sz w:val="20"/>
                <w:szCs w:val="20"/>
                <w:color w:val="auto"/>
              </w:rPr>
            </w:pPr>
            <w:r>
              <w:rPr>
                <w:rFonts w:ascii="Arial" w:cs="Arial" w:eastAsia="Arial" w:hAnsi="Arial"/>
                <w:sz w:val="11"/>
                <w:szCs w:val="11"/>
                <w:b w:val="1"/>
                <w:bCs w:val="1"/>
                <w:color w:val="auto"/>
                <w:w w:val="94"/>
              </w:rPr>
              <w:t>Met</w:t>
            </w:r>
          </w:p>
        </w:tc>
        <w:tc>
          <w:tcPr>
            <w:tcW w:w="0" w:type="dxa"/>
            <w:vAlign w:val="bottom"/>
          </w:tcPr>
          <w:p>
            <w:pPr>
              <w:spacing w:after="0"/>
              <w:rPr>
                <w:sz w:val="1"/>
                <w:szCs w:val="1"/>
                <w:color w:val="auto"/>
              </w:rPr>
            </w:pPr>
          </w:p>
        </w:tc>
      </w:tr>
      <w:tr>
        <w:trPr>
          <w:trHeight w:val="27"/>
        </w:trPr>
        <w:tc>
          <w:tcPr>
            <w:tcW w:w="1600" w:type="dxa"/>
            <w:vAlign w:val="bottom"/>
            <w:gridSpan w:val="2"/>
            <w:vMerge w:val="restart"/>
          </w:tcPr>
          <w:p>
            <w:pPr>
              <w:spacing w:after="0" w:line="120" w:lineRule="exact"/>
              <w:rPr>
                <w:sz w:val="20"/>
                <w:szCs w:val="20"/>
                <w:color w:val="auto"/>
              </w:rPr>
            </w:pPr>
            <w:r>
              <w:rPr>
                <w:rFonts w:ascii="Arial" w:cs="Arial" w:eastAsia="Arial" w:hAnsi="Arial"/>
                <w:sz w:val="11"/>
                <w:szCs w:val="11"/>
                <w:b w:val="1"/>
                <w:bCs w:val="1"/>
                <w:color w:val="auto"/>
              </w:rPr>
              <w:t>Other Current Public Board</w:t>
            </w:r>
          </w:p>
        </w:tc>
        <w:tc>
          <w:tcPr>
            <w:tcW w:w="420" w:type="dxa"/>
            <w:vAlign w:val="bottom"/>
            <w:tcBorders>
              <w:left w:val="single" w:sz="8" w:color="auto"/>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1600" w:type="dxa"/>
            <w:vAlign w:val="bottom"/>
            <w:gridSpan w:val="2"/>
            <w:vMerge w:val="continue"/>
          </w:tcPr>
          <w:p>
            <w:pPr>
              <w:spacing w:after="0"/>
              <w:rPr>
                <w:sz w:val="6"/>
                <w:szCs w:val="6"/>
                <w:color w:val="auto"/>
              </w:rPr>
            </w:pPr>
          </w:p>
        </w:tc>
        <w:tc>
          <w:tcPr>
            <w:tcW w:w="4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0"/>
                <w:szCs w:val="10"/>
                <w:b w:val="1"/>
                <w:bCs w:val="1"/>
                <w:color w:val="auto"/>
              </w:rPr>
              <w:t>2020</w:t>
            </w:r>
          </w:p>
        </w:tc>
        <w:tc>
          <w:tcPr>
            <w:tcW w:w="380" w:type="dxa"/>
            <w:vAlign w:val="bottom"/>
            <w:vMerge w:val="restart"/>
          </w:tcPr>
          <w:p>
            <w:pPr>
              <w:jc w:val="center"/>
              <w:spacing w:after="0"/>
              <w:rPr>
                <w:sz w:val="20"/>
                <w:szCs w:val="20"/>
                <w:color w:val="auto"/>
              </w:rPr>
            </w:pPr>
            <w:r>
              <w:rPr>
                <w:rFonts w:ascii="Arial" w:cs="Arial" w:eastAsia="Arial" w:hAnsi="Arial"/>
                <w:sz w:val="10"/>
                <w:szCs w:val="10"/>
                <w:color w:val="auto"/>
                <w:w w:val="88"/>
              </w:rPr>
              <w:t>642,441</w:t>
            </w:r>
          </w:p>
        </w:tc>
        <w:tc>
          <w:tcPr>
            <w:tcW w:w="40" w:type="dxa"/>
            <w:vAlign w:val="bottom"/>
            <w:tcBorders>
              <w:right w:val="single" w:sz="8" w:color="auto"/>
            </w:tcBorders>
          </w:tcPr>
          <w:p>
            <w:pPr>
              <w:spacing w:after="0"/>
              <w:rPr>
                <w:sz w:val="6"/>
                <w:szCs w:val="6"/>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color w:val="auto"/>
                <w:w w:val="91"/>
              </w:rPr>
              <w:t>$5,184,499</w:t>
            </w:r>
          </w:p>
        </w:tc>
        <w:tc>
          <w:tcPr>
            <w:tcW w:w="440" w:type="dxa"/>
            <w:vAlign w:val="bottom"/>
            <w:tcBorders>
              <w:right w:val="single" w:sz="8" w:color="auto"/>
            </w:tcBorders>
            <w:vMerge w:val="restart"/>
          </w:tcPr>
          <w:p>
            <w:pPr>
              <w:jc w:val="right"/>
              <w:ind w:right="9"/>
              <w:spacing w:after="0"/>
              <w:rPr>
                <w:sz w:val="20"/>
                <w:szCs w:val="20"/>
                <w:color w:val="auto"/>
              </w:rPr>
            </w:pPr>
            <w:r>
              <w:rPr>
                <w:rFonts w:ascii="Arial" w:cs="Arial" w:eastAsia="Arial" w:hAnsi="Arial"/>
                <w:sz w:val="10"/>
                <w:szCs w:val="10"/>
                <w:color w:val="auto"/>
                <w:w w:val="99"/>
              </w:rPr>
              <w:t>562,764</w:t>
            </w:r>
          </w:p>
        </w:tc>
        <w:tc>
          <w:tcPr>
            <w:tcW w:w="560" w:type="dxa"/>
            <w:vAlign w:val="bottom"/>
            <w:tcBorders>
              <w:right w:val="single" w:sz="8" w:color="auto"/>
            </w:tcBorders>
            <w:gridSpan w:val="2"/>
            <w:vMerge w:val="restart"/>
          </w:tcPr>
          <w:p>
            <w:pPr>
              <w:jc w:val="right"/>
              <w:ind w:right="60"/>
              <w:spacing w:after="0"/>
              <w:rPr>
                <w:sz w:val="20"/>
                <w:szCs w:val="20"/>
                <w:color w:val="auto"/>
              </w:rPr>
            </w:pPr>
            <w:r>
              <w:rPr>
                <w:rFonts w:ascii="Arial" w:cs="Arial" w:eastAsia="Arial" w:hAnsi="Arial"/>
                <w:sz w:val="10"/>
                <w:szCs w:val="10"/>
                <w:color w:val="auto"/>
                <w:w w:val="95"/>
              </w:rPr>
              <w:t>$4,541,505</w:t>
            </w:r>
          </w:p>
        </w:tc>
        <w:tc>
          <w:tcPr>
            <w:tcW w:w="420" w:type="dxa"/>
            <w:vAlign w:val="bottom"/>
            <w:tcBorders>
              <w:right w:val="single" w:sz="8" w:color="auto"/>
            </w:tcBorders>
            <w:vMerge w:val="restart"/>
          </w:tcPr>
          <w:p>
            <w:pPr>
              <w:jc w:val="right"/>
              <w:ind w:right="9"/>
              <w:spacing w:after="0"/>
              <w:rPr>
                <w:sz w:val="20"/>
                <w:szCs w:val="20"/>
                <w:color w:val="auto"/>
              </w:rPr>
            </w:pPr>
            <w:r>
              <w:rPr>
                <w:rFonts w:ascii="Arial" w:cs="Arial" w:eastAsia="Arial" w:hAnsi="Arial"/>
                <w:sz w:val="10"/>
                <w:szCs w:val="10"/>
                <w:color w:val="auto"/>
                <w:w w:val="93"/>
              </w:rPr>
              <w:t>106,869</w:t>
            </w:r>
          </w:p>
        </w:tc>
        <w:tc>
          <w:tcPr>
            <w:tcW w:w="20" w:type="dxa"/>
            <w:vAlign w:val="bottom"/>
          </w:tcPr>
          <w:p>
            <w:pPr>
              <w:spacing w:after="0"/>
              <w:rPr>
                <w:sz w:val="6"/>
                <w:szCs w:val="6"/>
                <w:color w:val="auto"/>
              </w:rPr>
            </w:pPr>
          </w:p>
        </w:tc>
        <w:tc>
          <w:tcPr>
            <w:tcW w:w="440" w:type="dxa"/>
            <w:vAlign w:val="bottom"/>
            <w:tcBorders>
              <w:right w:val="single" w:sz="8" w:color="auto"/>
            </w:tcBorders>
            <w:gridSpan w:val="2"/>
            <w:vMerge w:val="restart"/>
          </w:tcPr>
          <w:p>
            <w:pPr>
              <w:jc w:val="center"/>
              <w:ind w:right="40"/>
              <w:spacing w:after="0"/>
              <w:rPr>
                <w:sz w:val="20"/>
                <w:szCs w:val="20"/>
                <w:color w:val="auto"/>
              </w:rPr>
            </w:pPr>
            <w:r>
              <w:rPr>
                <w:rFonts w:ascii="Arial" w:cs="Arial" w:eastAsia="Arial" w:hAnsi="Arial"/>
                <w:sz w:val="10"/>
                <w:szCs w:val="10"/>
                <w:color w:val="auto"/>
                <w:w w:val="95"/>
              </w:rPr>
              <w:t>$862,433</w:t>
            </w:r>
          </w:p>
        </w:tc>
        <w:tc>
          <w:tcPr>
            <w:tcW w:w="80" w:type="dxa"/>
            <w:vAlign w:val="bottom"/>
          </w:tcPr>
          <w:p>
            <w:pPr>
              <w:spacing w:after="0"/>
              <w:rPr>
                <w:sz w:val="6"/>
                <w:szCs w:val="6"/>
                <w:color w:val="auto"/>
              </w:rPr>
            </w:pPr>
          </w:p>
        </w:tc>
        <w:tc>
          <w:tcPr>
            <w:tcW w:w="420" w:type="dxa"/>
            <w:vAlign w:val="bottom"/>
            <w:tcBorders>
              <w:right w:val="single" w:sz="8" w:color="auto"/>
            </w:tcBorders>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16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Directorships:</w:t>
            </w:r>
          </w:p>
        </w:tc>
        <w:tc>
          <w:tcPr>
            <w:tcW w:w="42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380" w:type="dxa"/>
            <w:vAlign w:val="bottom"/>
            <w:tcBorders>
              <w:bottom w:val="single" w:sz="8" w:color="auto"/>
            </w:tcBorders>
            <w:vMerge w:val="continue"/>
          </w:tcPr>
          <w:p>
            <w:pPr>
              <w:spacing w:after="0"/>
              <w:rPr>
                <w:sz w:val="5"/>
                <w:szCs w:val="5"/>
                <w:color w:val="auto"/>
              </w:rPr>
            </w:pPr>
          </w:p>
        </w:tc>
        <w:tc>
          <w:tcPr>
            <w:tcW w:w="40" w:type="dxa"/>
            <w:vAlign w:val="bottom"/>
            <w:tcBorders>
              <w:bottom w:val="single" w:sz="8" w:color="auto"/>
              <w:right w:val="single" w:sz="8" w:color="auto"/>
            </w:tcBorders>
          </w:tcPr>
          <w:p>
            <w:pPr>
              <w:spacing w:after="0"/>
              <w:rPr>
                <w:sz w:val="5"/>
                <w:szCs w:val="5"/>
                <w:color w:val="auto"/>
              </w:rPr>
            </w:pPr>
          </w:p>
        </w:tc>
        <w:tc>
          <w:tcPr>
            <w:tcW w:w="560" w:type="dxa"/>
            <w:vAlign w:val="bottom"/>
            <w:tcBorders>
              <w:bottom w:val="single" w:sz="8" w:color="auto"/>
              <w:right w:val="single" w:sz="8" w:color="auto"/>
            </w:tcBorders>
            <w:vMerge w:val="continue"/>
          </w:tcPr>
          <w:p>
            <w:pPr>
              <w:spacing w:after="0"/>
              <w:rPr>
                <w:sz w:val="5"/>
                <w:szCs w:val="5"/>
                <w:color w:val="auto"/>
              </w:rPr>
            </w:pPr>
          </w:p>
        </w:tc>
        <w:tc>
          <w:tcPr>
            <w:tcW w:w="440" w:type="dxa"/>
            <w:vAlign w:val="bottom"/>
            <w:tcBorders>
              <w:bottom w:val="single" w:sz="8" w:color="auto"/>
              <w:right w:val="single" w:sz="8" w:color="auto"/>
            </w:tcBorders>
            <w:vMerge w:val="continue"/>
          </w:tcPr>
          <w:p>
            <w:pPr>
              <w:spacing w:after="0"/>
              <w:rPr>
                <w:sz w:val="5"/>
                <w:szCs w:val="5"/>
                <w:color w:val="auto"/>
              </w:rPr>
            </w:pPr>
          </w:p>
        </w:tc>
        <w:tc>
          <w:tcPr>
            <w:tcW w:w="560" w:type="dxa"/>
            <w:vAlign w:val="bottom"/>
            <w:tcBorders>
              <w:bottom w:val="single" w:sz="8" w:color="auto"/>
              <w:right w:val="single" w:sz="8" w:color="auto"/>
            </w:tcBorders>
            <w:gridSpan w:val="2"/>
            <w:vMerge w:val="continue"/>
          </w:tcPr>
          <w:p>
            <w:pPr>
              <w:spacing w:after="0"/>
              <w:rPr>
                <w:sz w:val="5"/>
                <w:szCs w:val="5"/>
                <w:color w:val="auto"/>
              </w:rPr>
            </w:pPr>
          </w:p>
        </w:tc>
        <w:tc>
          <w:tcPr>
            <w:tcW w:w="420" w:type="dxa"/>
            <w:vAlign w:val="bottom"/>
            <w:tcBorders>
              <w:bottom w:val="single" w:sz="8" w:color="auto"/>
              <w:right w:val="single" w:sz="8" w:color="auto"/>
            </w:tcBorders>
            <w:vMerge w:val="continue"/>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40" w:type="dxa"/>
            <w:vAlign w:val="bottom"/>
            <w:tcBorders>
              <w:bottom w:val="single" w:sz="8" w:color="auto"/>
              <w:right w:val="single" w:sz="8" w:color="auto"/>
            </w:tcBorders>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1600" w:type="dxa"/>
            <w:vAlign w:val="bottom"/>
            <w:gridSpan w:val="2"/>
            <w:vMerge w:val="continue"/>
          </w:tcPr>
          <w:p>
            <w:pPr>
              <w:spacing w:after="0"/>
              <w:rPr>
                <w:sz w:val="4"/>
                <w:szCs w:val="4"/>
                <w:color w:val="auto"/>
              </w:rPr>
            </w:pPr>
          </w:p>
        </w:tc>
        <w:tc>
          <w:tcPr>
            <w:tcW w:w="4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0"/>
                <w:szCs w:val="10"/>
                <w:b w:val="1"/>
                <w:bCs w:val="1"/>
                <w:color w:val="auto"/>
              </w:rPr>
              <w:t>2019</w:t>
            </w:r>
          </w:p>
        </w:tc>
        <w:tc>
          <w:tcPr>
            <w:tcW w:w="380" w:type="dxa"/>
            <w:vAlign w:val="bottom"/>
            <w:vMerge w:val="restart"/>
          </w:tcPr>
          <w:p>
            <w:pPr>
              <w:jc w:val="center"/>
              <w:spacing w:after="0"/>
              <w:rPr>
                <w:sz w:val="20"/>
                <w:szCs w:val="20"/>
                <w:color w:val="auto"/>
              </w:rPr>
            </w:pPr>
            <w:r>
              <w:rPr>
                <w:rFonts w:ascii="Arial" w:cs="Arial" w:eastAsia="Arial" w:hAnsi="Arial"/>
                <w:sz w:val="10"/>
                <w:szCs w:val="10"/>
                <w:color w:val="auto"/>
                <w:w w:val="88"/>
              </w:rPr>
              <w:t>410,389</w:t>
            </w:r>
          </w:p>
        </w:tc>
        <w:tc>
          <w:tcPr>
            <w:tcW w:w="40" w:type="dxa"/>
            <w:vAlign w:val="bottom"/>
            <w:tcBorders>
              <w:right w:val="single" w:sz="8" w:color="auto"/>
            </w:tcBorders>
          </w:tcPr>
          <w:p>
            <w:pPr>
              <w:spacing w:after="0"/>
              <w:rPr>
                <w:sz w:val="4"/>
                <w:szCs w:val="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color w:val="auto"/>
                <w:w w:val="91"/>
              </w:rPr>
              <w:t>$3,311,839</w:t>
            </w:r>
          </w:p>
        </w:tc>
        <w:tc>
          <w:tcPr>
            <w:tcW w:w="440" w:type="dxa"/>
            <w:vAlign w:val="bottom"/>
            <w:tcBorders>
              <w:right w:val="single" w:sz="8" w:color="auto"/>
            </w:tcBorders>
            <w:vMerge w:val="restart"/>
          </w:tcPr>
          <w:p>
            <w:pPr>
              <w:jc w:val="right"/>
              <w:ind w:right="9"/>
              <w:spacing w:after="0"/>
              <w:rPr>
                <w:sz w:val="20"/>
                <w:szCs w:val="20"/>
                <w:color w:val="auto"/>
              </w:rPr>
            </w:pPr>
            <w:r>
              <w:rPr>
                <w:rFonts w:ascii="Arial" w:cs="Arial" w:eastAsia="Arial" w:hAnsi="Arial"/>
                <w:sz w:val="10"/>
                <w:szCs w:val="10"/>
                <w:color w:val="auto"/>
                <w:w w:val="99"/>
              </w:rPr>
              <w:t>540,891</w:t>
            </w:r>
          </w:p>
        </w:tc>
        <w:tc>
          <w:tcPr>
            <w:tcW w:w="560" w:type="dxa"/>
            <w:vAlign w:val="bottom"/>
            <w:tcBorders>
              <w:right w:val="single" w:sz="8" w:color="auto"/>
            </w:tcBorders>
            <w:gridSpan w:val="2"/>
            <w:vMerge w:val="restart"/>
          </w:tcPr>
          <w:p>
            <w:pPr>
              <w:jc w:val="right"/>
              <w:ind w:right="60"/>
              <w:spacing w:after="0"/>
              <w:rPr>
                <w:sz w:val="20"/>
                <w:szCs w:val="20"/>
                <w:color w:val="auto"/>
              </w:rPr>
            </w:pPr>
            <w:r>
              <w:rPr>
                <w:rFonts w:ascii="Arial" w:cs="Arial" w:eastAsia="Arial" w:hAnsi="Arial"/>
                <w:sz w:val="10"/>
                <w:szCs w:val="10"/>
                <w:color w:val="auto"/>
                <w:w w:val="95"/>
              </w:rPr>
              <w:t>$4,364,990</w:t>
            </w:r>
          </w:p>
        </w:tc>
        <w:tc>
          <w:tcPr>
            <w:tcW w:w="420" w:type="dxa"/>
            <w:vAlign w:val="bottom"/>
            <w:tcBorders>
              <w:right w:val="single" w:sz="8" w:color="auto"/>
            </w:tcBorders>
            <w:vMerge w:val="restart"/>
          </w:tcPr>
          <w:p>
            <w:pPr>
              <w:jc w:val="right"/>
              <w:ind w:right="9"/>
              <w:spacing w:after="0"/>
              <w:rPr>
                <w:sz w:val="20"/>
                <w:szCs w:val="20"/>
                <w:color w:val="auto"/>
              </w:rPr>
            </w:pPr>
            <w:r>
              <w:rPr>
                <w:rFonts w:ascii="Arial" w:cs="Arial" w:eastAsia="Arial" w:hAnsi="Arial"/>
                <w:sz w:val="10"/>
                <w:szCs w:val="10"/>
                <w:color w:val="auto"/>
              </w:rPr>
              <w:t>80,527</w:t>
            </w:r>
          </w:p>
        </w:tc>
        <w:tc>
          <w:tcPr>
            <w:tcW w:w="20" w:type="dxa"/>
            <w:vAlign w:val="bottom"/>
          </w:tcPr>
          <w:p>
            <w:pPr>
              <w:spacing w:after="0"/>
              <w:rPr>
                <w:sz w:val="4"/>
                <w:szCs w:val="4"/>
                <w:color w:val="auto"/>
              </w:rPr>
            </w:pPr>
          </w:p>
        </w:tc>
        <w:tc>
          <w:tcPr>
            <w:tcW w:w="440" w:type="dxa"/>
            <w:vAlign w:val="bottom"/>
            <w:tcBorders>
              <w:right w:val="single" w:sz="8" w:color="auto"/>
            </w:tcBorders>
            <w:gridSpan w:val="2"/>
            <w:vMerge w:val="restart"/>
          </w:tcPr>
          <w:p>
            <w:pPr>
              <w:jc w:val="center"/>
              <w:ind w:right="40"/>
              <w:spacing w:after="0"/>
              <w:rPr>
                <w:sz w:val="20"/>
                <w:szCs w:val="20"/>
                <w:color w:val="auto"/>
              </w:rPr>
            </w:pPr>
            <w:r>
              <w:rPr>
                <w:rFonts w:ascii="Arial" w:cs="Arial" w:eastAsia="Arial" w:hAnsi="Arial"/>
                <w:sz w:val="10"/>
                <w:szCs w:val="10"/>
                <w:color w:val="auto"/>
                <w:w w:val="95"/>
              </w:rPr>
              <w:t>$649,853</w:t>
            </w:r>
          </w:p>
        </w:tc>
        <w:tc>
          <w:tcPr>
            <w:tcW w:w="500" w:type="dxa"/>
            <w:vAlign w:val="bottom"/>
            <w:tcBorders>
              <w:right w:val="single" w:sz="8" w:color="auto"/>
            </w:tcBorders>
            <w:gridSpan w:val="2"/>
            <w:vMerge w:val="restart"/>
          </w:tcPr>
          <w:p>
            <w:pPr>
              <w:jc w:val="right"/>
              <w:ind w:right="7"/>
              <w:spacing w:after="0"/>
              <w:rPr>
                <w:sz w:val="20"/>
                <w:szCs w:val="20"/>
                <w:color w:val="auto"/>
              </w:rPr>
            </w:pPr>
            <w:r>
              <w:rPr>
                <w:rFonts w:ascii="Arial" w:cs="Arial" w:eastAsia="Arial" w:hAnsi="Arial"/>
                <w:sz w:val="10"/>
                <w:szCs w:val="10"/>
                <w:color w:val="auto"/>
                <w:w w:val="94"/>
              </w:rPr>
              <w:t>1,312,074</w:t>
            </w:r>
          </w:p>
        </w:tc>
        <w:tc>
          <w:tcPr>
            <w:tcW w:w="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color w:val="auto"/>
                <w:w w:val="93"/>
              </w:rPr>
              <w:t>$10,588,437</w:t>
            </w:r>
          </w:p>
        </w:tc>
        <w:tc>
          <w:tcPr>
            <w:tcW w:w="80" w:type="dxa"/>
            <w:vAlign w:val="bottom"/>
          </w:tcPr>
          <w:p>
            <w:pPr>
              <w:spacing w:after="0"/>
              <w:rPr>
                <w:sz w:val="4"/>
                <w:szCs w:val="4"/>
                <w:color w:val="auto"/>
              </w:rPr>
            </w:pPr>
          </w:p>
        </w:tc>
        <w:tc>
          <w:tcPr>
            <w:tcW w:w="320" w:type="dxa"/>
            <w:vAlign w:val="bottom"/>
            <w:tcBorders>
              <w:right w:val="single" w:sz="8" w:color="auto"/>
            </w:tcBorders>
            <w:vMerge w:val="restart"/>
          </w:tcPr>
          <w:p>
            <w:pPr>
              <w:jc w:val="center"/>
              <w:ind w:right="89"/>
              <w:spacing w:after="0"/>
              <w:rPr>
                <w:sz w:val="20"/>
                <w:szCs w:val="20"/>
                <w:color w:val="auto"/>
              </w:rPr>
            </w:pPr>
            <w:r>
              <w:rPr>
                <w:rFonts w:ascii="Arial" w:cs="Arial" w:eastAsia="Arial" w:hAnsi="Arial"/>
                <w:sz w:val="10"/>
                <w:szCs w:val="10"/>
                <w:color w:val="auto"/>
                <w:w w:val="80"/>
              </w:rPr>
              <w:t>Yes</w:t>
            </w:r>
          </w:p>
        </w:tc>
        <w:tc>
          <w:tcPr>
            <w:tcW w:w="0" w:type="dxa"/>
            <w:vAlign w:val="bottom"/>
          </w:tcPr>
          <w:p>
            <w:pPr>
              <w:spacing w:after="0"/>
              <w:rPr>
                <w:sz w:val="1"/>
                <w:szCs w:val="1"/>
                <w:color w:val="auto"/>
              </w:rPr>
            </w:pPr>
          </w:p>
        </w:tc>
      </w:tr>
      <w:tr>
        <w:trPr>
          <w:trHeight w:val="113"/>
        </w:trPr>
        <w:tc>
          <w:tcPr>
            <w:tcW w:w="80" w:type="dxa"/>
            <w:vAlign w:val="bottom"/>
          </w:tcPr>
          <w:p>
            <w:pPr>
              <w:spacing w:after="0" w:line="113" w:lineRule="exact"/>
              <w:rPr>
                <w:sz w:val="20"/>
                <w:szCs w:val="20"/>
                <w:color w:val="auto"/>
              </w:rPr>
            </w:pPr>
            <w:r>
              <w:rPr>
                <w:rFonts w:ascii="Arial" w:cs="Arial" w:eastAsia="Arial" w:hAnsi="Arial"/>
                <w:sz w:val="11"/>
                <w:szCs w:val="11"/>
                <w:color w:val="auto"/>
              </w:rPr>
              <w:t>•</w:t>
            </w:r>
          </w:p>
        </w:tc>
        <w:tc>
          <w:tcPr>
            <w:tcW w:w="1520" w:type="dxa"/>
            <w:vAlign w:val="bottom"/>
          </w:tcPr>
          <w:p>
            <w:pPr>
              <w:ind w:left="20"/>
              <w:spacing w:after="0" w:line="113" w:lineRule="exact"/>
              <w:rPr>
                <w:sz w:val="20"/>
                <w:szCs w:val="20"/>
                <w:color w:val="auto"/>
              </w:rPr>
            </w:pPr>
            <w:r>
              <w:rPr>
                <w:rFonts w:ascii="Arial" w:cs="Arial" w:eastAsia="Arial" w:hAnsi="Arial"/>
                <w:sz w:val="11"/>
                <w:szCs w:val="11"/>
                <w:color w:val="auto"/>
              </w:rPr>
              <w:t>Shawcor Ltd. (since 2018)</w:t>
            </w:r>
          </w:p>
        </w:tc>
        <w:tc>
          <w:tcPr>
            <w:tcW w:w="42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380" w:type="dxa"/>
            <w:vAlign w:val="bottom"/>
            <w:tcBorders>
              <w:bottom w:val="single" w:sz="8" w:color="auto"/>
            </w:tcBorders>
            <w:vMerge w:val="continue"/>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560" w:type="dxa"/>
            <w:vAlign w:val="bottom"/>
            <w:tcBorders>
              <w:bottom w:val="single" w:sz="8" w:color="auto"/>
              <w:right w:val="single" w:sz="8" w:color="auto"/>
            </w:tcBorders>
            <w:vMerge w:val="continue"/>
          </w:tcPr>
          <w:p>
            <w:pPr>
              <w:spacing w:after="0"/>
              <w:rPr>
                <w:sz w:val="9"/>
                <w:szCs w:val="9"/>
                <w:color w:val="auto"/>
              </w:rPr>
            </w:pPr>
          </w:p>
        </w:tc>
        <w:tc>
          <w:tcPr>
            <w:tcW w:w="440" w:type="dxa"/>
            <w:vAlign w:val="bottom"/>
            <w:tcBorders>
              <w:bottom w:val="single" w:sz="8" w:color="auto"/>
              <w:right w:val="single" w:sz="8" w:color="auto"/>
            </w:tcBorders>
            <w:vMerge w:val="continue"/>
          </w:tcPr>
          <w:p>
            <w:pPr>
              <w:spacing w:after="0"/>
              <w:rPr>
                <w:sz w:val="9"/>
                <w:szCs w:val="9"/>
                <w:color w:val="auto"/>
              </w:rPr>
            </w:pPr>
          </w:p>
        </w:tc>
        <w:tc>
          <w:tcPr>
            <w:tcW w:w="560" w:type="dxa"/>
            <w:vAlign w:val="bottom"/>
            <w:tcBorders>
              <w:bottom w:val="single" w:sz="8" w:color="auto"/>
              <w:right w:val="single" w:sz="8" w:color="auto"/>
            </w:tcBorders>
            <w:gridSpan w:val="2"/>
            <w:vMerge w:val="continue"/>
          </w:tcPr>
          <w:p>
            <w:pPr>
              <w:spacing w:after="0"/>
              <w:rPr>
                <w:sz w:val="9"/>
                <w:szCs w:val="9"/>
                <w:color w:val="auto"/>
              </w:rPr>
            </w:pPr>
          </w:p>
        </w:tc>
        <w:tc>
          <w:tcPr>
            <w:tcW w:w="42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40" w:type="dxa"/>
            <w:vAlign w:val="bottom"/>
            <w:tcBorders>
              <w:bottom w:val="single" w:sz="8" w:color="auto"/>
              <w:right w:val="single" w:sz="8" w:color="auto"/>
            </w:tcBorders>
            <w:gridSpan w:val="2"/>
            <w:vMerge w:val="continue"/>
          </w:tcPr>
          <w:p>
            <w:pPr>
              <w:spacing w:after="0"/>
              <w:rPr>
                <w:sz w:val="9"/>
                <w:szCs w:val="9"/>
                <w:color w:val="auto"/>
              </w:rPr>
            </w:pPr>
          </w:p>
        </w:tc>
        <w:tc>
          <w:tcPr>
            <w:tcW w:w="500" w:type="dxa"/>
            <w:vAlign w:val="bottom"/>
            <w:tcBorders>
              <w:right w:val="single" w:sz="8" w:color="auto"/>
            </w:tcBorders>
            <w:gridSpan w:val="2"/>
            <w:vMerge w:val="continue"/>
          </w:tcPr>
          <w:p>
            <w:pPr>
              <w:spacing w:after="0"/>
              <w:rPr>
                <w:sz w:val="9"/>
                <w:szCs w:val="9"/>
                <w:color w:val="auto"/>
              </w:rPr>
            </w:pPr>
          </w:p>
        </w:tc>
        <w:tc>
          <w:tcPr>
            <w:tcW w:w="600" w:type="dxa"/>
            <w:vAlign w:val="bottom"/>
            <w:tcBorders>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600" w:type="dxa"/>
            <w:vAlign w:val="bottom"/>
            <w:gridSpan w:val="2"/>
          </w:tcPr>
          <w:p>
            <w:pPr>
              <w:spacing w:after="0"/>
              <w:rPr>
                <w:sz w:val="20"/>
                <w:szCs w:val="20"/>
                <w:color w:val="auto"/>
              </w:rPr>
            </w:pPr>
            <w:r>
              <w:rPr>
                <w:rFonts w:ascii="Arial" w:cs="Arial" w:eastAsia="Arial" w:hAnsi="Arial"/>
                <w:sz w:val="11"/>
                <w:szCs w:val="11"/>
                <w:b w:val="1"/>
                <w:bCs w:val="1"/>
                <w:color w:val="auto"/>
              </w:rPr>
              <w:t>2020 Annual Meeting</w:t>
            </w:r>
          </w:p>
        </w:tc>
        <w:tc>
          <w:tcPr>
            <w:tcW w:w="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0"/>
                <w:szCs w:val="10"/>
                <w:b w:val="1"/>
                <w:bCs w:val="1"/>
                <w:color w:val="auto"/>
                <w:w w:val="92"/>
              </w:rPr>
              <w:t>Change</w:t>
            </w:r>
          </w:p>
        </w:tc>
        <w:tc>
          <w:tcPr>
            <w:tcW w:w="380" w:type="dxa"/>
            <w:vAlign w:val="bottom"/>
          </w:tcPr>
          <w:p>
            <w:pPr>
              <w:jc w:val="center"/>
              <w:spacing w:after="0"/>
              <w:rPr>
                <w:sz w:val="20"/>
                <w:szCs w:val="20"/>
                <w:color w:val="auto"/>
              </w:rPr>
            </w:pPr>
            <w:r>
              <w:rPr>
                <w:rFonts w:ascii="Arial" w:cs="Arial" w:eastAsia="Arial" w:hAnsi="Arial"/>
                <w:sz w:val="10"/>
                <w:szCs w:val="10"/>
                <w:color w:val="auto"/>
                <w:w w:val="88"/>
              </w:rPr>
              <w:t>232,052</w:t>
            </w:r>
          </w:p>
        </w:tc>
        <w:tc>
          <w:tcPr>
            <w:tcW w:w="40" w:type="dxa"/>
            <w:vAlign w:val="bottom"/>
            <w:tcBorders>
              <w:right w:val="single" w:sz="8" w:color="auto"/>
            </w:tcBorders>
          </w:tcPr>
          <w:p>
            <w:pPr>
              <w:spacing w:after="0"/>
              <w:rPr>
                <w:sz w:val="10"/>
                <w:szCs w:val="10"/>
                <w:color w:val="auto"/>
              </w:rPr>
            </w:pP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1"/>
              </w:rPr>
              <w:t>$1,872,660</w:t>
            </w:r>
          </w:p>
        </w:tc>
        <w:tc>
          <w:tcPr>
            <w:tcW w:w="440" w:type="dxa"/>
            <w:vAlign w:val="bottom"/>
            <w:tcBorders>
              <w:right w:val="single" w:sz="8" w:color="auto"/>
            </w:tcBorders>
          </w:tcPr>
          <w:p>
            <w:pPr>
              <w:jc w:val="right"/>
              <w:ind w:right="9"/>
              <w:spacing w:after="0"/>
              <w:rPr>
                <w:sz w:val="20"/>
                <w:szCs w:val="20"/>
                <w:color w:val="auto"/>
              </w:rPr>
            </w:pPr>
            <w:r>
              <w:rPr>
                <w:rFonts w:ascii="Arial" w:cs="Arial" w:eastAsia="Arial" w:hAnsi="Arial"/>
                <w:sz w:val="10"/>
                <w:szCs w:val="10"/>
                <w:color w:val="auto"/>
              </w:rPr>
              <w:t>21,873</w:t>
            </w:r>
          </w:p>
        </w:tc>
        <w:tc>
          <w:tcPr>
            <w:tcW w:w="56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0"/>
                <w:szCs w:val="10"/>
                <w:color w:val="auto"/>
              </w:rPr>
              <w:t>$176,515</w:t>
            </w:r>
          </w:p>
        </w:tc>
        <w:tc>
          <w:tcPr>
            <w:tcW w:w="420" w:type="dxa"/>
            <w:vAlign w:val="bottom"/>
            <w:tcBorders>
              <w:right w:val="single" w:sz="8" w:color="auto"/>
            </w:tcBorders>
          </w:tcPr>
          <w:p>
            <w:pPr>
              <w:jc w:val="right"/>
              <w:ind w:right="9"/>
              <w:spacing w:after="0"/>
              <w:rPr>
                <w:sz w:val="20"/>
                <w:szCs w:val="20"/>
                <w:color w:val="auto"/>
              </w:rPr>
            </w:pPr>
            <w:r>
              <w:rPr>
                <w:rFonts w:ascii="Arial" w:cs="Arial" w:eastAsia="Arial" w:hAnsi="Arial"/>
                <w:sz w:val="10"/>
                <w:szCs w:val="10"/>
                <w:color w:val="auto"/>
              </w:rPr>
              <w:t>26,342</w:t>
            </w:r>
          </w:p>
        </w:tc>
        <w:tc>
          <w:tcPr>
            <w:tcW w:w="20" w:type="dxa"/>
            <w:vAlign w:val="bottom"/>
          </w:tcPr>
          <w:p>
            <w:pPr>
              <w:spacing w:after="0"/>
              <w:rPr>
                <w:sz w:val="10"/>
                <w:szCs w:val="10"/>
                <w:color w:val="auto"/>
              </w:rPr>
            </w:pPr>
          </w:p>
        </w:tc>
        <w:tc>
          <w:tcPr>
            <w:tcW w:w="4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0"/>
                <w:szCs w:val="10"/>
                <w:color w:val="auto"/>
                <w:w w:val="95"/>
              </w:rPr>
              <w:t>$212,580</w:t>
            </w:r>
          </w:p>
        </w:tc>
        <w:tc>
          <w:tcPr>
            <w:tcW w:w="8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1600" w:type="dxa"/>
            <w:vAlign w:val="bottom"/>
            <w:gridSpan w:val="2"/>
            <w:vMerge w:val="restart"/>
          </w:tcPr>
          <w:p>
            <w:pPr>
              <w:spacing w:after="0" w:line="120" w:lineRule="exact"/>
              <w:rPr>
                <w:sz w:val="20"/>
                <w:szCs w:val="20"/>
                <w:color w:val="auto"/>
              </w:rPr>
            </w:pPr>
            <w:r>
              <w:rPr>
                <w:rFonts w:ascii="Arial" w:cs="Arial" w:eastAsia="Arial" w:hAnsi="Arial"/>
                <w:sz w:val="11"/>
                <w:szCs w:val="11"/>
                <w:color w:val="auto"/>
              </w:rPr>
              <w:t>Votes in Favour: 98.98%</w:t>
            </w:r>
          </w:p>
        </w:tc>
        <w:tc>
          <w:tcPr>
            <w:tcW w:w="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
        </w:trPr>
        <w:tc>
          <w:tcPr>
            <w:tcW w:w="160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600" w:type="dxa"/>
            <w:vAlign w:val="bottom"/>
            <w:gridSpan w:val="2"/>
          </w:tcPr>
          <w:p>
            <w:pPr>
              <w:spacing w:after="0"/>
              <w:rPr>
                <w:sz w:val="20"/>
                <w:szCs w:val="20"/>
                <w:color w:val="auto"/>
              </w:rPr>
            </w:pPr>
            <w:r>
              <w:rPr>
                <w:rFonts w:ascii="Arial" w:cs="Arial" w:eastAsia="Arial" w:hAnsi="Arial"/>
                <w:sz w:val="11"/>
                <w:szCs w:val="11"/>
                <w:color w:val="auto"/>
              </w:rPr>
              <w:t>Votes Withheld: 1.02%</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156845</wp:posOffset>
            </wp:positionV>
            <wp:extent cx="4045585"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045585" cy="635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320"/>
        <w:spacing w:after="0"/>
        <w:rPr>
          <w:sz w:val="20"/>
          <w:szCs w:val="20"/>
          <w:color w:val="auto"/>
        </w:rPr>
      </w:pPr>
      <w:r>
        <w:rPr>
          <w:rFonts w:ascii="Arial" w:cs="Arial" w:eastAsia="Arial" w:hAnsi="Arial"/>
          <w:sz w:val="11"/>
          <w:szCs w:val="11"/>
          <w:b w:val="1"/>
          <w:bCs w:val="1"/>
          <w:color w:val="auto"/>
        </w:rPr>
        <w:t>Carol S.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-795655</wp:posOffset>
            </wp:positionV>
            <wp:extent cx="556260" cy="6889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6260" cy="688975"/>
                    </a:xfrm>
                    <a:prstGeom prst="rect">
                      <a:avLst/>
                    </a:prstGeom>
                    <a:noFill/>
                  </pic:spPr>
                </pic:pic>
              </a:graphicData>
            </a:graphic>
          </wp:anchor>
        </w:drawing>
      </w:r>
    </w:p>
    <w:p>
      <w:pPr>
        <w:ind w:left="1320"/>
        <w:spacing w:after="0" w:line="236" w:lineRule="auto"/>
        <w:rPr>
          <w:sz w:val="20"/>
          <w:szCs w:val="20"/>
          <w:color w:val="auto"/>
        </w:rPr>
      </w:pPr>
      <w:r>
        <w:rPr>
          <w:rFonts w:ascii="Arial" w:cs="Arial" w:eastAsia="Arial" w:hAnsi="Arial"/>
          <w:sz w:val="11"/>
          <w:szCs w:val="11"/>
          <w:color w:val="auto"/>
        </w:rPr>
        <w:t>Toronto, Ontario</w:t>
      </w:r>
    </w:p>
    <w:p>
      <w:pPr>
        <w:ind w:left="1320"/>
        <w:spacing w:after="0"/>
        <w:rPr>
          <w:sz w:val="20"/>
          <w:szCs w:val="20"/>
          <w:color w:val="auto"/>
        </w:rPr>
      </w:pPr>
      <w:r>
        <w:rPr>
          <w:rFonts w:ascii="Arial" w:cs="Arial" w:eastAsia="Arial" w:hAnsi="Arial"/>
          <w:sz w:val="11"/>
          <w:szCs w:val="11"/>
          <w:color w:val="auto"/>
        </w:rPr>
        <w:t>Canada</w:t>
      </w:r>
    </w:p>
    <w:p>
      <w:pPr>
        <w:spacing w:after="0" w:line="31" w:lineRule="exact"/>
        <w:rPr>
          <w:sz w:val="20"/>
          <w:szCs w:val="20"/>
          <w:color w:val="auto"/>
        </w:rPr>
      </w:pPr>
    </w:p>
    <w:p>
      <w:pPr>
        <w:ind w:left="1320"/>
        <w:spacing w:after="0"/>
        <w:rPr>
          <w:sz w:val="20"/>
          <w:szCs w:val="20"/>
          <w:color w:val="auto"/>
        </w:rPr>
      </w:pPr>
      <w:r>
        <w:rPr>
          <w:rFonts w:ascii="Arial" w:cs="Arial" w:eastAsia="Arial" w:hAnsi="Arial"/>
          <w:sz w:val="11"/>
          <w:szCs w:val="11"/>
          <w:b w:val="1"/>
          <w:bCs w:val="1"/>
          <w:color w:val="auto"/>
        </w:rPr>
        <w:t xml:space="preserve">Director Since: </w:t>
      </w:r>
      <w:r>
        <w:rPr>
          <w:rFonts w:ascii="Arial" w:cs="Arial" w:eastAsia="Arial" w:hAnsi="Arial"/>
          <w:sz w:val="11"/>
          <w:szCs w:val="11"/>
          <w:color w:val="auto"/>
        </w:rPr>
        <w:t>2013</w:t>
      </w:r>
    </w:p>
    <w:p>
      <w:pPr>
        <w:ind w:left="1320"/>
        <w:spacing w:after="0" w:line="236" w:lineRule="auto"/>
        <w:rPr>
          <w:sz w:val="20"/>
          <w:szCs w:val="20"/>
          <w:color w:val="auto"/>
        </w:rPr>
      </w:pPr>
      <w:r>
        <w:rPr>
          <w:rFonts w:ascii="Arial" w:cs="Arial" w:eastAsia="Arial" w:hAnsi="Arial"/>
          <w:sz w:val="11"/>
          <w:szCs w:val="11"/>
          <w:b w:val="1"/>
          <w:bCs w:val="1"/>
          <w:color w:val="auto"/>
        </w:rPr>
        <w:t xml:space="preserve">Age: </w:t>
      </w:r>
      <w:r>
        <w:rPr>
          <w:rFonts w:ascii="Arial" w:cs="Arial" w:eastAsia="Arial" w:hAnsi="Arial"/>
          <w:sz w:val="11"/>
          <w:szCs w:val="11"/>
          <w:color w:val="auto"/>
        </w:rPr>
        <w:t>70</w:t>
      </w:r>
    </w:p>
    <w:p>
      <w:pPr>
        <w:ind w:left="1320"/>
        <w:spacing w:after="0"/>
        <w:rPr>
          <w:sz w:val="20"/>
          <w:szCs w:val="20"/>
          <w:color w:val="auto"/>
        </w:rPr>
      </w:pPr>
      <w:r>
        <w:rPr>
          <w:rFonts w:ascii="Arial" w:cs="Arial" w:eastAsia="Arial" w:hAnsi="Arial"/>
          <w:sz w:val="11"/>
          <w:szCs w:val="11"/>
          <w:b w:val="1"/>
          <w:bCs w:val="1"/>
          <w:color w:val="auto"/>
        </w:rPr>
        <w:t xml:space="preserve">Status: </w:t>
      </w:r>
      <w:r>
        <w:rPr>
          <w:rFonts w:ascii="Arial" w:cs="Arial" w:eastAsia="Arial" w:hAnsi="Arial"/>
          <w:sz w:val="11"/>
          <w:szCs w:val="11"/>
          <w:color w:val="auto"/>
        </w:rPr>
        <w:t>Independent</w:t>
      </w:r>
    </w:p>
    <w:p>
      <w:pPr>
        <w:spacing w:after="0" w:line="31" w:lineRule="exact"/>
        <w:rPr>
          <w:sz w:val="20"/>
          <w:szCs w:val="20"/>
          <w:color w:val="auto"/>
        </w:rPr>
      </w:pPr>
    </w:p>
    <w:p>
      <w:pPr>
        <w:ind w:left="1320"/>
        <w:spacing w:after="0"/>
        <w:rPr>
          <w:sz w:val="20"/>
          <w:szCs w:val="20"/>
          <w:color w:val="auto"/>
        </w:rPr>
      </w:pPr>
      <w:r>
        <w:rPr>
          <w:rFonts w:ascii="Arial" w:cs="Arial" w:eastAsia="Arial" w:hAnsi="Arial"/>
          <w:sz w:val="11"/>
          <w:szCs w:val="11"/>
          <w:b w:val="1"/>
          <w:bCs w:val="1"/>
          <w:color w:val="auto"/>
        </w:rPr>
        <w:t>Areas of Expertise:</w:t>
      </w:r>
    </w:p>
    <w:p>
      <w:pPr>
        <w:spacing w:after="0" w:line="12" w:lineRule="exact"/>
        <w:rPr>
          <w:sz w:val="20"/>
          <w:szCs w:val="20"/>
          <w:color w:val="auto"/>
        </w:rPr>
      </w:pPr>
    </w:p>
    <w:p>
      <w:pPr>
        <w:ind w:left="1420" w:hanging="97"/>
        <w:spacing w:after="0"/>
        <w:tabs>
          <w:tab w:leader="none" w:pos="1420" w:val="left"/>
        </w:tabs>
        <w:numPr>
          <w:ilvl w:val="0"/>
          <w:numId w:val="44"/>
        </w:numPr>
        <w:rPr>
          <w:rFonts w:ascii="Arial" w:cs="Arial" w:eastAsia="Arial" w:hAnsi="Arial"/>
          <w:sz w:val="11"/>
          <w:szCs w:val="11"/>
          <w:color w:val="auto"/>
        </w:rPr>
      </w:pPr>
      <w:r>
        <w:rPr>
          <w:rFonts w:ascii="Arial" w:cs="Arial" w:eastAsia="Arial" w:hAnsi="Arial"/>
          <w:sz w:val="11"/>
          <w:szCs w:val="11"/>
          <w:color w:val="auto"/>
        </w:rPr>
        <w:t>Capital Markets</w:t>
      </w:r>
    </w:p>
    <w:p>
      <w:pPr>
        <w:spacing w:after="0" w:line="2" w:lineRule="exact"/>
        <w:rPr>
          <w:rFonts w:ascii="Arial" w:cs="Arial" w:eastAsia="Arial" w:hAnsi="Arial"/>
          <w:sz w:val="11"/>
          <w:szCs w:val="11"/>
          <w:color w:val="auto"/>
        </w:rPr>
      </w:pPr>
    </w:p>
    <w:p>
      <w:pPr>
        <w:ind w:left="1420" w:hanging="97"/>
        <w:spacing w:after="0"/>
        <w:tabs>
          <w:tab w:leader="none" w:pos="1420" w:val="left"/>
        </w:tabs>
        <w:numPr>
          <w:ilvl w:val="0"/>
          <w:numId w:val="44"/>
        </w:numPr>
        <w:rPr>
          <w:rFonts w:ascii="Arial" w:cs="Arial" w:eastAsia="Arial" w:hAnsi="Arial"/>
          <w:sz w:val="11"/>
          <w:szCs w:val="11"/>
          <w:color w:val="auto"/>
        </w:rPr>
      </w:pPr>
      <w:r>
        <w:rPr>
          <w:rFonts w:ascii="Arial" w:cs="Arial" w:eastAsia="Arial" w:hAnsi="Arial"/>
          <w:sz w:val="11"/>
          <w:szCs w:val="11"/>
          <w:color w:val="auto"/>
        </w:rPr>
        <w:t>Finance and Treasury</w:t>
      </w:r>
    </w:p>
    <w:p>
      <w:pPr>
        <w:spacing w:after="0" w:line="2" w:lineRule="exact"/>
        <w:rPr>
          <w:rFonts w:ascii="Arial" w:cs="Arial" w:eastAsia="Arial" w:hAnsi="Arial"/>
          <w:sz w:val="11"/>
          <w:szCs w:val="11"/>
          <w:color w:val="auto"/>
        </w:rPr>
      </w:pPr>
    </w:p>
    <w:p>
      <w:pPr>
        <w:ind w:left="1420" w:hanging="97"/>
        <w:spacing w:after="0" w:line="300" w:lineRule="auto"/>
        <w:tabs>
          <w:tab w:leader="none" w:pos="1420" w:val="left"/>
        </w:tabs>
        <w:numPr>
          <w:ilvl w:val="0"/>
          <w:numId w:val="44"/>
        </w:numPr>
        <w:rPr>
          <w:rFonts w:ascii="Arial" w:cs="Arial" w:eastAsia="Arial" w:hAnsi="Arial"/>
          <w:sz w:val="10"/>
          <w:szCs w:val="10"/>
          <w:color w:val="auto"/>
        </w:rPr>
      </w:pPr>
      <w:r>
        <w:rPr>
          <w:rFonts w:ascii="Arial" w:cs="Arial" w:eastAsia="Arial" w:hAnsi="Arial"/>
          <w:sz w:val="10"/>
          <w:szCs w:val="10"/>
          <w:color w:val="auto"/>
        </w:rPr>
        <w:t>Corporate Governance and Securities Regulation</w:t>
      </w:r>
    </w:p>
    <w:p>
      <w:pPr>
        <w:spacing w:after="0" w:line="2" w:lineRule="exact"/>
        <w:rPr>
          <w:sz w:val="20"/>
          <w:szCs w:val="20"/>
          <w:color w:val="auto"/>
        </w:rPr>
      </w:pPr>
    </w:p>
    <w:p>
      <w:pPr>
        <w:ind w:left="1320"/>
        <w:spacing w:after="0"/>
        <w:rPr>
          <w:sz w:val="20"/>
          <w:szCs w:val="20"/>
          <w:color w:val="auto"/>
        </w:rPr>
      </w:pPr>
      <w:r>
        <w:rPr>
          <w:rFonts w:ascii="Arial" w:cs="Arial" w:eastAsia="Arial" w:hAnsi="Arial"/>
          <w:sz w:val="8"/>
          <w:szCs w:val="8"/>
          <w:b w:val="1"/>
          <w:bCs w:val="1"/>
          <w:color w:val="auto"/>
        </w:rPr>
        <w:t>Other Current Public Board</w:t>
      </w:r>
    </w:p>
    <w:p>
      <w:pPr>
        <w:spacing w:after="0" w:line="39" w:lineRule="exact"/>
        <w:rPr>
          <w:sz w:val="20"/>
          <w:szCs w:val="20"/>
          <w:color w:val="auto"/>
        </w:rPr>
      </w:pPr>
    </w:p>
    <w:p>
      <w:pPr>
        <w:ind w:left="1320"/>
        <w:spacing w:after="0"/>
        <w:rPr>
          <w:sz w:val="20"/>
          <w:szCs w:val="20"/>
          <w:color w:val="auto"/>
        </w:rPr>
      </w:pPr>
      <w:r>
        <w:rPr>
          <w:rFonts w:ascii="Arial" w:cs="Arial" w:eastAsia="Arial" w:hAnsi="Arial"/>
          <w:sz w:val="11"/>
          <w:szCs w:val="11"/>
          <w:b w:val="1"/>
          <w:bCs w:val="1"/>
          <w:color w:val="auto"/>
        </w:rPr>
        <w:t xml:space="preserve">Directorships: </w:t>
      </w:r>
      <w:r>
        <w:rPr>
          <w:rFonts w:ascii="Arial" w:cs="Arial" w:eastAsia="Arial" w:hAnsi="Arial"/>
          <w:sz w:val="11"/>
          <w:szCs w:val="11"/>
          <w:color w:val="auto"/>
        </w:rPr>
        <w:t>None</w:t>
      </w:r>
    </w:p>
    <w:p>
      <w:pPr>
        <w:spacing w:after="0" w:line="31" w:lineRule="exact"/>
        <w:rPr>
          <w:sz w:val="20"/>
          <w:szCs w:val="20"/>
          <w:color w:val="auto"/>
        </w:rPr>
      </w:pPr>
    </w:p>
    <w:p>
      <w:pPr>
        <w:ind w:left="1320"/>
        <w:spacing w:after="0"/>
        <w:rPr>
          <w:sz w:val="20"/>
          <w:szCs w:val="20"/>
          <w:color w:val="auto"/>
        </w:rPr>
      </w:pPr>
      <w:r>
        <w:rPr>
          <w:rFonts w:ascii="Arial" w:cs="Arial" w:eastAsia="Arial" w:hAnsi="Arial"/>
          <w:sz w:val="11"/>
          <w:szCs w:val="11"/>
          <w:b w:val="1"/>
          <w:bCs w:val="1"/>
          <w:color w:val="auto"/>
        </w:rPr>
        <w:t>2020 Annual Meeting</w:t>
      </w:r>
    </w:p>
    <w:p>
      <w:pPr>
        <w:ind w:left="1320"/>
        <w:spacing w:after="0" w:line="236" w:lineRule="auto"/>
        <w:rPr>
          <w:sz w:val="20"/>
          <w:szCs w:val="20"/>
          <w:color w:val="auto"/>
        </w:rPr>
      </w:pPr>
      <w:r>
        <w:rPr>
          <w:rFonts w:ascii="Arial" w:cs="Arial" w:eastAsia="Arial" w:hAnsi="Arial"/>
          <w:sz w:val="11"/>
          <w:szCs w:val="11"/>
          <w:color w:val="auto"/>
        </w:rPr>
        <w:t>Votes in Favour: 99.25%</w:t>
      </w:r>
    </w:p>
    <w:p>
      <w:pPr>
        <w:ind w:left="1320"/>
        <w:spacing w:after="0"/>
        <w:rPr>
          <w:sz w:val="20"/>
          <w:szCs w:val="20"/>
          <w:color w:val="auto"/>
        </w:rPr>
      </w:pPr>
      <w:r>
        <w:rPr>
          <w:rFonts w:ascii="Arial" w:cs="Arial" w:eastAsia="Arial" w:hAnsi="Arial"/>
          <w:sz w:val="11"/>
          <w:szCs w:val="11"/>
          <w:color w:val="auto"/>
        </w:rPr>
        <w:t>Votes Withheld: 0.75%</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jc w:val="both"/>
        <w:ind w:right="1339"/>
        <w:spacing w:after="0" w:line="252" w:lineRule="auto"/>
        <w:rPr>
          <w:sz w:val="20"/>
          <w:szCs w:val="20"/>
          <w:color w:val="auto"/>
        </w:rPr>
      </w:pPr>
      <w:r>
        <w:rPr>
          <w:rFonts w:ascii="Arial" w:cs="Arial" w:eastAsia="Arial" w:hAnsi="Arial"/>
          <w:sz w:val="10"/>
          <w:szCs w:val="10"/>
          <w:color w:val="auto"/>
        </w:rPr>
        <w:t>Ms. Perry is a corporate director. She most recently served on the Independent Review Committees of mutual funds managed by 1832 Asset Management L.P., a mutual fund manager and wholly- owned affiliate of The Bank of Nova Scotia (2011-2020), and of investment funds managed by Jarislowsky Fraser Limited and MD Financial Management Inc., which are subsidiaries of The Bank of Nova Scotia (2018-2020). Previously, she was a Commissioner of the Ontario Securities Commission, and has served on adjudicative panels and acted as a director and Chair of its Governance and Nominating Committee. With over 20 years of experience in the investment industry as an investment banker, Ms. Perry held senior positions with leading financial services companies including RBC Capital Markets, Richardson Greenshields of Canada Limited and CIBC World Markets and later founded MaxxCap Corporate Finance Inc., a financial advisory firm. She is a former director of Softchoice Corporation, Atomic Energy of Canada Limited and DALSA Corporation. Ms. Perry has a Bachelor of Engineering Science (Electrical) degree from the University of Western Ontario and a Master of Business Administration degree from the University of Toronto. She also holds the professional designation ICD.D from the Institute of Corporate Directors.</w:t>
      </w:r>
    </w:p>
    <w:p>
      <w:pPr>
        <w:spacing w:after="0" w:line="123" w:lineRule="exact"/>
        <w:rPr>
          <w:sz w:val="20"/>
          <w:szCs w:val="20"/>
          <w:color w:val="auto"/>
        </w:rPr>
      </w:pPr>
    </w:p>
    <w:p>
      <w:pPr>
        <w:spacing w:after="0"/>
        <w:rPr>
          <w:sz w:val="20"/>
          <w:szCs w:val="20"/>
          <w:color w:val="auto"/>
        </w:rPr>
      </w:pPr>
      <w:r>
        <w:rPr>
          <w:rFonts w:ascii="Arial" w:cs="Arial" w:eastAsia="Arial" w:hAnsi="Arial"/>
          <w:sz w:val="11"/>
          <w:szCs w:val="11"/>
          <w:color w:val="auto"/>
        </w:rPr>
        <w:t>Ms. Perry sits on the Audit Committee, HRCC, and NCGC.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3034030" cy="1136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034030" cy="113665"/>
                    </a:xfrm>
                    <a:prstGeom prst="rect">
                      <a:avLst/>
                    </a:prstGeom>
                    <a:noFill/>
                  </pic:spPr>
                </pic:pic>
              </a:graphicData>
            </a:graphic>
          </wp:anchor>
        </w:drawing>
      </w:r>
    </w:p>
    <w:p>
      <w:pPr>
        <w:spacing w:after="0" w:line="39" w:lineRule="exact"/>
        <w:rPr>
          <w:sz w:val="20"/>
          <w:szCs w:val="20"/>
          <w:color w:val="auto"/>
        </w:rPr>
      </w:pPr>
    </w:p>
    <w:p>
      <w:pPr>
        <w:ind w:left="1720"/>
        <w:spacing w:after="0"/>
        <w:rPr>
          <w:sz w:val="20"/>
          <w:szCs w:val="20"/>
          <w:color w:val="auto"/>
        </w:rPr>
      </w:pPr>
      <w:r>
        <w:rPr>
          <w:rFonts w:ascii="Arial" w:cs="Arial" w:eastAsia="Arial" w:hAnsi="Arial"/>
          <w:sz w:val="11"/>
          <w:szCs w:val="11"/>
          <w:b w:val="1"/>
          <w:bCs w:val="1"/>
          <w:color w:val="auto"/>
        </w:rPr>
        <w:t>BOARD ATTENDANCE</w:t>
      </w:r>
    </w:p>
    <w:p>
      <w:pPr>
        <w:spacing w:after="0" w:line="12"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440" w:type="dxa"/>
            <w:vAlign w:val="bottom"/>
            <w:tcBorders>
              <w:top w:val="single" w:sz="8" w:color="auto"/>
            </w:tcBorders>
            <w:vMerge w:val="restart"/>
          </w:tcPr>
          <w:p>
            <w:pPr>
              <w:spacing w:after="0"/>
              <w:rPr>
                <w:sz w:val="20"/>
                <w:szCs w:val="20"/>
                <w:color w:val="auto"/>
              </w:rPr>
            </w:pPr>
            <w:r>
              <w:rPr>
                <w:rFonts w:ascii="Arial" w:cs="Arial" w:eastAsia="Arial" w:hAnsi="Arial"/>
                <w:sz w:val="11"/>
                <w:szCs w:val="11"/>
                <w:color w:val="auto"/>
              </w:rPr>
              <w:t>Board</w:t>
            </w:r>
          </w:p>
        </w:tc>
        <w:tc>
          <w:tcPr>
            <w:tcW w:w="4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5"/>
          </w:tcPr>
          <w:p>
            <w:pPr>
              <w:jc w:val="center"/>
              <w:ind w:left="329"/>
              <w:spacing w:after="0"/>
              <w:rPr>
                <w:sz w:val="20"/>
                <w:szCs w:val="20"/>
                <w:color w:val="auto"/>
              </w:rPr>
            </w:pPr>
            <w:r>
              <w:rPr>
                <w:rFonts w:ascii="Arial" w:cs="Arial" w:eastAsia="Arial" w:hAnsi="Arial"/>
                <w:sz w:val="11"/>
                <w:szCs w:val="11"/>
                <w:color w:val="auto"/>
                <w:w w:val="96"/>
              </w:rPr>
              <w:t>ATTENDANCE</w:t>
            </w:r>
          </w:p>
        </w:tc>
        <w:tc>
          <w:tcPr>
            <w:tcW w:w="3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6"/>
          </w:tcPr>
          <w:p>
            <w:pPr>
              <w:spacing w:after="0"/>
              <w:rPr>
                <w:sz w:val="20"/>
                <w:szCs w:val="20"/>
                <w:color w:val="auto"/>
              </w:rPr>
            </w:pPr>
            <w:r>
              <w:rPr>
                <w:rFonts w:ascii="Arial" w:cs="Arial" w:eastAsia="Arial" w:hAnsi="Arial"/>
                <w:sz w:val="11"/>
                <w:szCs w:val="11"/>
                <w:color w:val="auto"/>
              </w:rPr>
              <w:t>TOTAL ATTENDANCE</w:t>
            </w:r>
          </w:p>
        </w:tc>
        <w:tc>
          <w:tcPr>
            <w:tcW w:w="0" w:type="dxa"/>
            <w:vAlign w:val="bottom"/>
          </w:tcPr>
          <w:p>
            <w:pPr>
              <w:spacing w:after="0"/>
              <w:rPr>
                <w:sz w:val="1"/>
                <w:szCs w:val="1"/>
                <w:color w:val="auto"/>
              </w:rPr>
            </w:pPr>
          </w:p>
        </w:tc>
      </w:tr>
      <w:tr>
        <w:trPr>
          <w:trHeight w:val="20"/>
        </w:trPr>
        <w:tc>
          <w:tcPr>
            <w:tcW w:w="44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4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gridSpan w:val="2"/>
          </w:tcPr>
          <w:p>
            <w:pPr>
              <w:jc w:val="center"/>
              <w:ind w:right="180"/>
              <w:spacing w:after="0" w:line="106" w:lineRule="exact"/>
              <w:rPr>
                <w:sz w:val="20"/>
                <w:szCs w:val="20"/>
                <w:color w:val="auto"/>
              </w:rPr>
            </w:pPr>
            <w:r>
              <w:rPr>
                <w:rFonts w:ascii="Arial" w:cs="Arial" w:eastAsia="Arial" w:hAnsi="Arial"/>
                <w:sz w:val="11"/>
                <w:szCs w:val="11"/>
                <w:color w:val="auto"/>
                <w:w w:val="94"/>
              </w:rPr>
              <w:t>8 of 8</w:t>
            </w:r>
          </w:p>
        </w:tc>
        <w:tc>
          <w:tcPr>
            <w:tcW w:w="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500" w:type="dxa"/>
            <w:vAlign w:val="bottom"/>
            <w:gridSpan w:val="2"/>
          </w:tcPr>
          <w:p>
            <w:pPr>
              <w:spacing w:after="0" w:line="106" w:lineRule="exact"/>
              <w:rPr>
                <w:sz w:val="20"/>
                <w:szCs w:val="20"/>
                <w:color w:val="auto"/>
              </w:rPr>
            </w:pPr>
            <w:r>
              <w:rPr>
                <w:rFonts w:ascii="Arial" w:cs="Arial" w:eastAsia="Arial" w:hAnsi="Arial"/>
                <w:sz w:val="11"/>
                <w:szCs w:val="11"/>
                <w:color w:val="auto"/>
              </w:rPr>
              <w:t>Board</w:t>
            </w:r>
          </w:p>
        </w:tc>
        <w:tc>
          <w:tcPr>
            <w:tcW w:w="920" w:type="dxa"/>
            <w:vAlign w:val="bottom"/>
            <w:gridSpan w:val="3"/>
          </w:tcPr>
          <w:p>
            <w:pPr>
              <w:jc w:val="right"/>
              <w:ind w:right="149"/>
              <w:spacing w:after="0" w:line="106" w:lineRule="exact"/>
              <w:rPr>
                <w:sz w:val="20"/>
                <w:szCs w:val="20"/>
                <w:color w:val="auto"/>
              </w:rPr>
            </w:pPr>
            <w:r>
              <w:rPr>
                <w:rFonts w:ascii="Arial" w:cs="Arial" w:eastAsia="Arial" w:hAnsi="Arial"/>
                <w:sz w:val="11"/>
                <w:szCs w:val="11"/>
                <w:color w:val="auto"/>
              </w:rPr>
              <w:t>100%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1060" w:type="dxa"/>
            <w:vAlign w:val="bottom"/>
            <w:gridSpan w:val="3"/>
          </w:tcPr>
          <w:p>
            <w:pPr>
              <w:spacing w:after="0"/>
              <w:rPr>
                <w:sz w:val="20"/>
                <w:szCs w:val="20"/>
                <w:color w:val="auto"/>
              </w:rPr>
            </w:pPr>
            <w:r>
              <w:rPr>
                <w:rFonts w:ascii="Arial" w:cs="Arial" w:eastAsia="Arial" w:hAnsi="Arial"/>
                <w:sz w:val="11"/>
                <w:szCs w:val="11"/>
                <w:color w:val="auto"/>
              </w:rPr>
              <w:t>Audit Committee</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3"/>
          </w:tcPr>
          <w:p>
            <w:pPr>
              <w:jc w:val="center"/>
              <w:ind w:right="200"/>
              <w:spacing w:after="0"/>
              <w:rPr>
                <w:sz w:val="20"/>
                <w:szCs w:val="20"/>
                <w:color w:val="auto"/>
              </w:rPr>
            </w:pPr>
            <w:r>
              <w:rPr>
                <w:rFonts w:ascii="Arial" w:cs="Arial" w:eastAsia="Arial" w:hAnsi="Arial"/>
                <w:sz w:val="11"/>
                <w:szCs w:val="11"/>
                <w:color w:val="auto"/>
                <w:w w:val="94"/>
              </w:rPr>
              <w:t>6 of 6</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gridSpan w:val="2"/>
          </w:tcPr>
          <w:p>
            <w:pPr>
              <w:spacing w:after="0"/>
              <w:rPr>
                <w:sz w:val="20"/>
                <w:szCs w:val="20"/>
                <w:color w:val="auto"/>
              </w:rPr>
            </w:pPr>
            <w:r>
              <w:rPr>
                <w:rFonts w:ascii="Arial" w:cs="Arial" w:eastAsia="Arial" w:hAnsi="Arial"/>
                <w:sz w:val="11"/>
                <w:szCs w:val="11"/>
                <w:color w:val="auto"/>
                <w:w w:val="90"/>
              </w:rPr>
              <w:t>Committee</w:t>
            </w:r>
          </w:p>
        </w:tc>
        <w:tc>
          <w:tcPr>
            <w:tcW w:w="920" w:type="dxa"/>
            <w:vAlign w:val="bottom"/>
            <w:gridSpan w:val="3"/>
          </w:tcPr>
          <w:p>
            <w:pPr>
              <w:jc w:val="right"/>
              <w:ind w:right="149"/>
              <w:spacing w:after="0"/>
              <w:rPr>
                <w:sz w:val="20"/>
                <w:szCs w:val="20"/>
                <w:color w:val="auto"/>
              </w:rPr>
            </w:pPr>
            <w:r>
              <w:rPr>
                <w:rFonts w:ascii="Arial" w:cs="Arial" w:eastAsia="Arial" w:hAnsi="Arial"/>
                <w:sz w:val="11"/>
                <w:szCs w:val="11"/>
                <w:color w:val="auto"/>
              </w:rPr>
              <w:t>100%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40" w:type="dxa"/>
            <w:vAlign w:val="bottom"/>
          </w:tcPr>
          <w:p>
            <w:pPr>
              <w:spacing w:after="0"/>
              <w:rPr>
                <w:sz w:val="20"/>
                <w:szCs w:val="20"/>
                <w:color w:val="auto"/>
              </w:rPr>
            </w:pPr>
            <w:r>
              <w:rPr>
                <w:rFonts w:ascii="Arial" w:cs="Arial" w:eastAsia="Arial" w:hAnsi="Arial"/>
                <w:sz w:val="11"/>
                <w:szCs w:val="11"/>
                <w:color w:val="auto"/>
              </w:rPr>
              <w:t>HRCC</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3"/>
          </w:tcPr>
          <w:p>
            <w:pPr>
              <w:jc w:val="center"/>
              <w:ind w:right="200"/>
              <w:spacing w:after="0"/>
              <w:rPr>
                <w:sz w:val="20"/>
                <w:szCs w:val="20"/>
                <w:color w:val="auto"/>
              </w:rPr>
            </w:pPr>
            <w:r>
              <w:rPr>
                <w:rFonts w:ascii="Arial" w:cs="Arial" w:eastAsia="Arial" w:hAnsi="Arial"/>
                <w:sz w:val="11"/>
                <w:szCs w:val="11"/>
                <w:color w:val="auto"/>
                <w:w w:val="94"/>
              </w:rPr>
              <w:t>6 of 6</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40" w:type="dxa"/>
            <w:vAlign w:val="bottom"/>
            <w:tcBorders>
              <w:bottom w:val="single" w:sz="8" w:color="auto"/>
            </w:tcBorders>
          </w:tcPr>
          <w:p>
            <w:pPr>
              <w:spacing w:after="0" w:line="123" w:lineRule="exact"/>
              <w:rPr>
                <w:sz w:val="20"/>
                <w:szCs w:val="20"/>
                <w:color w:val="auto"/>
              </w:rPr>
            </w:pPr>
            <w:r>
              <w:rPr>
                <w:rFonts w:ascii="Arial" w:cs="Arial" w:eastAsia="Arial" w:hAnsi="Arial"/>
                <w:sz w:val="11"/>
                <w:szCs w:val="11"/>
                <w:color w:val="auto"/>
              </w:rPr>
              <w:t>NCGC</w:t>
            </w:r>
          </w:p>
        </w:tc>
        <w:tc>
          <w:tcPr>
            <w:tcW w:w="4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gridSpan w:val="3"/>
          </w:tcPr>
          <w:p>
            <w:pPr>
              <w:jc w:val="center"/>
              <w:ind w:right="200"/>
              <w:spacing w:after="0" w:line="123" w:lineRule="exact"/>
              <w:rPr>
                <w:sz w:val="20"/>
                <w:szCs w:val="20"/>
                <w:color w:val="auto"/>
              </w:rPr>
            </w:pPr>
            <w:r>
              <w:rPr>
                <w:rFonts w:ascii="Arial" w:cs="Arial" w:eastAsia="Arial" w:hAnsi="Arial"/>
                <w:sz w:val="11"/>
                <w:szCs w:val="11"/>
                <w:color w:val="auto"/>
                <w:w w:val="94"/>
              </w:rPr>
              <w:t>3 of 3</w:t>
            </w:r>
          </w:p>
        </w:tc>
        <w:tc>
          <w:tcPr>
            <w:tcW w:w="3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440" w:type="dxa"/>
            <w:vAlign w:val="bottom"/>
            <w:tcBorders>
              <w:left w:val="single" w:sz="8" w:color="auto"/>
              <w:bottom w:val="single" w:sz="8" w:color="auto"/>
              <w:right w:val="single" w:sz="8" w:color="CCCCCC"/>
            </w:tcBorders>
            <w:shd w:val="clear" w:color="auto" w:fill="CCCCCC"/>
          </w:tcPr>
          <w:p>
            <w:pPr>
              <w:spacing w:after="0"/>
              <w:rPr>
                <w:sz w:val="14"/>
                <w:szCs w:val="14"/>
                <w:color w:val="auto"/>
              </w:rPr>
            </w:pPr>
          </w:p>
        </w:tc>
        <w:tc>
          <w:tcPr>
            <w:tcW w:w="420" w:type="dxa"/>
            <w:vAlign w:val="bottom"/>
            <w:tcBorders>
              <w:bottom w:val="single" w:sz="8" w:color="auto"/>
              <w:right w:val="single" w:sz="8" w:color="CCCCCC"/>
            </w:tcBorders>
            <w:shd w:val="clear" w:color="auto" w:fill="CCCCCC"/>
          </w:tcPr>
          <w:p>
            <w:pPr>
              <w:spacing w:after="0"/>
              <w:rPr>
                <w:sz w:val="14"/>
                <w:szCs w:val="14"/>
                <w:color w:val="auto"/>
              </w:rPr>
            </w:pPr>
          </w:p>
        </w:tc>
        <w:tc>
          <w:tcPr>
            <w:tcW w:w="200" w:type="dxa"/>
            <w:vAlign w:val="bottom"/>
            <w:tcBorders>
              <w:bottom w:val="single" w:sz="8" w:color="auto"/>
            </w:tcBorders>
            <w:shd w:val="clear" w:color="auto" w:fill="CCCCCC"/>
          </w:tcPr>
          <w:p>
            <w:pPr>
              <w:spacing w:after="0"/>
              <w:rPr>
                <w:sz w:val="14"/>
                <w:szCs w:val="14"/>
                <w:color w:val="auto"/>
              </w:rPr>
            </w:pPr>
          </w:p>
        </w:tc>
        <w:tc>
          <w:tcPr>
            <w:tcW w:w="360" w:type="dxa"/>
            <w:vAlign w:val="bottom"/>
            <w:tcBorders>
              <w:bottom w:val="single" w:sz="8" w:color="auto"/>
              <w:right w:val="single" w:sz="8" w:color="CCCCCC"/>
            </w:tcBorders>
            <w:shd w:val="clear" w:color="auto" w:fill="CCCCCC"/>
          </w:tcPr>
          <w:p>
            <w:pPr>
              <w:spacing w:after="0"/>
              <w:rPr>
                <w:sz w:val="14"/>
                <w:szCs w:val="14"/>
                <w:color w:val="auto"/>
              </w:rPr>
            </w:pPr>
          </w:p>
        </w:tc>
        <w:tc>
          <w:tcPr>
            <w:tcW w:w="1880" w:type="dxa"/>
            <w:vAlign w:val="bottom"/>
            <w:tcBorders>
              <w:bottom w:val="single" w:sz="8" w:color="auto"/>
              <w:right w:val="single" w:sz="8" w:color="CCCCCC"/>
            </w:tcBorders>
            <w:gridSpan w:val="7"/>
            <w:shd w:val="clear" w:color="auto" w:fill="CCCCCC"/>
          </w:tcPr>
          <w:p>
            <w:pPr>
              <w:ind w:left="120"/>
              <w:spacing w:after="0" w:line="169" w:lineRule="exact"/>
              <w:rPr>
                <w:sz w:val="20"/>
                <w:szCs w:val="20"/>
                <w:color w:val="auto"/>
              </w:rPr>
            </w:pPr>
            <w:r>
              <w:rPr>
                <w:rFonts w:ascii="Arial" w:cs="Arial" w:eastAsia="Arial" w:hAnsi="Arial"/>
                <w:sz w:val="11"/>
                <w:szCs w:val="11"/>
                <w:b w:val="1"/>
                <w:bCs w:val="1"/>
                <w:color w:val="auto"/>
                <w:w w:val="94"/>
              </w:rPr>
              <w:t>DIRECTOR SHARE OWNERSHIP</w:t>
            </w:r>
            <w:r>
              <w:rPr>
                <w:rFonts w:ascii="Arial" w:cs="Arial" w:eastAsia="Arial" w:hAnsi="Arial"/>
                <w:sz w:val="15"/>
                <w:szCs w:val="15"/>
                <w:b w:val="1"/>
                <w:bCs w:val="1"/>
                <w:color w:val="auto"/>
                <w:w w:val="94"/>
                <w:vertAlign w:val="superscript"/>
              </w:rPr>
              <w:t>(1)</w:t>
            </w:r>
          </w:p>
        </w:tc>
        <w:tc>
          <w:tcPr>
            <w:tcW w:w="20" w:type="dxa"/>
            <w:vAlign w:val="bottom"/>
            <w:tcBorders>
              <w:bottom w:val="single" w:sz="8" w:color="auto"/>
            </w:tcBorders>
            <w:shd w:val="clear" w:color="auto" w:fill="CCCCCC"/>
          </w:tcPr>
          <w:p>
            <w:pPr>
              <w:spacing w:after="0"/>
              <w:rPr>
                <w:sz w:val="14"/>
                <w:szCs w:val="14"/>
                <w:color w:val="auto"/>
              </w:rPr>
            </w:pPr>
          </w:p>
        </w:tc>
        <w:tc>
          <w:tcPr>
            <w:tcW w:w="460" w:type="dxa"/>
            <w:vAlign w:val="bottom"/>
            <w:tcBorders>
              <w:bottom w:val="single" w:sz="8" w:color="auto"/>
              <w:right w:val="single" w:sz="8" w:color="CCCCCC"/>
            </w:tcBorders>
            <w:shd w:val="clear" w:color="auto" w:fill="CCCCCC"/>
          </w:tcPr>
          <w:p>
            <w:pPr>
              <w:spacing w:after="0"/>
              <w:rPr>
                <w:sz w:val="14"/>
                <w:szCs w:val="14"/>
                <w:color w:val="auto"/>
              </w:rPr>
            </w:pPr>
          </w:p>
        </w:tc>
        <w:tc>
          <w:tcPr>
            <w:tcW w:w="40" w:type="dxa"/>
            <w:vAlign w:val="bottom"/>
            <w:tcBorders>
              <w:bottom w:val="single" w:sz="8" w:color="auto"/>
            </w:tcBorders>
            <w:shd w:val="clear" w:color="auto" w:fill="CCCCCC"/>
          </w:tcPr>
          <w:p>
            <w:pPr>
              <w:spacing w:after="0"/>
              <w:rPr>
                <w:sz w:val="14"/>
                <w:szCs w:val="14"/>
                <w:color w:val="auto"/>
              </w:rPr>
            </w:pPr>
          </w:p>
        </w:tc>
        <w:tc>
          <w:tcPr>
            <w:tcW w:w="540" w:type="dxa"/>
            <w:vAlign w:val="bottom"/>
            <w:tcBorders>
              <w:bottom w:val="single" w:sz="8" w:color="auto"/>
              <w:right w:val="single" w:sz="8" w:color="CCCCCC"/>
            </w:tcBorders>
            <w:shd w:val="clear" w:color="auto" w:fill="CCCCCC"/>
          </w:tcPr>
          <w:p>
            <w:pPr>
              <w:spacing w:after="0"/>
              <w:rPr>
                <w:sz w:val="14"/>
                <w:szCs w:val="14"/>
                <w:color w:val="auto"/>
              </w:rPr>
            </w:pPr>
          </w:p>
        </w:tc>
        <w:tc>
          <w:tcPr>
            <w:tcW w:w="60" w:type="dxa"/>
            <w:vAlign w:val="bottom"/>
            <w:tcBorders>
              <w:bottom w:val="single" w:sz="8" w:color="auto"/>
            </w:tcBorders>
            <w:shd w:val="clear" w:color="auto" w:fill="CCCCCC"/>
          </w:tcPr>
          <w:p>
            <w:pPr>
              <w:spacing w:after="0"/>
              <w:rPr>
                <w:sz w:val="14"/>
                <w:szCs w:val="14"/>
                <w:color w:val="auto"/>
              </w:rPr>
            </w:pPr>
          </w:p>
        </w:tc>
        <w:tc>
          <w:tcPr>
            <w:tcW w:w="320" w:type="dxa"/>
            <w:vAlign w:val="bottom"/>
            <w:tcBorders>
              <w:bottom w:val="single" w:sz="8" w:color="auto"/>
            </w:tcBorders>
            <w:shd w:val="clear" w:color="auto" w:fill="CCCCCC"/>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1"/>
                <w:szCs w:val="11"/>
                <w:b w:val="1"/>
                <w:bCs w:val="1"/>
                <w:color w:val="auto"/>
              </w:rPr>
              <w:t>As of</w:t>
            </w:r>
          </w:p>
        </w:tc>
        <w:tc>
          <w:tcPr>
            <w:tcW w:w="620" w:type="dxa"/>
            <w:vAlign w:val="bottom"/>
            <w:tcBorders>
              <w:bottom w:val="single" w:sz="8" w:color="auto"/>
            </w:tcBorders>
            <w:gridSpan w:val="2"/>
          </w:tcPr>
          <w:p>
            <w:pPr>
              <w:ind w:left="380"/>
              <w:spacing w:after="0"/>
              <w:rPr>
                <w:sz w:val="20"/>
                <w:szCs w:val="20"/>
                <w:color w:val="auto"/>
              </w:rPr>
            </w:pPr>
            <w:r>
              <w:rPr>
                <w:rFonts w:ascii="Arial" w:cs="Arial" w:eastAsia="Arial" w:hAnsi="Arial"/>
                <w:sz w:val="11"/>
                <w:szCs w:val="11"/>
                <w:b w:val="1"/>
                <w:bCs w:val="1"/>
                <w:color w:val="auto"/>
                <w:w w:val="99"/>
              </w:rPr>
              <w:t>SVS</w:t>
            </w:r>
          </w:p>
        </w:tc>
        <w:tc>
          <w:tcPr>
            <w:tcW w:w="36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gridSpan w:val="3"/>
          </w:tcPr>
          <w:p>
            <w:pPr>
              <w:jc w:val="right"/>
              <w:ind w:right="380"/>
              <w:spacing w:after="0"/>
              <w:rPr>
                <w:sz w:val="20"/>
                <w:szCs w:val="20"/>
                <w:color w:val="auto"/>
              </w:rPr>
            </w:pPr>
            <w:r>
              <w:rPr>
                <w:rFonts w:ascii="Arial" w:cs="Arial" w:eastAsia="Arial" w:hAnsi="Arial"/>
                <w:sz w:val="11"/>
                <w:szCs w:val="11"/>
                <w:b w:val="1"/>
                <w:bCs w:val="1"/>
                <w:color w:val="auto"/>
              </w:rPr>
              <w:t>DSUs</w:t>
            </w:r>
          </w:p>
        </w:tc>
        <w:tc>
          <w:tcPr>
            <w:tcW w:w="580" w:type="dxa"/>
            <w:vAlign w:val="bottom"/>
            <w:tcBorders>
              <w:bottom w:val="single" w:sz="8" w:color="auto"/>
            </w:tcBorders>
            <w:gridSpan w:val="3"/>
          </w:tcPr>
          <w:p>
            <w:pPr>
              <w:ind w:left="300"/>
              <w:spacing w:after="0"/>
              <w:rPr>
                <w:sz w:val="20"/>
                <w:szCs w:val="20"/>
                <w:color w:val="auto"/>
              </w:rPr>
            </w:pPr>
            <w:r>
              <w:rPr>
                <w:rFonts w:ascii="Arial" w:cs="Arial" w:eastAsia="Arial" w:hAnsi="Arial"/>
                <w:sz w:val="11"/>
                <w:szCs w:val="11"/>
                <w:b w:val="1"/>
                <w:bCs w:val="1"/>
                <w:color w:val="auto"/>
                <w:w w:val="88"/>
              </w:rPr>
              <w:t>RSUs</w:t>
            </w:r>
          </w:p>
        </w:tc>
        <w:tc>
          <w:tcPr>
            <w:tcW w:w="300" w:type="dxa"/>
            <w:vAlign w:val="bottom"/>
            <w:tcBorders>
              <w:bottom w:val="single" w:sz="8" w:color="auto"/>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right w:val="single" w:sz="8" w:color="auto"/>
            </w:tcBorders>
          </w:tcPr>
          <w:p>
            <w:pPr>
              <w:ind w:left="80"/>
              <w:spacing w:after="0"/>
              <w:rPr>
                <w:sz w:val="20"/>
                <w:szCs w:val="20"/>
                <w:color w:val="auto"/>
              </w:rPr>
            </w:pPr>
            <w:r>
              <w:rPr>
                <w:rFonts w:ascii="Arial" w:cs="Arial" w:eastAsia="Arial" w:hAnsi="Arial"/>
                <w:sz w:val="11"/>
                <w:szCs w:val="11"/>
                <w:b w:val="1"/>
                <w:bCs w:val="1"/>
                <w:color w:val="auto"/>
              </w:rPr>
              <w:t>Total</w:t>
            </w:r>
          </w:p>
        </w:tc>
        <w:tc>
          <w:tcPr>
            <w:tcW w:w="40" w:type="dxa"/>
            <w:vAlign w:val="bottom"/>
          </w:tcPr>
          <w:p>
            <w:pPr>
              <w:spacing w:after="0"/>
              <w:rPr>
                <w:sz w:val="12"/>
                <w:szCs w:val="12"/>
                <w:color w:val="auto"/>
              </w:rPr>
            </w:pPr>
          </w:p>
        </w:tc>
        <w:tc>
          <w:tcPr>
            <w:tcW w:w="540" w:type="dxa"/>
            <w:vAlign w:val="bottom"/>
            <w:tcBorders>
              <w:right w:val="single" w:sz="8" w:color="auto"/>
            </w:tcBorders>
          </w:tcPr>
          <w:p>
            <w:pPr>
              <w:jc w:val="center"/>
              <w:ind w:right="48"/>
              <w:spacing w:after="0"/>
              <w:rPr>
                <w:sz w:val="20"/>
                <w:szCs w:val="20"/>
                <w:color w:val="auto"/>
              </w:rPr>
            </w:pPr>
            <w:r>
              <w:rPr>
                <w:rFonts w:ascii="Arial" w:cs="Arial" w:eastAsia="Arial" w:hAnsi="Arial"/>
                <w:sz w:val="11"/>
                <w:szCs w:val="11"/>
                <w:b w:val="1"/>
                <w:bCs w:val="1"/>
                <w:color w:val="auto"/>
                <w:w w:val="91"/>
              </w:rPr>
              <w:t>Total</w:t>
            </w:r>
          </w:p>
        </w:tc>
        <w:tc>
          <w:tcPr>
            <w:tcW w:w="420" w:type="dxa"/>
            <w:vAlign w:val="bottom"/>
            <w:tcBorders>
              <w:right w:val="single" w:sz="8" w:color="auto"/>
            </w:tcBorders>
            <w:gridSpan w:val="3"/>
          </w:tcPr>
          <w:p>
            <w:pPr>
              <w:jc w:val="center"/>
              <w:ind w:right="80"/>
              <w:spacing w:after="0"/>
              <w:rPr>
                <w:sz w:val="20"/>
                <w:szCs w:val="20"/>
                <w:color w:val="auto"/>
              </w:rPr>
            </w:pPr>
            <w:r>
              <w:rPr>
                <w:rFonts w:ascii="Arial" w:cs="Arial" w:eastAsia="Arial" w:hAnsi="Arial"/>
                <w:sz w:val="11"/>
                <w:szCs w:val="11"/>
                <w:b w:val="1"/>
                <w:bCs w:val="1"/>
                <w:color w:val="auto"/>
                <w:w w:val="89"/>
              </w:rPr>
              <w:t>Target</w:t>
            </w:r>
          </w:p>
        </w:tc>
        <w:tc>
          <w:tcPr>
            <w:tcW w:w="0" w:type="dxa"/>
            <w:vAlign w:val="bottom"/>
          </w:tcPr>
          <w:p>
            <w:pPr>
              <w:spacing w:after="0"/>
              <w:rPr>
                <w:sz w:val="1"/>
                <w:szCs w:val="1"/>
                <w:color w:val="auto"/>
              </w:rPr>
            </w:pPr>
          </w:p>
        </w:tc>
      </w:tr>
      <w:tr>
        <w:trPr>
          <w:trHeight w:val="150"/>
        </w:trPr>
        <w:tc>
          <w:tcPr>
            <w:tcW w:w="4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1"/>
                <w:szCs w:val="11"/>
                <w:b w:val="1"/>
                <w:bCs w:val="1"/>
                <w:color w:val="auto"/>
                <w:w w:val="88"/>
              </w:rPr>
              <w:t>Dec. 31</w:t>
            </w:r>
          </w:p>
        </w:tc>
        <w:tc>
          <w:tcPr>
            <w:tcW w:w="4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w:t>
            </w:r>
          </w:p>
        </w:tc>
        <w:tc>
          <w:tcPr>
            <w:tcW w:w="200" w:type="dxa"/>
            <w:vAlign w:val="bottom"/>
          </w:tcPr>
          <w:p>
            <w:pPr>
              <w:spacing w:after="0"/>
              <w:rPr>
                <w:sz w:val="13"/>
                <w:szCs w:val="13"/>
                <w:color w:val="auto"/>
              </w:rPr>
            </w:pPr>
          </w:p>
        </w:tc>
        <w:tc>
          <w:tcPr>
            <w:tcW w:w="360" w:type="dxa"/>
            <w:vAlign w:val="bottom"/>
            <w:tcBorders>
              <w:right w:val="single" w:sz="8" w:color="auto"/>
            </w:tcBorders>
          </w:tcPr>
          <w:p>
            <w:pPr>
              <w:jc w:val="center"/>
              <w:ind w:right="151"/>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right w:val="single" w:sz="8" w:color="auto"/>
            </w:tcBorders>
          </w:tcPr>
          <w:p>
            <w:pPr>
              <w:jc w:val="right"/>
              <w:ind w:right="149"/>
              <w:spacing w:after="0"/>
              <w:rPr>
                <w:sz w:val="20"/>
                <w:szCs w:val="20"/>
                <w:color w:val="auto"/>
              </w:rPr>
            </w:pPr>
            <w:r>
              <w:rPr>
                <w:rFonts w:ascii="Arial" w:cs="Arial" w:eastAsia="Arial" w:hAnsi="Arial"/>
                <w:sz w:val="11"/>
                <w:szCs w:val="11"/>
                <w:b w:val="1"/>
                <w:bCs w:val="1"/>
                <w:color w:val="auto"/>
              </w:rPr>
              <w:t>#</w:t>
            </w:r>
          </w:p>
        </w:tc>
        <w:tc>
          <w:tcPr>
            <w:tcW w:w="400" w:type="dxa"/>
            <w:vAlign w:val="bottom"/>
          </w:tcPr>
          <w:p>
            <w:pPr>
              <w:jc w:val="right"/>
              <w:ind w:right="49"/>
              <w:spacing w:after="0"/>
              <w:rPr>
                <w:sz w:val="20"/>
                <w:szCs w:val="20"/>
                <w:color w:val="auto"/>
              </w:rPr>
            </w:pPr>
            <w:r>
              <w:rPr>
                <w:rFonts w:ascii="Arial" w:cs="Arial" w:eastAsia="Arial" w:hAnsi="Arial"/>
                <w:sz w:val="11"/>
                <w:szCs w:val="11"/>
                <w:b w:val="1"/>
                <w:bCs w:val="1"/>
                <w:color w:val="auto"/>
              </w:rPr>
              <w:t>$</w:t>
            </w:r>
          </w:p>
        </w:tc>
        <w:tc>
          <w:tcPr>
            <w:tcW w:w="160" w:type="dxa"/>
            <w:vAlign w:val="bottom"/>
            <w:tcBorders>
              <w:right w:val="single" w:sz="8" w:color="auto"/>
            </w:tcBorders>
          </w:tcPr>
          <w:p>
            <w:pPr>
              <w:spacing w:after="0"/>
              <w:rPr>
                <w:sz w:val="13"/>
                <w:szCs w:val="13"/>
                <w:color w:val="auto"/>
              </w:rPr>
            </w:pPr>
          </w:p>
        </w:tc>
        <w:tc>
          <w:tcPr>
            <w:tcW w:w="44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Borders>
              <w:right w:val="single" w:sz="8" w:color="auto"/>
            </w:tcBorders>
          </w:tcPr>
          <w:p>
            <w:pPr>
              <w:jc w:val="center"/>
              <w:ind w:right="109"/>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right w:val="single" w:sz="8" w:color="auto"/>
            </w:tcBorders>
            <w:gridSpan w:val="2"/>
          </w:tcPr>
          <w:p>
            <w:pPr>
              <w:jc w:val="right"/>
              <w:ind w:right="167"/>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3"/>
                <w:szCs w:val="13"/>
                <w:color w:val="auto"/>
              </w:rPr>
            </w:pPr>
          </w:p>
        </w:tc>
        <w:tc>
          <w:tcPr>
            <w:tcW w:w="540" w:type="dxa"/>
            <w:vAlign w:val="bottom"/>
            <w:tcBorders>
              <w:right w:val="single" w:sz="8" w:color="auto"/>
            </w:tcBorders>
          </w:tcPr>
          <w:p>
            <w:pPr>
              <w:jc w:val="center"/>
              <w:ind w:right="8"/>
              <w:spacing w:after="0"/>
              <w:rPr>
                <w:sz w:val="20"/>
                <w:szCs w:val="20"/>
                <w:color w:val="auto"/>
              </w:rPr>
            </w:pPr>
            <w:r>
              <w:rPr>
                <w:rFonts w:ascii="Arial" w:cs="Arial" w:eastAsia="Arial" w:hAnsi="Arial"/>
                <w:sz w:val="11"/>
                <w:szCs w:val="11"/>
                <w:b w:val="1"/>
                <w:bCs w:val="1"/>
                <w:color w:val="auto"/>
                <w:w w:val="81"/>
              </w:rPr>
              <w:t>Value</w:t>
            </w:r>
          </w:p>
        </w:tc>
        <w:tc>
          <w:tcPr>
            <w:tcW w:w="60" w:type="dxa"/>
            <w:vAlign w:val="bottom"/>
          </w:tcPr>
          <w:p>
            <w:pPr>
              <w:spacing w:after="0"/>
              <w:rPr>
                <w:sz w:val="13"/>
                <w:szCs w:val="13"/>
                <w:color w:val="auto"/>
              </w:rPr>
            </w:pPr>
          </w:p>
        </w:tc>
        <w:tc>
          <w:tcPr>
            <w:tcW w:w="36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auto"/>
                <w:w w:val="94"/>
              </w:rPr>
              <w:t>Met</w:t>
            </w:r>
          </w:p>
        </w:tc>
        <w:tc>
          <w:tcPr>
            <w:tcW w:w="0" w:type="dxa"/>
            <w:vAlign w:val="bottom"/>
          </w:tcPr>
          <w:p>
            <w:pPr>
              <w:spacing w:after="0"/>
              <w:rPr>
                <w:sz w:val="1"/>
                <w:szCs w:val="1"/>
                <w:color w:val="auto"/>
              </w:rPr>
            </w:pPr>
          </w:p>
        </w:tc>
      </w:tr>
      <w:tr>
        <w:trPr>
          <w:trHeight w:val="148"/>
        </w:trPr>
        <w:tc>
          <w:tcPr>
            <w:tcW w:w="44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0"/>
                <w:szCs w:val="10"/>
                <w:b w:val="1"/>
                <w:bCs w:val="1"/>
                <w:color w:val="auto"/>
              </w:rPr>
              <w:t>2020</w:t>
            </w:r>
          </w:p>
        </w:tc>
        <w:tc>
          <w:tcPr>
            <w:tcW w:w="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2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right w:val="single" w:sz="8" w:color="auto"/>
            </w:tcBorders>
          </w:tcPr>
          <w:p>
            <w:pPr>
              <w:jc w:val="center"/>
              <w:ind w:right="171"/>
              <w:spacing w:after="0"/>
              <w:rPr>
                <w:sz w:val="20"/>
                <w:szCs w:val="20"/>
                <w:color w:val="auto"/>
              </w:rPr>
            </w:pPr>
            <w:r>
              <w:rPr>
                <w:rFonts w:ascii="Arial" w:cs="Arial" w:eastAsia="Arial" w:hAnsi="Arial"/>
                <w:sz w:val="10"/>
                <w:szCs w:val="10"/>
                <w:color w:val="auto"/>
                <w:w w:val="99"/>
              </w:rPr>
              <w:t>—</w:t>
            </w:r>
          </w:p>
        </w:tc>
        <w:tc>
          <w:tcPr>
            <w:tcW w:w="440" w:type="dxa"/>
            <w:vAlign w:val="bottom"/>
            <w:tcBorders>
              <w:top w:val="single" w:sz="8" w:color="auto"/>
              <w:bottom w:val="single" w:sz="8" w:color="auto"/>
              <w:right w:val="single" w:sz="8" w:color="auto"/>
            </w:tcBorders>
          </w:tcPr>
          <w:p>
            <w:pPr>
              <w:jc w:val="right"/>
              <w:ind w:right="9"/>
              <w:spacing w:after="0"/>
              <w:rPr>
                <w:sz w:val="20"/>
                <w:szCs w:val="20"/>
                <w:color w:val="auto"/>
              </w:rPr>
            </w:pPr>
            <w:r>
              <w:rPr>
                <w:rFonts w:ascii="Arial" w:cs="Arial" w:eastAsia="Arial" w:hAnsi="Arial"/>
                <w:sz w:val="10"/>
                <w:szCs w:val="10"/>
                <w:color w:val="auto"/>
                <w:w w:val="99"/>
              </w:rPr>
              <w:t>195,731</w:t>
            </w:r>
          </w:p>
        </w:tc>
        <w:tc>
          <w:tcPr>
            <w:tcW w:w="560" w:type="dxa"/>
            <w:vAlign w:val="bottom"/>
            <w:tcBorders>
              <w:top w:val="single" w:sz="8" w:color="auto"/>
              <w:bottom w:val="single" w:sz="8" w:color="auto"/>
              <w:right w:val="single" w:sz="8" w:color="auto"/>
            </w:tcBorders>
            <w:gridSpan w:val="2"/>
          </w:tcPr>
          <w:p>
            <w:pPr>
              <w:jc w:val="right"/>
              <w:ind w:right="60"/>
              <w:spacing w:after="0"/>
              <w:rPr>
                <w:sz w:val="20"/>
                <w:szCs w:val="20"/>
                <w:color w:val="auto"/>
              </w:rPr>
            </w:pPr>
            <w:r>
              <w:rPr>
                <w:rFonts w:ascii="Arial" w:cs="Arial" w:eastAsia="Arial" w:hAnsi="Arial"/>
                <w:sz w:val="10"/>
                <w:szCs w:val="10"/>
                <w:color w:val="auto"/>
                <w:w w:val="95"/>
              </w:rPr>
              <w:t>$1,579,549</w:t>
            </w:r>
          </w:p>
        </w:tc>
        <w:tc>
          <w:tcPr>
            <w:tcW w:w="4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right w:val="single" w:sz="8" w:color="auto"/>
            </w:tcBorders>
          </w:tcPr>
          <w:p>
            <w:pPr>
              <w:jc w:val="center"/>
              <w:ind w:right="109"/>
              <w:spacing w:after="0"/>
              <w:rPr>
                <w:sz w:val="20"/>
                <w:szCs w:val="20"/>
                <w:color w:val="auto"/>
              </w:rPr>
            </w:pPr>
            <w:r>
              <w:rPr>
                <w:rFonts w:ascii="Arial" w:cs="Arial" w:eastAsia="Arial" w:hAnsi="Arial"/>
                <w:sz w:val="10"/>
                <w:szCs w:val="10"/>
                <w:color w:val="auto"/>
                <w:w w:val="99"/>
              </w:rPr>
              <w:t>—</w:t>
            </w: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right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40" w:type="dxa"/>
            <w:vAlign w:val="bottom"/>
            <w:tcBorders>
              <w:top w:val="single" w:sz="8" w:color="auto"/>
              <w:right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0"/>
                <w:szCs w:val="10"/>
                <w:b w:val="1"/>
                <w:bCs w:val="1"/>
                <w:color w:val="auto"/>
              </w:rPr>
              <w:t>2019</w:t>
            </w:r>
          </w:p>
        </w:tc>
        <w:tc>
          <w:tcPr>
            <w:tcW w:w="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200" w:type="dxa"/>
            <w:vAlign w:val="bottom"/>
            <w:tcBorders>
              <w:bottom w:val="single" w:sz="8" w:color="auto"/>
            </w:tcBorders>
          </w:tcPr>
          <w:p>
            <w:pPr>
              <w:spacing w:after="0"/>
              <w:rPr>
                <w:sz w:val="12"/>
                <w:szCs w:val="12"/>
                <w:color w:val="auto"/>
              </w:rPr>
            </w:pPr>
          </w:p>
        </w:tc>
        <w:tc>
          <w:tcPr>
            <w:tcW w:w="360" w:type="dxa"/>
            <w:vAlign w:val="bottom"/>
            <w:tcBorders>
              <w:bottom w:val="single" w:sz="8" w:color="auto"/>
              <w:right w:val="single" w:sz="8" w:color="auto"/>
            </w:tcBorders>
          </w:tcPr>
          <w:p>
            <w:pPr>
              <w:jc w:val="center"/>
              <w:ind w:right="171"/>
              <w:spacing w:after="0"/>
              <w:rPr>
                <w:sz w:val="20"/>
                <w:szCs w:val="20"/>
                <w:color w:val="auto"/>
              </w:rPr>
            </w:pPr>
            <w:r>
              <w:rPr>
                <w:rFonts w:ascii="Arial" w:cs="Arial" w:eastAsia="Arial" w:hAnsi="Arial"/>
                <w:sz w:val="10"/>
                <w:szCs w:val="10"/>
                <w:color w:val="auto"/>
                <w:w w:val="99"/>
              </w:rPr>
              <w:t>—</w:t>
            </w:r>
          </w:p>
        </w:tc>
        <w:tc>
          <w:tcPr>
            <w:tcW w:w="440" w:type="dxa"/>
            <w:vAlign w:val="bottom"/>
            <w:tcBorders>
              <w:bottom w:val="single" w:sz="8" w:color="auto"/>
              <w:right w:val="single" w:sz="8" w:color="auto"/>
            </w:tcBorders>
          </w:tcPr>
          <w:p>
            <w:pPr>
              <w:jc w:val="right"/>
              <w:ind w:right="9"/>
              <w:spacing w:after="0"/>
              <w:rPr>
                <w:sz w:val="20"/>
                <w:szCs w:val="20"/>
                <w:color w:val="auto"/>
              </w:rPr>
            </w:pPr>
            <w:r>
              <w:rPr>
                <w:rFonts w:ascii="Arial" w:cs="Arial" w:eastAsia="Arial" w:hAnsi="Arial"/>
                <w:sz w:val="10"/>
                <w:szCs w:val="10"/>
                <w:color w:val="auto"/>
                <w:w w:val="99"/>
              </w:rPr>
              <w:t>154,551</w:t>
            </w:r>
          </w:p>
        </w:tc>
        <w:tc>
          <w:tcPr>
            <w:tcW w:w="560" w:type="dxa"/>
            <w:vAlign w:val="bottom"/>
            <w:tcBorders>
              <w:bottom w:val="single" w:sz="8" w:color="auto"/>
              <w:right w:val="single" w:sz="8" w:color="auto"/>
            </w:tcBorders>
            <w:gridSpan w:val="2"/>
          </w:tcPr>
          <w:p>
            <w:pPr>
              <w:jc w:val="right"/>
              <w:ind w:right="60"/>
              <w:spacing w:after="0"/>
              <w:rPr>
                <w:sz w:val="20"/>
                <w:szCs w:val="20"/>
                <w:color w:val="auto"/>
              </w:rPr>
            </w:pPr>
            <w:r>
              <w:rPr>
                <w:rFonts w:ascii="Arial" w:cs="Arial" w:eastAsia="Arial" w:hAnsi="Arial"/>
                <w:sz w:val="10"/>
                <w:szCs w:val="10"/>
                <w:color w:val="auto"/>
                <w:w w:val="95"/>
              </w:rPr>
              <w:t>$1,247,227</w:t>
            </w:r>
          </w:p>
        </w:tc>
        <w:tc>
          <w:tcPr>
            <w:tcW w:w="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right w:val="single" w:sz="8" w:color="auto"/>
            </w:tcBorders>
          </w:tcPr>
          <w:p>
            <w:pPr>
              <w:jc w:val="center"/>
              <w:ind w:right="109"/>
              <w:spacing w:after="0"/>
              <w:rPr>
                <w:sz w:val="20"/>
                <w:szCs w:val="20"/>
                <w:color w:val="auto"/>
              </w:rPr>
            </w:pPr>
            <w:r>
              <w:rPr>
                <w:rFonts w:ascii="Arial" w:cs="Arial" w:eastAsia="Arial" w:hAnsi="Arial"/>
                <w:sz w:val="10"/>
                <w:szCs w:val="10"/>
                <w:color w:val="auto"/>
                <w:w w:val="99"/>
              </w:rPr>
              <w:t>—</w:t>
            </w:r>
          </w:p>
        </w:tc>
        <w:tc>
          <w:tcPr>
            <w:tcW w:w="480" w:type="dxa"/>
            <w:vAlign w:val="bottom"/>
            <w:tcBorders>
              <w:right w:val="single" w:sz="8" w:color="auto"/>
            </w:tcBorders>
            <w:gridSpan w:val="2"/>
          </w:tcPr>
          <w:p>
            <w:pPr>
              <w:jc w:val="right"/>
              <w:ind w:right="27"/>
              <w:spacing w:after="0"/>
              <w:rPr>
                <w:sz w:val="20"/>
                <w:szCs w:val="20"/>
                <w:color w:val="auto"/>
              </w:rPr>
            </w:pPr>
            <w:r>
              <w:rPr>
                <w:rFonts w:ascii="Arial" w:cs="Arial" w:eastAsia="Arial" w:hAnsi="Arial"/>
                <w:sz w:val="10"/>
                <w:szCs w:val="10"/>
                <w:color w:val="auto"/>
              </w:rPr>
              <w:t>195,731</w:t>
            </w:r>
          </w:p>
        </w:tc>
        <w:tc>
          <w:tcPr>
            <w:tcW w:w="40" w:type="dxa"/>
            <w:vAlign w:val="bottom"/>
          </w:tcPr>
          <w:p>
            <w:pPr>
              <w:spacing w:after="0"/>
              <w:rPr>
                <w:sz w:val="12"/>
                <w:szCs w:val="12"/>
                <w:color w:val="auto"/>
              </w:rPr>
            </w:pPr>
          </w:p>
        </w:tc>
        <w:tc>
          <w:tcPr>
            <w:tcW w:w="540" w:type="dxa"/>
            <w:vAlign w:val="bottom"/>
            <w:tcBorders>
              <w:right w:val="single" w:sz="8" w:color="auto"/>
            </w:tcBorders>
          </w:tcPr>
          <w:p>
            <w:pPr>
              <w:jc w:val="center"/>
              <w:ind w:right="28"/>
              <w:spacing w:after="0"/>
              <w:rPr>
                <w:sz w:val="20"/>
                <w:szCs w:val="20"/>
                <w:color w:val="auto"/>
              </w:rPr>
            </w:pPr>
            <w:r>
              <w:rPr>
                <w:rFonts w:ascii="Arial" w:cs="Arial" w:eastAsia="Arial" w:hAnsi="Arial"/>
                <w:sz w:val="10"/>
                <w:szCs w:val="10"/>
                <w:color w:val="auto"/>
                <w:w w:val="91"/>
              </w:rPr>
              <w:t>$1,579,549</w:t>
            </w:r>
          </w:p>
        </w:tc>
        <w:tc>
          <w:tcPr>
            <w:tcW w:w="60" w:type="dxa"/>
            <w:vAlign w:val="bottom"/>
          </w:tcPr>
          <w:p>
            <w:pPr>
              <w:spacing w:after="0"/>
              <w:rPr>
                <w:sz w:val="12"/>
                <w:szCs w:val="12"/>
                <w:color w:val="auto"/>
              </w:rPr>
            </w:pPr>
          </w:p>
        </w:tc>
        <w:tc>
          <w:tcPr>
            <w:tcW w:w="36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0"/>
                <w:szCs w:val="10"/>
                <w:color w:val="auto"/>
                <w:w w:val="92"/>
              </w:rPr>
              <w:t>Yes</w:t>
            </w:r>
          </w:p>
        </w:tc>
        <w:tc>
          <w:tcPr>
            <w:tcW w:w="0" w:type="dxa"/>
            <w:vAlign w:val="bottom"/>
          </w:tcPr>
          <w:p>
            <w:pPr>
              <w:spacing w:after="0"/>
              <w:rPr>
                <w:sz w:val="1"/>
                <w:szCs w:val="1"/>
                <w:color w:val="auto"/>
              </w:rPr>
            </w:pPr>
          </w:p>
        </w:tc>
      </w:tr>
      <w:tr>
        <w:trPr>
          <w:trHeight w:val="149"/>
        </w:trPr>
        <w:tc>
          <w:tcPr>
            <w:tcW w:w="4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0"/>
                <w:szCs w:val="10"/>
                <w:b w:val="1"/>
                <w:bCs w:val="1"/>
                <w:color w:val="auto"/>
                <w:w w:val="92"/>
              </w:rPr>
              <w:t>Change</w:t>
            </w:r>
          </w:p>
        </w:tc>
        <w:tc>
          <w:tcPr>
            <w:tcW w:w="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200" w:type="dxa"/>
            <w:vAlign w:val="bottom"/>
            <w:tcBorders>
              <w:bottom w:val="single" w:sz="8" w:color="auto"/>
            </w:tcBorders>
          </w:tcPr>
          <w:p>
            <w:pPr>
              <w:spacing w:after="0"/>
              <w:rPr>
                <w:sz w:val="12"/>
                <w:szCs w:val="12"/>
                <w:color w:val="auto"/>
              </w:rPr>
            </w:pPr>
          </w:p>
        </w:tc>
        <w:tc>
          <w:tcPr>
            <w:tcW w:w="360" w:type="dxa"/>
            <w:vAlign w:val="bottom"/>
            <w:tcBorders>
              <w:bottom w:val="single" w:sz="8" w:color="auto"/>
              <w:right w:val="single" w:sz="8" w:color="auto"/>
            </w:tcBorders>
          </w:tcPr>
          <w:p>
            <w:pPr>
              <w:jc w:val="center"/>
              <w:ind w:right="171"/>
              <w:spacing w:after="0"/>
              <w:rPr>
                <w:sz w:val="20"/>
                <w:szCs w:val="20"/>
                <w:color w:val="auto"/>
              </w:rPr>
            </w:pPr>
            <w:r>
              <w:rPr>
                <w:rFonts w:ascii="Arial" w:cs="Arial" w:eastAsia="Arial" w:hAnsi="Arial"/>
                <w:sz w:val="10"/>
                <w:szCs w:val="10"/>
                <w:color w:val="auto"/>
                <w:w w:val="99"/>
              </w:rPr>
              <w:t>—</w:t>
            </w:r>
          </w:p>
        </w:tc>
        <w:tc>
          <w:tcPr>
            <w:tcW w:w="440" w:type="dxa"/>
            <w:vAlign w:val="bottom"/>
            <w:tcBorders>
              <w:bottom w:val="single" w:sz="8" w:color="auto"/>
              <w:right w:val="single" w:sz="8" w:color="auto"/>
            </w:tcBorders>
          </w:tcPr>
          <w:p>
            <w:pPr>
              <w:jc w:val="right"/>
              <w:ind w:right="9"/>
              <w:spacing w:after="0"/>
              <w:rPr>
                <w:sz w:val="20"/>
                <w:szCs w:val="20"/>
                <w:color w:val="auto"/>
              </w:rPr>
            </w:pPr>
            <w:r>
              <w:rPr>
                <w:rFonts w:ascii="Arial" w:cs="Arial" w:eastAsia="Arial" w:hAnsi="Arial"/>
                <w:sz w:val="10"/>
                <w:szCs w:val="10"/>
                <w:color w:val="auto"/>
              </w:rPr>
              <w:t>41,180</w:t>
            </w:r>
          </w:p>
        </w:tc>
        <w:tc>
          <w:tcPr>
            <w:tcW w:w="560" w:type="dxa"/>
            <w:vAlign w:val="bottom"/>
            <w:tcBorders>
              <w:bottom w:val="single" w:sz="8" w:color="auto"/>
              <w:right w:val="single" w:sz="8" w:color="auto"/>
            </w:tcBorders>
            <w:gridSpan w:val="2"/>
          </w:tcPr>
          <w:p>
            <w:pPr>
              <w:jc w:val="right"/>
              <w:ind w:right="60"/>
              <w:spacing w:after="0"/>
              <w:rPr>
                <w:sz w:val="20"/>
                <w:szCs w:val="20"/>
                <w:color w:val="auto"/>
              </w:rPr>
            </w:pPr>
            <w:r>
              <w:rPr>
                <w:rFonts w:ascii="Arial" w:cs="Arial" w:eastAsia="Arial" w:hAnsi="Arial"/>
                <w:sz w:val="10"/>
                <w:szCs w:val="10"/>
                <w:color w:val="auto"/>
              </w:rPr>
              <w:t>$332,322</w:t>
            </w:r>
          </w:p>
        </w:tc>
        <w:tc>
          <w:tcPr>
            <w:tcW w:w="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right w:val="single" w:sz="8" w:color="auto"/>
            </w:tcBorders>
          </w:tcPr>
          <w:p>
            <w:pPr>
              <w:jc w:val="center"/>
              <w:ind w:right="109"/>
              <w:spacing w:after="0"/>
              <w:rPr>
                <w:sz w:val="20"/>
                <w:szCs w:val="20"/>
                <w:color w:val="auto"/>
              </w:rPr>
            </w:pPr>
            <w:r>
              <w:rPr>
                <w:rFonts w:ascii="Arial" w:cs="Arial" w:eastAsia="Arial" w:hAnsi="Arial"/>
                <w:sz w:val="10"/>
                <w:szCs w:val="10"/>
                <w:color w:val="auto"/>
                <w:w w:val="99"/>
              </w:rPr>
              <w:t>—</w:t>
            </w:r>
          </w:p>
        </w:tc>
        <w:tc>
          <w:tcPr>
            <w:tcW w:w="2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580" w:space="340"/>
            <w:col w:w="6099"/>
          </w:cols>
          <w:pgMar w:left="1440" w:top="13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202565</wp:posOffset>
            </wp:positionV>
            <wp:extent cx="5019040" cy="12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21" w:name="page22"/>
    <w:bookmarkEnd w:id="21"/>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359410</wp:posOffset>
            </wp:positionV>
            <wp:extent cx="4045585"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04558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left="2920" w:right="1319"/>
        <w:spacing w:after="0" w:line="253" w:lineRule="auto"/>
        <w:rPr>
          <w:sz w:val="20"/>
          <w:szCs w:val="20"/>
          <w:color w:val="auto"/>
        </w:rPr>
      </w:pPr>
      <w:r>
        <w:rPr>
          <w:rFonts w:ascii="Arial" w:cs="Arial" w:eastAsia="Arial" w:hAnsi="Arial"/>
          <w:sz w:val="10"/>
          <w:szCs w:val="10"/>
          <w:color w:val="auto"/>
        </w:rPr>
        <w:t>Mr. Popatia has been a Senior Managing Director of Onex since 2020 and leads its efforts in automation, aerospace and defense, and other transportation-focused industries. He joined Onex in 2007 and has led several of Onex Partners’ investments in these sectors. He previously served as a Managing Director of Onex from 2014 to 2020. Prior to joining Onex, Mr. Popatia worked at the private equity firm of Hellman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-299085</wp:posOffset>
            </wp:positionV>
            <wp:extent cx="549910" cy="7270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49910" cy="727075"/>
                    </a:xfrm>
                    <a:prstGeom prst="rect">
                      <a:avLst/>
                    </a:prstGeom>
                    <a:noFill/>
                  </pic:spPr>
                </pic:pic>
              </a:graphicData>
            </a:graphic>
          </wp:anchor>
        </w:drawing>
      </w:r>
    </w:p>
    <w:p>
      <w:pPr>
        <w:jc w:val="both"/>
        <w:ind w:left="2920" w:right="1319" w:hanging="4"/>
        <w:spacing w:after="0" w:line="249" w:lineRule="auto"/>
        <w:tabs>
          <w:tab w:leader="none" w:pos="3037" w:val="left"/>
        </w:tabs>
        <w:numPr>
          <w:ilvl w:val="0"/>
          <w:numId w:val="45"/>
        </w:numPr>
        <w:rPr>
          <w:rFonts w:ascii="Arial" w:cs="Arial" w:eastAsia="Arial" w:hAnsi="Arial"/>
          <w:sz w:val="10"/>
          <w:szCs w:val="10"/>
          <w:color w:val="auto"/>
        </w:rPr>
      </w:pPr>
      <w:r>
        <w:rPr>
          <w:rFonts w:ascii="Arial" w:cs="Arial" w:eastAsia="Arial" w:hAnsi="Arial"/>
          <w:sz w:val="10"/>
          <w:szCs w:val="10"/>
          <w:color w:val="auto"/>
        </w:rPr>
        <w:t>Friedman LLC and in the Investment Banking Division of Morgan Stanley &amp; Co. Mr. Popatia currently serves on the boards of WestJet, a Canadian airline, Advanced Integration Technology, an aerospace automation company, and BBAM, a provider of commercial jet aircraft leasing, financing and management. He previously served on the board of Spirit AeroSystems (a public company) and is a former Employer Trustee of the International Association of Machinists National Pension Fund. Mr. Popatia holds a Bachelor of Science degree in Microbiology and a Bachelor of Commerce degree in Finance from the</w:t>
      </w:r>
    </w:p>
    <w:tbl>
      <w:tblPr>
        <w:tblLayout w:type="fixed"/>
        <w:tblInd w:w="1320" w:type="dxa"/>
        <w:tblCellMar>
          <w:top w:w="0" w:type="dxa"/>
          <w:left w:w="0" w:type="dxa"/>
          <w:bottom w:w="0" w:type="dxa"/>
          <w:right w:w="0" w:type="dxa"/>
        </w:tblCellMar>
      </w:tblPr>
      <w:tr>
        <w:trPr>
          <w:trHeight w:val="122"/>
        </w:trPr>
        <w:tc>
          <w:tcPr>
            <w:tcW w:w="16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Tawfiq Popatia</w:t>
            </w:r>
          </w:p>
        </w:tc>
        <w:tc>
          <w:tcPr>
            <w:tcW w:w="1400" w:type="dxa"/>
            <w:vAlign w:val="bottom"/>
            <w:gridSpan w:val="4"/>
          </w:tcPr>
          <w:p>
            <w:pPr>
              <w:spacing w:after="0" w:line="123" w:lineRule="exact"/>
              <w:rPr>
                <w:sz w:val="20"/>
                <w:szCs w:val="20"/>
                <w:color w:val="auto"/>
              </w:rPr>
            </w:pPr>
            <w:r>
              <w:rPr>
                <w:rFonts w:ascii="Arial" w:cs="Arial" w:eastAsia="Arial" w:hAnsi="Arial"/>
                <w:sz w:val="11"/>
                <w:szCs w:val="11"/>
                <w:color w:val="auto"/>
                <w:w w:val="92"/>
              </w:rPr>
              <w:t>University of British Columbia.</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620" w:type="dxa"/>
            <w:vAlign w:val="bottom"/>
            <w:gridSpan w:val="2"/>
          </w:tcPr>
          <w:p>
            <w:pPr>
              <w:spacing w:after="0"/>
              <w:rPr>
                <w:sz w:val="20"/>
                <w:szCs w:val="20"/>
                <w:color w:val="auto"/>
              </w:rPr>
            </w:pPr>
            <w:r>
              <w:rPr>
                <w:rFonts w:ascii="Arial" w:cs="Arial" w:eastAsia="Arial" w:hAnsi="Arial"/>
                <w:sz w:val="11"/>
                <w:szCs w:val="11"/>
                <w:color w:val="auto"/>
              </w:rPr>
              <w:t>Toronto, Ontario</w:t>
            </w:r>
          </w:p>
        </w:tc>
        <w:tc>
          <w:tcPr>
            <w:tcW w:w="4340" w:type="dxa"/>
            <w:vAlign w:val="bottom"/>
            <w:gridSpan w:val="15"/>
          </w:tcPr>
          <w:p>
            <w:pPr>
              <w:spacing w:after="0"/>
              <w:rPr>
                <w:sz w:val="20"/>
                <w:szCs w:val="20"/>
                <w:color w:val="auto"/>
              </w:rPr>
            </w:pPr>
            <w:r>
              <w:rPr>
                <w:rFonts w:ascii="Arial" w:cs="Arial" w:eastAsia="Arial" w:hAnsi="Arial"/>
                <w:sz w:val="11"/>
                <w:szCs w:val="11"/>
                <w:color w:val="auto"/>
              </w:rPr>
              <w:t>Mr. Popatia does not sit on any committees of the Board of Directors of the Corporation.</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1620" w:type="dxa"/>
            <w:vAlign w:val="bottom"/>
            <w:gridSpan w:val="2"/>
          </w:tcPr>
          <w:p>
            <w:pPr>
              <w:spacing w:after="0" w:line="70" w:lineRule="exact"/>
              <w:rPr>
                <w:sz w:val="20"/>
                <w:szCs w:val="20"/>
                <w:color w:val="auto"/>
              </w:rPr>
            </w:pPr>
            <w:r>
              <w:rPr>
                <w:rFonts w:ascii="Arial" w:cs="Arial" w:eastAsia="Arial" w:hAnsi="Arial"/>
                <w:sz w:val="8"/>
                <w:szCs w:val="8"/>
                <w:color w:val="auto"/>
              </w:rPr>
              <w:t>Canada</w:t>
            </w:r>
          </w:p>
        </w:tc>
        <w:tc>
          <w:tcPr>
            <w:tcW w:w="4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620" w:type="dxa"/>
            <w:vAlign w:val="bottom"/>
            <w:tcBorders>
              <w:right w:val="single" w:sz="8" w:color="CCCCCC"/>
            </w:tcBorders>
            <w:gridSpan w:val="2"/>
          </w:tcPr>
          <w:p>
            <w:pPr>
              <w:spacing w:after="0"/>
              <w:rPr>
                <w:sz w:val="20"/>
                <w:szCs w:val="20"/>
                <w:color w:val="auto"/>
              </w:rPr>
            </w:pPr>
            <w:r>
              <w:rPr>
                <w:rFonts w:ascii="Arial" w:cs="Arial" w:eastAsia="Arial" w:hAnsi="Arial"/>
                <w:sz w:val="11"/>
                <w:szCs w:val="11"/>
                <w:b w:val="1"/>
                <w:bCs w:val="1"/>
                <w:color w:val="auto"/>
              </w:rPr>
              <w:t xml:space="preserve">Director Since: </w:t>
            </w:r>
            <w:r>
              <w:rPr>
                <w:rFonts w:ascii="Arial" w:cs="Arial" w:eastAsia="Arial" w:hAnsi="Arial"/>
                <w:sz w:val="11"/>
                <w:szCs w:val="11"/>
                <w:color w:val="auto"/>
              </w:rPr>
              <w:t>2017</w:t>
            </w:r>
          </w:p>
        </w:tc>
        <w:tc>
          <w:tcPr>
            <w:tcW w:w="420" w:type="dxa"/>
            <w:vAlign w:val="bottom"/>
            <w:tcBorders>
              <w:bottom w:val="single" w:sz="8" w:color="auto"/>
              <w:right w:val="single" w:sz="8" w:color="CCCCCC"/>
            </w:tcBorders>
            <w:shd w:val="clear" w:color="auto" w:fill="CCCCCC"/>
          </w:tcPr>
          <w:p>
            <w:pPr>
              <w:spacing w:after="0"/>
              <w:rPr>
                <w:sz w:val="12"/>
                <w:szCs w:val="12"/>
                <w:color w:val="auto"/>
              </w:rPr>
            </w:pPr>
          </w:p>
        </w:tc>
        <w:tc>
          <w:tcPr>
            <w:tcW w:w="320" w:type="dxa"/>
            <w:vAlign w:val="bottom"/>
            <w:tcBorders>
              <w:bottom w:val="single" w:sz="8" w:color="auto"/>
            </w:tcBorders>
            <w:shd w:val="clear" w:color="auto" w:fill="CCCCCC"/>
          </w:tcPr>
          <w:p>
            <w:pPr>
              <w:spacing w:after="0"/>
              <w:rPr>
                <w:sz w:val="12"/>
                <w:szCs w:val="12"/>
                <w:color w:val="auto"/>
              </w:rPr>
            </w:pPr>
          </w:p>
        </w:tc>
        <w:tc>
          <w:tcPr>
            <w:tcW w:w="100" w:type="dxa"/>
            <w:vAlign w:val="bottom"/>
            <w:tcBorders>
              <w:bottom w:val="single" w:sz="8" w:color="auto"/>
              <w:right w:val="single" w:sz="8" w:color="CCCCCC"/>
            </w:tcBorders>
            <w:shd w:val="clear" w:color="auto" w:fill="CCCCCC"/>
          </w:tcPr>
          <w:p>
            <w:pPr>
              <w:spacing w:after="0"/>
              <w:rPr>
                <w:sz w:val="12"/>
                <w:szCs w:val="12"/>
                <w:color w:val="auto"/>
              </w:rPr>
            </w:pPr>
          </w:p>
        </w:tc>
        <w:tc>
          <w:tcPr>
            <w:tcW w:w="560" w:type="dxa"/>
            <w:vAlign w:val="bottom"/>
            <w:tcBorders>
              <w:bottom w:val="single" w:sz="8" w:color="auto"/>
              <w:right w:val="single" w:sz="8" w:color="CCCCCC"/>
            </w:tcBorders>
            <w:shd w:val="clear" w:color="auto" w:fill="CCCCCC"/>
          </w:tcPr>
          <w:p>
            <w:pPr>
              <w:spacing w:after="0"/>
              <w:rPr>
                <w:sz w:val="12"/>
                <w:szCs w:val="12"/>
                <w:color w:val="auto"/>
              </w:rPr>
            </w:pPr>
          </w:p>
        </w:tc>
        <w:tc>
          <w:tcPr>
            <w:tcW w:w="280" w:type="dxa"/>
            <w:vAlign w:val="bottom"/>
            <w:tcBorders>
              <w:bottom w:val="single" w:sz="8" w:color="auto"/>
            </w:tcBorders>
            <w:shd w:val="clear" w:color="auto" w:fill="CCCCCC"/>
          </w:tcPr>
          <w:p>
            <w:pPr>
              <w:spacing w:after="0"/>
              <w:rPr>
                <w:sz w:val="12"/>
                <w:szCs w:val="12"/>
                <w:color w:val="auto"/>
              </w:rPr>
            </w:pPr>
          </w:p>
        </w:tc>
        <w:tc>
          <w:tcPr>
            <w:tcW w:w="1320" w:type="dxa"/>
            <w:vAlign w:val="bottom"/>
            <w:tcBorders>
              <w:bottom w:val="single" w:sz="8" w:color="auto"/>
            </w:tcBorders>
            <w:gridSpan w:val="6"/>
            <w:shd w:val="clear" w:color="auto" w:fill="CCCCCC"/>
          </w:tcPr>
          <w:p>
            <w:pPr>
              <w:ind w:left="20"/>
              <w:spacing w:after="0"/>
              <w:rPr>
                <w:sz w:val="20"/>
                <w:szCs w:val="20"/>
                <w:color w:val="auto"/>
              </w:rPr>
            </w:pPr>
            <w:r>
              <w:rPr>
                <w:rFonts w:ascii="Arial" w:cs="Arial" w:eastAsia="Arial" w:hAnsi="Arial"/>
                <w:sz w:val="11"/>
                <w:szCs w:val="11"/>
                <w:b w:val="1"/>
                <w:bCs w:val="1"/>
                <w:color w:val="auto"/>
              </w:rPr>
              <w:t>BOARD ATTENDANCE</w:t>
            </w:r>
          </w:p>
        </w:tc>
        <w:tc>
          <w:tcPr>
            <w:tcW w:w="280" w:type="dxa"/>
            <w:vAlign w:val="bottom"/>
            <w:tcBorders>
              <w:bottom w:val="single" w:sz="8" w:color="auto"/>
              <w:right w:val="single" w:sz="8" w:color="CCCCCC"/>
            </w:tcBorders>
            <w:shd w:val="clear" w:color="auto" w:fill="CCCCCC"/>
          </w:tcPr>
          <w:p>
            <w:pPr>
              <w:spacing w:after="0"/>
              <w:rPr>
                <w:sz w:val="12"/>
                <w:szCs w:val="12"/>
                <w:color w:val="auto"/>
              </w:rPr>
            </w:pPr>
          </w:p>
        </w:tc>
        <w:tc>
          <w:tcPr>
            <w:tcW w:w="60" w:type="dxa"/>
            <w:vAlign w:val="bottom"/>
            <w:tcBorders>
              <w:bottom w:val="single" w:sz="8" w:color="auto"/>
            </w:tcBorders>
            <w:shd w:val="clear" w:color="auto" w:fill="CCCCCC"/>
          </w:tcPr>
          <w:p>
            <w:pPr>
              <w:spacing w:after="0"/>
              <w:rPr>
                <w:sz w:val="12"/>
                <w:szCs w:val="12"/>
                <w:color w:val="auto"/>
              </w:rPr>
            </w:pPr>
          </w:p>
        </w:tc>
        <w:tc>
          <w:tcPr>
            <w:tcW w:w="420" w:type="dxa"/>
            <w:vAlign w:val="bottom"/>
            <w:tcBorders>
              <w:bottom w:val="single" w:sz="8" w:color="auto"/>
              <w:right w:val="single" w:sz="8" w:color="CCCCCC"/>
            </w:tcBorders>
            <w:shd w:val="clear" w:color="auto" w:fill="CCCCCC"/>
          </w:tcPr>
          <w:p>
            <w:pPr>
              <w:spacing w:after="0"/>
              <w:rPr>
                <w:sz w:val="12"/>
                <w:szCs w:val="12"/>
                <w:color w:val="auto"/>
              </w:rPr>
            </w:pPr>
          </w:p>
        </w:tc>
        <w:tc>
          <w:tcPr>
            <w:tcW w:w="580" w:type="dxa"/>
            <w:vAlign w:val="bottom"/>
            <w:tcBorders>
              <w:bottom w:val="single" w:sz="8" w:color="auto"/>
              <w:right w:val="single" w:sz="8" w:color="CCCCCC"/>
            </w:tcBorders>
            <w:shd w:val="clear" w:color="auto" w:fill="CCCCCC"/>
          </w:tcPr>
          <w:p>
            <w:pPr>
              <w:spacing w:after="0"/>
              <w:rPr>
                <w:sz w:val="12"/>
                <w:szCs w:val="12"/>
                <w:color w:val="auto"/>
              </w:rPr>
            </w:pPr>
          </w:p>
        </w:tc>
        <w:tc>
          <w:tcPr>
            <w:tcW w:w="100" w:type="dxa"/>
            <w:vAlign w:val="bottom"/>
            <w:tcBorders>
              <w:bottom w:val="single" w:sz="8" w:color="auto"/>
            </w:tcBorders>
            <w:shd w:val="clear" w:color="auto" w:fill="CCCCCC"/>
          </w:tcPr>
          <w:p>
            <w:pPr>
              <w:spacing w:after="0"/>
              <w:rPr>
                <w:sz w:val="12"/>
                <w:szCs w:val="12"/>
                <w:color w:val="auto"/>
              </w:rPr>
            </w:pPr>
          </w:p>
        </w:tc>
        <w:tc>
          <w:tcPr>
            <w:tcW w:w="280" w:type="dxa"/>
            <w:vAlign w:val="bottom"/>
            <w:tcBorders>
              <w:bottom w:val="single" w:sz="8" w:color="auto"/>
            </w:tcBorders>
            <w:shd w:val="clear" w:color="auto" w:fill="CCCCCC"/>
          </w:tcPr>
          <w:p>
            <w:pPr>
              <w:spacing w:after="0"/>
              <w:rPr>
                <w:sz w:val="12"/>
                <w:szCs w:val="12"/>
                <w:color w:val="auto"/>
              </w:rPr>
            </w:pPr>
          </w:p>
        </w:tc>
        <w:tc>
          <w:tcPr>
            <w:tcW w:w="40" w:type="dxa"/>
            <w:vAlign w:val="bottom"/>
            <w:tcBorders>
              <w:bottom w:val="single" w:sz="8" w:color="auto"/>
              <w:right w:val="single" w:sz="8" w:color="CCCCCC"/>
            </w:tcBorders>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620" w:type="dxa"/>
            <w:vAlign w:val="bottom"/>
            <w:gridSpan w:val="2"/>
          </w:tcPr>
          <w:p>
            <w:pPr>
              <w:spacing w:after="0" w:line="110" w:lineRule="exact"/>
              <w:rPr>
                <w:sz w:val="20"/>
                <w:szCs w:val="20"/>
                <w:color w:val="auto"/>
              </w:rPr>
            </w:pPr>
            <w:r>
              <w:rPr>
                <w:rFonts w:ascii="Arial" w:cs="Arial" w:eastAsia="Arial" w:hAnsi="Arial"/>
                <w:sz w:val="11"/>
                <w:szCs w:val="11"/>
                <w:b w:val="1"/>
                <w:bCs w:val="1"/>
                <w:color w:val="auto"/>
              </w:rPr>
              <w:t xml:space="preserve">Age: </w:t>
            </w:r>
            <w:r>
              <w:rPr>
                <w:rFonts w:ascii="Arial" w:cs="Arial" w:eastAsia="Arial" w:hAnsi="Arial"/>
                <w:sz w:val="11"/>
                <w:szCs w:val="11"/>
                <w:color w:val="auto"/>
              </w:rPr>
              <w:t>46</w:t>
            </w: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gridSpan w:val="4"/>
          </w:tcPr>
          <w:p>
            <w:pPr>
              <w:jc w:val="center"/>
              <w:ind w:left="7"/>
              <w:spacing w:after="0" w:line="110" w:lineRule="exact"/>
              <w:rPr>
                <w:sz w:val="20"/>
                <w:szCs w:val="20"/>
                <w:color w:val="auto"/>
              </w:rPr>
            </w:pPr>
            <w:r>
              <w:rPr>
                <w:rFonts w:ascii="Arial" w:cs="Arial" w:eastAsia="Arial" w:hAnsi="Arial"/>
                <w:sz w:val="11"/>
                <w:szCs w:val="11"/>
                <w:color w:val="auto"/>
                <w:w w:val="96"/>
              </w:rPr>
              <w:t>ATTENDANCE</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20" w:type="dxa"/>
            <w:vAlign w:val="bottom"/>
            <w:gridSpan w:val="5"/>
          </w:tcPr>
          <w:p>
            <w:pPr>
              <w:spacing w:after="0" w:line="110" w:lineRule="exact"/>
              <w:rPr>
                <w:sz w:val="20"/>
                <w:szCs w:val="20"/>
                <w:color w:val="auto"/>
              </w:rPr>
            </w:pPr>
            <w:r>
              <w:rPr>
                <w:rFonts w:ascii="Arial" w:cs="Arial" w:eastAsia="Arial" w:hAnsi="Arial"/>
                <w:sz w:val="11"/>
                <w:szCs w:val="11"/>
                <w:color w:val="auto"/>
              </w:rPr>
              <w:t>TOTAL ATTENDANCE</w:t>
            </w:r>
          </w:p>
        </w:tc>
        <w:tc>
          <w:tcPr>
            <w:tcW w:w="0" w:type="dxa"/>
            <w:vAlign w:val="bottom"/>
          </w:tcPr>
          <w:p>
            <w:pPr>
              <w:spacing w:after="0"/>
              <w:rPr>
                <w:sz w:val="1"/>
                <w:szCs w:val="1"/>
                <w:color w:val="auto"/>
              </w:rPr>
            </w:pPr>
          </w:p>
        </w:tc>
      </w:tr>
      <w:tr>
        <w:trPr>
          <w:trHeight w:val="93"/>
        </w:trPr>
        <w:tc>
          <w:tcPr>
            <w:tcW w:w="1620" w:type="dxa"/>
            <w:vAlign w:val="bottom"/>
            <w:gridSpan w:val="2"/>
          </w:tcPr>
          <w:p>
            <w:pPr>
              <w:spacing w:after="0" w:line="93" w:lineRule="exact"/>
              <w:rPr>
                <w:sz w:val="20"/>
                <w:szCs w:val="20"/>
                <w:color w:val="auto"/>
              </w:rPr>
            </w:pPr>
            <w:r>
              <w:rPr>
                <w:rFonts w:ascii="Arial" w:cs="Arial" w:eastAsia="Arial" w:hAnsi="Arial"/>
                <w:sz w:val="10"/>
                <w:szCs w:val="10"/>
                <w:b w:val="1"/>
                <w:bCs w:val="1"/>
                <w:color w:val="auto"/>
              </w:rPr>
              <w:t xml:space="preserve">Status: </w:t>
            </w:r>
            <w:r>
              <w:rPr>
                <w:rFonts w:ascii="Arial" w:cs="Arial" w:eastAsia="Arial" w:hAnsi="Arial"/>
                <w:sz w:val="10"/>
                <w:szCs w:val="10"/>
                <w:color w:val="auto"/>
              </w:rPr>
              <w:t>Not Independent</w:t>
            </w:r>
          </w:p>
        </w:tc>
        <w:tc>
          <w:tcPr>
            <w:tcW w:w="420" w:type="dxa"/>
            <w:vAlign w:val="bottom"/>
          </w:tcPr>
          <w:p>
            <w:pPr>
              <w:spacing w:after="0" w:line="93" w:lineRule="exact"/>
              <w:rPr>
                <w:sz w:val="20"/>
                <w:szCs w:val="20"/>
                <w:color w:val="auto"/>
              </w:rPr>
            </w:pPr>
            <w:r>
              <w:rPr>
                <w:rFonts w:ascii="Arial" w:cs="Arial" w:eastAsia="Arial" w:hAnsi="Arial"/>
                <w:sz w:val="10"/>
                <w:szCs w:val="10"/>
                <w:color w:val="auto"/>
              </w:rPr>
              <w:t>Board</w:t>
            </w: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gridSpan w:val="2"/>
          </w:tcPr>
          <w:p>
            <w:pPr>
              <w:jc w:val="center"/>
              <w:ind w:right="140"/>
              <w:spacing w:after="0" w:line="93" w:lineRule="exact"/>
              <w:rPr>
                <w:sz w:val="20"/>
                <w:szCs w:val="20"/>
                <w:color w:val="auto"/>
              </w:rPr>
            </w:pPr>
            <w:r>
              <w:rPr>
                <w:rFonts w:ascii="Arial" w:cs="Arial" w:eastAsia="Arial" w:hAnsi="Arial"/>
                <w:sz w:val="10"/>
                <w:szCs w:val="10"/>
                <w:color w:val="auto"/>
              </w:rPr>
              <w:t>7 of 8</w:t>
            </w: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jc w:val="right"/>
              <w:ind w:right="269"/>
              <w:spacing w:after="0" w:line="93" w:lineRule="exact"/>
              <w:rPr>
                <w:sz w:val="20"/>
                <w:szCs w:val="20"/>
                <w:color w:val="auto"/>
              </w:rPr>
            </w:pPr>
            <w:r>
              <w:rPr>
                <w:rFonts w:ascii="Arial" w:cs="Arial" w:eastAsia="Arial" w:hAnsi="Arial"/>
                <w:sz w:val="10"/>
                <w:szCs w:val="10"/>
                <w:color w:val="auto"/>
              </w:rPr>
              <w:t>88%</w:t>
            </w:r>
          </w:p>
        </w:tc>
        <w:tc>
          <w:tcPr>
            <w:tcW w:w="10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1620" w:type="dxa"/>
            <w:vAlign w:val="bottom"/>
            <w:gridSpan w:val="2"/>
          </w:tcPr>
          <w:p>
            <w:pPr>
              <w:spacing w:after="0" w:line="87" w:lineRule="exact"/>
              <w:rPr>
                <w:sz w:val="20"/>
                <w:szCs w:val="20"/>
                <w:color w:val="auto"/>
              </w:rPr>
            </w:pPr>
            <w:r>
              <w:rPr>
                <w:rFonts w:ascii="Arial" w:cs="Arial" w:eastAsia="Arial" w:hAnsi="Arial"/>
                <w:sz w:val="10"/>
                <w:szCs w:val="10"/>
                <w:b w:val="1"/>
                <w:bCs w:val="1"/>
                <w:color w:val="auto"/>
              </w:rPr>
              <w:t>Areas of Expertise:</w:t>
            </w:r>
          </w:p>
        </w:tc>
        <w:tc>
          <w:tcPr>
            <w:tcW w:w="4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80" w:type="dxa"/>
            <w:vAlign w:val="bottom"/>
          </w:tcPr>
          <w:p>
            <w:pPr>
              <w:spacing w:after="0"/>
              <w:rPr>
                <w:sz w:val="20"/>
                <w:szCs w:val="20"/>
                <w:color w:val="auto"/>
              </w:rPr>
            </w:pPr>
            <w:r>
              <w:rPr>
                <w:rFonts w:ascii="Arial" w:cs="Arial" w:eastAsia="Arial" w:hAnsi="Arial"/>
                <w:sz w:val="11"/>
                <w:szCs w:val="11"/>
                <w:color w:val="auto"/>
              </w:rPr>
              <w:t>•</w:t>
            </w:r>
          </w:p>
        </w:tc>
        <w:tc>
          <w:tcPr>
            <w:tcW w:w="154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Finance and Capital</w:t>
            </w:r>
          </w:p>
        </w:tc>
        <w:tc>
          <w:tcPr>
            <w:tcW w:w="420" w:type="dxa"/>
            <w:vAlign w:val="bottom"/>
            <w:tcBorders>
              <w:bottom w:val="single" w:sz="8" w:color="CCCCCC"/>
              <w:right w:val="single" w:sz="8" w:color="CCCCCC"/>
            </w:tcBorders>
            <w:shd w:val="clear" w:color="auto" w:fill="CCCCCC"/>
          </w:tcPr>
          <w:p>
            <w:pPr>
              <w:spacing w:after="0"/>
              <w:rPr>
                <w:sz w:val="14"/>
                <w:szCs w:val="14"/>
                <w:color w:val="auto"/>
              </w:rPr>
            </w:pPr>
          </w:p>
        </w:tc>
        <w:tc>
          <w:tcPr>
            <w:tcW w:w="320" w:type="dxa"/>
            <w:vAlign w:val="bottom"/>
            <w:tcBorders>
              <w:bottom w:val="single" w:sz="8" w:color="CCCCCC"/>
            </w:tcBorders>
            <w:shd w:val="clear" w:color="auto" w:fill="CCCCCC"/>
          </w:tcPr>
          <w:p>
            <w:pPr>
              <w:spacing w:after="0"/>
              <w:rPr>
                <w:sz w:val="14"/>
                <w:szCs w:val="14"/>
                <w:color w:val="auto"/>
              </w:rPr>
            </w:pPr>
          </w:p>
        </w:tc>
        <w:tc>
          <w:tcPr>
            <w:tcW w:w="100" w:type="dxa"/>
            <w:vAlign w:val="bottom"/>
            <w:tcBorders>
              <w:bottom w:val="single" w:sz="8" w:color="CCCCCC"/>
              <w:right w:val="single" w:sz="8" w:color="CCCCCC"/>
            </w:tcBorders>
            <w:shd w:val="clear" w:color="auto" w:fill="CCCCCC"/>
          </w:tcPr>
          <w:p>
            <w:pPr>
              <w:spacing w:after="0"/>
              <w:rPr>
                <w:sz w:val="14"/>
                <w:szCs w:val="14"/>
                <w:color w:val="auto"/>
              </w:rPr>
            </w:pPr>
          </w:p>
        </w:tc>
        <w:tc>
          <w:tcPr>
            <w:tcW w:w="560" w:type="dxa"/>
            <w:vAlign w:val="bottom"/>
            <w:tcBorders>
              <w:bottom w:val="single" w:sz="8" w:color="CCCCCC"/>
              <w:right w:val="single" w:sz="8" w:color="CCCCCC"/>
            </w:tcBorders>
            <w:shd w:val="clear" w:color="auto" w:fill="CCCCCC"/>
          </w:tcPr>
          <w:p>
            <w:pPr>
              <w:spacing w:after="0"/>
              <w:rPr>
                <w:sz w:val="14"/>
                <w:szCs w:val="14"/>
                <w:color w:val="auto"/>
              </w:rPr>
            </w:pPr>
          </w:p>
        </w:tc>
        <w:tc>
          <w:tcPr>
            <w:tcW w:w="1880" w:type="dxa"/>
            <w:vAlign w:val="bottom"/>
            <w:tcBorders>
              <w:bottom w:val="single" w:sz="8" w:color="CCCCCC"/>
              <w:right w:val="single" w:sz="8" w:color="CCCCCC"/>
            </w:tcBorders>
            <w:gridSpan w:val="8"/>
            <w:shd w:val="clear" w:color="auto" w:fill="CCCCCC"/>
          </w:tcPr>
          <w:p>
            <w:pPr>
              <w:ind w:left="80"/>
              <w:spacing w:after="0" w:line="136" w:lineRule="exact"/>
              <w:rPr>
                <w:sz w:val="20"/>
                <w:szCs w:val="20"/>
                <w:color w:val="auto"/>
              </w:rPr>
            </w:pPr>
            <w:r>
              <w:rPr>
                <w:rFonts w:ascii="Arial" w:cs="Arial" w:eastAsia="Arial" w:hAnsi="Arial"/>
                <w:sz w:val="11"/>
                <w:szCs w:val="11"/>
                <w:b w:val="1"/>
                <w:bCs w:val="1"/>
                <w:color w:val="auto"/>
                <w:w w:val="90"/>
              </w:rPr>
              <w:t>DIRECTOR SHARE OWNERSHIP</w:t>
            </w:r>
            <w:r>
              <w:rPr>
                <w:rFonts w:ascii="Arial" w:cs="Arial" w:eastAsia="Arial" w:hAnsi="Arial"/>
                <w:sz w:val="15"/>
                <w:szCs w:val="15"/>
                <w:b w:val="1"/>
                <w:bCs w:val="1"/>
                <w:color w:val="auto"/>
                <w:w w:val="90"/>
                <w:vertAlign w:val="superscript"/>
              </w:rPr>
              <w:t>(1)(3)</w:t>
            </w:r>
          </w:p>
        </w:tc>
        <w:tc>
          <w:tcPr>
            <w:tcW w:w="60" w:type="dxa"/>
            <w:vAlign w:val="bottom"/>
            <w:tcBorders>
              <w:bottom w:val="single" w:sz="8" w:color="CCCCCC"/>
            </w:tcBorders>
            <w:shd w:val="clear" w:color="auto" w:fill="CCCCCC"/>
          </w:tcPr>
          <w:p>
            <w:pPr>
              <w:spacing w:after="0"/>
              <w:rPr>
                <w:sz w:val="14"/>
                <w:szCs w:val="14"/>
                <w:color w:val="auto"/>
              </w:rPr>
            </w:pPr>
          </w:p>
        </w:tc>
        <w:tc>
          <w:tcPr>
            <w:tcW w:w="420" w:type="dxa"/>
            <w:vAlign w:val="bottom"/>
            <w:tcBorders>
              <w:bottom w:val="single" w:sz="8" w:color="CCCCCC"/>
              <w:right w:val="single" w:sz="8" w:color="CCCCCC"/>
            </w:tcBorders>
            <w:shd w:val="clear" w:color="auto" w:fill="CCCCCC"/>
          </w:tcPr>
          <w:p>
            <w:pPr>
              <w:spacing w:after="0"/>
              <w:rPr>
                <w:sz w:val="14"/>
                <w:szCs w:val="14"/>
                <w:color w:val="auto"/>
              </w:rPr>
            </w:pPr>
          </w:p>
        </w:tc>
        <w:tc>
          <w:tcPr>
            <w:tcW w:w="580" w:type="dxa"/>
            <w:vAlign w:val="bottom"/>
            <w:tcBorders>
              <w:bottom w:val="single" w:sz="8" w:color="CCCCCC"/>
              <w:right w:val="single" w:sz="8" w:color="CCCCCC"/>
            </w:tcBorders>
            <w:shd w:val="clear" w:color="auto" w:fill="CCCCCC"/>
          </w:tcPr>
          <w:p>
            <w:pPr>
              <w:spacing w:after="0"/>
              <w:rPr>
                <w:sz w:val="14"/>
                <w:szCs w:val="14"/>
                <w:color w:val="auto"/>
              </w:rPr>
            </w:pPr>
          </w:p>
        </w:tc>
        <w:tc>
          <w:tcPr>
            <w:tcW w:w="100" w:type="dxa"/>
            <w:vAlign w:val="bottom"/>
            <w:tcBorders>
              <w:bottom w:val="single" w:sz="8" w:color="CCCCCC"/>
            </w:tcBorders>
            <w:shd w:val="clear" w:color="auto" w:fill="CCCCCC"/>
          </w:tcPr>
          <w:p>
            <w:pPr>
              <w:spacing w:after="0"/>
              <w:rPr>
                <w:sz w:val="14"/>
                <w:szCs w:val="14"/>
                <w:color w:val="auto"/>
              </w:rPr>
            </w:pPr>
          </w:p>
        </w:tc>
        <w:tc>
          <w:tcPr>
            <w:tcW w:w="280" w:type="dxa"/>
            <w:vAlign w:val="bottom"/>
            <w:tcBorders>
              <w:bottom w:val="single" w:sz="8" w:color="CCCCCC"/>
            </w:tcBorders>
            <w:shd w:val="clear" w:color="auto" w:fill="CCCCCC"/>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80" w:type="dxa"/>
            <w:vAlign w:val="bottom"/>
          </w:tcPr>
          <w:p>
            <w:pPr>
              <w:spacing w:after="0"/>
              <w:rPr>
                <w:sz w:val="6"/>
                <w:szCs w:val="6"/>
                <w:color w:val="auto"/>
              </w:rPr>
            </w:pPr>
          </w:p>
        </w:tc>
        <w:tc>
          <w:tcPr>
            <w:tcW w:w="1540" w:type="dxa"/>
            <w:vAlign w:val="bottom"/>
            <w:tcBorders>
              <w:right w:val="single" w:sz="8" w:color="auto"/>
            </w:tcBorders>
          </w:tcPr>
          <w:p>
            <w:pPr>
              <w:ind w:left="20"/>
              <w:spacing w:after="0" w:line="77" w:lineRule="exact"/>
              <w:rPr>
                <w:sz w:val="20"/>
                <w:szCs w:val="20"/>
                <w:color w:val="auto"/>
              </w:rPr>
            </w:pPr>
            <w:r>
              <w:rPr>
                <w:rFonts w:ascii="Arial" w:cs="Arial" w:eastAsia="Arial" w:hAnsi="Arial"/>
                <w:sz w:val="8"/>
                <w:szCs w:val="8"/>
                <w:color w:val="auto"/>
              </w:rPr>
              <w:t>Markets</w:t>
            </w:r>
          </w:p>
        </w:tc>
        <w:tc>
          <w:tcPr>
            <w:tcW w:w="420" w:type="dxa"/>
            <w:vAlign w:val="bottom"/>
            <w:tcBorders>
              <w:top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b w:val="1"/>
                <w:bCs w:val="1"/>
                <w:color w:val="auto"/>
              </w:rPr>
              <w:t>As of</w:t>
            </w:r>
          </w:p>
        </w:tc>
        <w:tc>
          <w:tcPr>
            <w:tcW w:w="320" w:type="dxa"/>
            <w:vAlign w:val="bottom"/>
            <w:tcBorders>
              <w:top w:val="single" w:sz="8" w:color="auto"/>
            </w:tcBorders>
          </w:tcPr>
          <w:p>
            <w:pPr>
              <w:spacing w:after="0"/>
              <w:rPr>
                <w:sz w:val="6"/>
                <w:szCs w:val="6"/>
                <w:color w:val="auto"/>
              </w:rPr>
            </w:pPr>
          </w:p>
        </w:tc>
        <w:tc>
          <w:tcPr>
            <w:tcW w:w="660" w:type="dxa"/>
            <w:vAlign w:val="bottom"/>
            <w:tcBorders>
              <w:top w:val="single" w:sz="8" w:color="auto"/>
              <w:right w:val="single" w:sz="8" w:color="auto"/>
            </w:tcBorders>
            <w:gridSpan w:val="2"/>
            <w:vMerge w:val="restart"/>
          </w:tcPr>
          <w:p>
            <w:pPr>
              <w:ind w:left="60"/>
              <w:spacing w:after="0"/>
              <w:rPr>
                <w:sz w:val="20"/>
                <w:szCs w:val="20"/>
                <w:color w:val="auto"/>
              </w:rPr>
            </w:pPr>
            <w:r>
              <w:rPr>
                <w:rFonts w:ascii="Arial" w:cs="Arial" w:eastAsia="Arial" w:hAnsi="Arial"/>
                <w:sz w:val="11"/>
                <w:szCs w:val="11"/>
                <w:b w:val="1"/>
                <w:bCs w:val="1"/>
                <w:color w:val="auto"/>
              </w:rPr>
              <w:t>SVS</w:t>
            </w:r>
          </w:p>
        </w:tc>
        <w:tc>
          <w:tcPr>
            <w:tcW w:w="280" w:type="dxa"/>
            <w:vAlign w:val="bottom"/>
            <w:tcBorders>
              <w:top w:val="single" w:sz="8" w:color="auto"/>
            </w:tcBorders>
          </w:tcPr>
          <w:p>
            <w:pPr>
              <w:spacing w:after="0"/>
              <w:rPr>
                <w:sz w:val="6"/>
                <w:szCs w:val="6"/>
                <w:color w:val="auto"/>
              </w:rPr>
            </w:pPr>
          </w:p>
        </w:tc>
        <w:tc>
          <w:tcPr>
            <w:tcW w:w="54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1"/>
                <w:szCs w:val="11"/>
                <w:b w:val="1"/>
                <w:bCs w:val="1"/>
                <w:color w:val="auto"/>
              </w:rPr>
              <w:t>DSUs</w:t>
            </w:r>
          </w:p>
        </w:tc>
        <w:tc>
          <w:tcPr>
            <w:tcW w:w="60" w:type="dxa"/>
            <w:vAlign w:val="bottom"/>
            <w:tcBorders>
              <w:top w:val="single" w:sz="8" w:color="auto"/>
            </w:tcBorders>
          </w:tcPr>
          <w:p>
            <w:pPr>
              <w:spacing w:after="0"/>
              <w:rPr>
                <w:sz w:val="6"/>
                <w:szCs w:val="6"/>
                <w:color w:val="auto"/>
              </w:rPr>
            </w:pPr>
          </w:p>
        </w:tc>
        <w:tc>
          <w:tcPr>
            <w:tcW w:w="120" w:type="dxa"/>
            <w:vAlign w:val="bottom"/>
            <w:tcBorders>
              <w:top w:val="single" w:sz="8" w:color="auto"/>
              <w:right w:val="single" w:sz="8" w:color="auto"/>
            </w:tcBorders>
          </w:tcPr>
          <w:p>
            <w:pPr>
              <w:spacing w:after="0"/>
              <w:rPr>
                <w:sz w:val="6"/>
                <w:szCs w:val="6"/>
                <w:color w:val="auto"/>
              </w:rPr>
            </w:pPr>
          </w:p>
        </w:tc>
        <w:tc>
          <w:tcPr>
            <w:tcW w:w="600" w:type="dxa"/>
            <w:vAlign w:val="bottom"/>
            <w:tcBorders>
              <w:top w:val="single" w:sz="8" w:color="auto"/>
            </w:tcBorders>
            <w:gridSpan w:val="2"/>
            <w:vMerge w:val="restart"/>
          </w:tcPr>
          <w:p>
            <w:pPr>
              <w:ind w:left="300"/>
              <w:spacing w:after="0"/>
              <w:rPr>
                <w:sz w:val="20"/>
                <w:szCs w:val="20"/>
                <w:color w:val="auto"/>
              </w:rPr>
            </w:pPr>
            <w:r>
              <w:rPr>
                <w:rFonts w:ascii="Arial" w:cs="Arial" w:eastAsia="Arial" w:hAnsi="Arial"/>
                <w:sz w:val="11"/>
                <w:szCs w:val="11"/>
                <w:b w:val="1"/>
                <w:bCs w:val="1"/>
                <w:color w:val="auto"/>
                <w:w w:val="95"/>
              </w:rPr>
              <w:t>RSUs</w:t>
            </w:r>
          </w:p>
        </w:tc>
        <w:tc>
          <w:tcPr>
            <w:tcW w:w="280" w:type="dxa"/>
            <w:vAlign w:val="bottom"/>
            <w:tcBorders>
              <w:top w:val="single" w:sz="8" w:color="auto"/>
              <w:right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20" w:type="dxa"/>
            <w:vAlign w:val="bottom"/>
            <w:tcBorders>
              <w:top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b w:val="1"/>
                <w:bCs w:val="1"/>
                <w:color w:val="auto"/>
              </w:rPr>
              <w:t>Total</w:t>
            </w:r>
          </w:p>
        </w:tc>
        <w:tc>
          <w:tcPr>
            <w:tcW w:w="580" w:type="dxa"/>
            <w:vAlign w:val="bottom"/>
            <w:tcBorders>
              <w:top w:val="single" w:sz="8" w:color="auto"/>
              <w:right w:val="single" w:sz="8" w:color="auto"/>
            </w:tcBorders>
            <w:vMerge w:val="restart"/>
          </w:tcPr>
          <w:p>
            <w:pPr>
              <w:jc w:val="center"/>
              <w:ind w:right="9"/>
              <w:spacing w:after="0"/>
              <w:rPr>
                <w:sz w:val="20"/>
                <w:szCs w:val="20"/>
                <w:color w:val="auto"/>
              </w:rPr>
            </w:pPr>
            <w:r>
              <w:rPr>
                <w:rFonts w:ascii="Arial" w:cs="Arial" w:eastAsia="Arial" w:hAnsi="Arial"/>
                <w:sz w:val="11"/>
                <w:szCs w:val="11"/>
                <w:b w:val="1"/>
                <w:bCs w:val="1"/>
                <w:color w:val="auto"/>
                <w:w w:val="91"/>
              </w:rPr>
              <w:t>Total</w:t>
            </w:r>
          </w:p>
        </w:tc>
        <w:tc>
          <w:tcPr>
            <w:tcW w:w="380" w:type="dxa"/>
            <w:vAlign w:val="bottom"/>
            <w:tcBorders>
              <w:top w:val="single" w:sz="8" w:color="auto"/>
            </w:tcBorders>
            <w:gridSpan w:val="2"/>
            <w:vMerge w:val="restart"/>
          </w:tcPr>
          <w:p>
            <w:pPr>
              <w:jc w:val="center"/>
              <w:ind w:right="40"/>
              <w:spacing w:after="0"/>
              <w:rPr>
                <w:sz w:val="20"/>
                <w:szCs w:val="20"/>
                <w:color w:val="auto"/>
              </w:rPr>
            </w:pPr>
            <w:r>
              <w:rPr>
                <w:rFonts w:ascii="Arial" w:cs="Arial" w:eastAsia="Arial" w:hAnsi="Arial"/>
                <w:sz w:val="11"/>
                <w:szCs w:val="11"/>
                <w:b w:val="1"/>
                <w:bCs w:val="1"/>
                <w:color w:val="auto"/>
                <w:w w:val="89"/>
              </w:rPr>
              <w:t>Target</w:t>
            </w:r>
          </w:p>
        </w:tc>
        <w:tc>
          <w:tcPr>
            <w:tcW w:w="40" w:type="dxa"/>
            <w:vAlign w:val="bottom"/>
            <w:tcBorders>
              <w:right w:val="single" w:sz="8" w:color="auto"/>
            </w:tcBorders>
            <w:vMerge w:val="restart"/>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80" w:type="dxa"/>
            <w:vAlign w:val="bottom"/>
          </w:tcPr>
          <w:p>
            <w:pPr>
              <w:spacing w:after="0" w:line="83" w:lineRule="exact"/>
              <w:rPr>
                <w:sz w:val="20"/>
                <w:szCs w:val="20"/>
                <w:color w:val="auto"/>
              </w:rPr>
            </w:pPr>
            <w:r>
              <w:rPr>
                <w:rFonts w:ascii="Arial" w:cs="Arial" w:eastAsia="Arial" w:hAnsi="Arial"/>
                <w:sz w:val="8"/>
                <w:szCs w:val="8"/>
                <w:color w:val="auto"/>
              </w:rPr>
              <w:t>•</w:t>
            </w:r>
          </w:p>
        </w:tc>
        <w:tc>
          <w:tcPr>
            <w:tcW w:w="1540" w:type="dxa"/>
            <w:vAlign w:val="bottom"/>
            <w:tcBorders>
              <w:right w:val="single" w:sz="8" w:color="auto"/>
            </w:tcBorders>
          </w:tcPr>
          <w:p>
            <w:pPr>
              <w:ind w:left="20"/>
              <w:spacing w:after="0" w:line="83" w:lineRule="exact"/>
              <w:rPr>
                <w:sz w:val="20"/>
                <w:szCs w:val="20"/>
                <w:color w:val="auto"/>
              </w:rPr>
            </w:pPr>
            <w:r>
              <w:rPr>
                <w:rFonts w:ascii="Arial" w:cs="Arial" w:eastAsia="Arial" w:hAnsi="Arial"/>
                <w:sz w:val="8"/>
                <w:szCs w:val="8"/>
                <w:color w:val="auto"/>
              </w:rPr>
              <w:t>Aerospace and</w:t>
            </w:r>
          </w:p>
        </w:tc>
        <w:tc>
          <w:tcPr>
            <w:tcW w:w="420" w:type="dxa"/>
            <w:vAlign w:val="bottom"/>
            <w:tcBorders>
              <w:bottom w:val="single" w:sz="8" w:color="auto"/>
              <w:right w:val="single" w:sz="8" w:color="auto"/>
            </w:tcBorders>
            <w:vMerge w:val="continue"/>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60" w:type="dxa"/>
            <w:vAlign w:val="bottom"/>
            <w:tcBorders>
              <w:bottom w:val="single" w:sz="8" w:color="auto"/>
              <w:right w:val="single" w:sz="8" w:color="auto"/>
            </w:tcBorders>
            <w:gridSpan w:val="2"/>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gridSpan w:val="2"/>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right w:val="single" w:sz="8" w:color="auto"/>
            </w:tcBorders>
          </w:tcPr>
          <w:p>
            <w:pPr>
              <w:spacing w:after="0"/>
              <w:rPr>
                <w:sz w:val="7"/>
                <w:szCs w:val="7"/>
                <w:color w:val="auto"/>
              </w:rPr>
            </w:pPr>
          </w:p>
        </w:tc>
        <w:tc>
          <w:tcPr>
            <w:tcW w:w="600" w:type="dxa"/>
            <w:vAlign w:val="bottom"/>
            <w:tcBorders>
              <w:bottom w:val="single" w:sz="8" w:color="auto"/>
            </w:tcBorders>
            <w:gridSpan w:val="2"/>
            <w:vMerge w:val="continue"/>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Borders>
              <w:bottom w:val="single" w:sz="8" w:color="auto"/>
              <w:right w:val="single" w:sz="8" w:color="auto"/>
            </w:tcBorders>
            <w:vMerge w:val="continue"/>
          </w:tcPr>
          <w:p>
            <w:pPr>
              <w:spacing w:after="0"/>
              <w:rPr>
                <w:sz w:val="7"/>
                <w:szCs w:val="7"/>
                <w:color w:val="auto"/>
              </w:rPr>
            </w:pPr>
          </w:p>
        </w:tc>
        <w:tc>
          <w:tcPr>
            <w:tcW w:w="580" w:type="dxa"/>
            <w:vAlign w:val="bottom"/>
            <w:tcBorders>
              <w:bottom w:val="single" w:sz="8" w:color="auto"/>
              <w:right w:val="single" w:sz="8" w:color="auto"/>
            </w:tcBorders>
            <w:vMerge w:val="continue"/>
          </w:tcPr>
          <w:p>
            <w:pPr>
              <w:spacing w:after="0"/>
              <w:rPr>
                <w:sz w:val="7"/>
                <w:szCs w:val="7"/>
                <w:color w:val="auto"/>
              </w:rPr>
            </w:pPr>
          </w:p>
        </w:tc>
        <w:tc>
          <w:tcPr>
            <w:tcW w:w="380" w:type="dxa"/>
            <w:vAlign w:val="bottom"/>
            <w:tcBorders>
              <w:bottom w:val="single" w:sz="8" w:color="auto"/>
            </w:tcBorders>
            <w:gridSpan w:val="2"/>
            <w:vMerge w:val="continue"/>
          </w:tcPr>
          <w:p>
            <w:pPr>
              <w:spacing w:after="0"/>
              <w:rPr>
                <w:sz w:val="7"/>
                <w:szCs w:val="7"/>
                <w:color w:val="auto"/>
              </w:rPr>
            </w:pPr>
          </w:p>
        </w:tc>
        <w:tc>
          <w:tcPr>
            <w:tcW w:w="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54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Transportation</w:t>
            </w:r>
          </w:p>
        </w:tc>
        <w:tc>
          <w:tcPr>
            <w:tcW w:w="420" w:type="dxa"/>
            <w:vAlign w:val="bottom"/>
            <w:tcBorders>
              <w:right w:val="single" w:sz="8" w:color="auto"/>
            </w:tcBorders>
          </w:tcPr>
          <w:p>
            <w:pPr>
              <w:ind w:left="40"/>
              <w:spacing w:after="0"/>
              <w:rPr>
                <w:sz w:val="20"/>
                <w:szCs w:val="20"/>
                <w:color w:val="auto"/>
              </w:rPr>
            </w:pPr>
            <w:r>
              <w:rPr>
                <w:rFonts w:ascii="Arial" w:cs="Arial" w:eastAsia="Arial" w:hAnsi="Arial"/>
                <w:sz w:val="11"/>
                <w:szCs w:val="11"/>
                <w:b w:val="1"/>
                <w:bCs w:val="1"/>
                <w:color w:val="auto"/>
                <w:w w:val="88"/>
              </w:rPr>
              <w:t>Dec. 31</w:t>
            </w:r>
          </w:p>
        </w:tc>
        <w:tc>
          <w:tcPr>
            <w:tcW w:w="320" w:type="dxa"/>
            <w:vAlign w:val="bottom"/>
          </w:tcPr>
          <w:p>
            <w:pPr>
              <w:jc w:val="center"/>
              <w:ind w:left="49"/>
              <w:spacing w:after="0"/>
              <w:rPr>
                <w:sz w:val="20"/>
                <w:szCs w:val="20"/>
                <w:color w:val="auto"/>
              </w:rPr>
            </w:pPr>
            <w:r>
              <w:rPr>
                <w:rFonts w:ascii="Arial" w:cs="Arial" w:eastAsia="Arial" w:hAnsi="Arial"/>
                <w:sz w:val="11"/>
                <w:szCs w:val="11"/>
                <w:b w:val="1"/>
                <w:bCs w:val="1"/>
                <w:color w:val="auto"/>
                <w:w w:val="97"/>
              </w:rPr>
              <w:t>#</w:t>
            </w:r>
          </w:p>
        </w:tc>
        <w:tc>
          <w:tcPr>
            <w:tcW w:w="10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71"/>
              </w:rPr>
              <w:t>$</w:t>
            </w:r>
          </w:p>
        </w:tc>
        <w:tc>
          <w:tcPr>
            <w:tcW w:w="280" w:type="dxa"/>
            <w:vAlign w:val="bottom"/>
          </w:tcPr>
          <w:p>
            <w:pPr>
              <w:jc w:val="center"/>
              <w:ind w:left="89"/>
              <w:spacing w:after="0"/>
              <w:rPr>
                <w:sz w:val="20"/>
                <w:szCs w:val="20"/>
                <w:color w:val="auto"/>
              </w:rPr>
            </w:pPr>
            <w:r>
              <w:rPr>
                <w:rFonts w:ascii="Arial" w:cs="Arial" w:eastAsia="Arial" w:hAnsi="Arial"/>
                <w:sz w:val="11"/>
                <w:szCs w:val="11"/>
                <w:b w:val="1"/>
                <w:bCs w:val="1"/>
                <w:color w:val="auto"/>
                <w:w w:val="97"/>
              </w:rPr>
              <w:t>#</w:t>
            </w:r>
          </w:p>
        </w:tc>
        <w:tc>
          <w:tcPr>
            <w:tcW w:w="160" w:type="dxa"/>
            <w:vAlign w:val="bottom"/>
            <w:tcBorders>
              <w:right w:val="single" w:sz="8" w:color="auto"/>
            </w:tcBorders>
          </w:tcPr>
          <w:p>
            <w:pPr>
              <w:spacing w:after="0"/>
              <w:rPr>
                <w:sz w:val="12"/>
                <w:szCs w:val="12"/>
                <w:color w:val="auto"/>
              </w:rPr>
            </w:pPr>
          </w:p>
        </w:tc>
        <w:tc>
          <w:tcPr>
            <w:tcW w:w="380" w:type="dxa"/>
            <w:vAlign w:val="bottom"/>
          </w:tcPr>
          <w:p>
            <w:pPr>
              <w:jc w:val="center"/>
              <w:ind w:left="109"/>
              <w:spacing w:after="0"/>
              <w:rPr>
                <w:sz w:val="20"/>
                <w:szCs w:val="20"/>
                <w:color w:val="auto"/>
              </w:rPr>
            </w:pPr>
            <w:r>
              <w:rPr>
                <w:rFonts w:ascii="Arial" w:cs="Arial" w:eastAsia="Arial" w:hAnsi="Arial"/>
                <w:sz w:val="11"/>
                <w:szCs w:val="11"/>
                <w:b w:val="1"/>
                <w:bCs w:val="1"/>
                <w:color w:val="auto"/>
                <w:w w:val="97"/>
              </w:rPr>
              <w:t>$</w:t>
            </w:r>
          </w:p>
        </w:tc>
        <w:tc>
          <w:tcPr>
            <w:tcW w:w="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4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w:t>
            </w:r>
          </w:p>
        </w:tc>
        <w:tc>
          <w:tcPr>
            <w:tcW w:w="160" w:type="dxa"/>
            <w:vAlign w:val="bottom"/>
          </w:tcPr>
          <w:p>
            <w:pPr>
              <w:spacing w:after="0"/>
              <w:rPr>
                <w:sz w:val="12"/>
                <w:szCs w:val="12"/>
                <w:color w:val="auto"/>
              </w:rPr>
            </w:pPr>
          </w:p>
        </w:tc>
        <w:tc>
          <w:tcPr>
            <w:tcW w:w="280" w:type="dxa"/>
            <w:vAlign w:val="bottom"/>
            <w:tcBorders>
              <w:right w:val="single" w:sz="8" w:color="auto"/>
            </w:tcBorders>
          </w:tcPr>
          <w:p>
            <w:pPr>
              <w:jc w:val="center"/>
              <w:ind w:right="129"/>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right w:val="single" w:sz="8" w:color="auto"/>
            </w:tcBorders>
            <w:gridSpan w:val="2"/>
          </w:tcPr>
          <w:p>
            <w:pPr>
              <w:jc w:val="right"/>
              <w:ind w:right="168"/>
              <w:spacing w:after="0"/>
              <w:rPr>
                <w:sz w:val="20"/>
                <w:szCs w:val="20"/>
                <w:color w:val="auto"/>
              </w:rPr>
            </w:pPr>
            <w:r>
              <w:rPr>
                <w:rFonts w:ascii="Arial" w:cs="Arial" w:eastAsia="Arial" w:hAnsi="Arial"/>
                <w:sz w:val="11"/>
                <w:szCs w:val="11"/>
                <w:b w:val="1"/>
                <w:bCs w:val="1"/>
                <w:color w:val="auto"/>
              </w:rPr>
              <w:t>#</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81"/>
              </w:rPr>
              <w:t>Value</w:t>
            </w:r>
          </w:p>
        </w:tc>
        <w:tc>
          <w:tcPr>
            <w:tcW w:w="4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1"/>
                <w:szCs w:val="11"/>
                <w:b w:val="1"/>
                <w:bCs w:val="1"/>
                <w:color w:val="auto"/>
                <w:w w:val="94"/>
              </w:rPr>
              <w:t>Met</w:t>
            </w:r>
          </w:p>
        </w:tc>
        <w:tc>
          <w:tcPr>
            <w:tcW w:w="0" w:type="dxa"/>
            <w:vAlign w:val="bottom"/>
          </w:tcPr>
          <w:p>
            <w:pPr>
              <w:spacing w:after="0"/>
              <w:rPr>
                <w:sz w:val="1"/>
                <w:szCs w:val="1"/>
                <w:color w:val="auto"/>
              </w:rPr>
            </w:pPr>
          </w:p>
        </w:tc>
      </w:tr>
      <w:tr>
        <w:trPr>
          <w:trHeight w:val="122"/>
        </w:trPr>
        <w:tc>
          <w:tcPr>
            <w:tcW w:w="80" w:type="dxa"/>
            <w:vAlign w:val="bottom"/>
          </w:tcPr>
          <w:p>
            <w:pPr>
              <w:spacing w:after="0" w:line="122" w:lineRule="exact"/>
              <w:rPr>
                <w:sz w:val="20"/>
                <w:szCs w:val="20"/>
                <w:color w:val="auto"/>
              </w:rPr>
            </w:pPr>
            <w:r>
              <w:rPr>
                <w:rFonts w:ascii="Arial" w:cs="Arial" w:eastAsia="Arial" w:hAnsi="Arial"/>
                <w:sz w:val="11"/>
                <w:szCs w:val="11"/>
                <w:color w:val="auto"/>
              </w:rPr>
              <w:t>•</w:t>
            </w:r>
          </w:p>
        </w:tc>
        <w:tc>
          <w:tcPr>
            <w:tcW w:w="1540" w:type="dxa"/>
            <w:vAlign w:val="bottom"/>
            <w:tcBorders>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Business Development</w:t>
            </w:r>
          </w:p>
        </w:tc>
        <w:tc>
          <w:tcPr>
            <w:tcW w:w="4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0"/>
                <w:szCs w:val="10"/>
                <w:b w:val="1"/>
                <w:bCs w:val="1"/>
                <w:color w:val="auto"/>
              </w:rPr>
              <w:t>2020</w:t>
            </w:r>
          </w:p>
        </w:tc>
        <w:tc>
          <w:tcPr>
            <w:tcW w:w="320" w:type="dxa"/>
            <w:vAlign w:val="bottom"/>
            <w:tcBorders>
              <w:top w:val="single" w:sz="8" w:color="auto"/>
            </w:tcBorders>
          </w:tcPr>
          <w:p>
            <w:pPr>
              <w:jc w:val="center"/>
              <w:ind w:left="49"/>
              <w:spacing w:after="0"/>
              <w:rPr>
                <w:sz w:val="20"/>
                <w:szCs w:val="20"/>
                <w:color w:val="auto"/>
              </w:rPr>
            </w:pPr>
            <w:r>
              <w:rPr>
                <w:rFonts w:ascii="Arial" w:cs="Arial" w:eastAsia="Arial" w:hAnsi="Arial"/>
                <w:sz w:val="10"/>
                <w:szCs w:val="10"/>
                <w:color w:val="auto"/>
                <w:w w:val="99"/>
              </w:rPr>
              <w:t>—</w:t>
            </w:r>
          </w:p>
        </w:tc>
        <w:tc>
          <w:tcPr>
            <w:tcW w:w="100" w:type="dxa"/>
            <w:vAlign w:val="bottom"/>
            <w:tcBorders>
              <w:top w:val="single" w:sz="8" w:color="auto"/>
              <w:right w:val="single" w:sz="8" w:color="auto"/>
            </w:tcBorders>
          </w:tcPr>
          <w:p>
            <w:pPr>
              <w:spacing w:after="0"/>
              <w:rPr>
                <w:sz w:val="10"/>
                <w:szCs w:val="10"/>
                <w:color w:val="auto"/>
              </w:rPr>
            </w:pPr>
          </w:p>
        </w:tc>
        <w:tc>
          <w:tcPr>
            <w:tcW w:w="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280" w:type="dxa"/>
            <w:vAlign w:val="bottom"/>
            <w:tcBorders>
              <w:top w:val="single" w:sz="8" w:color="auto"/>
            </w:tcBorders>
          </w:tcPr>
          <w:p>
            <w:pPr>
              <w:jc w:val="center"/>
              <w:ind w:left="89"/>
              <w:spacing w:after="0"/>
              <w:rPr>
                <w:sz w:val="20"/>
                <w:szCs w:val="20"/>
                <w:color w:val="auto"/>
              </w:rPr>
            </w:pPr>
            <w:r>
              <w:rPr>
                <w:rFonts w:ascii="Arial" w:cs="Arial" w:eastAsia="Arial" w:hAnsi="Arial"/>
                <w:sz w:val="10"/>
                <w:szCs w:val="10"/>
                <w:color w:val="auto"/>
                <w:w w:val="99"/>
              </w:rPr>
              <w:t>—</w:t>
            </w:r>
          </w:p>
        </w:tc>
        <w:tc>
          <w:tcPr>
            <w:tcW w:w="160" w:type="dxa"/>
            <w:vAlign w:val="bottom"/>
            <w:tcBorders>
              <w:top w:val="single" w:sz="8" w:color="auto"/>
              <w:right w:val="single" w:sz="8" w:color="auto"/>
            </w:tcBorders>
          </w:tcPr>
          <w:p>
            <w:pPr>
              <w:spacing w:after="0"/>
              <w:rPr>
                <w:sz w:val="10"/>
                <w:szCs w:val="10"/>
                <w:color w:val="auto"/>
              </w:rPr>
            </w:pPr>
          </w:p>
        </w:tc>
        <w:tc>
          <w:tcPr>
            <w:tcW w:w="380" w:type="dxa"/>
            <w:vAlign w:val="bottom"/>
            <w:tcBorders>
              <w:top w:val="single" w:sz="8" w:color="auto"/>
            </w:tcBorders>
          </w:tcPr>
          <w:p>
            <w:pPr>
              <w:jc w:val="center"/>
              <w:ind w:left="109"/>
              <w:spacing w:after="0"/>
              <w:rPr>
                <w:sz w:val="20"/>
                <w:szCs w:val="20"/>
                <w:color w:val="auto"/>
              </w:rPr>
            </w:pPr>
            <w:r>
              <w:rPr>
                <w:rFonts w:ascii="Arial" w:cs="Arial" w:eastAsia="Arial" w:hAnsi="Arial"/>
                <w:sz w:val="10"/>
                <w:szCs w:val="10"/>
                <w:color w:val="auto"/>
                <w:w w:val="99"/>
              </w:rPr>
              <w:t>—</w:t>
            </w: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right w:val="single" w:sz="8" w:color="auto"/>
            </w:tcBorders>
          </w:tcPr>
          <w:p>
            <w:pPr>
              <w:spacing w:after="0"/>
              <w:rPr>
                <w:sz w:val="10"/>
                <w:szCs w:val="10"/>
                <w:color w:val="auto"/>
              </w:rPr>
            </w:pPr>
          </w:p>
        </w:tc>
        <w:tc>
          <w:tcPr>
            <w:tcW w:w="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60" w:type="dxa"/>
            <w:vAlign w:val="bottom"/>
            <w:tcBorders>
              <w:top w:val="single" w:sz="8" w:color="auto"/>
            </w:tcBorders>
          </w:tcPr>
          <w:p>
            <w:pPr>
              <w:spacing w:after="0"/>
              <w:rPr>
                <w:sz w:val="10"/>
                <w:szCs w:val="10"/>
                <w:color w:val="auto"/>
              </w:rPr>
            </w:pPr>
          </w:p>
        </w:tc>
        <w:tc>
          <w:tcPr>
            <w:tcW w:w="280" w:type="dxa"/>
            <w:vAlign w:val="bottom"/>
            <w:tcBorders>
              <w:top w:val="single" w:sz="8" w:color="auto"/>
              <w:right w:val="single" w:sz="8" w:color="auto"/>
            </w:tcBorders>
          </w:tcPr>
          <w:p>
            <w:pPr>
              <w:jc w:val="center"/>
              <w:ind w:right="129"/>
              <w:spacing w:after="0"/>
              <w:rPr>
                <w:sz w:val="20"/>
                <w:szCs w:val="20"/>
                <w:color w:val="auto"/>
              </w:rPr>
            </w:pPr>
            <w:r>
              <w:rPr>
                <w:rFonts w:ascii="Arial" w:cs="Arial" w:eastAsia="Arial" w:hAnsi="Arial"/>
                <w:sz w:val="10"/>
                <w:szCs w:val="10"/>
                <w:color w:val="auto"/>
                <w:w w:val="99"/>
              </w:rPr>
              <w:t>—</w:t>
            </w:r>
          </w:p>
        </w:tc>
        <w:tc>
          <w:tcPr>
            <w:tcW w:w="60" w:type="dxa"/>
            <w:vAlign w:val="bottom"/>
            <w:tcBorders>
              <w:top w:val="single" w:sz="8" w:color="auto"/>
            </w:tcBorders>
          </w:tcPr>
          <w:p>
            <w:pPr>
              <w:spacing w:after="0"/>
              <w:rPr>
                <w:sz w:val="10"/>
                <w:szCs w:val="10"/>
                <w:color w:val="auto"/>
              </w:rPr>
            </w:pPr>
          </w:p>
        </w:tc>
        <w:tc>
          <w:tcPr>
            <w:tcW w:w="420" w:type="dxa"/>
            <w:vAlign w:val="bottom"/>
            <w:tcBorders>
              <w:top w:val="single" w:sz="8" w:color="auto"/>
              <w:right w:val="single" w:sz="8" w:color="auto"/>
            </w:tcBorders>
          </w:tcPr>
          <w:p>
            <w:pPr>
              <w:spacing w:after="0"/>
              <w:rPr>
                <w:sz w:val="10"/>
                <w:szCs w:val="10"/>
                <w:color w:val="auto"/>
              </w:rPr>
            </w:pPr>
          </w:p>
        </w:tc>
        <w:tc>
          <w:tcPr>
            <w:tcW w:w="580" w:type="dxa"/>
            <w:vAlign w:val="bottom"/>
            <w:tcBorders>
              <w:top w:val="single" w:sz="8" w:color="auto"/>
              <w:right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620" w:type="dxa"/>
            <w:vAlign w:val="bottom"/>
            <w:tcBorders>
              <w:right w:val="single" w:sz="8" w:color="auto"/>
            </w:tcBorders>
            <w:gridSpan w:val="2"/>
            <w:vMerge w:val="restart"/>
          </w:tcPr>
          <w:p>
            <w:pPr>
              <w:spacing w:after="0" w:line="120" w:lineRule="exact"/>
              <w:rPr>
                <w:sz w:val="20"/>
                <w:szCs w:val="20"/>
                <w:color w:val="auto"/>
              </w:rPr>
            </w:pPr>
            <w:r>
              <w:rPr>
                <w:rFonts w:ascii="Arial" w:cs="Arial" w:eastAsia="Arial" w:hAnsi="Arial"/>
                <w:sz w:val="11"/>
                <w:szCs w:val="11"/>
                <w:b w:val="1"/>
                <w:bCs w:val="1"/>
                <w:color w:val="auto"/>
              </w:rPr>
              <w:t>Other Current Public Board</w:t>
            </w:r>
          </w:p>
        </w:tc>
        <w:tc>
          <w:tcPr>
            <w:tcW w:w="4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1620" w:type="dxa"/>
            <w:vAlign w:val="bottom"/>
            <w:tcBorders>
              <w:right w:val="single" w:sz="8" w:color="auto"/>
            </w:tcBorders>
            <w:gridSpan w:val="2"/>
            <w:vMerge w:val="continue"/>
          </w:tcPr>
          <w:p>
            <w:pPr>
              <w:spacing w:after="0"/>
              <w:rPr>
                <w:sz w:val="6"/>
                <w:szCs w:val="6"/>
                <w:color w:val="auto"/>
              </w:rPr>
            </w:pPr>
          </w:p>
        </w:tc>
        <w:tc>
          <w:tcPr>
            <w:tcW w:w="420" w:type="dxa"/>
            <w:vAlign w:val="bottom"/>
            <w:tcBorders>
              <w:right w:val="single" w:sz="8" w:color="auto"/>
            </w:tcBorders>
            <w:vMerge w:val="restart"/>
          </w:tcPr>
          <w:p>
            <w:pPr>
              <w:ind w:left="40"/>
              <w:spacing w:after="0"/>
              <w:rPr>
                <w:sz w:val="20"/>
                <w:szCs w:val="20"/>
                <w:color w:val="auto"/>
              </w:rPr>
            </w:pPr>
            <w:r>
              <w:rPr>
                <w:rFonts w:ascii="Arial" w:cs="Arial" w:eastAsia="Arial" w:hAnsi="Arial"/>
                <w:sz w:val="10"/>
                <w:szCs w:val="10"/>
                <w:b w:val="1"/>
                <w:bCs w:val="1"/>
                <w:color w:val="auto"/>
              </w:rPr>
              <w:t>2019</w:t>
            </w:r>
          </w:p>
        </w:tc>
        <w:tc>
          <w:tcPr>
            <w:tcW w:w="320" w:type="dxa"/>
            <w:vAlign w:val="bottom"/>
            <w:vMerge w:val="restart"/>
          </w:tcPr>
          <w:p>
            <w:pPr>
              <w:jc w:val="center"/>
              <w:ind w:left="49"/>
              <w:spacing w:after="0"/>
              <w:rPr>
                <w:sz w:val="20"/>
                <w:szCs w:val="20"/>
                <w:color w:val="auto"/>
              </w:rPr>
            </w:pPr>
            <w:r>
              <w:rPr>
                <w:rFonts w:ascii="Arial" w:cs="Arial" w:eastAsia="Arial" w:hAnsi="Arial"/>
                <w:sz w:val="10"/>
                <w:szCs w:val="10"/>
                <w:color w:val="auto"/>
                <w:w w:val="99"/>
              </w:rPr>
              <w:t>—</w:t>
            </w:r>
          </w:p>
        </w:tc>
        <w:tc>
          <w:tcPr>
            <w:tcW w:w="100" w:type="dxa"/>
            <w:vAlign w:val="bottom"/>
            <w:tcBorders>
              <w:right w:val="single" w:sz="8" w:color="auto"/>
            </w:tcBorders>
          </w:tcPr>
          <w:p>
            <w:pPr>
              <w:spacing w:after="0"/>
              <w:rPr>
                <w:sz w:val="6"/>
                <w:szCs w:val="6"/>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color w:val="auto"/>
                <w:w w:val="99"/>
              </w:rPr>
              <w:t>—</w:t>
            </w:r>
          </w:p>
        </w:tc>
        <w:tc>
          <w:tcPr>
            <w:tcW w:w="280" w:type="dxa"/>
            <w:vAlign w:val="bottom"/>
            <w:vMerge w:val="restart"/>
          </w:tcPr>
          <w:p>
            <w:pPr>
              <w:jc w:val="center"/>
              <w:ind w:left="89"/>
              <w:spacing w:after="0"/>
              <w:rPr>
                <w:sz w:val="20"/>
                <w:szCs w:val="20"/>
                <w:color w:val="auto"/>
              </w:rPr>
            </w:pPr>
            <w:r>
              <w:rPr>
                <w:rFonts w:ascii="Arial" w:cs="Arial" w:eastAsia="Arial" w:hAnsi="Arial"/>
                <w:sz w:val="10"/>
                <w:szCs w:val="10"/>
                <w:color w:val="auto"/>
                <w:w w:val="99"/>
              </w:rPr>
              <w:t>—</w:t>
            </w:r>
          </w:p>
        </w:tc>
        <w:tc>
          <w:tcPr>
            <w:tcW w:w="160" w:type="dxa"/>
            <w:vAlign w:val="bottom"/>
            <w:tcBorders>
              <w:right w:val="single" w:sz="8" w:color="auto"/>
            </w:tcBorders>
          </w:tcPr>
          <w:p>
            <w:pPr>
              <w:spacing w:after="0"/>
              <w:rPr>
                <w:sz w:val="6"/>
                <w:szCs w:val="6"/>
                <w:color w:val="auto"/>
              </w:rPr>
            </w:pPr>
          </w:p>
        </w:tc>
        <w:tc>
          <w:tcPr>
            <w:tcW w:w="380" w:type="dxa"/>
            <w:vAlign w:val="bottom"/>
            <w:vMerge w:val="restart"/>
          </w:tcPr>
          <w:p>
            <w:pPr>
              <w:jc w:val="center"/>
              <w:ind w:left="109"/>
              <w:spacing w:after="0"/>
              <w:rPr>
                <w:sz w:val="20"/>
                <w:szCs w:val="20"/>
                <w:color w:val="auto"/>
              </w:rPr>
            </w:pPr>
            <w:r>
              <w:rPr>
                <w:rFonts w:ascii="Arial" w:cs="Arial" w:eastAsia="Arial" w:hAnsi="Arial"/>
                <w:sz w:val="10"/>
                <w:szCs w:val="10"/>
                <w:color w:val="auto"/>
                <w:w w:val="99"/>
              </w:rPr>
              <w:t>—</w:t>
            </w:r>
          </w:p>
        </w:tc>
        <w:tc>
          <w:tcPr>
            <w:tcW w:w="6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color w:val="auto"/>
                <w:w w:val="99"/>
              </w:rPr>
              <w:t>—</w:t>
            </w:r>
          </w:p>
        </w:tc>
        <w:tc>
          <w:tcPr>
            <w:tcW w:w="160" w:type="dxa"/>
            <w:vAlign w:val="bottom"/>
          </w:tcPr>
          <w:p>
            <w:pPr>
              <w:spacing w:after="0"/>
              <w:rPr>
                <w:sz w:val="6"/>
                <w:szCs w:val="6"/>
                <w:color w:val="auto"/>
              </w:rPr>
            </w:pPr>
          </w:p>
        </w:tc>
        <w:tc>
          <w:tcPr>
            <w:tcW w:w="280" w:type="dxa"/>
            <w:vAlign w:val="bottom"/>
            <w:tcBorders>
              <w:right w:val="single" w:sz="8" w:color="auto"/>
            </w:tcBorders>
            <w:vMerge w:val="restart"/>
          </w:tcPr>
          <w:p>
            <w:pPr>
              <w:jc w:val="center"/>
              <w:ind w:right="129"/>
              <w:spacing w:after="0"/>
              <w:rPr>
                <w:sz w:val="20"/>
                <w:szCs w:val="20"/>
                <w:color w:val="auto"/>
              </w:rPr>
            </w:pPr>
            <w:r>
              <w:rPr>
                <w:rFonts w:ascii="Arial" w:cs="Arial" w:eastAsia="Arial" w:hAnsi="Arial"/>
                <w:sz w:val="10"/>
                <w:szCs w:val="10"/>
                <w:color w:val="auto"/>
                <w:w w:val="99"/>
              </w:rPr>
              <w:t>—</w:t>
            </w:r>
          </w:p>
        </w:tc>
        <w:tc>
          <w:tcPr>
            <w:tcW w:w="60" w:type="dxa"/>
            <w:vAlign w:val="bottom"/>
          </w:tcPr>
          <w:p>
            <w:pPr>
              <w:spacing w:after="0"/>
              <w:rPr>
                <w:sz w:val="6"/>
                <w:szCs w:val="6"/>
                <w:color w:val="auto"/>
              </w:rPr>
            </w:pPr>
          </w:p>
        </w:tc>
        <w:tc>
          <w:tcPr>
            <w:tcW w:w="420" w:type="dxa"/>
            <w:vAlign w:val="bottom"/>
            <w:tcBorders>
              <w:right w:val="single" w:sz="8" w:color="auto"/>
            </w:tcBorders>
            <w:vMerge w:val="restart"/>
          </w:tcPr>
          <w:p>
            <w:pPr>
              <w:jc w:val="center"/>
              <w:ind w:right="28"/>
              <w:spacing w:after="0"/>
              <w:rPr>
                <w:sz w:val="20"/>
                <w:szCs w:val="20"/>
                <w:color w:val="auto"/>
              </w:rPr>
            </w:pPr>
            <w:r>
              <w:rPr>
                <w:rFonts w:ascii="Arial" w:cs="Arial" w:eastAsia="Arial" w:hAnsi="Arial"/>
                <w:sz w:val="10"/>
                <w:szCs w:val="10"/>
                <w:color w:val="auto"/>
                <w:w w:val="99"/>
              </w:rPr>
              <w:t>—</w:t>
            </w: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color w:val="auto"/>
                <w:w w:val="99"/>
              </w:rPr>
              <w:t>—</w:t>
            </w:r>
          </w:p>
        </w:tc>
        <w:tc>
          <w:tcPr>
            <w:tcW w:w="420" w:type="dxa"/>
            <w:vAlign w:val="bottom"/>
            <w:tcBorders>
              <w:right w:val="single" w:sz="8" w:color="auto"/>
            </w:tcBorders>
            <w:gridSpan w:val="3"/>
            <w:vMerge w:val="restart"/>
          </w:tcPr>
          <w:p>
            <w:pPr>
              <w:jc w:val="center"/>
              <w:ind w:right="60"/>
              <w:spacing w:after="0"/>
              <w:rPr>
                <w:sz w:val="20"/>
                <w:szCs w:val="20"/>
                <w:color w:val="auto"/>
              </w:rPr>
            </w:pPr>
            <w:r>
              <w:rPr>
                <w:rFonts w:ascii="Arial" w:cs="Arial" w:eastAsia="Arial" w:hAnsi="Arial"/>
                <w:sz w:val="10"/>
                <w:szCs w:val="10"/>
                <w:color w:val="auto"/>
                <w:w w:val="95"/>
              </w:rPr>
              <w:t>N/A</w:t>
            </w:r>
          </w:p>
        </w:tc>
        <w:tc>
          <w:tcPr>
            <w:tcW w:w="0" w:type="dxa"/>
            <w:vAlign w:val="bottom"/>
          </w:tcPr>
          <w:p>
            <w:pPr>
              <w:spacing w:after="0"/>
              <w:rPr>
                <w:sz w:val="1"/>
                <w:szCs w:val="1"/>
                <w:color w:val="auto"/>
              </w:rPr>
            </w:pPr>
          </w:p>
        </w:tc>
      </w:tr>
      <w:tr>
        <w:trPr>
          <w:trHeight w:val="67"/>
        </w:trPr>
        <w:tc>
          <w:tcPr>
            <w:tcW w:w="16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1"/>
                <w:szCs w:val="11"/>
                <w:b w:val="1"/>
                <w:bCs w:val="1"/>
                <w:color w:val="auto"/>
              </w:rPr>
              <w:t xml:space="preserve">Directorships: </w:t>
            </w:r>
            <w:r>
              <w:rPr>
                <w:rFonts w:ascii="Arial" w:cs="Arial" w:eastAsia="Arial" w:hAnsi="Arial"/>
                <w:sz w:val="11"/>
                <w:szCs w:val="11"/>
                <w:color w:val="auto"/>
              </w:rPr>
              <w:t>None</w:t>
            </w:r>
          </w:p>
        </w:tc>
        <w:tc>
          <w:tcPr>
            <w:tcW w:w="420" w:type="dxa"/>
            <w:vAlign w:val="bottom"/>
            <w:tcBorders>
              <w:bottom w:val="single" w:sz="8" w:color="auto"/>
              <w:right w:val="single" w:sz="8" w:color="auto"/>
            </w:tcBorders>
            <w:vMerge w:val="continue"/>
          </w:tcPr>
          <w:p>
            <w:pPr>
              <w:spacing w:after="0"/>
              <w:rPr>
                <w:sz w:val="5"/>
                <w:szCs w:val="5"/>
                <w:color w:val="auto"/>
              </w:rPr>
            </w:pPr>
          </w:p>
        </w:tc>
        <w:tc>
          <w:tcPr>
            <w:tcW w:w="3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560" w:type="dxa"/>
            <w:vAlign w:val="bottom"/>
            <w:tcBorders>
              <w:bottom w:val="single" w:sz="8" w:color="auto"/>
              <w:right w:val="single" w:sz="8" w:color="auto"/>
            </w:tcBorders>
            <w:vMerge w:val="continue"/>
          </w:tcPr>
          <w:p>
            <w:pPr>
              <w:spacing w:after="0"/>
              <w:rPr>
                <w:sz w:val="5"/>
                <w:szCs w:val="5"/>
                <w:color w:val="auto"/>
              </w:rPr>
            </w:pPr>
          </w:p>
        </w:tc>
        <w:tc>
          <w:tcPr>
            <w:tcW w:w="280" w:type="dxa"/>
            <w:vAlign w:val="bottom"/>
            <w:tcBorders>
              <w:bottom w:val="single" w:sz="8" w:color="auto"/>
            </w:tcBorders>
            <w:vMerge w:val="continue"/>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38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440" w:type="dxa"/>
            <w:vAlign w:val="bottom"/>
            <w:tcBorders>
              <w:bottom w:val="single" w:sz="8" w:color="auto"/>
              <w:right w:val="single" w:sz="8" w:color="auto"/>
            </w:tcBorders>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Borders>
              <w:right w:val="single" w:sz="8" w:color="auto"/>
            </w:tcBorders>
            <w:vMerge w:val="continue"/>
          </w:tcPr>
          <w:p>
            <w:pPr>
              <w:spacing w:after="0"/>
              <w:rPr>
                <w:sz w:val="5"/>
                <w:szCs w:val="5"/>
                <w:color w:val="auto"/>
              </w:rPr>
            </w:pPr>
          </w:p>
        </w:tc>
        <w:tc>
          <w:tcPr>
            <w:tcW w:w="580" w:type="dxa"/>
            <w:vAlign w:val="bottom"/>
            <w:tcBorders>
              <w:right w:val="single" w:sz="8" w:color="auto"/>
            </w:tcBorders>
            <w:vMerge w:val="continue"/>
          </w:tcPr>
          <w:p>
            <w:pPr>
              <w:spacing w:after="0"/>
              <w:rPr>
                <w:sz w:val="5"/>
                <w:szCs w:val="5"/>
                <w:color w:val="auto"/>
              </w:rPr>
            </w:pPr>
          </w:p>
        </w:tc>
        <w:tc>
          <w:tcPr>
            <w:tcW w:w="42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1620" w:type="dxa"/>
            <w:vAlign w:val="bottom"/>
            <w:tcBorders>
              <w:right w:val="single" w:sz="8" w:color="auto"/>
            </w:tcBorders>
            <w:gridSpan w:val="2"/>
            <w:vMerge w:val="continue"/>
          </w:tcPr>
          <w:p>
            <w:pPr>
              <w:spacing w:after="0"/>
              <w:rPr>
                <w:sz w:val="4"/>
                <w:szCs w:val="4"/>
                <w:color w:val="auto"/>
              </w:rPr>
            </w:pPr>
          </w:p>
        </w:tc>
        <w:tc>
          <w:tcPr>
            <w:tcW w:w="420" w:type="dxa"/>
            <w:vAlign w:val="bottom"/>
            <w:tcBorders>
              <w:right w:val="single" w:sz="8" w:color="auto"/>
            </w:tcBorders>
            <w:vMerge w:val="restart"/>
          </w:tcPr>
          <w:p>
            <w:pPr>
              <w:ind w:left="40"/>
              <w:spacing w:after="0"/>
              <w:rPr>
                <w:sz w:val="20"/>
                <w:szCs w:val="20"/>
                <w:color w:val="auto"/>
              </w:rPr>
            </w:pPr>
            <w:r>
              <w:rPr>
                <w:rFonts w:ascii="Arial" w:cs="Arial" w:eastAsia="Arial" w:hAnsi="Arial"/>
                <w:sz w:val="10"/>
                <w:szCs w:val="10"/>
                <w:b w:val="1"/>
                <w:bCs w:val="1"/>
                <w:color w:val="auto"/>
                <w:w w:val="92"/>
              </w:rPr>
              <w:t>Change</w:t>
            </w:r>
          </w:p>
        </w:tc>
        <w:tc>
          <w:tcPr>
            <w:tcW w:w="320" w:type="dxa"/>
            <w:vAlign w:val="bottom"/>
            <w:vMerge w:val="restart"/>
          </w:tcPr>
          <w:p>
            <w:pPr>
              <w:jc w:val="center"/>
              <w:ind w:left="49"/>
              <w:spacing w:after="0"/>
              <w:rPr>
                <w:sz w:val="20"/>
                <w:szCs w:val="20"/>
                <w:color w:val="auto"/>
              </w:rPr>
            </w:pPr>
            <w:r>
              <w:rPr>
                <w:rFonts w:ascii="Arial" w:cs="Arial" w:eastAsia="Arial" w:hAnsi="Arial"/>
                <w:sz w:val="10"/>
                <w:szCs w:val="10"/>
                <w:color w:val="auto"/>
                <w:w w:val="99"/>
              </w:rPr>
              <w:t>—</w:t>
            </w:r>
          </w:p>
        </w:tc>
        <w:tc>
          <w:tcPr>
            <w:tcW w:w="100" w:type="dxa"/>
            <w:vAlign w:val="bottom"/>
            <w:tcBorders>
              <w:right w:val="single" w:sz="8" w:color="auto"/>
            </w:tcBorders>
          </w:tcPr>
          <w:p>
            <w:pPr>
              <w:spacing w:after="0"/>
              <w:rPr>
                <w:sz w:val="4"/>
                <w:szCs w:val="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color w:val="auto"/>
                <w:w w:val="99"/>
              </w:rPr>
              <w:t>—</w:t>
            </w:r>
          </w:p>
        </w:tc>
        <w:tc>
          <w:tcPr>
            <w:tcW w:w="280" w:type="dxa"/>
            <w:vAlign w:val="bottom"/>
            <w:vMerge w:val="restart"/>
          </w:tcPr>
          <w:p>
            <w:pPr>
              <w:jc w:val="center"/>
              <w:ind w:left="89"/>
              <w:spacing w:after="0"/>
              <w:rPr>
                <w:sz w:val="20"/>
                <w:szCs w:val="20"/>
                <w:color w:val="auto"/>
              </w:rPr>
            </w:pPr>
            <w:r>
              <w:rPr>
                <w:rFonts w:ascii="Arial" w:cs="Arial" w:eastAsia="Arial" w:hAnsi="Arial"/>
                <w:sz w:val="10"/>
                <w:szCs w:val="10"/>
                <w:color w:val="auto"/>
                <w:w w:val="99"/>
              </w:rPr>
              <w:t>—</w:t>
            </w:r>
          </w:p>
        </w:tc>
        <w:tc>
          <w:tcPr>
            <w:tcW w:w="160" w:type="dxa"/>
            <w:vAlign w:val="bottom"/>
            <w:tcBorders>
              <w:right w:val="single" w:sz="8" w:color="auto"/>
            </w:tcBorders>
          </w:tcPr>
          <w:p>
            <w:pPr>
              <w:spacing w:after="0"/>
              <w:rPr>
                <w:sz w:val="4"/>
                <w:szCs w:val="4"/>
                <w:color w:val="auto"/>
              </w:rPr>
            </w:pPr>
          </w:p>
        </w:tc>
        <w:tc>
          <w:tcPr>
            <w:tcW w:w="380" w:type="dxa"/>
            <w:vAlign w:val="bottom"/>
            <w:vMerge w:val="restart"/>
          </w:tcPr>
          <w:p>
            <w:pPr>
              <w:jc w:val="center"/>
              <w:ind w:left="109"/>
              <w:spacing w:after="0"/>
              <w:rPr>
                <w:sz w:val="20"/>
                <w:szCs w:val="20"/>
                <w:color w:val="auto"/>
              </w:rPr>
            </w:pPr>
            <w:r>
              <w:rPr>
                <w:rFonts w:ascii="Arial" w:cs="Arial" w:eastAsia="Arial" w:hAnsi="Arial"/>
                <w:sz w:val="10"/>
                <w:szCs w:val="10"/>
                <w:color w:val="auto"/>
                <w:w w:val="99"/>
              </w:rPr>
              <w:t>—</w:t>
            </w:r>
          </w:p>
        </w:tc>
        <w:tc>
          <w:tcPr>
            <w:tcW w:w="6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color w:val="auto"/>
                <w:w w:val="99"/>
              </w:rPr>
              <w:t>—</w:t>
            </w:r>
          </w:p>
        </w:tc>
        <w:tc>
          <w:tcPr>
            <w:tcW w:w="160" w:type="dxa"/>
            <w:vAlign w:val="bottom"/>
          </w:tcPr>
          <w:p>
            <w:pPr>
              <w:spacing w:after="0"/>
              <w:rPr>
                <w:sz w:val="4"/>
                <w:szCs w:val="4"/>
                <w:color w:val="auto"/>
              </w:rPr>
            </w:pPr>
          </w:p>
        </w:tc>
        <w:tc>
          <w:tcPr>
            <w:tcW w:w="280" w:type="dxa"/>
            <w:vAlign w:val="bottom"/>
            <w:tcBorders>
              <w:right w:val="single" w:sz="8" w:color="auto"/>
            </w:tcBorders>
            <w:vMerge w:val="restart"/>
          </w:tcPr>
          <w:p>
            <w:pPr>
              <w:jc w:val="center"/>
              <w:ind w:right="129"/>
              <w:spacing w:after="0"/>
              <w:rPr>
                <w:sz w:val="20"/>
                <w:szCs w:val="20"/>
                <w:color w:val="auto"/>
              </w:rPr>
            </w:pPr>
            <w:r>
              <w:rPr>
                <w:rFonts w:ascii="Arial" w:cs="Arial" w:eastAsia="Arial" w:hAnsi="Arial"/>
                <w:sz w:val="10"/>
                <w:szCs w:val="10"/>
                <w:color w:val="auto"/>
                <w:w w:val="99"/>
              </w:rPr>
              <w:t>—</w:t>
            </w:r>
          </w:p>
        </w:tc>
        <w:tc>
          <w:tcPr>
            <w:tcW w:w="60" w:type="dxa"/>
            <w:vAlign w:val="bottom"/>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1620" w:type="dxa"/>
            <w:vAlign w:val="bottom"/>
            <w:tcBorders>
              <w:right w:val="single" w:sz="8" w:color="auto"/>
            </w:tcBorders>
            <w:gridSpan w:val="2"/>
          </w:tcPr>
          <w:p>
            <w:pPr>
              <w:spacing w:after="0" w:line="97" w:lineRule="exact"/>
              <w:rPr>
                <w:sz w:val="20"/>
                <w:szCs w:val="20"/>
                <w:color w:val="auto"/>
              </w:rPr>
            </w:pPr>
            <w:r>
              <w:rPr>
                <w:rFonts w:ascii="Arial" w:cs="Arial" w:eastAsia="Arial" w:hAnsi="Arial"/>
                <w:sz w:val="11"/>
                <w:szCs w:val="11"/>
                <w:b w:val="1"/>
                <w:bCs w:val="1"/>
                <w:color w:val="auto"/>
              </w:rPr>
              <w:t>2020 Annual Meeting</w:t>
            </w:r>
          </w:p>
        </w:tc>
        <w:tc>
          <w:tcPr>
            <w:tcW w:w="420" w:type="dxa"/>
            <w:vAlign w:val="bottom"/>
            <w:tcBorders>
              <w:bottom w:val="single" w:sz="8" w:color="auto"/>
              <w:right w:val="single" w:sz="8" w:color="auto"/>
            </w:tcBorders>
            <w:vMerge w:val="continue"/>
          </w:tcPr>
          <w:p>
            <w:pPr>
              <w:spacing w:after="0"/>
              <w:rPr>
                <w:sz w:val="8"/>
                <w:szCs w:val="8"/>
                <w:color w:val="auto"/>
              </w:rPr>
            </w:pPr>
          </w:p>
        </w:tc>
        <w:tc>
          <w:tcPr>
            <w:tcW w:w="32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right w:val="single" w:sz="8" w:color="auto"/>
            </w:tcBorders>
            <w:vMerge w:val="continue"/>
          </w:tcPr>
          <w:p>
            <w:pPr>
              <w:spacing w:after="0"/>
              <w:rPr>
                <w:sz w:val="8"/>
                <w:szCs w:val="8"/>
                <w:color w:val="auto"/>
              </w:rPr>
            </w:pPr>
          </w:p>
        </w:tc>
        <w:tc>
          <w:tcPr>
            <w:tcW w:w="280" w:type="dxa"/>
            <w:vAlign w:val="bottom"/>
            <w:tcBorders>
              <w:bottom w:val="single" w:sz="8" w:color="auto"/>
            </w:tcBorders>
            <w:vMerge w:val="continue"/>
          </w:tcPr>
          <w:p>
            <w:pPr>
              <w:spacing w:after="0"/>
              <w:rPr>
                <w:sz w:val="8"/>
                <w:szCs w:val="8"/>
                <w:color w:val="auto"/>
              </w:rPr>
            </w:pPr>
          </w:p>
        </w:tc>
        <w:tc>
          <w:tcPr>
            <w:tcW w:w="160" w:type="dxa"/>
            <w:vAlign w:val="bottom"/>
            <w:tcBorders>
              <w:bottom w:val="single" w:sz="8" w:color="auto"/>
              <w:right w:val="single" w:sz="8" w:color="auto"/>
            </w:tcBorders>
          </w:tcPr>
          <w:p>
            <w:pPr>
              <w:spacing w:after="0"/>
              <w:rPr>
                <w:sz w:val="8"/>
                <w:szCs w:val="8"/>
                <w:color w:val="auto"/>
              </w:rPr>
            </w:pPr>
          </w:p>
        </w:tc>
        <w:tc>
          <w:tcPr>
            <w:tcW w:w="380" w:type="dxa"/>
            <w:vAlign w:val="bottom"/>
            <w:tcBorders>
              <w:bottom w:val="single" w:sz="8" w:color="auto"/>
            </w:tcBorders>
            <w:vMerge w:val="continue"/>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440" w:type="dxa"/>
            <w:vAlign w:val="bottom"/>
            <w:tcBorders>
              <w:bottom w:val="single" w:sz="8" w:color="auto"/>
              <w:right w:val="single" w:sz="8" w:color="auto"/>
            </w:tcBorders>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0" w:type="dxa"/>
            <w:vAlign w:val="bottom"/>
            <w:tcBorders>
              <w:bottom w:val="single" w:sz="8" w:color="auto"/>
              <w:right w:val="single" w:sz="8" w:color="auto"/>
            </w:tcBorders>
            <w:vMerge w:val="continue"/>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620" w:type="dxa"/>
            <w:vAlign w:val="bottom"/>
            <w:gridSpan w:val="2"/>
          </w:tcPr>
          <w:p>
            <w:pPr>
              <w:spacing w:after="0"/>
              <w:rPr>
                <w:sz w:val="20"/>
                <w:szCs w:val="20"/>
                <w:color w:val="auto"/>
              </w:rPr>
            </w:pPr>
            <w:r>
              <w:rPr>
                <w:rFonts w:ascii="Arial" w:cs="Arial" w:eastAsia="Arial" w:hAnsi="Arial"/>
                <w:sz w:val="11"/>
                <w:szCs w:val="11"/>
                <w:color w:val="auto"/>
              </w:rPr>
              <w:t>Votes in Favour: 98.82%</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20" w:type="dxa"/>
            <w:vAlign w:val="bottom"/>
            <w:gridSpan w:val="2"/>
          </w:tcPr>
          <w:p>
            <w:pPr>
              <w:spacing w:after="0"/>
              <w:rPr>
                <w:sz w:val="20"/>
                <w:szCs w:val="20"/>
                <w:color w:val="auto"/>
              </w:rPr>
            </w:pPr>
            <w:r>
              <w:rPr>
                <w:rFonts w:ascii="Arial" w:cs="Arial" w:eastAsia="Arial" w:hAnsi="Arial"/>
                <w:sz w:val="11"/>
                <w:szCs w:val="11"/>
                <w:color w:val="auto"/>
              </w:rPr>
              <w:t>Votes Withheld: 1.18%</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144145</wp:posOffset>
            </wp:positionV>
            <wp:extent cx="4045585"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045585" cy="635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320"/>
        <w:spacing w:after="0"/>
        <w:rPr>
          <w:sz w:val="20"/>
          <w:szCs w:val="20"/>
          <w:color w:val="auto"/>
        </w:rPr>
      </w:pPr>
      <w:r>
        <w:rPr>
          <w:rFonts w:ascii="Arial" w:cs="Arial" w:eastAsia="Arial" w:hAnsi="Arial"/>
          <w:sz w:val="11"/>
          <w:szCs w:val="11"/>
          <w:b w:val="1"/>
          <w:bCs w:val="1"/>
          <w:color w:val="auto"/>
        </w:rPr>
        <w:t>Eamon J.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-865505</wp:posOffset>
            </wp:positionV>
            <wp:extent cx="575310" cy="7588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310" cy="758825"/>
                    </a:xfrm>
                    <a:prstGeom prst="rect">
                      <a:avLst/>
                    </a:prstGeom>
                    <a:noFill/>
                  </pic:spPr>
                </pic:pic>
              </a:graphicData>
            </a:graphic>
          </wp:anchor>
        </w:drawing>
      </w:r>
    </w:p>
    <w:p>
      <w:pPr>
        <w:ind w:left="1320"/>
        <w:spacing w:after="0" w:line="236" w:lineRule="auto"/>
        <w:rPr>
          <w:sz w:val="20"/>
          <w:szCs w:val="20"/>
          <w:color w:val="auto"/>
        </w:rPr>
      </w:pPr>
      <w:r>
        <w:rPr>
          <w:rFonts w:ascii="Arial" w:cs="Arial" w:eastAsia="Arial" w:hAnsi="Arial"/>
          <w:sz w:val="11"/>
          <w:szCs w:val="11"/>
          <w:color w:val="auto"/>
        </w:rPr>
        <w:t>Toronto, Ontario</w:t>
      </w:r>
    </w:p>
    <w:p>
      <w:pPr>
        <w:ind w:left="1320"/>
        <w:spacing w:after="0"/>
        <w:rPr>
          <w:sz w:val="20"/>
          <w:szCs w:val="20"/>
          <w:color w:val="auto"/>
        </w:rPr>
      </w:pPr>
      <w:r>
        <w:rPr>
          <w:rFonts w:ascii="Arial" w:cs="Arial" w:eastAsia="Arial" w:hAnsi="Arial"/>
          <w:sz w:val="11"/>
          <w:szCs w:val="11"/>
          <w:color w:val="auto"/>
        </w:rPr>
        <w:t>Canada</w:t>
      </w:r>
    </w:p>
    <w:p>
      <w:pPr>
        <w:spacing w:after="0" w:line="19" w:lineRule="exact"/>
        <w:rPr>
          <w:sz w:val="20"/>
          <w:szCs w:val="20"/>
          <w:color w:val="auto"/>
        </w:rPr>
      </w:pPr>
    </w:p>
    <w:p>
      <w:pPr>
        <w:ind w:left="1320"/>
        <w:spacing w:after="0"/>
        <w:rPr>
          <w:sz w:val="20"/>
          <w:szCs w:val="20"/>
          <w:color w:val="auto"/>
        </w:rPr>
      </w:pPr>
      <w:r>
        <w:rPr>
          <w:rFonts w:ascii="Arial" w:cs="Arial" w:eastAsia="Arial" w:hAnsi="Arial"/>
          <w:sz w:val="11"/>
          <w:szCs w:val="11"/>
          <w:b w:val="1"/>
          <w:bCs w:val="1"/>
          <w:color w:val="auto"/>
        </w:rPr>
        <w:t xml:space="preserve">Director Since: </w:t>
      </w:r>
      <w:r>
        <w:rPr>
          <w:rFonts w:ascii="Arial" w:cs="Arial" w:eastAsia="Arial" w:hAnsi="Arial"/>
          <w:sz w:val="11"/>
          <w:szCs w:val="11"/>
          <w:color w:val="auto"/>
        </w:rPr>
        <w:t>2008</w:t>
      </w:r>
    </w:p>
    <w:p>
      <w:pPr>
        <w:ind w:left="1320"/>
        <w:spacing w:after="0" w:line="202" w:lineRule="auto"/>
        <w:rPr>
          <w:sz w:val="20"/>
          <w:szCs w:val="20"/>
          <w:color w:val="auto"/>
        </w:rPr>
      </w:pPr>
      <w:r>
        <w:rPr>
          <w:rFonts w:ascii="Arial" w:cs="Arial" w:eastAsia="Arial" w:hAnsi="Arial"/>
          <w:sz w:val="11"/>
          <w:szCs w:val="11"/>
          <w:b w:val="1"/>
          <w:bCs w:val="1"/>
          <w:color w:val="auto"/>
        </w:rPr>
        <w:t xml:space="preserve">Age: </w:t>
      </w:r>
      <w:r>
        <w:rPr>
          <w:rFonts w:ascii="Arial" w:cs="Arial" w:eastAsia="Arial" w:hAnsi="Arial"/>
          <w:sz w:val="11"/>
          <w:szCs w:val="11"/>
          <w:color w:val="auto"/>
        </w:rPr>
        <w:t>75</w:t>
      </w:r>
      <w:r>
        <w:rPr>
          <w:rFonts w:ascii="Arial" w:cs="Arial" w:eastAsia="Arial" w:hAnsi="Arial"/>
          <w:sz w:val="15"/>
          <w:szCs w:val="15"/>
          <w:color w:val="auto"/>
          <w:vertAlign w:val="superscript"/>
        </w:rPr>
        <w:t>(4)</w:t>
      </w:r>
    </w:p>
    <w:p>
      <w:pPr>
        <w:ind w:left="1320"/>
        <w:spacing w:after="0"/>
        <w:rPr>
          <w:sz w:val="20"/>
          <w:szCs w:val="20"/>
          <w:color w:val="auto"/>
        </w:rPr>
      </w:pPr>
      <w:r>
        <w:rPr>
          <w:rFonts w:ascii="Arial" w:cs="Arial" w:eastAsia="Arial" w:hAnsi="Arial"/>
          <w:sz w:val="11"/>
          <w:szCs w:val="11"/>
          <w:b w:val="1"/>
          <w:bCs w:val="1"/>
          <w:color w:val="auto"/>
        </w:rPr>
        <w:t xml:space="preserve">Status: </w:t>
      </w:r>
      <w:r>
        <w:rPr>
          <w:rFonts w:ascii="Arial" w:cs="Arial" w:eastAsia="Arial" w:hAnsi="Arial"/>
          <w:sz w:val="11"/>
          <w:szCs w:val="11"/>
          <w:color w:val="auto"/>
        </w:rPr>
        <w:t>Independent</w:t>
      </w:r>
    </w:p>
    <w:p>
      <w:pPr>
        <w:spacing w:after="0" w:line="41" w:lineRule="exact"/>
        <w:rPr>
          <w:sz w:val="20"/>
          <w:szCs w:val="20"/>
          <w:color w:val="auto"/>
        </w:rPr>
      </w:pPr>
    </w:p>
    <w:p>
      <w:pPr>
        <w:ind w:left="1320"/>
        <w:spacing w:after="0"/>
        <w:rPr>
          <w:sz w:val="20"/>
          <w:szCs w:val="20"/>
          <w:color w:val="auto"/>
        </w:rPr>
      </w:pPr>
      <w:r>
        <w:rPr>
          <w:rFonts w:ascii="Arial" w:cs="Arial" w:eastAsia="Arial" w:hAnsi="Arial"/>
          <w:sz w:val="11"/>
          <w:szCs w:val="11"/>
          <w:b w:val="1"/>
          <w:bCs w:val="1"/>
          <w:color w:val="auto"/>
        </w:rPr>
        <w:t>Areas of Expertise:</w:t>
      </w:r>
    </w:p>
    <w:p>
      <w:pPr>
        <w:spacing w:after="0" w:line="5" w:lineRule="exact"/>
        <w:rPr>
          <w:sz w:val="20"/>
          <w:szCs w:val="20"/>
          <w:color w:val="auto"/>
        </w:rPr>
      </w:pPr>
    </w:p>
    <w:p>
      <w:pPr>
        <w:ind w:left="1420" w:hanging="97"/>
        <w:spacing w:after="0"/>
        <w:tabs>
          <w:tab w:leader="none" w:pos="1420" w:val="left"/>
        </w:tabs>
        <w:numPr>
          <w:ilvl w:val="0"/>
          <w:numId w:val="46"/>
        </w:numPr>
        <w:rPr>
          <w:rFonts w:ascii="Arial" w:cs="Arial" w:eastAsia="Arial" w:hAnsi="Arial"/>
          <w:sz w:val="10"/>
          <w:szCs w:val="10"/>
          <w:color w:val="auto"/>
        </w:rPr>
      </w:pPr>
      <w:r>
        <w:rPr>
          <w:rFonts w:ascii="Arial" w:cs="Arial" w:eastAsia="Arial" w:hAnsi="Arial"/>
          <w:sz w:val="10"/>
          <w:szCs w:val="10"/>
          <w:color w:val="auto"/>
        </w:rPr>
        <w:t>Executive Compensation</w:t>
      </w:r>
    </w:p>
    <w:p>
      <w:pPr>
        <w:spacing w:after="0" w:line="11" w:lineRule="exact"/>
        <w:rPr>
          <w:rFonts w:ascii="Arial" w:cs="Arial" w:eastAsia="Arial" w:hAnsi="Arial"/>
          <w:sz w:val="10"/>
          <w:szCs w:val="10"/>
          <w:color w:val="auto"/>
        </w:rPr>
      </w:pPr>
    </w:p>
    <w:p>
      <w:pPr>
        <w:ind w:left="1420" w:hanging="97"/>
        <w:spacing w:after="0"/>
        <w:tabs>
          <w:tab w:leader="none" w:pos="1420" w:val="left"/>
        </w:tabs>
        <w:numPr>
          <w:ilvl w:val="0"/>
          <w:numId w:val="46"/>
        </w:numPr>
        <w:rPr>
          <w:rFonts w:ascii="Arial" w:cs="Arial" w:eastAsia="Arial" w:hAnsi="Arial"/>
          <w:sz w:val="11"/>
          <w:szCs w:val="11"/>
          <w:color w:val="auto"/>
        </w:rPr>
      </w:pPr>
      <w:r>
        <w:rPr>
          <w:rFonts w:ascii="Arial" w:cs="Arial" w:eastAsia="Arial" w:hAnsi="Arial"/>
          <w:sz w:val="11"/>
          <w:szCs w:val="11"/>
          <w:color w:val="auto"/>
        </w:rPr>
        <w:t>Marketing and Sales</w:t>
      </w:r>
    </w:p>
    <w:p>
      <w:pPr>
        <w:spacing w:after="0" w:line="2" w:lineRule="exact"/>
        <w:rPr>
          <w:rFonts w:ascii="Arial" w:cs="Arial" w:eastAsia="Arial" w:hAnsi="Arial"/>
          <w:sz w:val="11"/>
          <w:szCs w:val="11"/>
          <w:color w:val="auto"/>
        </w:rPr>
      </w:pPr>
    </w:p>
    <w:p>
      <w:pPr>
        <w:ind w:left="1420" w:hanging="97"/>
        <w:spacing w:after="0"/>
        <w:tabs>
          <w:tab w:leader="none" w:pos="1420" w:val="left"/>
        </w:tabs>
        <w:numPr>
          <w:ilvl w:val="0"/>
          <w:numId w:val="46"/>
        </w:numPr>
        <w:rPr>
          <w:rFonts w:ascii="Arial" w:cs="Arial" w:eastAsia="Arial" w:hAnsi="Arial"/>
          <w:sz w:val="11"/>
          <w:szCs w:val="11"/>
          <w:color w:val="auto"/>
        </w:rPr>
      </w:pPr>
      <w:r>
        <w:rPr>
          <w:rFonts w:ascii="Arial" w:cs="Arial" w:eastAsia="Arial" w:hAnsi="Arial"/>
          <w:sz w:val="11"/>
          <w:szCs w:val="11"/>
          <w:color w:val="auto"/>
        </w:rPr>
        <w:t>Business Development</w:t>
      </w:r>
    </w:p>
    <w:p>
      <w:pPr>
        <w:spacing w:after="0" w:line="34" w:lineRule="exact"/>
        <w:rPr>
          <w:sz w:val="20"/>
          <w:szCs w:val="20"/>
          <w:color w:val="auto"/>
        </w:rPr>
      </w:pPr>
    </w:p>
    <w:p>
      <w:pPr>
        <w:ind w:left="1320"/>
        <w:spacing w:after="0"/>
        <w:rPr>
          <w:sz w:val="20"/>
          <w:szCs w:val="20"/>
          <w:color w:val="auto"/>
        </w:rPr>
      </w:pPr>
      <w:r>
        <w:rPr>
          <w:rFonts w:ascii="Arial" w:cs="Arial" w:eastAsia="Arial" w:hAnsi="Arial"/>
          <w:sz w:val="8"/>
          <w:szCs w:val="8"/>
          <w:b w:val="1"/>
          <w:bCs w:val="1"/>
          <w:color w:val="auto"/>
        </w:rPr>
        <w:t>Other Current Public Board</w:t>
      </w:r>
    </w:p>
    <w:p>
      <w:pPr>
        <w:spacing w:after="0" w:line="39" w:lineRule="exact"/>
        <w:rPr>
          <w:sz w:val="20"/>
          <w:szCs w:val="20"/>
          <w:color w:val="auto"/>
        </w:rPr>
      </w:pPr>
    </w:p>
    <w:p>
      <w:pPr>
        <w:ind w:left="1320"/>
        <w:spacing w:after="0"/>
        <w:rPr>
          <w:sz w:val="20"/>
          <w:szCs w:val="20"/>
          <w:color w:val="auto"/>
        </w:rPr>
      </w:pPr>
      <w:r>
        <w:rPr>
          <w:rFonts w:ascii="Arial" w:cs="Arial" w:eastAsia="Arial" w:hAnsi="Arial"/>
          <w:sz w:val="11"/>
          <w:szCs w:val="11"/>
          <w:b w:val="1"/>
          <w:bCs w:val="1"/>
          <w:color w:val="auto"/>
        </w:rPr>
        <w:t xml:space="preserve">Directorships: </w:t>
      </w:r>
      <w:r>
        <w:rPr>
          <w:rFonts w:ascii="Arial" w:cs="Arial" w:eastAsia="Arial" w:hAnsi="Arial"/>
          <w:sz w:val="11"/>
          <w:szCs w:val="11"/>
          <w:color w:val="auto"/>
        </w:rPr>
        <w:t>None</w:t>
      </w:r>
    </w:p>
    <w:p>
      <w:pPr>
        <w:spacing w:after="0" w:line="41" w:lineRule="exact"/>
        <w:rPr>
          <w:sz w:val="20"/>
          <w:szCs w:val="20"/>
          <w:color w:val="auto"/>
        </w:rPr>
      </w:pPr>
    </w:p>
    <w:p>
      <w:pPr>
        <w:ind w:left="1320"/>
        <w:spacing w:after="0"/>
        <w:rPr>
          <w:sz w:val="20"/>
          <w:szCs w:val="20"/>
          <w:color w:val="auto"/>
        </w:rPr>
      </w:pPr>
      <w:r>
        <w:rPr>
          <w:rFonts w:ascii="Arial" w:cs="Arial" w:eastAsia="Arial" w:hAnsi="Arial"/>
          <w:sz w:val="11"/>
          <w:szCs w:val="11"/>
          <w:b w:val="1"/>
          <w:bCs w:val="1"/>
          <w:color w:val="auto"/>
        </w:rPr>
        <w:t>2020 Annual Meeting</w:t>
      </w:r>
    </w:p>
    <w:p>
      <w:pPr>
        <w:ind w:left="1320"/>
        <w:spacing w:after="0" w:line="236" w:lineRule="auto"/>
        <w:rPr>
          <w:sz w:val="20"/>
          <w:szCs w:val="20"/>
          <w:color w:val="auto"/>
        </w:rPr>
      </w:pPr>
      <w:r>
        <w:rPr>
          <w:rFonts w:ascii="Arial" w:cs="Arial" w:eastAsia="Arial" w:hAnsi="Arial"/>
          <w:sz w:val="11"/>
          <w:szCs w:val="11"/>
          <w:color w:val="auto"/>
        </w:rPr>
        <w:t>Votes in Favour: 98.85%</w:t>
      </w:r>
    </w:p>
    <w:p>
      <w:pPr>
        <w:ind w:left="1320"/>
        <w:spacing w:after="0"/>
        <w:rPr>
          <w:sz w:val="20"/>
          <w:szCs w:val="20"/>
          <w:color w:val="auto"/>
        </w:rPr>
      </w:pPr>
      <w:r>
        <w:rPr>
          <w:rFonts w:ascii="Arial" w:cs="Arial" w:eastAsia="Arial" w:hAnsi="Arial"/>
          <w:sz w:val="11"/>
          <w:szCs w:val="11"/>
          <w:color w:val="auto"/>
        </w:rPr>
        <w:t>Votes Withheld: 1.15%</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jc w:val="both"/>
        <w:ind w:right="1319"/>
        <w:spacing w:after="0" w:line="230" w:lineRule="auto"/>
        <w:rPr>
          <w:sz w:val="20"/>
          <w:szCs w:val="20"/>
          <w:color w:val="auto"/>
        </w:rPr>
      </w:pPr>
      <w:r>
        <w:rPr>
          <w:rFonts w:ascii="Arial" w:cs="Arial" w:eastAsia="Arial" w:hAnsi="Arial"/>
          <w:sz w:val="11"/>
          <w:szCs w:val="11"/>
          <w:color w:val="auto"/>
        </w:rPr>
        <w:t>Mr. Ryan is a corporate director. He is the former Vice President and General Manager, Europe, Middle East and Africa for Lexmark International Inc. (a public company). Prior to that, he was the Vice President and General Manager, Printing Services and Solutions Manager, Europe, Middle East and Africa. Mr. Ryan joined Lexmark International Inc. in 1991 as the President of Lexmark Canada. Prior to that, he spent 22 years at IBM Canada, where he held a number of sales and marketing roles in its Office Products and Large Systems divisions. Mr. Ryan’s last role at IBM Canada was Director of Operations for its Public Sector, a role he held from 1986 to 1990. He holds a Bachelor of Arts degree from the University of Western Ontario.</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Mr. Ryan sits on the Audit Committee, HRCC (Chair), and NCGC.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3034030" cy="1136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034030" cy="113665"/>
                    </a:xfrm>
                    <a:prstGeom prst="rect">
                      <a:avLst/>
                    </a:prstGeom>
                    <a:noFill/>
                  </pic:spPr>
                </pic:pic>
              </a:graphicData>
            </a:graphic>
          </wp:anchor>
        </w:drawing>
      </w:r>
    </w:p>
    <w:p>
      <w:pPr>
        <w:spacing w:after="0" w:line="69" w:lineRule="exact"/>
        <w:rPr>
          <w:sz w:val="20"/>
          <w:szCs w:val="20"/>
          <w:color w:val="auto"/>
        </w:rPr>
      </w:pPr>
    </w:p>
    <w:p>
      <w:pPr>
        <w:ind w:left="1240"/>
        <w:spacing w:after="0"/>
        <w:rPr>
          <w:sz w:val="20"/>
          <w:szCs w:val="20"/>
          <w:color w:val="auto"/>
        </w:rPr>
      </w:pPr>
      <w:r>
        <w:rPr>
          <w:rFonts w:ascii="Arial" w:cs="Arial" w:eastAsia="Arial" w:hAnsi="Arial"/>
          <w:sz w:val="11"/>
          <w:szCs w:val="11"/>
          <w:b w:val="1"/>
          <w:bCs w:val="1"/>
          <w:color w:val="auto"/>
        </w:rPr>
        <w:t>BOARD AND COMMITTEE ATTENDANCE</w:t>
      </w:r>
    </w:p>
    <w:p>
      <w:pPr>
        <w:spacing w:after="0" w:line="12"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440" w:type="dxa"/>
            <w:vAlign w:val="bottom"/>
            <w:tcBorders>
              <w:top w:val="single" w:sz="8" w:color="auto"/>
            </w:tcBorders>
            <w:vMerge w:val="restart"/>
          </w:tcPr>
          <w:p>
            <w:pPr>
              <w:spacing w:after="0"/>
              <w:rPr>
                <w:sz w:val="20"/>
                <w:szCs w:val="20"/>
                <w:color w:val="auto"/>
              </w:rPr>
            </w:pPr>
            <w:r>
              <w:rPr>
                <w:rFonts w:ascii="Arial" w:cs="Arial" w:eastAsia="Arial" w:hAnsi="Arial"/>
                <w:sz w:val="11"/>
                <w:szCs w:val="11"/>
                <w:color w:val="auto"/>
              </w:rPr>
              <w:t>Board</w:t>
            </w:r>
          </w:p>
        </w:tc>
        <w:tc>
          <w:tcPr>
            <w:tcW w:w="3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5"/>
          </w:tcPr>
          <w:p>
            <w:pPr>
              <w:jc w:val="center"/>
              <w:ind w:left="30"/>
              <w:spacing w:after="0"/>
              <w:rPr>
                <w:sz w:val="20"/>
                <w:szCs w:val="20"/>
                <w:color w:val="auto"/>
              </w:rPr>
            </w:pPr>
            <w:r>
              <w:rPr>
                <w:rFonts w:ascii="Arial" w:cs="Arial" w:eastAsia="Arial" w:hAnsi="Arial"/>
                <w:sz w:val="11"/>
                <w:szCs w:val="11"/>
                <w:color w:val="auto"/>
                <w:w w:val="96"/>
              </w:rPr>
              <w:t>ATTENDANCE</w:t>
            </w:r>
          </w:p>
        </w:tc>
        <w:tc>
          <w:tcPr>
            <w:tcW w:w="2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6"/>
          </w:tcPr>
          <w:p>
            <w:pPr>
              <w:spacing w:after="0"/>
              <w:rPr>
                <w:sz w:val="20"/>
                <w:szCs w:val="20"/>
                <w:color w:val="auto"/>
              </w:rPr>
            </w:pPr>
            <w:r>
              <w:rPr>
                <w:rFonts w:ascii="Arial" w:cs="Arial" w:eastAsia="Arial" w:hAnsi="Arial"/>
                <w:sz w:val="11"/>
                <w:szCs w:val="11"/>
                <w:color w:val="auto"/>
              </w:rPr>
              <w:t>TOTAL ATTENDANCE</w:t>
            </w:r>
          </w:p>
        </w:tc>
        <w:tc>
          <w:tcPr>
            <w:tcW w:w="0" w:type="dxa"/>
            <w:vAlign w:val="bottom"/>
          </w:tcPr>
          <w:p>
            <w:pPr>
              <w:spacing w:after="0"/>
              <w:rPr>
                <w:sz w:val="1"/>
                <w:szCs w:val="1"/>
                <w:color w:val="auto"/>
              </w:rPr>
            </w:pPr>
          </w:p>
        </w:tc>
      </w:tr>
      <w:tr>
        <w:trPr>
          <w:trHeight w:val="20"/>
        </w:trPr>
        <w:tc>
          <w:tcPr>
            <w:tcW w:w="440" w:type="dxa"/>
            <w:vAlign w:val="bottom"/>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4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jc w:val="center"/>
              <w:spacing w:after="0" w:line="106" w:lineRule="exact"/>
              <w:rPr>
                <w:sz w:val="20"/>
                <w:szCs w:val="20"/>
                <w:color w:val="auto"/>
              </w:rPr>
            </w:pPr>
            <w:r>
              <w:rPr>
                <w:rFonts w:ascii="Arial" w:cs="Arial" w:eastAsia="Arial" w:hAnsi="Arial"/>
                <w:sz w:val="11"/>
                <w:szCs w:val="11"/>
                <w:color w:val="auto"/>
                <w:w w:val="94"/>
              </w:rPr>
              <w:t>8 of 8</w:t>
            </w: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500" w:type="dxa"/>
            <w:vAlign w:val="bottom"/>
            <w:gridSpan w:val="2"/>
          </w:tcPr>
          <w:p>
            <w:pPr>
              <w:spacing w:after="0" w:line="106" w:lineRule="exact"/>
              <w:rPr>
                <w:sz w:val="20"/>
                <w:szCs w:val="20"/>
                <w:color w:val="auto"/>
              </w:rPr>
            </w:pPr>
            <w:r>
              <w:rPr>
                <w:rFonts w:ascii="Arial" w:cs="Arial" w:eastAsia="Arial" w:hAnsi="Arial"/>
                <w:sz w:val="11"/>
                <w:szCs w:val="11"/>
                <w:color w:val="auto"/>
              </w:rPr>
              <w:t>Board</w:t>
            </w:r>
          </w:p>
        </w:tc>
        <w:tc>
          <w:tcPr>
            <w:tcW w:w="920" w:type="dxa"/>
            <w:vAlign w:val="bottom"/>
            <w:gridSpan w:val="3"/>
          </w:tcPr>
          <w:p>
            <w:pPr>
              <w:jc w:val="right"/>
              <w:ind w:right="149"/>
              <w:spacing w:after="0" w:line="106" w:lineRule="exact"/>
              <w:rPr>
                <w:sz w:val="20"/>
                <w:szCs w:val="20"/>
                <w:color w:val="auto"/>
              </w:rPr>
            </w:pPr>
            <w:r>
              <w:rPr>
                <w:rFonts w:ascii="Arial" w:cs="Arial" w:eastAsia="Arial" w:hAnsi="Arial"/>
                <w:sz w:val="11"/>
                <w:szCs w:val="11"/>
                <w:color w:val="auto"/>
              </w:rPr>
              <w:t>100%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800" w:type="dxa"/>
            <w:vAlign w:val="bottom"/>
            <w:gridSpan w:val="2"/>
          </w:tcPr>
          <w:p>
            <w:pPr>
              <w:spacing w:after="0"/>
              <w:rPr>
                <w:sz w:val="20"/>
                <w:szCs w:val="20"/>
                <w:color w:val="auto"/>
              </w:rPr>
            </w:pPr>
            <w:r>
              <w:rPr>
                <w:rFonts w:ascii="Arial" w:cs="Arial" w:eastAsia="Arial" w:hAnsi="Arial"/>
                <w:sz w:val="11"/>
                <w:szCs w:val="11"/>
                <w:color w:val="auto"/>
                <w:w w:val="95"/>
              </w:rPr>
              <w:t>Audit Committee</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jc w:val="center"/>
              <w:spacing w:after="0"/>
              <w:rPr>
                <w:sz w:val="20"/>
                <w:szCs w:val="20"/>
                <w:color w:val="auto"/>
              </w:rPr>
            </w:pPr>
            <w:r>
              <w:rPr>
                <w:rFonts w:ascii="Arial" w:cs="Arial" w:eastAsia="Arial" w:hAnsi="Arial"/>
                <w:sz w:val="11"/>
                <w:szCs w:val="11"/>
                <w:color w:val="auto"/>
                <w:w w:val="94"/>
              </w:rPr>
              <w:t>6 of 6</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gridSpan w:val="2"/>
          </w:tcPr>
          <w:p>
            <w:pPr>
              <w:spacing w:after="0"/>
              <w:rPr>
                <w:sz w:val="20"/>
                <w:szCs w:val="20"/>
                <w:color w:val="auto"/>
              </w:rPr>
            </w:pPr>
            <w:r>
              <w:rPr>
                <w:rFonts w:ascii="Arial" w:cs="Arial" w:eastAsia="Arial" w:hAnsi="Arial"/>
                <w:sz w:val="11"/>
                <w:szCs w:val="11"/>
                <w:color w:val="auto"/>
                <w:w w:val="90"/>
              </w:rPr>
              <w:t>Committee</w:t>
            </w:r>
          </w:p>
        </w:tc>
        <w:tc>
          <w:tcPr>
            <w:tcW w:w="920" w:type="dxa"/>
            <w:vAlign w:val="bottom"/>
            <w:gridSpan w:val="3"/>
          </w:tcPr>
          <w:p>
            <w:pPr>
              <w:jc w:val="right"/>
              <w:ind w:right="149"/>
              <w:spacing w:after="0"/>
              <w:rPr>
                <w:sz w:val="20"/>
                <w:szCs w:val="20"/>
                <w:color w:val="auto"/>
              </w:rPr>
            </w:pPr>
            <w:r>
              <w:rPr>
                <w:rFonts w:ascii="Arial" w:cs="Arial" w:eastAsia="Arial" w:hAnsi="Arial"/>
                <w:sz w:val="11"/>
                <w:szCs w:val="11"/>
                <w:color w:val="auto"/>
              </w:rPr>
              <w:t>100%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40" w:type="dxa"/>
            <w:vAlign w:val="bottom"/>
          </w:tcPr>
          <w:p>
            <w:pPr>
              <w:spacing w:after="0"/>
              <w:rPr>
                <w:sz w:val="20"/>
                <w:szCs w:val="20"/>
                <w:color w:val="auto"/>
              </w:rPr>
            </w:pPr>
            <w:r>
              <w:rPr>
                <w:rFonts w:ascii="Arial" w:cs="Arial" w:eastAsia="Arial" w:hAnsi="Arial"/>
                <w:sz w:val="11"/>
                <w:szCs w:val="11"/>
                <w:color w:val="auto"/>
              </w:rPr>
              <w:t>HRCC</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jc w:val="center"/>
              <w:spacing w:after="0"/>
              <w:rPr>
                <w:sz w:val="20"/>
                <w:szCs w:val="20"/>
                <w:color w:val="auto"/>
              </w:rPr>
            </w:pPr>
            <w:r>
              <w:rPr>
                <w:rFonts w:ascii="Arial" w:cs="Arial" w:eastAsia="Arial" w:hAnsi="Arial"/>
                <w:sz w:val="11"/>
                <w:szCs w:val="11"/>
                <w:color w:val="auto"/>
                <w:w w:val="94"/>
              </w:rPr>
              <w:t>6 of 6</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0" w:type="dxa"/>
            <w:vAlign w:val="bottom"/>
          </w:tcPr>
          <w:p>
            <w:pPr>
              <w:spacing w:after="0"/>
              <w:rPr>
                <w:sz w:val="20"/>
                <w:szCs w:val="20"/>
                <w:color w:val="auto"/>
              </w:rPr>
            </w:pPr>
            <w:r>
              <w:rPr>
                <w:rFonts w:ascii="Arial" w:cs="Arial" w:eastAsia="Arial" w:hAnsi="Arial"/>
                <w:sz w:val="11"/>
                <w:szCs w:val="11"/>
                <w:color w:val="auto"/>
              </w:rPr>
              <w:t>NCGC</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jc w:val="center"/>
              <w:spacing w:after="0"/>
              <w:rPr>
                <w:sz w:val="20"/>
                <w:szCs w:val="20"/>
                <w:color w:val="auto"/>
              </w:rPr>
            </w:pPr>
            <w:r>
              <w:rPr>
                <w:rFonts w:ascii="Arial" w:cs="Arial" w:eastAsia="Arial" w:hAnsi="Arial"/>
                <w:sz w:val="11"/>
                <w:szCs w:val="11"/>
                <w:color w:val="auto"/>
                <w:w w:val="94"/>
              </w:rPr>
              <w:t>3 of 3</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4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40" w:type="dxa"/>
            <w:vAlign w:val="bottom"/>
            <w:tcBorders>
              <w:left w:val="single" w:sz="8" w:color="auto"/>
              <w:bottom w:val="single" w:sz="8" w:color="auto"/>
              <w:right w:val="single" w:sz="8" w:color="CCCCCC"/>
            </w:tcBorders>
            <w:shd w:val="clear" w:color="auto" w:fill="CCCCCC"/>
          </w:tcPr>
          <w:p>
            <w:pPr>
              <w:spacing w:after="0"/>
              <w:rPr>
                <w:sz w:val="14"/>
                <w:szCs w:val="14"/>
                <w:color w:val="auto"/>
              </w:rPr>
            </w:pPr>
          </w:p>
        </w:tc>
        <w:tc>
          <w:tcPr>
            <w:tcW w:w="360" w:type="dxa"/>
            <w:vAlign w:val="bottom"/>
            <w:tcBorders>
              <w:bottom w:val="single" w:sz="8" w:color="auto"/>
            </w:tcBorders>
            <w:shd w:val="clear" w:color="auto" w:fill="CCCCCC"/>
          </w:tcPr>
          <w:p>
            <w:pPr>
              <w:spacing w:after="0"/>
              <w:rPr>
                <w:sz w:val="14"/>
                <w:szCs w:val="14"/>
                <w:color w:val="auto"/>
              </w:rPr>
            </w:pPr>
          </w:p>
        </w:tc>
        <w:tc>
          <w:tcPr>
            <w:tcW w:w="60" w:type="dxa"/>
            <w:vAlign w:val="bottom"/>
            <w:tcBorders>
              <w:bottom w:val="single" w:sz="8" w:color="auto"/>
              <w:right w:val="single" w:sz="8" w:color="CCCCCC"/>
            </w:tcBorders>
            <w:shd w:val="clear" w:color="auto" w:fill="CCCCCC"/>
          </w:tcPr>
          <w:p>
            <w:pPr>
              <w:spacing w:after="0"/>
              <w:rPr>
                <w:sz w:val="14"/>
                <w:szCs w:val="14"/>
                <w:color w:val="auto"/>
              </w:rPr>
            </w:pPr>
          </w:p>
        </w:tc>
        <w:tc>
          <w:tcPr>
            <w:tcW w:w="560" w:type="dxa"/>
            <w:vAlign w:val="bottom"/>
            <w:tcBorders>
              <w:bottom w:val="single" w:sz="8" w:color="auto"/>
              <w:right w:val="single" w:sz="8" w:color="CCCCCC"/>
            </w:tcBorders>
            <w:shd w:val="clear" w:color="auto" w:fill="CCCCCC"/>
          </w:tcPr>
          <w:p>
            <w:pPr>
              <w:spacing w:after="0"/>
              <w:rPr>
                <w:sz w:val="14"/>
                <w:szCs w:val="14"/>
                <w:color w:val="auto"/>
              </w:rPr>
            </w:pPr>
          </w:p>
        </w:tc>
        <w:tc>
          <w:tcPr>
            <w:tcW w:w="1880" w:type="dxa"/>
            <w:vAlign w:val="bottom"/>
            <w:tcBorders>
              <w:bottom w:val="single" w:sz="8" w:color="auto"/>
              <w:right w:val="single" w:sz="8" w:color="CCCCCC"/>
            </w:tcBorders>
            <w:gridSpan w:val="6"/>
            <w:shd w:val="clear" w:color="auto" w:fill="CCCCCC"/>
          </w:tcPr>
          <w:p>
            <w:pPr>
              <w:ind w:left="120"/>
              <w:spacing w:after="0" w:line="169" w:lineRule="exact"/>
              <w:rPr>
                <w:sz w:val="20"/>
                <w:szCs w:val="20"/>
                <w:color w:val="auto"/>
              </w:rPr>
            </w:pPr>
            <w:r>
              <w:rPr>
                <w:rFonts w:ascii="Arial" w:cs="Arial" w:eastAsia="Arial" w:hAnsi="Arial"/>
                <w:sz w:val="11"/>
                <w:szCs w:val="11"/>
                <w:b w:val="1"/>
                <w:bCs w:val="1"/>
                <w:color w:val="auto"/>
                <w:w w:val="94"/>
              </w:rPr>
              <w:t>DIRECTOR SHARE OWNERSHIP</w:t>
            </w:r>
            <w:r>
              <w:rPr>
                <w:rFonts w:ascii="Arial" w:cs="Arial" w:eastAsia="Arial" w:hAnsi="Arial"/>
                <w:sz w:val="15"/>
                <w:szCs w:val="15"/>
                <w:b w:val="1"/>
                <w:bCs w:val="1"/>
                <w:color w:val="auto"/>
                <w:w w:val="94"/>
                <w:vertAlign w:val="superscript"/>
              </w:rPr>
              <w:t>(1)</w:t>
            </w:r>
          </w:p>
        </w:tc>
        <w:tc>
          <w:tcPr>
            <w:tcW w:w="20" w:type="dxa"/>
            <w:vAlign w:val="bottom"/>
            <w:tcBorders>
              <w:bottom w:val="single" w:sz="8" w:color="auto"/>
            </w:tcBorders>
            <w:shd w:val="clear" w:color="auto" w:fill="CCCCCC"/>
          </w:tcPr>
          <w:p>
            <w:pPr>
              <w:spacing w:after="0"/>
              <w:rPr>
                <w:sz w:val="14"/>
                <w:szCs w:val="14"/>
                <w:color w:val="auto"/>
              </w:rPr>
            </w:pPr>
          </w:p>
        </w:tc>
        <w:tc>
          <w:tcPr>
            <w:tcW w:w="460" w:type="dxa"/>
            <w:vAlign w:val="bottom"/>
            <w:tcBorders>
              <w:bottom w:val="single" w:sz="8" w:color="auto"/>
              <w:right w:val="single" w:sz="8" w:color="CCCCCC"/>
            </w:tcBorders>
            <w:shd w:val="clear" w:color="auto" w:fill="CCCCCC"/>
          </w:tcPr>
          <w:p>
            <w:pPr>
              <w:spacing w:after="0"/>
              <w:rPr>
                <w:sz w:val="14"/>
                <w:szCs w:val="14"/>
                <w:color w:val="auto"/>
              </w:rPr>
            </w:pPr>
          </w:p>
        </w:tc>
        <w:tc>
          <w:tcPr>
            <w:tcW w:w="40" w:type="dxa"/>
            <w:vAlign w:val="bottom"/>
            <w:tcBorders>
              <w:bottom w:val="single" w:sz="8" w:color="auto"/>
            </w:tcBorders>
            <w:shd w:val="clear" w:color="auto" w:fill="CCCCCC"/>
          </w:tcPr>
          <w:p>
            <w:pPr>
              <w:spacing w:after="0"/>
              <w:rPr>
                <w:sz w:val="14"/>
                <w:szCs w:val="14"/>
                <w:color w:val="auto"/>
              </w:rPr>
            </w:pPr>
          </w:p>
        </w:tc>
        <w:tc>
          <w:tcPr>
            <w:tcW w:w="540" w:type="dxa"/>
            <w:vAlign w:val="bottom"/>
            <w:tcBorders>
              <w:bottom w:val="single" w:sz="8" w:color="auto"/>
              <w:right w:val="single" w:sz="8" w:color="CCCCCC"/>
            </w:tcBorders>
            <w:shd w:val="clear" w:color="auto" w:fill="CCCCCC"/>
          </w:tcPr>
          <w:p>
            <w:pPr>
              <w:spacing w:after="0"/>
              <w:rPr>
                <w:sz w:val="14"/>
                <w:szCs w:val="14"/>
                <w:color w:val="auto"/>
              </w:rPr>
            </w:pPr>
          </w:p>
        </w:tc>
        <w:tc>
          <w:tcPr>
            <w:tcW w:w="60" w:type="dxa"/>
            <w:vAlign w:val="bottom"/>
            <w:tcBorders>
              <w:bottom w:val="single" w:sz="8" w:color="auto"/>
            </w:tcBorders>
            <w:shd w:val="clear" w:color="auto" w:fill="CCCCCC"/>
          </w:tcPr>
          <w:p>
            <w:pPr>
              <w:spacing w:after="0"/>
              <w:rPr>
                <w:sz w:val="14"/>
                <w:szCs w:val="14"/>
                <w:color w:val="auto"/>
              </w:rPr>
            </w:pPr>
          </w:p>
        </w:tc>
        <w:tc>
          <w:tcPr>
            <w:tcW w:w="320" w:type="dxa"/>
            <w:vAlign w:val="bottom"/>
            <w:tcBorders>
              <w:bottom w:val="single" w:sz="8" w:color="auto"/>
            </w:tcBorders>
            <w:shd w:val="clear" w:color="auto" w:fill="CCCCCC"/>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1"/>
                <w:szCs w:val="11"/>
                <w:b w:val="1"/>
                <w:bCs w:val="1"/>
                <w:color w:val="auto"/>
              </w:rPr>
              <w:t>As of</w:t>
            </w:r>
          </w:p>
        </w:tc>
        <w:tc>
          <w:tcPr>
            <w:tcW w:w="360" w:type="dxa"/>
            <w:vAlign w:val="bottom"/>
            <w:tcBorders>
              <w:bottom w:val="single" w:sz="8" w:color="auto"/>
            </w:tcBorders>
          </w:tcPr>
          <w:p>
            <w:pPr>
              <w:spacing w:after="0"/>
              <w:rPr>
                <w:sz w:val="12"/>
                <w:szCs w:val="12"/>
                <w:color w:val="auto"/>
              </w:rPr>
            </w:pPr>
          </w:p>
        </w:tc>
        <w:tc>
          <w:tcPr>
            <w:tcW w:w="6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SVS</w:t>
            </w:r>
          </w:p>
        </w:tc>
        <w:tc>
          <w:tcPr>
            <w:tcW w:w="1000" w:type="dxa"/>
            <w:vAlign w:val="bottom"/>
            <w:tcBorders>
              <w:bottom w:val="single" w:sz="8" w:color="auto"/>
              <w:right w:val="single" w:sz="8" w:color="auto"/>
            </w:tcBorders>
            <w:gridSpan w:val="3"/>
          </w:tcPr>
          <w:p>
            <w:pPr>
              <w:ind w:left="360"/>
              <w:spacing w:after="0"/>
              <w:rPr>
                <w:sz w:val="20"/>
                <w:szCs w:val="20"/>
                <w:color w:val="auto"/>
              </w:rPr>
            </w:pPr>
            <w:r>
              <w:rPr>
                <w:rFonts w:ascii="Arial" w:cs="Arial" w:eastAsia="Arial" w:hAnsi="Arial"/>
                <w:sz w:val="11"/>
                <w:szCs w:val="11"/>
                <w:b w:val="1"/>
                <w:bCs w:val="1"/>
                <w:color w:val="auto"/>
              </w:rPr>
              <w:t>DSUs</w:t>
            </w:r>
          </w:p>
        </w:tc>
        <w:tc>
          <w:tcPr>
            <w:tcW w:w="880" w:type="dxa"/>
            <w:vAlign w:val="bottom"/>
            <w:tcBorders>
              <w:bottom w:val="single" w:sz="8" w:color="auto"/>
              <w:right w:val="single" w:sz="8" w:color="auto"/>
            </w:tcBorders>
            <w:gridSpan w:val="3"/>
          </w:tcPr>
          <w:p>
            <w:pPr>
              <w:ind w:left="300"/>
              <w:spacing w:after="0"/>
              <w:rPr>
                <w:sz w:val="20"/>
                <w:szCs w:val="20"/>
                <w:color w:val="auto"/>
              </w:rPr>
            </w:pPr>
            <w:r>
              <w:rPr>
                <w:rFonts w:ascii="Arial" w:cs="Arial" w:eastAsia="Arial" w:hAnsi="Arial"/>
                <w:sz w:val="11"/>
                <w:szCs w:val="11"/>
                <w:b w:val="1"/>
                <w:bCs w:val="1"/>
                <w:color w:val="auto"/>
              </w:rPr>
              <w:t>RSUs</w:t>
            </w:r>
          </w:p>
        </w:tc>
        <w:tc>
          <w:tcPr>
            <w:tcW w:w="20" w:type="dxa"/>
            <w:vAlign w:val="bottom"/>
          </w:tcPr>
          <w:p>
            <w:pPr>
              <w:spacing w:after="0"/>
              <w:rPr>
                <w:sz w:val="12"/>
                <w:szCs w:val="12"/>
                <w:color w:val="auto"/>
              </w:rPr>
            </w:pPr>
          </w:p>
        </w:tc>
        <w:tc>
          <w:tcPr>
            <w:tcW w:w="460" w:type="dxa"/>
            <w:vAlign w:val="bottom"/>
            <w:tcBorders>
              <w:right w:val="single" w:sz="8" w:color="auto"/>
            </w:tcBorders>
          </w:tcPr>
          <w:p>
            <w:pPr>
              <w:ind w:left="100"/>
              <w:spacing w:after="0"/>
              <w:rPr>
                <w:sz w:val="20"/>
                <w:szCs w:val="20"/>
                <w:color w:val="auto"/>
              </w:rPr>
            </w:pPr>
            <w:r>
              <w:rPr>
                <w:rFonts w:ascii="Arial" w:cs="Arial" w:eastAsia="Arial" w:hAnsi="Arial"/>
                <w:sz w:val="11"/>
                <w:szCs w:val="11"/>
                <w:b w:val="1"/>
                <w:bCs w:val="1"/>
                <w:color w:val="auto"/>
              </w:rPr>
              <w:t>Total</w:t>
            </w:r>
          </w:p>
        </w:tc>
        <w:tc>
          <w:tcPr>
            <w:tcW w:w="40" w:type="dxa"/>
            <w:vAlign w:val="bottom"/>
          </w:tcPr>
          <w:p>
            <w:pPr>
              <w:spacing w:after="0"/>
              <w:rPr>
                <w:sz w:val="12"/>
                <w:szCs w:val="12"/>
                <w:color w:val="auto"/>
              </w:rPr>
            </w:pPr>
          </w:p>
        </w:tc>
        <w:tc>
          <w:tcPr>
            <w:tcW w:w="540" w:type="dxa"/>
            <w:vAlign w:val="bottom"/>
            <w:tcBorders>
              <w:right w:val="single" w:sz="8" w:color="auto"/>
            </w:tcBorders>
          </w:tcPr>
          <w:p>
            <w:pPr>
              <w:jc w:val="center"/>
              <w:ind w:right="28"/>
              <w:spacing w:after="0"/>
              <w:rPr>
                <w:sz w:val="20"/>
                <w:szCs w:val="20"/>
                <w:color w:val="auto"/>
              </w:rPr>
            </w:pPr>
            <w:r>
              <w:rPr>
                <w:rFonts w:ascii="Arial" w:cs="Arial" w:eastAsia="Arial" w:hAnsi="Arial"/>
                <w:sz w:val="11"/>
                <w:szCs w:val="11"/>
                <w:b w:val="1"/>
                <w:bCs w:val="1"/>
                <w:color w:val="auto"/>
                <w:w w:val="83"/>
              </w:rPr>
              <w:t>Total</w:t>
            </w:r>
          </w:p>
        </w:tc>
        <w:tc>
          <w:tcPr>
            <w:tcW w:w="420" w:type="dxa"/>
            <w:vAlign w:val="bottom"/>
            <w:tcBorders>
              <w:right w:val="single" w:sz="8" w:color="auto"/>
            </w:tcBorders>
            <w:gridSpan w:val="3"/>
          </w:tcPr>
          <w:p>
            <w:pPr>
              <w:jc w:val="center"/>
              <w:ind w:right="80"/>
              <w:spacing w:after="0"/>
              <w:rPr>
                <w:sz w:val="20"/>
                <w:szCs w:val="20"/>
                <w:color w:val="auto"/>
              </w:rPr>
            </w:pPr>
            <w:r>
              <w:rPr>
                <w:rFonts w:ascii="Arial" w:cs="Arial" w:eastAsia="Arial" w:hAnsi="Arial"/>
                <w:sz w:val="11"/>
                <w:szCs w:val="11"/>
                <w:b w:val="1"/>
                <w:bCs w:val="1"/>
                <w:color w:val="auto"/>
                <w:w w:val="89"/>
              </w:rPr>
              <w:t>Target</w:t>
            </w:r>
          </w:p>
        </w:tc>
        <w:tc>
          <w:tcPr>
            <w:tcW w:w="0" w:type="dxa"/>
            <w:vAlign w:val="bottom"/>
          </w:tcPr>
          <w:p>
            <w:pPr>
              <w:spacing w:after="0"/>
              <w:rPr>
                <w:sz w:val="1"/>
                <w:szCs w:val="1"/>
                <w:color w:val="auto"/>
              </w:rPr>
            </w:pPr>
          </w:p>
        </w:tc>
      </w:tr>
      <w:tr>
        <w:trPr>
          <w:trHeight w:val="150"/>
        </w:trPr>
        <w:tc>
          <w:tcPr>
            <w:tcW w:w="4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1"/>
                <w:szCs w:val="11"/>
                <w:b w:val="1"/>
                <w:bCs w:val="1"/>
                <w:color w:val="auto"/>
                <w:w w:val="88"/>
              </w:rPr>
              <w:t>Dec. 31</w:t>
            </w:r>
          </w:p>
        </w:tc>
        <w:tc>
          <w:tcPr>
            <w:tcW w:w="360" w:type="dxa"/>
            <w:vAlign w:val="bottom"/>
          </w:tcPr>
          <w:p>
            <w:pPr>
              <w:jc w:val="center"/>
              <w:ind w:left="9"/>
              <w:spacing w:after="0"/>
              <w:rPr>
                <w:sz w:val="20"/>
                <w:szCs w:val="20"/>
                <w:color w:val="auto"/>
              </w:rPr>
            </w:pPr>
            <w:r>
              <w:rPr>
                <w:rFonts w:ascii="Arial" w:cs="Arial" w:eastAsia="Arial" w:hAnsi="Arial"/>
                <w:sz w:val="11"/>
                <w:szCs w:val="11"/>
                <w:b w:val="1"/>
                <w:bCs w:val="1"/>
                <w:color w:val="auto"/>
                <w:w w:val="97"/>
              </w:rPr>
              <w:t>#</w:t>
            </w:r>
          </w:p>
        </w:tc>
        <w:tc>
          <w:tcPr>
            <w:tcW w:w="60" w:type="dxa"/>
            <w:vAlign w:val="bottom"/>
            <w:tcBorders>
              <w:right w:val="single" w:sz="8" w:color="auto"/>
            </w:tcBorders>
          </w:tcPr>
          <w:p>
            <w:pPr>
              <w:spacing w:after="0"/>
              <w:rPr>
                <w:sz w:val="13"/>
                <w:szCs w:val="13"/>
                <w:color w:val="auto"/>
              </w:rPr>
            </w:pP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w:t>
            </w:r>
          </w:p>
        </w:tc>
        <w:tc>
          <w:tcPr>
            <w:tcW w:w="400" w:type="dxa"/>
            <w:vAlign w:val="bottom"/>
          </w:tcPr>
          <w:p>
            <w:pPr>
              <w:jc w:val="center"/>
              <w:ind w:left="70"/>
              <w:spacing w:after="0"/>
              <w:rPr>
                <w:sz w:val="20"/>
                <w:szCs w:val="20"/>
                <w:color w:val="auto"/>
              </w:rPr>
            </w:pPr>
            <w:r>
              <w:rPr>
                <w:rFonts w:ascii="Arial" w:cs="Arial" w:eastAsia="Arial" w:hAnsi="Arial"/>
                <w:sz w:val="10"/>
                <w:szCs w:val="10"/>
                <w:b w:val="1"/>
                <w:bCs w:val="1"/>
                <w:color w:val="auto"/>
                <w:w w:val="71"/>
              </w:rPr>
              <w:t>$</w:t>
            </w:r>
          </w:p>
        </w:tc>
        <w:tc>
          <w:tcPr>
            <w:tcW w:w="16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right w:val="single" w:sz="8" w:color="auto"/>
            </w:tcBorders>
            <w:gridSpan w:val="2"/>
          </w:tcPr>
          <w:p>
            <w:pPr>
              <w:jc w:val="right"/>
              <w:ind w:right="167"/>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3"/>
                <w:szCs w:val="13"/>
                <w:color w:val="auto"/>
              </w:rPr>
            </w:pPr>
          </w:p>
        </w:tc>
        <w:tc>
          <w:tcPr>
            <w:tcW w:w="540" w:type="dxa"/>
            <w:vAlign w:val="bottom"/>
            <w:tcBorders>
              <w:right w:val="single" w:sz="8" w:color="auto"/>
            </w:tcBorders>
          </w:tcPr>
          <w:p>
            <w:pPr>
              <w:jc w:val="center"/>
              <w:ind w:right="8"/>
              <w:spacing w:after="0"/>
              <w:rPr>
                <w:sz w:val="20"/>
                <w:szCs w:val="20"/>
                <w:color w:val="auto"/>
              </w:rPr>
            </w:pPr>
            <w:r>
              <w:rPr>
                <w:rFonts w:ascii="Arial" w:cs="Arial" w:eastAsia="Arial" w:hAnsi="Arial"/>
                <w:sz w:val="11"/>
                <w:szCs w:val="11"/>
                <w:b w:val="1"/>
                <w:bCs w:val="1"/>
                <w:color w:val="auto"/>
                <w:w w:val="81"/>
              </w:rPr>
              <w:t>Value</w:t>
            </w:r>
          </w:p>
        </w:tc>
        <w:tc>
          <w:tcPr>
            <w:tcW w:w="60" w:type="dxa"/>
            <w:vAlign w:val="bottom"/>
          </w:tcPr>
          <w:p>
            <w:pPr>
              <w:spacing w:after="0"/>
              <w:rPr>
                <w:sz w:val="13"/>
                <w:szCs w:val="13"/>
                <w:color w:val="auto"/>
              </w:rPr>
            </w:pPr>
          </w:p>
        </w:tc>
        <w:tc>
          <w:tcPr>
            <w:tcW w:w="36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auto"/>
                <w:w w:val="94"/>
              </w:rPr>
              <w:t>Met</w:t>
            </w:r>
          </w:p>
        </w:tc>
        <w:tc>
          <w:tcPr>
            <w:tcW w:w="0" w:type="dxa"/>
            <w:vAlign w:val="bottom"/>
          </w:tcPr>
          <w:p>
            <w:pPr>
              <w:spacing w:after="0"/>
              <w:rPr>
                <w:sz w:val="1"/>
                <w:szCs w:val="1"/>
                <w:color w:val="auto"/>
              </w:rPr>
            </w:pPr>
          </w:p>
        </w:tc>
      </w:tr>
      <w:tr>
        <w:trPr>
          <w:trHeight w:val="148"/>
        </w:trPr>
        <w:tc>
          <w:tcPr>
            <w:tcW w:w="44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0"/>
                <w:szCs w:val="10"/>
                <w:b w:val="1"/>
                <w:bCs w:val="1"/>
                <w:color w:val="auto"/>
              </w:rPr>
              <w:t>2020</w:t>
            </w:r>
          </w:p>
        </w:tc>
        <w:tc>
          <w:tcPr>
            <w:tcW w:w="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0"/>
                <w:szCs w:val="10"/>
                <w:color w:val="auto"/>
                <w:w w:val="95"/>
              </w:rPr>
              <w:t>5,470</w:t>
            </w:r>
          </w:p>
        </w:tc>
        <w:tc>
          <w:tcPr>
            <w:tcW w:w="60" w:type="dxa"/>
            <w:vAlign w:val="bottom"/>
            <w:tcBorders>
              <w:top w:val="single" w:sz="8" w:color="auto"/>
              <w:bottom w:val="single" w:sz="8" w:color="auto"/>
              <w:right w:val="single" w:sz="8" w:color="auto"/>
            </w:tcBorders>
          </w:tcPr>
          <w:p>
            <w:pPr>
              <w:spacing w:after="0"/>
              <w:rPr>
                <w:sz w:val="12"/>
                <w:szCs w:val="12"/>
                <w:color w:val="auto"/>
              </w:rPr>
            </w:pPr>
          </w:p>
        </w:tc>
        <w:tc>
          <w:tcPr>
            <w:tcW w:w="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3"/>
              </w:rPr>
              <w:t>$44,143</w:t>
            </w:r>
          </w:p>
        </w:tc>
        <w:tc>
          <w:tcPr>
            <w:tcW w:w="4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3"/>
              </w:rPr>
              <w:t>262,768</w:t>
            </w:r>
          </w:p>
        </w:tc>
        <w:tc>
          <w:tcPr>
            <w:tcW w:w="560" w:type="dxa"/>
            <w:vAlign w:val="bottom"/>
            <w:tcBorders>
              <w:top w:val="single" w:sz="8" w:color="auto"/>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0"/>
                <w:szCs w:val="10"/>
                <w:color w:val="auto"/>
                <w:w w:val="95"/>
              </w:rPr>
              <w:t>$2,120,538</w:t>
            </w:r>
          </w:p>
        </w:tc>
        <w:tc>
          <w:tcPr>
            <w:tcW w:w="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1"/>
              </w:rPr>
              <w:t>32,842</w:t>
            </w:r>
          </w:p>
        </w:tc>
        <w:tc>
          <w:tcPr>
            <w:tcW w:w="460" w:type="dxa"/>
            <w:vAlign w:val="bottom"/>
            <w:tcBorders>
              <w:top w:val="single" w:sz="8" w:color="auto"/>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0"/>
                <w:szCs w:val="10"/>
                <w:color w:val="auto"/>
                <w:w w:val="95"/>
              </w:rPr>
              <w:t>$265,035</w:t>
            </w: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right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40" w:type="dxa"/>
            <w:vAlign w:val="bottom"/>
            <w:tcBorders>
              <w:top w:val="single" w:sz="8" w:color="auto"/>
              <w:right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0"/>
                <w:szCs w:val="10"/>
                <w:b w:val="1"/>
                <w:bCs w:val="1"/>
                <w:color w:val="auto"/>
              </w:rPr>
              <w:t>2019</w:t>
            </w:r>
          </w:p>
        </w:tc>
        <w:tc>
          <w:tcPr>
            <w:tcW w:w="360" w:type="dxa"/>
            <w:vAlign w:val="bottom"/>
            <w:tcBorders>
              <w:bottom w:val="single" w:sz="8" w:color="auto"/>
            </w:tcBorders>
          </w:tcPr>
          <w:p>
            <w:pPr>
              <w:jc w:val="center"/>
              <w:ind w:left="9"/>
              <w:spacing w:after="0"/>
              <w:rPr>
                <w:sz w:val="20"/>
                <w:szCs w:val="20"/>
                <w:color w:val="auto"/>
              </w:rPr>
            </w:pPr>
            <w:r>
              <w:rPr>
                <w:rFonts w:ascii="Arial" w:cs="Arial" w:eastAsia="Arial" w:hAnsi="Arial"/>
                <w:sz w:val="10"/>
                <w:szCs w:val="10"/>
                <w:color w:val="auto"/>
                <w:w w:val="99"/>
              </w:rPr>
              <w:t>—</w:t>
            </w:r>
          </w:p>
        </w:tc>
        <w:tc>
          <w:tcPr>
            <w:tcW w:w="60" w:type="dxa"/>
            <w:vAlign w:val="bottom"/>
            <w:tcBorders>
              <w:bottom w:val="single" w:sz="8" w:color="auto"/>
              <w:right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3"/>
              </w:rPr>
              <w:t>262,768</w:t>
            </w:r>
          </w:p>
        </w:tc>
        <w:tc>
          <w:tcPr>
            <w:tcW w:w="56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0"/>
                <w:szCs w:val="10"/>
                <w:color w:val="auto"/>
                <w:w w:val="95"/>
              </w:rPr>
              <w:t>$2,120,538</w:t>
            </w:r>
          </w:p>
        </w:tc>
        <w:tc>
          <w:tcPr>
            <w:tcW w:w="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1"/>
              </w:rPr>
              <w:t>16,409</w:t>
            </w:r>
          </w:p>
        </w:tc>
        <w:tc>
          <w:tcPr>
            <w:tcW w:w="46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0"/>
                <w:szCs w:val="10"/>
                <w:color w:val="auto"/>
                <w:w w:val="95"/>
              </w:rPr>
              <w:t>$132,421</w:t>
            </w:r>
          </w:p>
        </w:tc>
        <w:tc>
          <w:tcPr>
            <w:tcW w:w="480" w:type="dxa"/>
            <w:vAlign w:val="bottom"/>
            <w:tcBorders>
              <w:right w:val="single" w:sz="8" w:color="auto"/>
            </w:tcBorders>
            <w:gridSpan w:val="2"/>
          </w:tcPr>
          <w:p>
            <w:pPr>
              <w:jc w:val="right"/>
              <w:ind w:right="27"/>
              <w:spacing w:after="0"/>
              <w:rPr>
                <w:sz w:val="20"/>
                <w:szCs w:val="20"/>
                <w:color w:val="auto"/>
              </w:rPr>
            </w:pPr>
            <w:r>
              <w:rPr>
                <w:rFonts w:ascii="Arial" w:cs="Arial" w:eastAsia="Arial" w:hAnsi="Arial"/>
                <w:sz w:val="10"/>
                <w:szCs w:val="10"/>
                <w:color w:val="auto"/>
              </w:rPr>
              <w:t>301,080</w:t>
            </w:r>
          </w:p>
        </w:tc>
        <w:tc>
          <w:tcPr>
            <w:tcW w:w="40" w:type="dxa"/>
            <w:vAlign w:val="bottom"/>
          </w:tcPr>
          <w:p>
            <w:pPr>
              <w:spacing w:after="0"/>
              <w:rPr>
                <w:sz w:val="12"/>
                <w:szCs w:val="12"/>
                <w:color w:val="auto"/>
              </w:rPr>
            </w:pPr>
          </w:p>
        </w:tc>
        <w:tc>
          <w:tcPr>
            <w:tcW w:w="540" w:type="dxa"/>
            <w:vAlign w:val="bottom"/>
            <w:tcBorders>
              <w:right w:val="single" w:sz="8" w:color="auto"/>
            </w:tcBorders>
          </w:tcPr>
          <w:p>
            <w:pPr>
              <w:jc w:val="center"/>
              <w:ind w:right="28"/>
              <w:spacing w:after="0"/>
              <w:rPr>
                <w:sz w:val="20"/>
                <w:szCs w:val="20"/>
                <w:color w:val="auto"/>
              </w:rPr>
            </w:pPr>
            <w:r>
              <w:rPr>
                <w:rFonts w:ascii="Arial" w:cs="Arial" w:eastAsia="Arial" w:hAnsi="Arial"/>
                <w:sz w:val="10"/>
                <w:szCs w:val="10"/>
                <w:color w:val="auto"/>
                <w:w w:val="91"/>
              </w:rPr>
              <w:t>$2,429,716</w:t>
            </w:r>
          </w:p>
        </w:tc>
        <w:tc>
          <w:tcPr>
            <w:tcW w:w="60" w:type="dxa"/>
            <w:vAlign w:val="bottom"/>
          </w:tcPr>
          <w:p>
            <w:pPr>
              <w:spacing w:after="0"/>
              <w:rPr>
                <w:sz w:val="12"/>
                <w:szCs w:val="12"/>
                <w:color w:val="auto"/>
              </w:rPr>
            </w:pPr>
          </w:p>
        </w:tc>
        <w:tc>
          <w:tcPr>
            <w:tcW w:w="36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0"/>
                <w:szCs w:val="10"/>
                <w:color w:val="auto"/>
                <w:w w:val="92"/>
              </w:rPr>
              <w:t>Yes</w:t>
            </w:r>
          </w:p>
        </w:tc>
        <w:tc>
          <w:tcPr>
            <w:tcW w:w="0" w:type="dxa"/>
            <w:vAlign w:val="bottom"/>
          </w:tcPr>
          <w:p>
            <w:pPr>
              <w:spacing w:after="0"/>
              <w:rPr>
                <w:sz w:val="1"/>
                <w:szCs w:val="1"/>
                <w:color w:val="auto"/>
              </w:rPr>
            </w:pPr>
          </w:p>
        </w:tc>
      </w:tr>
      <w:tr>
        <w:trPr>
          <w:trHeight w:val="149"/>
        </w:trPr>
        <w:tc>
          <w:tcPr>
            <w:tcW w:w="4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0"/>
                <w:szCs w:val="10"/>
                <w:b w:val="1"/>
                <w:bCs w:val="1"/>
                <w:color w:val="auto"/>
                <w:w w:val="92"/>
              </w:rPr>
              <w:t>Change</w:t>
            </w: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5"/>
              </w:rPr>
              <w:t>5,470</w:t>
            </w:r>
          </w:p>
        </w:tc>
        <w:tc>
          <w:tcPr>
            <w:tcW w:w="60" w:type="dxa"/>
            <w:vAlign w:val="bottom"/>
            <w:tcBorders>
              <w:bottom w:val="single" w:sz="8" w:color="auto"/>
              <w:right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3"/>
              </w:rPr>
              <w:t>$44,143</w:t>
            </w:r>
          </w:p>
        </w:tc>
        <w:tc>
          <w:tcPr>
            <w:tcW w:w="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56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1"/>
              </w:rPr>
              <w:t>16,433</w:t>
            </w:r>
          </w:p>
        </w:tc>
        <w:tc>
          <w:tcPr>
            <w:tcW w:w="46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0"/>
                <w:szCs w:val="10"/>
                <w:color w:val="auto"/>
                <w:w w:val="95"/>
              </w:rPr>
              <w:t>$132,614</w:t>
            </w:r>
          </w:p>
        </w:tc>
        <w:tc>
          <w:tcPr>
            <w:tcW w:w="2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sectPr>
          <w:pgSz w:w="11900" w:h="16838" w:orient="portrait"/>
          <w:cols w:equalWidth="0" w:num="2">
            <w:col w:w="2560" w:space="360"/>
            <w:col w:w="6099"/>
          </w:cols>
          <w:pgMar w:left="1440" w:top="13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202565</wp:posOffset>
            </wp:positionV>
            <wp:extent cx="5019040" cy="12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22" w:name="page23"/>
    <w:bookmarkEnd w:id="22"/>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359410</wp:posOffset>
            </wp:positionV>
            <wp:extent cx="4045585"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04558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920" w:right="1339"/>
        <w:spacing w:after="0" w:line="260" w:lineRule="auto"/>
        <w:rPr>
          <w:sz w:val="20"/>
          <w:szCs w:val="20"/>
          <w:color w:val="auto"/>
        </w:rPr>
      </w:pPr>
      <w:r>
        <w:rPr>
          <w:rFonts w:ascii="Arial" w:cs="Arial" w:eastAsia="Arial" w:hAnsi="Arial"/>
          <w:sz w:val="11"/>
          <w:szCs w:val="11"/>
          <w:color w:val="auto"/>
        </w:rPr>
        <w:t>Mr. Wilson is Chair of the Board. He has served on the Board since 2011 and been a corporate director since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-171450</wp:posOffset>
            </wp:positionV>
            <wp:extent cx="581660" cy="7143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1660" cy="714375"/>
                    </a:xfrm>
                    <a:prstGeom prst="rect">
                      <a:avLst/>
                    </a:prstGeom>
                    <a:noFill/>
                  </pic:spPr>
                </pic:pic>
              </a:graphicData>
            </a:graphic>
          </wp:anchor>
        </w:drawing>
      </w:r>
    </w:p>
    <w:p>
      <w:pPr>
        <w:spacing w:after="0" w:line="44" w:lineRule="exact"/>
        <w:rPr>
          <w:sz w:val="20"/>
          <w:szCs w:val="20"/>
          <w:color w:val="auto"/>
        </w:rPr>
      </w:pPr>
    </w:p>
    <w:tbl>
      <w:tblPr>
        <w:tblLayout w:type="fixed"/>
        <w:tblInd w:w="1320" w:type="dxa"/>
        <w:tblCellMar>
          <w:top w:w="0" w:type="dxa"/>
          <w:left w:w="0" w:type="dxa"/>
          <w:bottom w:w="0" w:type="dxa"/>
          <w:right w:w="0" w:type="dxa"/>
        </w:tblCellMar>
      </w:tblPr>
      <w:tr>
        <w:trPr>
          <w:trHeight w:val="129"/>
        </w:trPr>
        <w:tc>
          <w:tcPr>
            <w:tcW w:w="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4780" w:type="dxa"/>
            <w:vAlign w:val="bottom"/>
            <w:gridSpan w:val="18"/>
          </w:tcPr>
          <w:p>
            <w:pPr>
              <w:spacing w:after="0"/>
              <w:rPr>
                <w:sz w:val="20"/>
                <w:szCs w:val="20"/>
                <w:color w:val="auto"/>
              </w:rPr>
            </w:pPr>
            <w:r>
              <w:rPr>
                <w:rFonts w:ascii="Arial" w:cs="Arial" w:eastAsia="Arial" w:hAnsi="Arial"/>
                <w:sz w:val="11"/>
                <w:szCs w:val="11"/>
                <w:color w:val="auto"/>
                <w:w w:val="94"/>
              </w:rPr>
              <w:t>Until his retirement in December 2013, he was the President and CEO, and a director, of Agrium Inc. (a</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4780" w:type="dxa"/>
            <w:vAlign w:val="bottom"/>
            <w:gridSpan w:val="18"/>
          </w:tcPr>
          <w:p>
            <w:pPr>
              <w:spacing w:after="0"/>
              <w:rPr>
                <w:sz w:val="20"/>
                <w:szCs w:val="20"/>
                <w:color w:val="auto"/>
              </w:rPr>
            </w:pPr>
            <w:r>
              <w:rPr>
                <w:rFonts w:ascii="Arial" w:cs="Arial" w:eastAsia="Arial" w:hAnsi="Arial"/>
                <w:sz w:val="11"/>
                <w:szCs w:val="11"/>
                <w:color w:val="auto"/>
              </w:rPr>
              <w:t>public agricultural crop inputs company that has subsequently merged with Potash Corporation of</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4780" w:type="dxa"/>
            <w:vAlign w:val="bottom"/>
            <w:gridSpan w:val="18"/>
          </w:tcPr>
          <w:p>
            <w:pPr>
              <w:spacing w:after="0"/>
              <w:rPr>
                <w:sz w:val="20"/>
                <w:szCs w:val="20"/>
                <w:color w:val="auto"/>
              </w:rPr>
            </w:pPr>
            <w:r>
              <w:rPr>
                <w:rFonts w:ascii="Arial" w:cs="Arial" w:eastAsia="Arial" w:hAnsi="Arial"/>
                <w:sz w:val="11"/>
                <w:szCs w:val="11"/>
                <w:color w:val="auto"/>
                <w:w w:val="91"/>
              </w:rPr>
              <w:t>Saskatchewan Inc. to form Nutrien Ltd.). He has over 30 years of international and executive management</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4780" w:type="dxa"/>
            <w:vAlign w:val="bottom"/>
            <w:gridSpan w:val="18"/>
          </w:tcPr>
          <w:p>
            <w:pPr>
              <w:spacing w:after="0"/>
              <w:rPr>
                <w:sz w:val="20"/>
                <w:szCs w:val="20"/>
                <w:color w:val="auto"/>
              </w:rPr>
            </w:pPr>
            <w:r>
              <w:rPr>
                <w:rFonts w:ascii="Arial" w:cs="Arial" w:eastAsia="Arial" w:hAnsi="Arial"/>
                <w:sz w:val="11"/>
                <w:szCs w:val="11"/>
                <w:color w:val="auto"/>
                <w:w w:val="97"/>
              </w:rPr>
              <w:t>experience. Prior to joining Agrium Inc., Mr. Wilson served as President of Methanex Corporation (a</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4780" w:type="dxa"/>
            <w:vAlign w:val="bottom"/>
            <w:gridSpan w:val="18"/>
          </w:tcPr>
          <w:p>
            <w:pPr>
              <w:spacing w:after="0"/>
              <w:rPr>
                <w:sz w:val="20"/>
                <w:szCs w:val="20"/>
                <w:color w:val="auto"/>
              </w:rPr>
            </w:pPr>
            <w:r>
              <w:rPr>
                <w:rFonts w:ascii="Arial" w:cs="Arial" w:eastAsia="Arial" w:hAnsi="Arial"/>
                <w:sz w:val="11"/>
                <w:szCs w:val="11"/>
                <w:color w:val="auto"/>
                <w:w w:val="92"/>
              </w:rPr>
              <w:t>public company) and held various senior positions in North America and Asia during his 18 years with The</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4780" w:type="dxa"/>
            <w:vAlign w:val="bottom"/>
            <w:gridSpan w:val="18"/>
          </w:tcPr>
          <w:p>
            <w:pPr>
              <w:spacing w:after="0"/>
              <w:rPr>
                <w:sz w:val="20"/>
                <w:szCs w:val="20"/>
                <w:color w:val="auto"/>
              </w:rPr>
            </w:pPr>
            <w:r>
              <w:rPr>
                <w:rFonts w:ascii="Arial" w:cs="Arial" w:eastAsia="Arial" w:hAnsi="Arial"/>
                <w:sz w:val="11"/>
                <w:szCs w:val="11"/>
                <w:color w:val="auto"/>
                <w:w w:val="95"/>
              </w:rPr>
              <w:t>Dow Chemical Company (a public company). Mr. Wilson previously served on the board of directors of</w:t>
            </w:r>
          </w:p>
        </w:tc>
        <w:tc>
          <w:tcPr>
            <w:tcW w:w="0" w:type="dxa"/>
            <w:vAlign w:val="bottom"/>
          </w:tcPr>
          <w:p>
            <w:pPr>
              <w:spacing w:after="0"/>
              <w:rPr>
                <w:sz w:val="1"/>
                <w:szCs w:val="1"/>
                <w:color w:val="auto"/>
              </w:rPr>
            </w:pPr>
          </w:p>
        </w:tc>
      </w:tr>
      <w:tr>
        <w:trPr>
          <w:trHeight w:val="129"/>
        </w:trPr>
        <w:tc>
          <w:tcPr>
            <w:tcW w:w="16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Michael M. Wilson</w:t>
            </w:r>
          </w:p>
        </w:tc>
        <w:tc>
          <w:tcPr>
            <w:tcW w:w="4780" w:type="dxa"/>
            <w:vAlign w:val="bottom"/>
            <w:gridSpan w:val="18"/>
          </w:tcPr>
          <w:p>
            <w:pPr>
              <w:spacing w:after="0"/>
              <w:rPr>
                <w:sz w:val="20"/>
                <w:szCs w:val="20"/>
                <w:color w:val="auto"/>
              </w:rPr>
            </w:pPr>
            <w:r>
              <w:rPr>
                <w:rFonts w:ascii="Arial" w:cs="Arial" w:eastAsia="Arial" w:hAnsi="Arial"/>
                <w:sz w:val="11"/>
                <w:szCs w:val="11"/>
                <w:color w:val="auto"/>
                <w:w w:val="93"/>
              </w:rPr>
              <w:t>Finning International Inc. (a public company) and was also the past Chair of the Calgary Prostate Cancer</w:t>
            </w:r>
          </w:p>
        </w:tc>
        <w:tc>
          <w:tcPr>
            <w:tcW w:w="0" w:type="dxa"/>
            <w:vAlign w:val="bottom"/>
          </w:tcPr>
          <w:p>
            <w:pPr>
              <w:spacing w:after="0"/>
              <w:rPr>
                <w:sz w:val="1"/>
                <w:szCs w:val="1"/>
                <w:color w:val="auto"/>
              </w:rPr>
            </w:pPr>
          </w:p>
        </w:tc>
      </w:tr>
      <w:tr>
        <w:trPr>
          <w:trHeight w:val="50"/>
        </w:trPr>
        <w:tc>
          <w:tcPr>
            <w:tcW w:w="1600" w:type="dxa"/>
            <w:vAlign w:val="bottom"/>
            <w:gridSpan w:val="2"/>
            <w:vMerge w:val="continue"/>
          </w:tcPr>
          <w:p>
            <w:pPr>
              <w:spacing w:after="0"/>
              <w:rPr>
                <w:sz w:val="4"/>
                <w:szCs w:val="4"/>
                <w:color w:val="auto"/>
              </w:rPr>
            </w:pPr>
          </w:p>
        </w:tc>
        <w:tc>
          <w:tcPr>
            <w:tcW w:w="3820" w:type="dxa"/>
            <w:vAlign w:val="bottom"/>
            <w:gridSpan w:val="14"/>
            <w:vMerge w:val="restart"/>
          </w:tcPr>
          <w:p>
            <w:pPr>
              <w:spacing w:after="0"/>
              <w:rPr>
                <w:sz w:val="20"/>
                <w:szCs w:val="20"/>
                <w:color w:val="auto"/>
              </w:rPr>
            </w:pPr>
            <w:r>
              <w:rPr>
                <w:rFonts w:ascii="Arial" w:cs="Arial" w:eastAsia="Arial" w:hAnsi="Arial"/>
                <w:sz w:val="11"/>
                <w:szCs w:val="11"/>
                <w:color w:val="auto"/>
                <w:w w:val="93"/>
              </w:rPr>
              <w:t>Centre. He holds a degree in Chemical Engineering from the University of Waterloo.</w:t>
            </w: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1600" w:type="dxa"/>
            <w:vAlign w:val="bottom"/>
            <w:gridSpan w:val="2"/>
            <w:vMerge w:val="restart"/>
          </w:tcPr>
          <w:p>
            <w:pPr>
              <w:spacing w:after="0" w:line="120" w:lineRule="exact"/>
              <w:rPr>
                <w:sz w:val="20"/>
                <w:szCs w:val="20"/>
                <w:color w:val="auto"/>
              </w:rPr>
            </w:pPr>
            <w:r>
              <w:rPr>
                <w:rFonts w:ascii="Arial" w:cs="Arial" w:eastAsia="Arial" w:hAnsi="Arial"/>
                <w:sz w:val="11"/>
                <w:szCs w:val="11"/>
                <w:color w:val="auto"/>
              </w:rPr>
              <w:t>Bragg Creek, Alberta</w:t>
            </w:r>
          </w:p>
        </w:tc>
        <w:tc>
          <w:tcPr>
            <w:tcW w:w="3820" w:type="dxa"/>
            <w:vAlign w:val="bottom"/>
            <w:gridSpan w:val="14"/>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160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1600" w:type="dxa"/>
            <w:vAlign w:val="bottom"/>
            <w:gridSpan w:val="2"/>
          </w:tcPr>
          <w:p>
            <w:pPr>
              <w:spacing w:after="0"/>
              <w:rPr>
                <w:sz w:val="20"/>
                <w:szCs w:val="20"/>
                <w:color w:val="auto"/>
              </w:rPr>
            </w:pPr>
            <w:r>
              <w:rPr>
                <w:rFonts w:ascii="Arial" w:cs="Arial" w:eastAsia="Arial" w:hAnsi="Arial"/>
                <w:sz w:val="11"/>
                <w:szCs w:val="11"/>
                <w:color w:val="auto"/>
              </w:rPr>
              <w:t>Canada</w:t>
            </w:r>
          </w:p>
        </w:tc>
        <w:tc>
          <w:tcPr>
            <w:tcW w:w="3000" w:type="dxa"/>
            <w:vAlign w:val="bottom"/>
            <w:gridSpan w:val="10"/>
          </w:tcPr>
          <w:p>
            <w:pPr>
              <w:spacing w:after="0"/>
              <w:rPr>
                <w:sz w:val="20"/>
                <w:szCs w:val="20"/>
                <w:color w:val="auto"/>
              </w:rPr>
            </w:pPr>
            <w:r>
              <w:rPr>
                <w:rFonts w:ascii="Arial" w:cs="Arial" w:eastAsia="Arial" w:hAnsi="Arial"/>
                <w:sz w:val="11"/>
                <w:szCs w:val="11"/>
                <w:color w:val="auto"/>
              </w:rPr>
              <w:t>Mr. Wilson sits on the Audit Committee, HRCC, and NCGC.</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1600" w:type="dxa"/>
            <w:vAlign w:val="bottom"/>
            <w:gridSpan w:val="2"/>
          </w:tcPr>
          <w:p>
            <w:pPr>
              <w:spacing w:after="0" w:line="101" w:lineRule="exact"/>
              <w:rPr>
                <w:sz w:val="20"/>
                <w:szCs w:val="20"/>
                <w:color w:val="auto"/>
              </w:rPr>
            </w:pPr>
            <w:r>
              <w:rPr>
                <w:rFonts w:ascii="Arial" w:cs="Arial" w:eastAsia="Arial" w:hAnsi="Arial"/>
                <w:sz w:val="11"/>
                <w:szCs w:val="11"/>
                <w:b w:val="1"/>
                <w:bCs w:val="1"/>
                <w:color w:val="auto"/>
              </w:rPr>
              <w:t xml:space="preserve">Director Since: </w:t>
            </w:r>
            <w:r>
              <w:rPr>
                <w:rFonts w:ascii="Arial" w:cs="Arial" w:eastAsia="Arial" w:hAnsi="Arial"/>
                <w:sz w:val="11"/>
                <w:szCs w:val="11"/>
                <w:color w:val="auto"/>
              </w:rPr>
              <w:t>2011</w:t>
            </w:r>
          </w:p>
        </w:tc>
        <w:tc>
          <w:tcPr>
            <w:tcW w:w="4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60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 xml:space="preserve">Age: </w:t>
            </w:r>
            <w:r>
              <w:rPr>
                <w:rFonts w:ascii="Arial" w:cs="Arial" w:eastAsia="Arial" w:hAnsi="Arial"/>
                <w:sz w:val="11"/>
                <w:szCs w:val="11"/>
                <w:color w:val="auto"/>
              </w:rPr>
              <w:t>69</w:t>
            </w:r>
          </w:p>
        </w:tc>
        <w:tc>
          <w:tcPr>
            <w:tcW w:w="440" w:type="dxa"/>
            <w:vAlign w:val="bottom"/>
            <w:tcBorders>
              <w:top w:val="single" w:sz="8" w:color="CCCCCC"/>
              <w:left w:val="single" w:sz="8" w:color="CCCCCC"/>
              <w:bottom w:val="single" w:sz="8" w:color="auto"/>
              <w:right w:val="single" w:sz="8" w:color="CCCCCC"/>
            </w:tcBorders>
            <w:shd w:val="clear" w:color="auto" w:fill="CCCCCC"/>
          </w:tcPr>
          <w:p>
            <w:pPr>
              <w:spacing w:after="0"/>
              <w:rPr>
                <w:sz w:val="10"/>
                <w:szCs w:val="10"/>
                <w:color w:val="auto"/>
              </w:rPr>
            </w:pPr>
          </w:p>
        </w:tc>
        <w:tc>
          <w:tcPr>
            <w:tcW w:w="360" w:type="dxa"/>
            <w:vAlign w:val="bottom"/>
            <w:tcBorders>
              <w:top w:val="single" w:sz="8" w:color="CCCCCC"/>
              <w:bottom w:val="single" w:sz="8" w:color="auto"/>
            </w:tcBorders>
            <w:shd w:val="clear" w:color="auto" w:fill="CCCCCC"/>
          </w:tcPr>
          <w:p>
            <w:pPr>
              <w:spacing w:after="0"/>
              <w:rPr>
                <w:sz w:val="10"/>
                <w:szCs w:val="10"/>
                <w:color w:val="auto"/>
              </w:rPr>
            </w:pPr>
          </w:p>
        </w:tc>
        <w:tc>
          <w:tcPr>
            <w:tcW w:w="60" w:type="dxa"/>
            <w:vAlign w:val="bottom"/>
            <w:tcBorders>
              <w:top w:val="single" w:sz="8" w:color="CCCCCC"/>
              <w:bottom w:val="single" w:sz="8" w:color="auto"/>
              <w:right w:val="single" w:sz="8" w:color="CCCCCC"/>
            </w:tcBorders>
            <w:shd w:val="clear" w:color="auto" w:fill="CCCCCC"/>
          </w:tcPr>
          <w:p>
            <w:pPr>
              <w:spacing w:after="0"/>
              <w:rPr>
                <w:sz w:val="10"/>
                <w:szCs w:val="10"/>
                <w:color w:val="auto"/>
              </w:rPr>
            </w:pPr>
          </w:p>
        </w:tc>
        <w:tc>
          <w:tcPr>
            <w:tcW w:w="2460" w:type="dxa"/>
            <w:vAlign w:val="bottom"/>
            <w:tcBorders>
              <w:top w:val="single" w:sz="8" w:color="CCCCCC"/>
              <w:bottom w:val="single" w:sz="8" w:color="auto"/>
            </w:tcBorders>
            <w:gridSpan w:val="9"/>
            <w:shd w:val="clear" w:color="auto" w:fill="CCCCCC"/>
          </w:tcPr>
          <w:p>
            <w:pPr>
              <w:ind w:left="380"/>
              <w:spacing w:after="0" w:line="99" w:lineRule="exact"/>
              <w:rPr>
                <w:sz w:val="20"/>
                <w:szCs w:val="20"/>
                <w:color w:val="auto"/>
              </w:rPr>
            </w:pPr>
            <w:r>
              <w:rPr>
                <w:rFonts w:ascii="Arial" w:cs="Arial" w:eastAsia="Arial" w:hAnsi="Arial"/>
                <w:sz w:val="11"/>
                <w:szCs w:val="11"/>
                <w:b w:val="1"/>
                <w:bCs w:val="1"/>
                <w:color w:val="auto"/>
                <w:w w:val="95"/>
              </w:rPr>
              <w:t>BOARD AND COMMITTEE ATTENDANCE</w:t>
            </w:r>
          </w:p>
        </w:tc>
        <w:tc>
          <w:tcPr>
            <w:tcW w:w="460" w:type="dxa"/>
            <w:vAlign w:val="bottom"/>
            <w:tcBorders>
              <w:top w:val="single" w:sz="8" w:color="CCCCCC"/>
              <w:bottom w:val="single" w:sz="8" w:color="auto"/>
              <w:right w:val="single" w:sz="8" w:color="CCCCCC"/>
            </w:tcBorders>
            <w:shd w:val="clear" w:color="auto" w:fill="CCCCCC"/>
          </w:tcPr>
          <w:p>
            <w:pPr>
              <w:spacing w:after="0"/>
              <w:rPr>
                <w:sz w:val="10"/>
                <w:szCs w:val="10"/>
                <w:color w:val="auto"/>
              </w:rPr>
            </w:pPr>
          </w:p>
        </w:tc>
        <w:tc>
          <w:tcPr>
            <w:tcW w:w="40" w:type="dxa"/>
            <w:vAlign w:val="bottom"/>
            <w:tcBorders>
              <w:top w:val="single" w:sz="8" w:color="CCCCCC"/>
              <w:bottom w:val="single" w:sz="8" w:color="auto"/>
            </w:tcBorders>
            <w:shd w:val="clear" w:color="auto" w:fill="CCCCCC"/>
          </w:tcPr>
          <w:p>
            <w:pPr>
              <w:spacing w:after="0"/>
              <w:rPr>
                <w:sz w:val="10"/>
                <w:szCs w:val="10"/>
                <w:color w:val="auto"/>
              </w:rPr>
            </w:pPr>
          </w:p>
        </w:tc>
        <w:tc>
          <w:tcPr>
            <w:tcW w:w="540" w:type="dxa"/>
            <w:vAlign w:val="bottom"/>
            <w:tcBorders>
              <w:top w:val="single" w:sz="8" w:color="CCCCCC"/>
              <w:bottom w:val="single" w:sz="8" w:color="auto"/>
              <w:right w:val="single" w:sz="8" w:color="CCCCCC"/>
            </w:tcBorders>
            <w:shd w:val="clear" w:color="auto" w:fill="CCCCCC"/>
          </w:tcPr>
          <w:p>
            <w:pPr>
              <w:spacing w:after="0"/>
              <w:rPr>
                <w:sz w:val="10"/>
                <w:szCs w:val="10"/>
                <w:color w:val="auto"/>
              </w:rPr>
            </w:pPr>
          </w:p>
        </w:tc>
        <w:tc>
          <w:tcPr>
            <w:tcW w:w="60" w:type="dxa"/>
            <w:vAlign w:val="bottom"/>
            <w:tcBorders>
              <w:top w:val="single" w:sz="8" w:color="CCCCCC"/>
              <w:bottom w:val="single" w:sz="8" w:color="auto"/>
            </w:tcBorders>
            <w:shd w:val="clear" w:color="auto" w:fill="CCCCCC"/>
          </w:tcPr>
          <w:p>
            <w:pPr>
              <w:spacing w:after="0"/>
              <w:rPr>
                <w:sz w:val="10"/>
                <w:szCs w:val="10"/>
                <w:color w:val="auto"/>
              </w:rPr>
            </w:pPr>
          </w:p>
        </w:tc>
        <w:tc>
          <w:tcPr>
            <w:tcW w:w="320" w:type="dxa"/>
            <w:vAlign w:val="bottom"/>
            <w:tcBorders>
              <w:top w:val="single" w:sz="8" w:color="CCCCCC"/>
              <w:bottom w:val="single" w:sz="8" w:color="auto"/>
            </w:tcBorders>
            <w:shd w:val="clear" w:color="auto" w:fill="CCCCCC"/>
          </w:tcPr>
          <w:p>
            <w:pPr>
              <w:spacing w:after="0"/>
              <w:rPr>
                <w:sz w:val="10"/>
                <w:szCs w:val="10"/>
                <w:color w:val="auto"/>
              </w:rPr>
            </w:pPr>
          </w:p>
        </w:tc>
        <w:tc>
          <w:tcPr>
            <w:tcW w:w="40" w:type="dxa"/>
            <w:vAlign w:val="bottom"/>
            <w:tcBorders>
              <w:top w:val="single" w:sz="8" w:color="CCCCCC"/>
              <w:bottom w:val="single" w:sz="8" w:color="auto"/>
              <w:right w:val="single" w:sz="8" w:color="CCCCCC"/>
            </w:tcBorders>
            <w:shd w:val="clear" w:color="auto" w:fill="CCCCCC"/>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60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 xml:space="preserve">Status: </w:t>
            </w:r>
            <w:r>
              <w:rPr>
                <w:rFonts w:ascii="Arial" w:cs="Arial" w:eastAsia="Arial" w:hAnsi="Arial"/>
                <w:sz w:val="11"/>
                <w:szCs w:val="11"/>
                <w:color w:val="auto"/>
              </w:rPr>
              <w:t>Independent</w:t>
            </w:r>
          </w:p>
        </w:tc>
        <w:tc>
          <w:tcPr>
            <w:tcW w:w="440" w:type="dxa"/>
            <w:vAlign w:val="bottom"/>
            <w:vMerge w:val="restart"/>
          </w:tcPr>
          <w:p>
            <w:pPr>
              <w:spacing w:after="0"/>
              <w:rPr>
                <w:sz w:val="20"/>
                <w:szCs w:val="20"/>
                <w:color w:val="auto"/>
              </w:rPr>
            </w:pPr>
            <w:r>
              <w:rPr>
                <w:rFonts w:ascii="Arial" w:cs="Arial" w:eastAsia="Arial" w:hAnsi="Arial"/>
                <w:sz w:val="11"/>
                <w:szCs w:val="11"/>
                <w:color w:val="auto"/>
              </w:rPr>
              <w:t>Board</w:t>
            </w: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40" w:type="dxa"/>
            <w:vAlign w:val="bottom"/>
            <w:gridSpan w:val="5"/>
          </w:tcPr>
          <w:p>
            <w:pPr>
              <w:jc w:val="center"/>
              <w:ind w:left="329"/>
              <w:spacing w:after="0" w:line="120" w:lineRule="exact"/>
              <w:rPr>
                <w:sz w:val="20"/>
                <w:szCs w:val="20"/>
                <w:color w:val="auto"/>
              </w:rPr>
            </w:pPr>
            <w:r>
              <w:rPr>
                <w:rFonts w:ascii="Arial" w:cs="Arial" w:eastAsia="Arial" w:hAnsi="Arial"/>
                <w:sz w:val="11"/>
                <w:szCs w:val="11"/>
                <w:color w:val="auto"/>
                <w:w w:val="96"/>
              </w:rPr>
              <w:t>ATTENDANCE</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60" w:type="dxa"/>
            <w:vAlign w:val="bottom"/>
            <w:gridSpan w:val="6"/>
          </w:tcPr>
          <w:p>
            <w:pPr>
              <w:spacing w:after="0" w:line="120" w:lineRule="exact"/>
              <w:rPr>
                <w:sz w:val="20"/>
                <w:szCs w:val="20"/>
                <w:color w:val="auto"/>
              </w:rPr>
            </w:pPr>
            <w:r>
              <w:rPr>
                <w:rFonts w:ascii="Arial" w:cs="Arial" w:eastAsia="Arial" w:hAnsi="Arial"/>
                <w:sz w:val="11"/>
                <w:szCs w:val="11"/>
                <w:color w:val="auto"/>
              </w:rPr>
              <w:t>TOTAL ATTENDANCE</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6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Areas of Expertise:</w:t>
            </w:r>
          </w:p>
        </w:tc>
        <w:tc>
          <w:tcPr>
            <w:tcW w:w="4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gridSpan w:val="2"/>
          </w:tcPr>
          <w:p>
            <w:pPr>
              <w:jc w:val="center"/>
              <w:ind w:right="180"/>
              <w:spacing w:after="0" w:line="106" w:lineRule="exact"/>
              <w:rPr>
                <w:sz w:val="20"/>
                <w:szCs w:val="20"/>
                <w:color w:val="auto"/>
              </w:rPr>
            </w:pPr>
            <w:r>
              <w:rPr>
                <w:rFonts w:ascii="Arial" w:cs="Arial" w:eastAsia="Arial" w:hAnsi="Arial"/>
                <w:sz w:val="11"/>
                <w:szCs w:val="11"/>
                <w:color w:val="auto"/>
                <w:w w:val="94"/>
              </w:rPr>
              <w:t>8 of 8</w:t>
            </w:r>
          </w:p>
        </w:tc>
        <w:tc>
          <w:tcPr>
            <w:tcW w:w="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gridSpan w:val="2"/>
          </w:tcPr>
          <w:p>
            <w:pPr>
              <w:spacing w:after="0" w:line="106" w:lineRule="exact"/>
              <w:rPr>
                <w:sz w:val="20"/>
                <w:szCs w:val="20"/>
                <w:color w:val="auto"/>
              </w:rPr>
            </w:pPr>
            <w:r>
              <w:rPr>
                <w:rFonts w:ascii="Arial" w:cs="Arial" w:eastAsia="Arial" w:hAnsi="Arial"/>
                <w:sz w:val="11"/>
                <w:szCs w:val="11"/>
                <w:color w:val="auto"/>
              </w:rPr>
              <w:t>Board</w:t>
            </w:r>
          </w:p>
        </w:tc>
        <w:tc>
          <w:tcPr>
            <w:tcW w:w="920" w:type="dxa"/>
            <w:vAlign w:val="bottom"/>
            <w:gridSpan w:val="3"/>
          </w:tcPr>
          <w:p>
            <w:pPr>
              <w:jc w:val="right"/>
              <w:ind w:right="149"/>
              <w:spacing w:after="0" w:line="106" w:lineRule="exact"/>
              <w:rPr>
                <w:sz w:val="20"/>
                <w:szCs w:val="20"/>
                <w:color w:val="auto"/>
              </w:rPr>
            </w:pPr>
            <w:r>
              <w:rPr>
                <w:rFonts w:ascii="Arial" w:cs="Arial" w:eastAsia="Arial" w:hAnsi="Arial"/>
                <w:sz w:val="11"/>
                <w:szCs w:val="11"/>
                <w:color w:val="auto"/>
              </w:rPr>
              <w:t>100%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1600" w:type="dxa"/>
            <w:vAlign w:val="bottom"/>
            <w:gridSpan w:val="2"/>
            <w:vMerge w:val="continue"/>
          </w:tcPr>
          <w:p>
            <w:pPr>
              <w:spacing w:after="0"/>
              <w:rPr>
                <w:sz w:val="3"/>
                <w:szCs w:val="3"/>
                <w:color w:val="auto"/>
              </w:rPr>
            </w:pPr>
          </w:p>
        </w:tc>
        <w:tc>
          <w:tcPr>
            <w:tcW w:w="800" w:type="dxa"/>
            <w:vAlign w:val="bottom"/>
            <w:gridSpan w:val="2"/>
            <w:vMerge w:val="restart"/>
          </w:tcPr>
          <w:p>
            <w:pPr>
              <w:spacing w:after="0"/>
              <w:rPr>
                <w:sz w:val="20"/>
                <w:szCs w:val="20"/>
                <w:color w:val="auto"/>
              </w:rPr>
            </w:pPr>
            <w:r>
              <w:rPr>
                <w:rFonts w:ascii="Arial" w:cs="Arial" w:eastAsia="Arial" w:hAnsi="Arial"/>
                <w:sz w:val="11"/>
                <w:szCs w:val="11"/>
                <w:color w:val="auto"/>
                <w:w w:val="95"/>
              </w:rPr>
              <w:t>Audit Committee</w:t>
            </w: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gridSpan w:val="3"/>
            <w:vMerge w:val="restart"/>
          </w:tcPr>
          <w:p>
            <w:pPr>
              <w:jc w:val="center"/>
              <w:ind w:right="200"/>
              <w:spacing w:after="0"/>
              <w:rPr>
                <w:sz w:val="20"/>
                <w:szCs w:val="20"/>
                <w:color w:val="auto"/>
              </w:rPr>
            </w:pPr>
            <w:r>
              <w:rPr>
                <w:rFonts w:ascii="Arial" w:cs="Arial" w:eastAsia="Arial" w:hAnsi="Arial"/>
                <w:sz w:val="11"/>
                <w:szCs w:val="11"/>
                <w:color w:val="auto"/>
                <w:w w:val="94"/>
              </w:rPr>
              <w:t>6 of 6</w:t>
            </w: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gridSpan w:val="2"/>
            <w:vMerge w:val="restart"/>
          </w:tcPr>
          <w:p>
            <w:pPr>
              <w:spacing w:after="0"/>
              <w:rPr>
                <w:sz w:val="20"/>
                <w:szCs w:val="20"/>
                <w:color w:val="auto"/>
              </w:rPr>
            </w:pPr>
            <w:r>
              <w:rPr>
                <w:rFonts w:ascii="Arial" w:cs="Arial" w:eastAsia="Arial" w:hAnsi="Arial"/>
                <w:sz w:val="11"/>
                <w:szCs w:val="11"/>
                <w:color w:val="auto"/>
                <w:w w:val="90"/>
              </w:rPr>
              <w:t>Committee</w:t>
            </w:r>
          </w:p>
        </w:tc>
        <w:tc>
          <w:tcPr>
            <w:tcW w:w="920" w:type="dxa"/>
            <w:vAlign w:val="bottom"/>
            <w:gridSpan w:val="3"/>
            <w:vMerge w:val="restart"/>
          </w:tcPr>
          <w:p>
            <w:pPr>
              <w:jc w:val="right"/>
              <w:ind w:right="149"/>
              <w:spacing w:after="0"/>
              <w:rPr>
                <w:sz w:val="20"/>
                <w:szCs w:val="20"/>
                <w:color w:val="auto"/>
              </w:rPr>
            </w:pPr>
            <w:r>
              <w:rPr>
                <w:rFonts w:ascii="Arial" w:cs="Arial" w:eastAsia="Arial" w:hAnsi="Arial"/>
                <w:sz w:val="11"/>
                <w:szCs w:val="11"/>
                <w:color w:val="auto"/>
              </w:rPr>
              <w:t>100%</w:t>
            </w: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0"/>
        </w:trPr>
        <w:tc>
          <w:tcPr>
            <w:tcW w:w="80" w:type="dxa"/>
            <w:vAlign w:val="bottom"/>
            <w:vMerge w:val="restart"/>
          </w:tcPr>
          <w:p>
            <w:pPr>
              <w:spacing w:after="0"/>
              <w:rPr>
                <w:sz w:val="20"/>
                <w:szCs w:val="20"/>
                <w:color w:val="auto"/>
              </w:rPr>
            </w:pPr>
            <w:r>
              <w:rPr>
                <w:rFonts w:ascii="Arial" w:cs="Arial" w:eastAsia="Arial" w:hAnsi="Arial"/>
                <w:sz w:val="11"/>
                <w:szCs w:val="11"/>
                <w:color w:val="auto"/>
              </w:rPr>
              <w:t>•</w:t>
            </w:r>
          </w:p>
        </w:tc>
        <w:tc>
          <w:tcPr>
            <w:tcW w:w="1520" w:type="dxa"/>
            <w:vAlign w:val="bottom"/>
            <w:vMerge w:val="restart"/>
          </w:tcPr>
          <w:p>
            <w:pPr>
              <w:ind w:left="20"/>
              <w:spacing w:after="0"/>
              <w:rPr>
                <w:sz w:val="20"/>
                <w:szCs w:val="20"/>
                <w:color w:val="auto"/>
              </w:rPr>
            </w:pPr>
            <w:r>
              <w:rPr>
                <w:rFonts w:ascii="Arial" w:cs="Arial" w:eastAsia="Arial" w:hAnsi="Arial"/>
                <w:sz w:val="11"/>
                <w:szCs w:val="11"/>
                <w:color w:val="auto"/>
              </w:rPr>
              <w:t>Public Company Board</w:t>
            </w:r>
          </w:p>
        </w:tc>
        <w:tc>
          <w:tcPr>
            <w:tcW w:w="8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80" w:type="dxa"/>
            <w:vAlign w:val="bottom"/>
            <w:vMerge w:val="continue"/>
          </w:tcPr>
          <w:p>
            <w:pPr>
              <w:spacing w:after="0"/>
              <w:rPr>
                <w:sz w:val="3"/>
                <w:szCs w:val="3"/>
                <w:color w:val="auto"/>
              </w:rPr>
            </w:pPr>
          </w:p>
        </w:tc>
        <w:tc>
          <w:tcPr>
            <w:tcW w:w="1520" w:type="dxa"/>
            <w:vAlign w:val="bottom"/>
            <w:vMerge w:val="continue"/>
          </w:tcPr>
          <w:p>
            <w:pPr>
              <w:spacing w:after="0"/>
              <w:rPr>
                <w:sz w:val="3"/>
                <w:szCs w:val="3"/>
                <w:color w:val="auto"/>
              </w:rPr>
            </w:pPr>
          </w:p>
        </w:tc>
        <w:tc>
          <w:tcPr>
            <w:tcW w:w="440" w:type="dxa"/>
            <w:vAlign w:val="bottom"/>
            <w:vMerge w:val="restart"/>
          </w:tcPr>
          <w:p>
            <w:pPr>
              <w:spacing w:after="0"/>
              <w:rPr>
                <w:sz w:val="20"/>
                <w:szCs w:val="20"/>
                <w:color w:val="auto"/>
              </w:rPr>
            </w:pPr>
            <w:r>
              <w:rPr>
                <w:rFonts w:ascii="Arial" w:cs="Arial" w:eastAsia="Arial" w:hAnsi="Arial"/>
                <w:sz w:val="11"/>
                <w:szCs w:val="11"/>
                <w:color w:val="auto"/>
              </w:rPr>
              <w:t>HRCC</w:t>
            </w: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gridSpan w:val="3"/>
            <w:vMerge w:val="restart"/>
          </w:tcPr>
          <w:p>
            <w:pPr>
              <w:jc w:val="center"/>
              <w:ind w:right="200"/>
              <w:spacing w:after="0"/>
              <w:rPr>
                <w:sz w:val="20"/>
                <w:szCs w:val="20"/>
                <w:color w:val="auto"/>
              </w:rPr>
            </w:pPr>
            <w:r>
              <w:rPr>
                <w:rFonts w:ascii="Arial" w:cs="Arial" w:eastAsia="Arial" w:hAnsi="Arial"/>
                <w:sz w:val="11"/>
                <w:szCs w:val="11"/>
                <w:color w:val="auto"/>
                <w:w w:val="94"/>
              </w:rPr>
              <w:t>6 of 6</w:t>
            </w: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0"/>
        </w:trPr>
        <w:tc>
          <w:tcPr>
            <w:tcW w:w="80" w:type="dxa"/>
            <w:vAlign w:val="bottom"/>
          </w:tcPr>
          <w:p>
            <w:pPr>
              <w:spacing w:after="0"/>
              <w:rPr>
                <w:sz w:val="7"/>
                <w:szCs w:val="7"/>
                <w:color w:val="auto"/>
              </w:rPr>
            </w:pPr>
          </w:p>
        </w:tc>
        <w:tc>
          <w:tcPr>
            <w:tcW w:w="1520" w:type="dxa"/>
            <w:vAlign w:val="bottom"/>
            <w:vMerge w:val="restart"/>
          </w:tcPr>
          <w:p>
            <w:pPr>
              <w:ind w:left="20"/>
              <w:spacing w:after="0"/>
              <w:rPr>
                <w:sz w:val="20"/>
                <w:szCs w:val="20"/>
                <w:color w:val="auto"/>
              </w:rPr>
            </w:pPr>
            <w:r>
              <w:rPr>
                <w:rFonts w:ascii="Arial" w:cs="Arial" w:eastAsia="Arial" w:hAnsi="Arial"/>
                <w:sz w:val="11"/>
                <w:szCs w:val="11"/>
                <w:color w:val="auto"/>
              </w:rPr>
              <w:t>Expertise</w:t>
            </w:r>
          </w:p>
        </w:tc>
        <w:tc>
          <w:tcPr>
            <w:tcW w:w="4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520" w:type="dxa"/>
            <w:vAlign w:val="bottom"/>
            <w:vMerge w:val="continue"/>
          </w:tcPr>
          <w:p>
            <w:pPr>
              <w:spacing w:after="0"/>
              <w:rPr>
                <w:sz w:val="3"/>
                <w:szCs w:val="3"/>
                <w:color w:val="auto"/>
              </w:rPr>
            </w:pPr>
          </w:p>
        </w:tc>
        <w:tc>
          <w:tcPr>
            <w:tcW w:w="440" w:type="dxa"/>
            <w:vAlign w:val="bottom"/>
            <w:vMerge w:val="restart"/>
          </w:tcPr>
          <w:p>
            <w:pPr>
              <w:spacing w:after="0"/>
              <w:rPr>
                <w:sz w:val="20"/>
                <w:szCs w:val="20"/>
                <w:color w:val="auto"/>
              </w:rPr>
            </w:pPr>
            <w:r>
              <w:rPr>
                <w:rFonts w:ascii="Arial" w:cs="Arial" w:eastAsia="Arial" w:hAnsi="Arial"/>
                <w:sz w:val="11"/>
                <w:szCs w:val="11"/>
                <w:color w:val="auto"/>
              </w:rPr>
              <w:t>NCGC</w:t>
            </w: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gridSpan w:val="3"/>
            <w:vMerge w:val="restart"/>
          </w:tcPr>
          <w:p>
            <w:pPr>
              <w:jc w:val="center"/>
              <w:ind w:right="200"/>
              <w:spacing w:after="0"/>
              <w:rPr>
                <w:sz w:val="20"/>
                <w:szCs w:val="20"/>
                <w:color w:val="auto"/>
              </w:rPr>
            </w:pPr>
            <w:r>
              <w:rPr>
                <w:rFonts w:ascii="Arial" w:cs="Arial" w:eastAsia="Arial" w:hAnsi="Arial"/>
                <w:sz w:val="11"/>
                <w:szCs w:val="11"/>
                <w:color w:val="auto"/>
                <w:w w:val="94"/>
              </w:rPr>
              <w:t>3 of 3</w:t>
            </w: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5"/>
        </w:trPr>
        <w:tc>
          <w:tcPr>
            <w:tcW w:w="80" w:type="dxa"/>
            <w:vAlign w:val="bottom"/>
            <w:vMerge w:val="restart"/>
          </w:tcPr>
          <w:p>
            <w:pPr>
              <w:spacing w:after="0"/>
              <w:rPr>
                <w:sz w:val="20"/>
                <w:szCs w:val="20"/>
                <w:color w:val="auto"/>
              </w:rPr>
            </w:pPr>
            <w:r>
              <w:rPr>
                <w:rFonts w:ascii="Arial" w:cs="Arial" w:eastAsia="Arial" w:hAnsi="Arial"/>
                <w:sz w:val="11"/>
                <w:szCs w:val="11"/>
                <w:color w:val="auto"/>
              </w:rPr>
              <w:t>•</w:t>
            </w:r>
          </w:p>
        </w:tc>
        <w:tc>
          <w:tcPr>
            <w:tcW w:w="1520" w:type="dxa"/>
            <w:vAlign w:val="bottom"/>
            <w:vMerge w:val="restart"/>
          </w:tcPr>
          <w:p>
            <w:pPr>
              <w:ind w:left="20"/>
              <w:spacing w:after="0"/>
              <w:rPr>
                <w:sz w:val="20"/>
                <w:szCs w:val="20"/>
                <w:color w:val="auto"/>
              </w:rPr>
            </w:pPr>
            <w:r>
              <w:rPr>
                <w:rFonts w:ascii="Arial" w:cs="Arial" w:eastAsia="Arial" w:hAnsi="Arial"/>
                <w:sz w:val="11"/>
                <w:szCs w:val="11"/>
                <w:color w:val="auto"/>
              </w:rPr>
              <w:t>Business Development</w:t>
            </w:r>
          </w:p>
        </w:tc>
        <w:tc>
          <w:tcPr>
            <w:tcW w:w="44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80" w:type="dxa"/>
            <w:vAlign w:val="bottom"/>
            <w:vMerge w:val="continue"/>
          </w:tcPr>
          <w:p>
            <w:pPr>
              <w:spacing w:after="0"/>
              <w:rPr>
                <w:sz w:val="3"/>
                <w:szCs w:val="3"/>
                <w:color w:val="auto"/>
              </w:rPr>
            </w:pPr>
          </w:p>
        </w:tc>
        <w:tc>
          <w:tcPr>
            <w:tcW w:w="1520" w:type="dxa"/>
            <w:vAlign w:val="bottom"/>
            <w:vMerge w:val="continue"/>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80" w:type="dxa"/>
            <w:vAlign w:val="bottom"/>
          </w:tcPr>
          <w:p>
            <w:pPr>
              <w:spacing w:after="0" w:line="115" w:lineRule="exact"/>
              <w:rPr>
                <w:sz w:val="20"/>
                <w:szCs w:val="20"/>
                <w:color w:val="auto"/>
              </w:rPr>
            </w:pPr>
            <w:r>
              <w:rPr>
                <w:rFonts w:ascii="Arial" w:cs="Arial" w:eastAsia="Arial" w:hAnsi="Arial"/>
                <w:sz w:val="11"/>
                <w:szCs w:val="11"/>
                <w:color w:val="auto"/>
              </w:rPr>
              <w:t>•</w:t>
            </w:r>
          </w:p>
        </w:tc>
        <w:tc>
          <w:tcPr>
            <w:tcW w:w="1520" w:type="dxa"/>
            <w:vAlign w:val="bottom"/>
          </w:tcPr>
          <w:p>
            <w:pPr>
              <w:ind w:left="20"/>
              <w:spacing w:after="0" w:line="115" w:lineRule="exact"/>
              <w:rPr>
                <w:sz w:val="20"/>
                <w:szCs w:val="20"/>
                <w:color w:val="auto"/>
              </w:rPr>
            </w:pPr>
            <w:r>
              <w:rPr>
                <w:rFonts w:ascii="Arial" w:cs="Arial" w:eastAsia="Arial" w:hAnsi="Arial"/>
                <w:sz w:val="11"/>
                <w:szCs w:val="11"/>
                <w:color w:val="auto"/>
              </w:rPr>
              <w:t>Corporate Governance</w:t>
            </w:r>
          </w:p>
        </w:tc>
        <w:tc>
          <w:tcPr>
            <w:tcW w:w="440" w:type="dxa"/>
            <w:vAlign w:val="bottom"/>
            <w:tcBorders>
              <w:left w:val="single" w:sz="8" w:color="auto"/>
              <w:bottom w:val="single" w:sz="8" w:color="CCCCCC"/>
              <w:right w:val="single" w:sz="8" w:color="CCCCCC"/>
            </w:tcBorders>
            <w:shd w:val="clear" w:color="auto" w:fill="CCCCCC"/>
          </w:tcPr>
          <w:p>
            <w:pPr>
              <w:spacing w:after="0"/>
              <w:rPr>
                <w:sz w:val="14"/>
                <w:szCs w:val="14"/>
                <w:color w:val="auto"/>
              </w:rPr>
            </w:pPr>
          </w:p>
        </w:tc>
        <w:tc>
          <w:tcPr>
            <w:tcW w:w="360" w:type="dxa"/>
            <w:vAlign w:val="bottom"/>
            <w:tcBorders>
              <w:bottom w:val="single" w:sz="8" w:color="CCCCCC"/>
            </w:tcBorders>
            <w:shd w:val="clear" w:color="auto" w:fill="CCCCCC"/>
          </w:tcPr>
          <w:p>
            <w:pPr>
              <w:spacing w:after="0"/>
              <w:rPr>
                <w:sz w:val="14"/>
                <w:szCs w:val="14"/>
                <w:color w:val="auto"/>
              </w:rPr>
            </w:pPr>
          </w:p>
        </w:tc>
        <w:tc>
          <w:tcPr>
            <w:tcW w:w="60" w:type="dxa"/>
            <w:vAlign w:val="bottom"/>
            <w:tcBorders>
              <w:bottom w:val="single" w:sz="8" w:color="CCCCCC"/>
              <w:right w:val="single" w:sz="8" w:color="CCCCCC"/>
            </w:tcBorders>
            <w:shd w:val="clear" w:color="auto" w:fill="CCCCCC"/>
          </w:tcPr>
          <w:p>
            <w:pPr>
              <w:spacing w:after="0"/>
              <w:rPr>
                <w:sz w:val="14"/>
                <w:szCs w:val="14"/>
                <w:color w:val="auto"/>
              </w:rPr>
            </w:pPr>
          </w:p>
        </w:tc>
        <w:tc>
          <w:tcPr>
            <w:tcW w:w="560" w:type="dxa"/>
            <w:vAlign w:val="bottom"/>
            <w:tcBorders>
              <w:bottom w:val="single" w:sz="8" w:color="CCCCCC"/>
              <w:right w:val="single" w:sz="8" w:color="CCCCCC"/>
            </w:tcBorders>
            <w:shd w:val="clear" w:color="auto" w:fill="CCCCCC"/>
          </w:tcPr>
          <w:p>
            <w:pPr>
              <w:spacing w:after="0"/>
              <w:rPr>
                <w:sz w:val="14"/>
                <w:szCs w:val="14"/>
                <w:color w:val="auto"/>
              </w:rPr>
            </w:pPr>
          </w:p>
        </w:tc>
        <w:tc>
          <w:tcPr>
            <w:tcW w:w="1900" w:type="dxa"/>
            <w:vAlign w:val="bottom"/>
            <w:tcBorders>
              <w:bottom w:val="single" w:sz="8" w:color="CCCCCC"/>
            </w:tcBorders>
            <w:gridSpan w:val="8"/>
            <w:shd w:val="clear" w:color="auto" w:fill="CCCCCC"/>
          </w:tcPr>
          <w:p>
            <w:pPr>
              <w:ind w:left="120"/>
              <w:spacing w:after="0" w:line="142" w:lineRule="exact"/>
              <w:rPr>
                <w:sz w:val="20"/>
                <w:szCs w:val="20"/>
                <w:color w:val="auto"/>
              </w:rPr>
            </w:pPr>
            <w:r>
              <w:rPr>
                <w:rFonts w:ascii="Arial" w:cs="Arial" w:eastAsia="Arial" w:hAnsi="Arial"/>
                <w:sz w:val="11"/>
                <w:szCs w:val="11"/>
                <w:b w:val="1"/>
                <w:bCs w:val="1"/>
                <w:color w:val="auto"/>
                <w:w w:val="96"/>
              </w:rPr>
              <w:t>DIRECTOR SHARE OWNERSHIP</w:t>
            </w:r>
            <w:r>
              <w:rPr>
                <w:rFonts w:ascii="Arial" w:cs="Arial" w:eastAsia="Arial" w:hAnsi="Arial"/>
                <w:sz w:val="15"/>
                <w:szCs w:val="15"/>
                <w:b w:val="1"/>
                <w:bCs w:val="1"/>
                <w:color w:val="auto"/>
                <w:w w:val="96"/>
                <w:vertAlign w:val="superscript"/>
              </w:rPr>
              <w:t>(1)</w:t>
            </w:r>
          </w:p>
        </w:tc>
        <w:tc>
          <w:tcPr>
            <w:tcW w:w="460" w:type="dxa"/>
            <w:vAlign w:val="bottom"/>
            <w:tcBorders>
              <w:bottom w:val="single" w:sz="8" w:color="CCCCCC"/>
              <w:right w:val="single" w:sz="8" w:color="CCCCCC"/>
            </w:tcBorders>
            <w:shd w:val="clear" w:color="auto" w:fill="CCCCCC"/>
          </w:tcPr>
          <w:p>
            <w:pPr>
              <w:spacing w:after="0"/>
              <w:rPr>
                <w:sz w:val="14"/>
                <w:szCs w:val="14"/>
                <w:color w:val="auto"/>
              </w:rPr>
            </w:pPr>
          </w:p>
        </w:tc>
        <w:tc>
          <w:tcPr>
            <w:tcW w:w="40" w:type="dxa"/>
            <w:vAlign w:val="bottom"/>
            <w:tcBorders>
              <w:bottom w:val="single" w:sz="8" w:color="CCCCCC"/>
            </w:tcBorders>
            <w:shd w:val="clear" w:color="auto" w:fill="CCCCCC"/>
          </w:tcPr>
          <w:p>
            <w:pPr>
              <w:spacing w:after="0"/>
              <w:rPr>
                <w:sz w:val="14"/>
                <w:szCs w:val="14"/>
                <w:color w:val="auto"/>
              </w:rPr>
            </w:pPr>
          </w:p>
        </w:tc>
        <w:tc>
          <w:tcPr>
            <w:tcW w:w="540" w:type="dxa"/>
            <w:vAlign w:val="bottom"/>
            <w:tcBorders>
              <w:bottom w:val="single" w:sz="8" w:color="CCCCCC"/>
              <w:right w:val="single" w:sz="8" w:color="CCCCCC"/>
            </w:tcBorders>
            <w:shd w:val="clear" w:color="auto" w:fill="CCCCCC"/>
          </w:tcPr>
          <w:p>
            <w:pPr>
              <w:spacing w:after="0"/>
              <w:rPr>
                <w:sz w:val="14"/>
                <w:szCs w:val="14"/>
                <w:color w:val="auto"/>
              </w:rPr>
            </w:pPr>
          </w:p>
        </w:tc>
        <w:tc>
          <w:tcPr>
            <w:tcW w:w="60" w:type="dxa"/>
            <w:vAlign w:val="bottom"/>
            <w:tcBorders>
              <w:bottom w:val="single" w:sz="8" w:color="CCCCCC"/>
            </w:tcBorders>
            <w:shd w:val="clear" w:color="auto" w:fill="CCCCCC"/>
          </w:tcPr>
          <w:p>
            <w:pPr>
              <w:spacing w:after="0"/>
              <w:rPr>
                <w:sz w:val="14"/>
                <w:szCs w:val="14"/>
                <w:color w:val="auto"/>
              </w:rPr>
            </w:pPr>
          </w:p>
        </w:tc>
        <w:tc>
          <w:tcPr>
            <w:tcW w:w="320" w:type="dxa"/>
            <w:vAlign w:val="bottom"/>
            <w:tcBorders>
              <w:bottom w:val="single" w:sz="8" w:color="CCCCCC"/>
            </w:tcBorders>
            <w:shd w:val="clear" w:color="auto" w:fill="CCCCCC"/>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1600" w:type="dxa"/>
            <w:vAlign w:val="bottom"/>
            <w:gridSpan w:val="2"/>
          </w:tcPr>
          <w:p>
            <w:pPr>
              <w:spacing w:after="0" w:line="73" w:lineRule="exact"/>
              <w:rPr>
                <w:sz w:val="20"/>
                <w:szCs w:val="20"/>
                <w:color w:val="auto"/>
              </w:rPr>
            </w:pPr>
            <w:r>
              <w:rPr>
                <w:rFonts w:ascii="Arial" w:cs="Arial" w:eastAsia="Arial" w:hAnsi="Arial"/>
                <w:sz w:val="8"/>
                <w:szCs w:val="8"/>
                <w:b w:val="1"/>
                <w:bCs w:val="1"/>
                <w:color w:val="auto"/>
              </w:rPr>
              <w:t>Other Current Public Board</w:t>
            </w:r>
          </w:p>
        </w:tc>
        <w:tc>
          <w:tcPr>
            <w:tcW w:w="440" w:type="dxa"/>
            <w:vAlign w:val="bottom"/>
            <w:tcBorders>
              <w:top w:val="single" w:sz="8" w:color="auto"/>
              <w:left w:val="single" w:sz="8" w:color="auto"/>
              <w:right w:val="single" w:sz="8" w:color="auto"/>
            </w:tcBorders>
            <w:vMerge w:val="restart"/>
          </w:tcPr>
          <w:p>
            <w:pPr>
              <w:ind w:left="60"/>
              <w:spacing w:after="0"/>
              <w:rPr>
                <w:sz w:val="20"/>
                <w:szCs w:val="20"/>
                <w:color w:val="auto"/>
              </w:rPr>
            </w:pPr>
            <w:r>
              <w:rPr>
                <w:rFonts w:ascii="Arial" w:cs="Arial" w:eastAsia="Arial" w:hAnsi="Arial"/>
                <w:sz w:val="11"/>
                <w:szCs w:val="11"/>
                <w:b w:val="1"/>
                <w:bCs w:val="1"/>
                <w:color w:val="auto"/>
              </w:rPr>
              <w:t>As of</w:t>
            </w:r>
          </w:p>
        </w:tc>
        <w:tc>
          <w:tcPr>
            <w:tcW w:w="360" w:type="dxa"/>
            <w:vAlign w:val="bottom"/>
            <w:tcBorders>
              <w:top w:val="single" w:sz="8" w:color="auto"/>
            </w:tcBorders>
          </w:tcPr>
          <w:p>
            <w:pPr>
              <w:spacing w:after="0"/>
              <w:rPr>
                <w:sz w:val="6"/>
                <w:szCs w:val="6"/>
                <w:color w:val="auto"/>
              </w:rPr>
            </w:pPr>
          </w:p>
        </w:tc>
        <w:tc>
          <w:tcPr>
            <w:tcW w:w="620" w:type="dxa"/>
            <w:vAlign w:val="bottom"/>
            <w:tcBorders>
              <w:top w:val="single" w:sz="8" w:color="auto"/>
              <w:right w:val="single" w:sz="8" w:color="auto"/>
            </w:tcBorders>
            <w:gridSpan w:val="2"/>
            <w:vMerge w:val="restart"/>
          </w:tcPr>
          <w:p>
            <w:pPr>
              <w:ind w:left="20"/>
              <w:spacing w:after="0"/>
              <w:rPr>
                <w:sz w:val="20"/>
                <w:szCs w:val="20"/>
                <w:color w:val="auto"/>
              </w:rPr>
            </w:pPr>
            <w:r>
              <w:rPr>
                <w:rFonts w:ascii="Arial" w:cs="Arial" w:eastAsia="Arial" w:hAnsi="Arial"/>
                <w:sz w:val="11"/>
                <w:szCs w:val="11"/>
                <w:b w:val="1"/>
                <w:bCs w:val="1"/>
                <w:color w:val="auto"/>
              </w:rPr>
              <w:t>SVS</w:t>
            </w:r>
          </w:p>
        </w:tc>
        <w:tc>
          <w:tcPr>
            <w:tcW w:w="1000" w:type="dxa"/>
            <w:vAlign w:val="bottom"/>
            <w:tcBorders>
              <w:top w:val="single" w:sz="8" w:color="auto"/>
              <w:right w:val="single" w:sz="8" w:color="auto"/>
            </w:tcBorders>
            <w:gridSpan w:val="3"/>
            <w:vMerge w:val="restart"/>
          </w:tcPr>
          <w:p>
            <w:pPr>
              <w:jc w:val="right"/>
              <w:ind w:right="380"/>
              <w:spacing w:after="0"/>
              <w:rPr>
                <w:sz w:val="20"/>
                <w:szCs w:val="20"/>
                <w:color w:val="auto"/>
              </w:rPr>
            </w:pPr>
            <w:r>
              <w:rPr>
                <w:rFonts w:ascii="Arial" w:cs="Arial" w:eastAsia="Arial" w:hAnsi="Arial"/>
                <w:sz w:val="11"/>
                <w:szCs w:val="11"/>
                <w:b w:val="1"/>
                <w:bCs w:val="1"/>
                <w:color w:val="auto"/>
              </w:rPr>
              <w:t>DSUs</w:t>
            </w:r>
          </w:p>
        </w:tc>
        <w:tc>
          <w:tcPr>
            <w:tcW w:w="580" w:type="dxa"/>
            <w:vAlign w:val="bottom"/>
            <w:tcBorders>
              <w:top w:val="single" w:sz="8" w:color="auto"/>
            </w:tcBorders>
            <w:gridSpan w:val="3"/>
            <w:vMerge w:val="restart"/>
          </w:tcPr>
          <w:p>
            <w:pPr>
              <w:ind w:left="300"/>
              <w:spacing w:after="0"/>
              <w:rPr>
                <w:sz w:val="20"/>
                <w:szCs w:val="20"/>
                <w:color w:val="auto"/>
              </w:rPr>
            </w:pPr>
            <w:r>
              <w:rPr>
                <w:rFonts w:ascii="Arial" w:cs="Arial" w:eastAsia="Arial" w:hAnsi="Arial"/>
                <w:sz w:val="11"/>
                <w:szCs w:val="11"/>
                <w:b w:val="1"/>
                <w:bCs w:val="1"/>
                <w:color w:val="auto"/>
                <w:w w:val="88"/>
              </w:rPr>
              <w:t>RSUs</w:t>
            </w:r>
          </w:p>
        </w:tc>
        <w:tc>
          <w:tcPr>
            <w:tcW w:w="300" w:type="dxa"/>
            <w:vAlign w:val="bottom"/>
            <w:tcBorders>
              <w:top w:val="single" w:sz="8" w:color="auto"/>
              <w:right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460" w:type="dxa"/>
            <w:vAlign w:val="bottom"/>
            <w:tcBorders>
              <w:top w:val="single" w:sz="8" w:color="auto"/>
              <w:right w:val="single" w:sz="8" w:color="auto"/>
            </w:tcBorders>
            <w:vMerge w:val="restart"/>
          </w:tcPr>
          <w:p>
            <w:pPr>
              <w:ind w:left="80"/>
              <w:spacing w:after="0"/>
              <w:rPr>
                <w:sz w:val="20"/>
                <w:szCs w:val="20"/>
                <w:color w:val="auto"/>
              </w:rPr>
            </w:pPr>
            <w:r>
              <w:rPr>
                <w:rFonts w:ascii="Arial" w:cs="Arial" w:eastAsia="Arial" w:hAnsi="Arial"/>
                <w:sz w:val="11"/>
                <w:szCs w:val="11"/>
                <w:b w:val="1"/>
                <w:bCs w:val="1"/>
                <w:color w:val="auto"/>
              </w:rPr>
              <w:t>Total</w:t>
            </w:r>
          </w:p>
        </w:tc>
        <w:tc>
          <w:tcPr>
            <w:tcW w:w="40" w:type="dxa"/>
            <w:vAlign w:val="bottom"/>
            <w:tcBorders>
              <w:top w:val="single" w:sz="8" w:color="auto"/>
            </w:tcBorders>
          </w:tcPr>
          <w:p>
            <w:pPr>
              <w:spacing w:after="0"/>
              <w:rPr>
                <w:sz w:val="6"/>
                <w:szCs w:val="6"/>
                <w:color w:val="auto"/>
              </w:rPr>
            </w:pPr>
          </w:p>
        </w:tc>
        <w:tc>
          <w:tcPr>
            <w:tcW w:w="540" w:type="dxa"/>
            <w:vAlign w:val="bottom"/>
            <w:tcBorders>
              <w:top w:val="single" w:sz="8" w:color="auto"/>
              <w:right w:val="single" w:sz="8" w:color="auto"/>
            </w:tcBorders>
            <w:vMerge w:val="restart"/>
          </w:tcPr>
          <w:p>
            <w:pPr>
              <w:jc w:val="center"/>
              <w:ind w:right="48"/>
              <w:spacing w:after="0"/>
              <w:rPr>
                <w:sz w:val="20"/>
                <w:szCs w:val="20"/>
                <w:color w:val="auto"/>
              </w:rPr>
            </w:pPr>
            <w:r>
              <w:rPr>
                <w:rFonts w:ascii="Arial" w:cs="Arial" w:eastAsia="Arial" w:hAnsi="Arial"/>
                <w:sz w:val="11"/>
                <w:szCs w:val="11"/>
                <w:b w:val="1"/>
                <w:bCs w:val="1"/>
                <w:color w:val="auto"/>
                <w:w w:val="91"/>
              </w:rPr>
              <w:t>Total</w:t>
            </w:r>
          </w:p>
        </w:tc>
        <w:tc>
          <w:tcPr>
            <w:tcW w:w="38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1"/>
                <w:szCs w:val="11"/>
                <w:b w:val="1"/>
                <w:bCs w:val="1"/>
                <w:color w:val="auto"/>
                <w:w w:val="89"/>
              </w:rPr>
              <w:t>Target</w:t>
            </w:r>
          </w:p>
        </w:tc>
        <w:tc>
          <w:tcPr>
            <w:tcW w:w="40" w:type="dxa"/>
            <w:vAlign w:val="bottom"/>
            <w:tcBorders>
              <w:right w:val="single" w:sz="8" w:color="auto"/>
            </w:tcBorders>
            <w:vMerge w:val="restart"/>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1600" w:type="dxa"/>
            <w:vAlign w:val="bottom"/>
            <w:gridSpan w:val="2"/>
          </w:tcPr>
          <w:p>
            <w:pPr>
              <w:spacing w:after="0" w:line="87" w:lineRule="exact"/>
              <w:rPr>
                <w:sz w:val="20"/>
                <w:szCs w:val="20"/>
                <w:color w:val="auto"/>
              </w:rPr>
            </w:pPr>
            <w:r>
              <w:rPr>
                <w:rFonts w:ascii="Arial" w:cs="Arial" w:eastAsia="Arial" w:hAnsi="Arial"/>
                <w:sz w:val="10"/>
                <w:szCs w:val="10"/>
                <w:b w:val="1"/>
                <w:bCs w:val="1"/>
                <w:color w:val="auto"/>
              </w:rPr>
              <w:t>Directorships:</w:t>
            </w:r>
          </w:p>
        </w:tc>
        <w:tc>
          <w:tcPr>
            <w:tcW w:w="44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620" w:type="dxa"/>
            <w:vAlign w:val="bottom"/>
            <w:tcBorders>
              <w:bottom w:val="single" w:sz="8" w:color="auto"/>
              <w:right w:val="single" w:sz="8" w:color="auto"/>
            </w:tcBorders>
            <w:gridSpan w:val="2"/>
            <w:vMerge w:val="continue"/>
          </w:tcPr>
          <w:p>
            <w:pPr>
              <w:spacing w:after="0"/>
              <w:rPr>
                <w:sz w:val="7"/>
                <w:szCs w:val="7"/>
                <w:color w:val="auto"/>
              </w:rPr>
            </w:pPr>
          </w:p>
        </w:tc>
        <w:tc>
          <w:tcPr>
            <w:tcW w:w="1000" w:type="dxa"/>
            <w:vAlign w:val="bottom"/>
            <w:tcBorders>
              <w:bottom w:val="single" w:sz="8" w:color="auto"/>
              <w:right w:val="single" w:sz="8" w:color="auto"/>
            </w:tcBorders>
            <w:gridSpan w:val="3"/>
            <w:vMerge w:val="continue"/>
          </w:tcPr>
          <w:p>
            <w:pPr>
              <w:spacing w:after="0"/>
              <w:rPr>
                <w:sz w:val="7"/>
                <w:szCs w:val="7"/>
                <w:color w:val="auto"/>
              </w:rPr>
            </w:pPr>
          </w:p>
        </w:tc>
        <w:tc>
          <w:tcPr>
            <w:tcW w:w="580" w:type="dxa"/>
            <w:vAlign w:val="bottom"/>
            <w:tcBorders>
              <w:bottom w:val="single" w:sz="8" w:color="auto"/>
            </w:tcBorders>
            <w:gridSpan w:val="3"/>
            <w:vMerge w:val="continue"/>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Borders>
              <w:bottom w:val="single" w:sz="8" w:color="auto"/>
              <w:right w:val="single" w:sz="8" w:color="auto"/>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Borders>
              <w:bottom w:val="single" w:sz="8" w:color="auto"/>
              <w:right w:val="single" w:sz="8" w:color="auto"/>
            </w:tcBorders>
            <w:vMerge w:val="continue"/>
          </w:tcPr>
          <w:p>
            <w:pPr>
              <w:spacing w:after="0"/>
              <w:rPr>
                <w:sz w:val="7"/>
                <w:szCs w:val="7"/>
                <w:color w:val="auto"/>
              </w:rPr>
            </w:pPr>
          </w:p>
        </w:tc>
        <w:tc>
          <w:tcPr>
            <w:tcW w:w="380" w:type="dxa"/>
            <w:vAlign w:val="bottom"/>
            <w:tcBorders>
              <w:bottom w:val="single" w:sz="8" w:color="auto"/>
            </w:tcBorders>
            <w:gridSpan w:val="2"/>
            <w:vMerge w:val="continue"/>
          </w:tcPr>
          <w:p>
            <w:pPr>
              <w:spacing w:after="0"/>
              <w:rPr>
                <w:sz w:val="7"/>
                <w:szCs w:val="7"/>
                <w:color w:val="auto"/>
              </w:rPr>
            </w:pPr>
          </w:p>
        </w:tc>
        <w:tc>
          <w:tcPr>
            <w:tcW w:w="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20"/>
                <w:szCs w:val="20"/>
                <w:color w:val="auto"/>
              </w:rPr>
            </w:pPr>
            <w:r>
              <w:rPr>
                <w:rFonts w:ascii="Arial" w:cs="Arial" w:eastAsia="Arial" w:hAnsi="Arial"/>
                <w:sz w:val="11"/>
                <w:szCs w:val="11"/>
                <w:color w:val="auto"/>
              </w:rPr>
              <w:t>•</w:t>
            </w:r>
          </w:p>
        </w:tc>
        <w:tc>
          <w:tcPr>
            <w:tcW w:w="1520" w:type="dxa"/>
            <w:vAlign w:val="bottom"/>
          </w:tcPr>
          <w:p>
            <w:pPr>
              <w:ind w:left="20"/>
              <w:spacing w:after="0"/>
              <w:rPr>
                <w:sz w:val="20"/>
                <w:szCs w:val="20"/>
                <w:color w:val="auto"/>
              </w:rPr>
            </w:pPr>
            <w:r>
              <w:rPr>
                <w:rFonts w:ascii="Arial" w:cs="Arial" w:eastAsia="Arial" w:hAnsi="Arial"/>
                <w:sz w:val="11"/>
                <w:szCs w:val="11"/>
                <w:color w:val="auto"/>
              </w:rPr>
              <w:t>Air Canada (since 2014)</w:t>
            </w:r>
          </w:p>
        </w:tc>
        <w:tc>
          <w:tcPr>
            <w:tcW w:w="4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1"/>
                <w:szCs w:val="11"/>
                <w:b w:val="1"/>
                <w:bCs w:val="1"/>
                <w:color w:val="auto"/>
                <w:w w:val="88"/>
              </w:rPr>
              <w:t>Dec. 31</w:t>
            </w:r>
          </w:p>
        </w:tc>
        <w:tc>
          <w:tcPr>
            <w:tcW w:w="360" w:type="dxa"/>
            <w:vAlign w:val="bottom"/>
          </w:tcPr>
          <w:p>
            <w:pPr>
              <w:jc w:val="center"/>
              <w:ind w:left="9"/>
              <w:spacing w:after="0"/>
              <w:rPr>
                <w:sz w:val="20"/>
                <w:szCs w:val="20"/>
                <w:color w:val="auto"/>
              </w:rPr>
            </w:pPr>
            <w:r>
              <w:rPr>
                <w:rFonts w:ascii="Arial" w:cs="Arial" w:eastAsia="Arial" w:hAnsi="Arial"/>
                <w:sz w:val="11"/>
                <w:szCs w:val="11"/>
                <w:b w:val="1"/>
                <w:bCs w:val="1"/>
                <w:color w:val="auto"/>
                <w:w w:val="97"/>
              </w:rPr>
              <w:t>#</w:t>
            </w:r>
          </w:p>
        </w:tc>
        <w:tc>
          <w:tcPr>
            <w:tcW w:w="6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right w:val="single" w:sz="8" w:color="auto"/>
            </w:tcBorders>
          </w:tcPr>
          <w:p>
            <w:pPr>
              <w:jc w:val="right"/>
              <w:ind w:right="149"/>
              <w:spacing w:after="0"/>
              <w:rPr>
                <w:sz w:val="20"/>
                <w:szCs w:val="20"/>
                <w:color w:val="auto"/>
              </w:rPr>
            </w:pPr>
            <w:r>
              <w:rPr>
                <w:rFonts w:ascii="Arial" w:cs="Arial" w:eastAsia="Arial" w:hAnsi="Arial"/>
                <w:sz w:val="11"/>
                <w:szCs w:val="11"/>
                <w:b w:val="1"/>
                <w:bCs w:val="1"/>
                <w:color w:val="auto"/>
              </w:rPr>
              <w:t>#</w:t>
            </w:r>
          </w:p>
        </w:tc>
        <w:tc>
          <w:tcPr>
            <w:tcW w:w="400" w:type="dxa"/>
            <w:vAlign w:val="bottom"/>
          </w:tcPr>
          <w:p>
            <w:pPr>
              <w:jc w:val="right"/>
              <w:ind w:right="49"/>
              <w:spacing w:after="0"/>
              <w:rPr>
                <w:sz w:val="20"/>
                <w:szCs w:val="20"/>
                <w:color w:val="auto"/>
              </w:rPr>
            </w:pPr>
            <w:r>
              <w:rPr>
                <w:rFonts w:ascii="Arial" w:cs="Arial" w:eastAsia="Arial" w:hAnsi="Arial"/>
                <w:sz w:val="11"/>
                <w:szCs w:val="11"/>
                <w:b w:val="1"/>
                <w:bCs w:val="1"/>
                <w:color w:val="auto"/>
              </w:rPr>
              <w:t>$</w:t>
            </w:r>
          </w:p>
        </w:tc>
        <w:tc>
          <w:tcPr>
            <w:tcW w:w="160" w:type="dxa"/>
            <w:vAlign w:val="bottom"/>
            <w:tcBorders>
              <w:right w:val="single" w:sz="8" w:color="auto"/>
            </w:tcBorders>
          </w:tcPr>
          <w:p>
            <w:pPr>
              <w:spacing w:after="0"/>
              <w:rPr>
                <w:sz w:val="12"/>
                <w:szCs w:val="12"/>
                <w:color w:val="auto"/>
              </w:rPr>
            </w:pPr>
          </w:p>
        </w:tc>
        <w:tc>
          <w:tcPr>
            <w:tcW w:w="44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right w:val="single" w:sz="8" w:color="auto"/>
            </w:tcBorders>
          </w:tcPr>
          <w:p>
            <w:pPr>
              <w:jc w:val="center"/>
              <w:ind w:right="109"/>
              <w:spacing w:after="0"/>
              <w:rPr>
                <w:sz w:val="20"/>
                <w:szCs w:val="20"/>
                <w:color w:val="auto"/>
              </w:rPr>
            </w:pPr>
            <w:r>
              <w:rPr>
                <w:rFonts w:ascii="Arial" w:cs="Arial" w:eastAsia="Arial" w:hAnsi="Arial"/>
                <w:sz w:val="11"/>
                <w:szCs w:val="11"/>
                <w:b w:val="1"/>
                <w:bCs w:val="1"/>
                <w:color w:val="auto"/>
                <w:w w:val="97"/>
              </w:rPr>
              <w:t>$</w:t>
            </w:r>
          </w:p>
        </w:tc>
        <w:tc>
          <w:tcPr>
            <w:tcW w:w="20" w:type="dxa"/>
            <w:vAlign w:val="bottom"/>
          </w:tcPr>
          <w:p>
            <w:pPr>
              <w:spacing w:after="0"/>
              <w:rPr>
                <w:sz w:val="12"/>
                <w:szCs w:val="12"/>
                <w:color w:val="auto"/>
              </w:rPr>
            </w:pPr>
          </w:p>
        </w:tc>
        <w:tc>
          <w:tcPr>
            <w:tcW w:w="460" w:type="dxa"/>
            <w:vAlign w:val="bottom"/>
            <w:tcBorders>
              <w:right w:val="single" w:sz="8" w:color="auto"/>
            </w:tcBorders>
          </w:tcPr>
          <w:p>
            <w:pPr>
              <w:jc w:val="right"/>
              <w:ind w:right="167"/>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2"/>
                <w:szCs w:val="12"/>
                <w:color w:val="auto"/>
              </w:rPr>
            </w:pPr>
          </w:p>
        </w:tc>
        <w:tc>
          <w:tcPr>
            <w:tcW w:w="540" w:type="dxa"/>
            <w:vAlign w:val="bottom"/>
            <w:tcBorders>
              <w:right w:val="single" w:sz="8" w:color="auto"/>
            </w:tcBorders>
          </w:tcPr>
          <w:p>
            <w:pPr>
              <w:jc w:val="center"/>
              <w:ind w:right="8"/>
              <w:spacing w:after="0"/>
              <w:rPr>
                <w:sz w:val="20"/>
                <w:szCs w:val="20"/>
                <w:color w:val="auto"/>
              </w:rPr>
            </w:pPr>
            <w:r>
              <w:rPr>
                <w:rFonts w:ascii="Arial" w:cs="Arial" w:eastAsia="Arial" w:hAnsi="Arial"/>
                <w:sz w:val="11"/>
                <w:szCs w:val="11"/>
                <w:b w:val="1"/>
                <w:bCs w:val="1"/>
                <w:color w:val="auto"/>
                <w:w w:val="81"/>
              </w:rPr>
              <w:t>Value</w:t>
            </w:r>
          </w:p>
        </w:tc>
        <w:tc>
          <w:tcPr>
            <w:tcW w:w="60" w:type="dxa"/>
            <w:vAlign w:val="bottom"/>
          </w:tcPr>
          <w:p>
            <w:pPr>
              <w:spacing w:after="0"/>
              <w:rPr>
                <w:sz w:val="12"/>
                <w:szCs w:val="12"/>
                <w:color w:val="auto"/>
              </w:rPr>
            </w:pPr>
          </w:p>
        </w:tc>
        <w:tc>
          <w:tcPr>
            <w:tcW w:w="36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auto"/>
                <w:w w:val="94"/>
              </w:rPr>
              <w:t>Met</w:t>
            </w:r>
          </w:p>
        </w:tc>
        <w:tc>
          <w:tcPr>
            <w:tcW w:w="0" w:type="dxa"/>
            <w:vAlign w:val="bottom"/>
          </w:tcPr>
          <w:p>
            <w:pPr>
              <w:spacing w:after="0"/>
              <w:rPr>
                <w:sz w:val="1"/>
                <w:szCs w:val="1"/>
                <w:color w:val="auto"/>
              </w:rPr>
            </w:pPr>
          </w:p>
        </w:tc>
      </w:tr>
      <w:tr>
        <w:trPr>
          <w:trHeight w:val="116"/>
        </w:trPr>
        <w:tc>
          <w:tcPr>
            <w:tcW w:w="80" w:type="dxa"/>
            <w:vAlign w:val="bottom"/>
          </w:tcPr>
          <w:p>
            <w:pPr>
              <w:spacing w:after="0" w:line="116" w:lineRule="exact"/>
              <w:rPr>
                <w:sz w:val="20"/>
                <w:szCs w:val="20"/>
                <w:color w:val="auto"/>
              </w:rPr>
            </w:pPr>
            <w:r>
              <w:rPr>
                <w:rFonts w:ascii="Arial" w:cs="Arial" w:eastAsia="Arial" w:hAnsi="Arial"/>
                <w:sz w:val="11"/>
                <w:szCs w:val="11"/>
                <w:color w:val="auto"/>
              </w:rPr>
              <w:t>•</w:t>
            </w:r>
          </w:p>
        </w:tc>
        <w:tc>
          <w:tcPr>
            <w:tcW w:w="1520" w:type="dxa"/>
            <w:vAlign w:val="bottom"/>
          </w:tcPr>
          <w:p>
            <w:pPr>
              <w:ind w:left="20"/>
              <w:spacing w:after="0" w:line="116" w:lineRule="exact"/>
              <w:rPr>
                <w:sz w:val="20"/>
                <w:szCs w:val="20"/>
                <w:color w:val="auto"/>
              </w:rPr>
            </w:pPr>
            <w:r>
              <w:rPr>
                <w:rFonts w:ascii="Arial" w:cs="Arial" w:eastAsia="Arial" w:hAnsi="Arial"/>
                <w:sz w:val="11"/>
                <w:szCs w:val="11"/>
                <w:color w:val="auto"/>
              </w:rPr>
              <w:t>Suncor Energy Inc. (Chair)</w:t>
            </w:r>
          </w:p>
        </w:tc>
        <w:tc>
          <w:tcPr>
            <w:tcW w:w="4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0"/>
                <w:szCs w:val="10"/>
                <w:b w:val="1"/>
                <w:bCs w:val="1"/>
                <w:color w:val="auto"/>
              </w:rPr>
              <w:t>2020</w:t>
            </w:r>
          </w:p>
        </w:tc>
        <w:tc>
          <w:tcPr>
            <w:tcW w:w="36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91"/>
              </w:rPr>
              <w:t>20,000</w:t>
            </w:r>
          </w:p>
        </w:tc>
        <w:tc>
          <w:tcPr>
            <w:tcW w:w="60" w:type="dxa"/>
            <w:vAlign w:val="bottom"/>
            <w:tcBorders>
              <w:top w:val="single" w:sz="8" w:color="auto"/>
              <w:right w:val="single" w:sz="8" w:color="auto"/>
            </w:tcBorders>
          </w:tcPr>
          <w:p>
            <w:pPr>
              <w:spacing w:after="0"/>
              <w:rPr>
                <w:sz w:val="10"/>
                <w:szCs w:val="10"/>
                <w:color w:val="auto"/>
              </w:rPr>
            </w:pPr>
          </w:p>
        </w:tc>
        <w:tc>
          <w:tcPr>
            <w:tcW w:w="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1"/>
              </w:rPr>
              <w:t>$161,400</w:t>
            </w:r>
          </w:p>
        </w:tc>
        <w:tc>
          <w:tcPr>
            <w:tcW w:w="440" w:type="dxa"/>
            <w:vAlign w:val="bottom"/>
            <w:tcBorders>
              <w:top w:val="single" w:sz="8" w:color="auto"/>
              <w:right w:val="single" w:sz="8" w:color="auto"/>
            </w:tcBorders>
          </w:tcPr>
          <w:p>
            <w:pPr>
              <w:jc w:val="right"/>
              <w:ind w:right="9"/>
              <w:spacing w:after="0"/>
              <w:rPr>
                <w:sz w:val="20"/>
                <w:szCs w:val="20"/>
                <w:color w:val="auto"/>
              </w:rPr>
            </w:pPr>
            <w:r>
              <w:rPr>
                <w:rFonts w:ascii="Arial" w:cs="Arial" w:eastAsia="Arial" w:hAnsi="Arial"/>
                <w:sz w:val="10"/>
                <w:szCs w:val="10"/>
                <w:color w:val="auto"/>
                <w:w w:val="99"/>
              </w:rPr>
              <w:t>283,131</w:t>
            </w:r>
          </w:p>
        </w:tc>
        <w:tc>
          <w:tcPr>
            <w:tcW w:w="560" w:type="dxa"/>
            <w:vAlign w:val="bottom"/>
            <w:tcBorders>
              <w:top w:val="single" w:sz="8" w:color="auto"/>
              <w:right w:val="single" w:sz="8" w:color="auto"/>
            </w:tcBorders>
            <w:gridSpan w:val="2"/>
          </w:tcPr>
          <w:p>
            <w:pPr>
              <w:jc w:val="right"/>
              <w:ind w:right="60"/>
              <w:spacing w:after="0"/>
              <w:rPr>
                <w:sz w:val="20"/>
                <w:szCs w:val="20"/>
                <w:color w:val="auto"/>
              </w:rPr>
            </w:pPr>
            <w:r>
              <w:rPr>
                <w:rFonts w:ascii="Arial" w:cs="Arial" w:eastAsia="Arial" w:hAnsi="Arial"/>
                <w:sz w:val="10"/>
                <w:szCs w:val="10"/>
                <w:color w:val="auto"/>
                <w:w w:val="95"/>
              </w:rPr>
              <w:t>$2,284,867</w:t>
            </w:r>
          </w:p>
        </w:tc>
        <w:tc>
          <w:tcPr>
            <w:tcW w:w="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00" w:type="dxa"/>
            <w:vAlign w:val="bottom"/>
            <w:tcBorders>
              <w:top w:val="single" w:sz="8" w:color="auto"/>
              <w:right w:val="single" w:sz="8" w:color="auto"/>
            </w:tcBorders>
          </w:tcPr>
          <w:p>
            <w:pPr>
              <w:jc w:val="center"/>
              <w:ind w:right="109"/>
              <w:spacing w:after="0"/>
              <w:rPr>
                <w:sz w:val="20"/>
                <w:szCs w:val="20"/>
                <w:color w:val="auto"/>
              </w:rPr>
            </w:pPr>
            <w:r>
              <w:rPr>
                <w:rFonts w:ascii="Arial" w:cs="Arial" w:eastAsia="Arial" w:hAnsi="Arial"/>
                <w:sz w:val="10"/>
                <w:szCs w:val="10"/>
                <w:color w:val="auto"/>
                <w:w w:val="99"/>
              </w:rPr>
              <w:t>—</w:t>
            </w:r>
          </w:p>
        </w:tc>
        <w:tc>
          <w:tcPr>
            <w:tcW w:w="20" w:type="dxa"/>
            <w:vAlign w:val="bottom"/>
            <w:tcBorders>
              <w:top w:val="single" w:sz="8" w:color="auto"/>
            </w:tcBorders>
          </w:tcPr>
          <w:p>
            <w:pPr>
              <w:spacing w:after="0"/>
              <w:rPr>
                <w:sz w:val="10"/>
                <w:szCs w:val="10"/>
                <w:color w:val="auto"/>
              </w:rPr>
            </w:pPr>
          </w:p>
        </w:tc>
        <w:tc>
          <w:tcPr>
            <w:tcW w:w="460" w:type="dxa"/>
            <w:vAlign w:val="bottom"/>
            <w:tcBorders>
              <w:top w:val="single" w:sz="8" w:color="auto"/>
              <w:right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40" w:type="dxa"/>
            <w:vAlign w:val="bottom"/>
            <w:tcBorders>
              <w:top w:val="single" w:sz="8" w:color="auto"/>
              <w:right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1520" w:type="dxa"/>
            <w:vAlign w:val="bottom"/>
            <w:vMerge w:val="restart"/>
          </w:tcPr>
          <w:p>
            <w:pPr>
              <w:ind w:left="20"/>
              <w:spacing w:after="0"/>
              <w:rPr>
                <w:sz w:val="20"/>
                <w:szCs w:val="20"/>
                <w:color w:val="auto"/>
              </w:rPr>
            </w:pPr>
            <w:r>
              <w:rPr>
                <w:rFonts w:ascii="Arial" w:cs="Arial" w:eastAsia="Arial" w:hAnsi="Arial"/>
                <w:sz w:val="11"/>
                <w:szCs w:val="11"/>
                <w:color w:val="auto"/>
              </w:rPr>
              <w:t>(since 2014)</w:t>
            </w:r>
          </w:p>
        </w:tc>
        <w:tc>
          <w:tcPr>
            <w:tcW w:w="44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44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0"/>
                <w:szCs w:val="10"/>
                <w:b w:val="1"/>
                <w:bCs w:val="1"/>
                <w:color w:val="auto"/>
              </w:rPr>
              <w:t>2019</w:t>
            </w:r>
          </w:p>
        </w:tc>
        <w:tc>
          <w:tcPr>
            <w:tcW w:w="360" w:type="dxa"/>
            <w:vAlign w:val="bottom"/>
            <w:vMerge w:val="restart"/>
          </w:tcPr>
          <w:p>
            <w:pPr>
              <w:jc w:val="center"/>
              <w:ind w:left="9"/>
              <w:spacing w:after="0"/>
              <w:rPr>
                <w:sz w:val="20"/>
                <w:szCs w:val="20"/>
                <w:color w:val="auto"/>
              </w:rPr>
            </w:pPr>
            <w:r>
              <w:rPr>
                <w:rFonts w:ascii="Arial" w:cs="Arial" w:eastAsia="Arial" w:hAnsi="Arial"/>
                <w:sz w:val="10"/>
                <w:szCs w:val="10"/>
                <w:color w:val="auto"/>
                <w:w w:val="99"/>
              </w:rPr>
              <w:t>—</w:t>
            </w:r>
          </w:p>
        </w:tc>
        <w:tc>
          <w:tcPr>
            <w:tcW w:w="60" w:type="dxa"/>
            <w:vAlign w:val="bottom"/>
            <w:tcBorders>
              <w:right w:val="single" w:sz="8" w:color="auto"/>
            </w:tcBorders>
          </w:tcPr>
          <w:p>
            <w:pPr>
              <w:spacing w:after="0"/>
              <w:rPr>
                <w:sz w:val="7"/>
                <w:szCs w:val="7"/>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color w:val="auto"/>
                <w:w w:val="99"/>
              </w:rPr>
              <w:t>—</w:t>
            </w:r>
          </w:p>
        </w:tc>
        <w:tc>
          <w:tcPr>
            <w:tcW w:w="440" w:type="dxa"/>
            <w:vAlign w:val="bottom"/>
            <w:tcBorders>
              <w:right w:val="single" w:sz="8" w:color="auto"/>
            </w:tcBorders>
            <w:vMerge w:val="restart"/>
          </w:tcPr>
          <w:p>
            <w:pPr>
              <w:jc w:val="right"/>
              <w:ind w:right="9"/>
              <w:spacing w:after="0"/>
              <w:rPr>
                <w:sz w:val="20"/>
                <w:szCs w:val="20"/>
                <w:color w:val="auto"/>
              </w:rPr>
            </w:pPr>
            <w:r>
              <w:rPr>
                <w:rFonts w:ascii="Arial" w:cs="Arial" w:eastAsia="Arial" w:hAnsi="Arial"/>
                <w:sz w:val="10"/>
                <w:szCs w:val="10"/>
                <w:color w:val="auto"/>
                <w:w w:val="99"/>
              </w:rPr>
              <w:t>222,176</w:t>
            </w:r>
          </w:p>
        </w:tc>
        <w:tc>
          <w:tcPr>
            <w:tcW w:w="560" w:type="dxa"/>
            <w:vAlign w:val="bottom"/>
            <w:tcBorders>
              <w:right w:val="single" w:sz="8" w:color="auto"/>
            </w:tcBorders>
            <w:gridSpan w:val="2"/>
            <w:vMerge w:val="restart"/>
          </w:tcPr>
          <w:p>
            <w:pPr>
              <w:jc w:val="right"/>
              <w:ind w:right="60"/>
              <w:spacing w:after="0"/>
              <w:rPr>
                <w:sz w:val="20"/>
                <w:szCs w:val="20"/>
                <w:color w:val="auto"/>
              </w:rPr>
            </w:pPr>
            <w:r>
              <w:rPr>
                <w:rFonts w:ascii="Arial" w:cs="Arial" w:eastAsia="Arial" w:hAnsi="Arial"/>
                <w:sz w:val="10"/>
                <w:szCs w:val="10"/>
                <w:color w:val="auto"/>
                <w:w w:val="95"/>
              </w:rPr>
              <w:t>$1,792,960</w:t>
            </w:r>
          </w:p>
        </w:tc>
        <w:tc>
          <w:tcPr>
            <w:tcW w:w="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color w:val="auto"/>
                <w:w w:val="99"/>
              </w:rPr>
              <w:t>—</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Borders>
              <w:right w:val="single" w:sz="8" w:color="auto"/>
            </w:tcBorders>
            <w:vMerge w:val="restart"/>
          </w:tcPr>
          <w:p>
            <w:pPr>
              <w:jc w:val="center"/>
              <w:ind w:right="109"/>
              <w:spacing w:after="0"/>
              <w:rPr>
                <w:sz w:val="20"/>
                <w:szCs w:val="20"/>
                <w:color w:val="auto"/>
              </w:rPr>
            </w:pPr>
            <w:r>
              <w:rPr>
                <w:rFonts w:ascii="Arial" w:cs="Arial" w:eastAsia="Arial" w:hAnsi="Arial"/>
                <w:sz w:val="10"/>
                <w:szCs w:val="10"/>
                <w:color w:val="auto"/>
                <w:w w:val="99"/>
              </w:rPr>
              <w:t>—</w:t>
            </w:r>
          </w:p>
        </w:tc>
        <w:tc>
          <w:tcPr>
            <w:tcW w:w="20" w:type="dxa"/>
            <w:vAlign w:val="bottom"/>
          </w:tcPr>
          <w:p>
            <w:pPr>
              <w:spacing w:after="0"/>
              <w:rPr>
                <w:sz w:val="7"/>
                <w:szCs w:val="7"/>
                <w:color w:val="auto"/>
              </w:rPr>
            </w:pPr>
          </w:p>
        </w:tc>
        <w:tc>
          <w:tcPr>
            <w:tcW w:w="460" w:type="dxa"/>
            <w:vAlign w:val="bottom"/>
            <w:tcBorders>
              <w:right w:val="single" w:sz="8" w:color="auto"/>
            </w:tcBorders>
            <w:vMerge w:val="restart"/>
          </w:tcPr>
          <w:p>
            <w:pPr>
              <w:jc w:val="right"/>
              <w:ind w:right="27"/>
              <w:spacing w:after="0"/>
              <w:rPr>
                <w:sz w:val="20"/>
                <w:szCs w:val="20"/>
                <w:color w:val="auto"/>
              </w:rPr>
            </w:pPr>
            <w:r>
              <w:rPr>
                <w:rFonts w:ascii="Arial" w:cs="Arial" w:eastAsia="Arial" w:hAnsi="Arial"/>
                <w:sz w:val="10"/>
                <w:szCs w:val="10"/>
                <w:color w:val="auto"/>
                <w:w w:val="99"/>
              </w:rPr>
              <w:t>303,131</w:t>
            </w:r>
          </w:p>
        </w:tc>
        <w:tc>
          <w:tcPr>
            <w:tcW w:w="40" w:type="dxa"/>
            <w:vAlign w:val="bottom"/>
          </w:tcPr>
          <w:p>
            <w:pPr>
              <w:spacing w:after="0"/>
              <w:rPr>
                <w:sz w:val="7"/>
                <w:szCs w:val="7"/>
                <w:color w:val="auto"/>
              </w:rPr>
            </w:pPr>
          </w:p>
        </w:tc>
        <w:tc>
          <w:tcPr>
            <w:tcW w:w="540" w:type="dxa"/>
            <w:vAlign w:val="bottom"/>
            <w:tcBorders>
              <w:right w:val="single" w:sz="8" w:color="auto"/>
            </w:tcBorders>
            <w:vMerge w:val="restart"/>
          </w:tcPr>
          <w:p>
            <w:pPr>
              <w:jc w:val="center"/>
              <w:ind w:right="28"/>
              <w:spacing w:after="0"/>
              <w:rPr>
                <w:sz w:val="20"/>
                <w:szCs w:val="20"/>
                <w:color w:val="auto"/>
              </w:rPr>
            </w:pPr>
            <w:r>
              <w:rPr>
                <w:rFonts w:ascii="Arial" w:cs="Arial" w:eastAsia="Arial" w:hAnsi="Arial"/>
                <w:sz w:val="10"/>
                <w:szCs w:val="10"/>
                <w:color w:val="auto"/>
                <w:w w:val="91"/>
              </w:rPr>
              <w:t>$2,446,267</w:t>
            </w:r>
          </w:p>
        </w:tc>
        <w:tc>
          <w:tcPr>
            <w:tcW w:w="60" w:type="dxa"/>
            <w:vAlign w:val="bottom"/>
          </w:tcPr>
          <w:p>
            <w:pPr>
              <w:spacing w:after="0"/>
              <w:rPr>
                <w:sz w:val="7"/>
                <w:szCs w:val="7"/>
                <w:color w:val="auto"/>
              </w:rPr>
            </w:pPr>
          </w:p>
        </w:tc>
        <w:tc>
          <w:tcPr>
            <w:tcW w:w="360" w:type="dxa"/>
            <w:vAlign w:val="bottom"/>
            <w:tcBorders>
              <w:right w:val="single" w:sz="8" w:color="auto"/>
            </w:tcBorders>
            <w:gridSpan w:val="2"/>
            <w:vMerge w:val="restart"/>
          </w:tcPr>
          <w:p>
            <w:pPr>
              <w:jc w:val="center"/>
              <w:ind w:right="120"/>
              <w:spacing w:after="0"/>
              <w:rPr>
                <w:sz w:val="20"/>
                <w:szCs w:val="20"/>
                <w:color w:val="auto"/>
              </w:rPr>
            </w:pPr>
            <w:r>
              <w:rPr>
                <w:rFonts w:ascii="Arial" w:cs="Arial" w:eastAsia="Arial" w:hAnsi="Arial"/>
                <w:sz w:val="10"/>
                <w:szCs w:val="10"/>
                <w:color w:val="auto"/>
                <w:w w:val="92"/>
              </w:rPr>
              <w:t>Yes</w:t>
            </w:r>
          </w:p>
        </w:tc>
        <w:tc>
          <w:tcPr>
            <w:tcW w:w="0" w:type="dxa"/>
            <w:vAlign w:val="bottom"/>
          </w:tcPr>
          <w:p>
            <w:pPr>
              <w:spacing w:after="0"/>
              <w:rPr>
                <w:sz w:val="1"/>
                <w:szCs w:val="1"/>
                <w:color w:val="auto"/>
              </w:rPr>
            </w:pPr>
          </w:p>
        </w:tc>
      </w:tr>
      <w:tr>
        <w:trPr>
          <w:trHeight w:val="58"/>
        </w:trPr>
        <w:tc>
          <w:tcPr>
            <w:tcW w:w="16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2020 Annual Meeting</w:t>
            </w:r>
          </w:p>
        </w:tc>
        <w:tc>
          <w:tcPr>
            <w:tcW w:w="44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36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560" w:type="dxa"/>
            <w:vAlign w:val="bottom"/>
            <w:tcBorders>
              <w:bottom w:val="single" w:sz="8" w:color="auto"/>
              <w:right w:val="single" w:sz="8" w:color="auto"/>
            </w:tcBorders>
            <w:vMerge w:val="continue"/>
          </w:tcPr>
          <w:p>
            <w:pPr>
              <w:spacing w:after="0"/>
              <w:rPr>
                <w:sz w:val="5"/>
                <w:szCs w:val="5"/>
                <w:color w:val="auto"/>
              </w:rPr>
            </w:pPr>
          </w:p>
        </w:tc>
        <w:tc>
          <w:tcPr>
            <w:tcW w:w="440" w:type="dxa"/>
            <w:vAlign w:val="bottom"/>
            <w:tcBorders>
              <w:bottom w:val="single" w:sz="8" w:color="auto"/>
              <w:right w:val="single" w:sz="8" w:color="auto"/>
            </w:tcBorders>
            <w:vMerge w:val="continue"/>
          </w:tcPr>
          <w:p>
            <w:pPr>
              <w:spacing w:after="0"/>
              <w:rPr>
                <w:sz w:val="5"/>
                <w:szCs w:val="5"/>
                <w:color w:val="auto"/>
              </w:rPr>
            </w:pPr>
          </w:p>
        </w:tc>
        <w:tc>
          <w:tcPr>
            <w:tcW w:w="560" w:type="dxa"/>
            <w:vAlign w:val="bottom"/>
            <w:tcBorders>
              <w:bottom w:val="single" w:sz="8" w:color="auto"/>
              <w:right w:val="single" w:sz="8" w:color="auto"/>
            </w:tcBorders>
            <w:gridSpan w:val="2"/>
            <w:vMerge w:val="continue"/>
          </w:tcPr>
          <w:p>
            <w:pPr>
              <w:spacing w:after="0"/>
              <w:rPr>
                <w:sz w:val="5"/>
                <w:szCs w:val="5"/>
                <w:color w:val="auto"/>
              </w:rPr>
            </w:pPr>
          </w:p>
        </w:tc>
        <w:tc>
          <w:tcPr>
            <w:tcW w:w="440" w:type="dxa"/>
            <w:vAlign w:val="bottom"/>
            <w:tcBorders>
              <w:bottom w:val="single" w:sz="8" w:color="auto"/>
              <w:right w:val="single" w:sz="8" w:color="auto"/>
            </w:tcBorders>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00" w:type="dxa"/>
            <w:vAlign w:val="bottom"/>
            <w:tcBorders>
              <w:bottom w:val="single" w:sz="8" w:color="auto"/>
              <w:right w:val="single" w:sz="8" w:color="auto"/>
            </w:tcBorders>
            <w:vMerge w:val="continue"/>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Borders>
              <w:right w:val="single" w:sz="8" w:color="auto"/>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1600" w:type="dxa"/>
            <w:vAlign w:val="bottom"/>
            <w:gridSpan w:val="2"/>
            <w:vMerge w:val="continue"/>
          </w:tcPr>
          <w:p>
            <w:pPr>
              <w:spacing w:after="0"/>
              <w:rPr>
                <w:sz w:val="6"/>
                <w:szCs w:val="6"/>
                <w:color w:val="auto"/>
              </w:rPr>
            </w:pPr>
          </w:p>
        </w:tc>
        <w:tc>
          <w:tcPr>
            <w:tcW w:w="44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0"/>
                <w:szCs w:val="10"/>
                <w:b w:val="1"/>
                <w:bCs w:val="1"/>
                <w:color w:val="auto"/>
                <w:w w:val="92"/>
              </w:rPr>
              <w:t>Change</w:t>
            </w:r>
          </w:p>
        </w:tc>
        <w:tc>
          <w:tcPr>
            <w:tcW w:w="360" w:type="dxa"/>
            <w:vAlign w:val="bottom"/>
            <w:vMerge w:val="restart"/>
          </w:tcPr>
          <w:p>
            <w:pPr>
              <w:jc w:val="center"/>
              <w:spacing w:after="0"/>
              <w:rPr>
                <w:sz w:val="20"/>
                <w:szCs w:val="20"/>
                <w:color w:val="auto"/>
              </w:rPr>
            </w:pPr>
            <w:r>
              <w:rPr>
                <w:rFonts w:ascii="Arial" w:cs="Arial" w:eastAsia="Arial" w:hAnsi="Arial"/>
                <w:sz w:val="10"/>
                <w:szCs w:val="10"/>
                <w:color w:val="auto"/>
                <w:w w:val="91"/>
              </w:rPr>
              <w:t>20,000</w:t>
            </w:r>
          </w:p>
        </w:tc>
        <w:tc>
          <w:tcPr>
            <w:tcW w:w="60" w:type="dxa"/>
            <w:vAlign w:val="bottom"/>
            <w:tcBorders>
              <w:right w:val="single" w:sz="8" w:color="auto"/>
            </w:tcBorders>
          </w:tcPr>
          <w:p>
            <w:pPr>
              <w:spacing w:after="0"/>
              <w:rPr>
                <w:sz w:val="6"/>
                <w:szCs w:val="6"/>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color w:val="auto"/>
                <w:w w:val="91"/>
              </w:rPr>
              <w:t>$161,400</w:t>
            </w:r>
          </w:p>
        </w:tc>
        <w:tc>
          <w:tcPr>
            <w:tcW w:w="440" w:type="dxa"/>
            <w:vAlign w:val="bottom"/>
            <w:tcBorders>
              <w:right w:val="single" w:sz="8" w:color="auto"/>
            </w:tcBorders>
            <w:vMerge w:val="restart"/>
          </w:tcPr>
          <w:p>
            <w:pPr>
              <w:jc w:val="right"/>
              <w:ind w:right="9"/>
              <w:spacing w:after="0"/>
              <w:rPr>
                <w:sz w:val="20"/>
                <w:szCs w:val="20"/>
                <w:color w:val="auto"/>
              </w:rPr>
            </w:pPr>
            <w:r>
              <w:rPr>
                <w:rFonts w:ascii="Arial" w:cs="Arial" w:eastAsia="Arial" w:hAnsi="Arial"/>
                <w:sz w:val="10"/>
                <w:szCs w:val="10"/>
                <w:color w:val="auto"/>
              </w:rPr>
              <w:t>60,955</w:t>
            </w:r>
          </w:p>
        </w:tc>
        <w:tc>
          <w:tcPr>
            <w:tcW w:w="560" w:type="dxa"/>
            <w:vAlign w:val="bottom"/>
            <w:tcBorders>
              <w:right w:val="single" w:sz="8" w:color="auto"/>
            </w:tcBorders>
            <w:gridSpan w:val="2"/>
            <w:vMerge w:val="restart"/>
          </w:tcPr>
          <w:p>
            <w:pPr>
              <w:jc w:val="right"/>
              <w:ind w:right="60"/>
              <w:spacing w:after="0"/>
              <w:rPr>
                <w:sz w:val="20"/>
                <w:szCs w:val="20"/>
                <w:color w:val="auto"/>
              </w:rPr>
            </w:pPr>
            <w:r>
              <w:rPr>
                <w:rFonts w:ascii="Arial" w:cs="Arial" w:eastAsia="Arial" w:hAnsi="Arial"/>
                <w:sz w:val="10"/>
                <w:szCs w:val="10"/>
                <w:color w:val="auto"/>
              </w:rPr>
              <w:t>$491,907</w:t>
            </w:r>
          </w:p>
        </w:tc>
        <w:tc>
          <w:tcPr>
            <w:tcW w:w="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color w:val="auto"/>
                <w:w w:val="99"/>
              </w:rPr>
              <w:t>—</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Borders>
              <w:right w:val="single" w:sz="8" w:color="auto"/>
            </w:tcBorders>
            <w:vMerge w:val="restart"/>
          </w:tcPr>
          <w:p>
            <w:pPr>
              <w:jc w:val="center"/>
              <w:ind w:right="109"/>
              <w:spacing w:after="0"/>
              <w:rPr>
                <w:sz w:val="20"/>
                <w:szCs w:val="20"/>
                <w:color w:val="auto"/>
              </w:rPr>
            </w:pPr>
            <w:r>
              <w:rPr>
                <w:rFonts w:ascii="Arial" w:cs="Arial" w:eastAsia="Arial" w:hAnsi="Arial"/>
                <w:sz w:val="10"/>
                <w:szCs w:val="10"/>
                <w:color w:val="auto"/>
                <w:w w:val="99"/>
              </w:rPr>
              <w:t>—</w:t>
            </w:r>
          </w:p>
        </w:tc>
        <w:tc>
          <w:tcPr>
            <w:tcW w:w="2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1600" w:type="dxa"/>
            <w:vAlign w:val="bottom"/>
            <w:gridSpan w:val="2"/>
            <w:vMerge w:val="restart"/>
          </w:tcPr>
          <w:p>
            <w:pPr>
              <w:spacing w:after="0" w:line="120" w:lineRule="exact"/>
              <w:rPr>
                <w:sz w:val="20"/>
                <w:szCs w:val="20"/>
                <w:color w:val="auto"/>
              </w:rPr>
            </w:pPr>
            <w:r>
              <w:rPr>
                <w:rFonts w:ascii="Arial" w:cs="Arial" w:eastAsia="Arial" w:hAnsi="Arial"/>
                <w:sz w:val="11"/>
                <w:szCs w:val="11"/>
                <w:color w:val="auto"/>
              </w:rPr>
              <w:t>Votes in Favour: 98.40%</w:t>
            </w:r>
          </w:p>
        </w:tc>
        <w:tc>
          <w:tcPr>
            <w:tcW w:w="44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36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right w:val="single" w:sz="8" w:color="auto"/>
            </w:tcBorders>
          </w:tcPr>
          <w:p>
            <w:pPr>
              <w:spacing w:after="0"/>
              <w:rPr>
                <w:sz w:val="6"/>
                <w:szCs w:val="6"/>
                <w:color w:val="auto"/>
              </w:rPr>
            </w:pPr>
          </w:p>
        </w:tc>
        <w:tc>
          <w:tcPr>
            <w:tcW w:w="560" w:type="dxa"/>
            <w:vAlign w:val="bottom"/>
            <w:tcBorders>
              <w:bottom w:val="single" w:sz="8" w:color="auto"/>
              <w:right w:val="single" w:sz="8" w:color="auto"/>
            </w:tcBorders>
            <w:vMerge w:val="continue"/>
          </w:tcPr>
          <w:p>
            <w:pPr>
              <w:spacing w:after="0"/>
              <w:rPr>
                <w:sz w:val="6"/>
                <w:szCs w:val="6"/>
                <w:color w:val="auto"/>
              </w:rPr>
            </w:pPr>
          </w:p>
        </w:tc>
        <w:tc>
          <w:tcPr>
            <w:tcW w:w="440" w:type="dxa"/>
            <w:vAlign w:val="bottom"/>
            <w:tcBorders>
              <w:bottom w:val="single" w:sz="8" w:color="auto"/>
              <w:right w:val="single" w:sz="8" w:color="auto"/>
            </w:tcBorders>
            <w:vMerge w:val="continue"/>
          </w:tcPr>
          <w:p>
            <w:pPr>
              <w:spacing w:after="0"/>
              <w:rPr>
                <w:sz w:val="6"/>
                <w:szCs w:val="6"/>
                <w:color w:val="auto"/>
              </w:rPr>
            </w:pPr>
          </w:p>
        </w:tc>
        <w:tc>
          <w:tcPr>
            <w:tcW w:w="560" w:type="dxa"/>
            <w:vAlign w:val="bottom"/>
            <w:tcBorders>
              <w:bottom w:val="single" w:sz="8" w:color="auto"/>
              <w:right w:val="single" w:sz="8" w:color="auto"/>
            </w:tcBorders>
            <w:gridSpan w:val="2"/>
            <w:vMerge w:val="continue"/>
          </w:tcPr>
          <w:p>
            <w:pPr>
              <w:spacing w:after="0"/>
              <w:rPr>
                <w:sz w:val="6"/>
                <w:szCs w:val="6"/>
                <w:color w:val="auto"/>
              </w:rPr>
            </w:pPr>
          </w:p>
        </w:tc>
        <w:tc>
          <w:tcPr>
            <w:tcW w:w="440" w:type="dxa"/>
            <w:vAlign w:val="bottom"/>
            <w:tcBorders>
              <w:bottom w:val="single" w:sz="8" w:color="auto"/>
              <w:right w:val="single" w:sz="8" w:color="auto"/>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00" w:type="dxa"/>
            <w:vAlign w:val="bottom"/>
            <w:tcBorders>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6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54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1600" w:type="dxa"/>
            <w:vAlign w:val="bottom"/>
            <w:gridSpan w:val="2"/>
            <w:vMerge w:val="continue"/>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600" w:type="dxa"/>
            <w:vAlign w:val="bottom"/>
            <w:gridSpan w:val="2"/>
          </w:tcPr>
          <w:p>
            <w:pPr>
              <w:spacing w:after="0"/>
              <w:rPr>
                <w:sz w:val="20"/>
                <w:szCs w:val="20"/>
                <w:color w:val="auto"/>
              </w:rPr>
            </w:pPr>
            <w:r>
              <w:rPr>
                <w:rFonts w:ascii="Arial" w:cs="Arial" w:eastAsia="Arial" w:hAnsi="Arial"/>
                <w:sz w:val="11"/>
                <w:szCs w:val="11"/>
                <w:color w:val="auto"/>
              </w:rPr>
              <w:t>Votes Withheld: 1.60%</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238760</wp:posOffset>
            </wp:positionV>
            <wp:extent cx="4045585"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045585" cy="635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left="1580" w:right="1319" w:hanging="257"/>
        <w:spacing w:after="0" w:line="231" w:lineRule="auto"/>
        <w:tabs>
          <w:tab w:leader="none" w:pos="1580" w:val="left"/>
        </w:tabs>
        <w:numPr>
          <w:ilvl w:val="0"/>
          <w:numId w:val="47"/>
        </w:numPr>
        <w:rPr>
          <w:rFonts w:ascii="Arial" w:cs="Arial" w:eastAsia="Arial" w:hAnsi="Arial"/>
          <w:sz w:val="16"/>
          <w:szCs w:val="16"/>
          <w:color w:val="auto"/>
          <w:vertAlign w:val="superscript"/>
        </w:rPr>
      </w:pPr>
      <w:r>
        <w:rPr>
          <w:rFonts w:ascii="Arial" w:cs="Arial" w:eastAsia="Arial" w:hAnsi="Arial"/>
          <w:sz w:val="11"/>
          <w:szCs w:val="11"/>
          <w:color w:val="auto"/>
        </w:rPr>
        <w:t xml:space="preserve">The securities in the table represent all SVS beneficially owned, and all DSUs and unvested RSUs held as of December 31, 2019 and December 31, 2020 (as applicable), including: (i) for 2019, DSUs and RSUs granted on January 2, 2020 in respect of the fourth quarter of 2019; and (ii) for 2020, DSUs and RSUs granted on January 4, 2021 in respect of the fourth quarter of 2020. The $ value and “Total Value” of all such securities is based on the closing price of SVS on the NYSE on December 31, 2020 ($8.07). See — </w:t>
      </w:r>
      <w:r>
        <w:rPr>
          <w:rFonts w:ascii="Arial" w:cs="Arial" w:eastAsia="Arial" w:hAnsi="Arial"/>
          <w:sz w:val="11"/>
          <w:szCs w:val="11"/>
          <w:i w:val="1"/>
          <w:iCs w:val="1"/>
          <w:color w:val="auto"/>
        </w:rPr>
        <w:t>Directors’</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Ownership of Securities — Director Share Ownership Guidelines </w:t>
      </w:r>
      <w:r>
        <w:rPr>
          <w:rFonts w:ascii="Arial" w:cs="Arial" w:eastAsia="Arial" w:hAnsi="Arial"/>
          <w:sz w:val="11"/>
          <w:szCs w:val="11"/>
          <w:color w:val="auto"/>
        </w:rPr>
        <w:t>for a description of the shareholding requirements for applicable</w:t>
      </w:r>
      <w:r>
        <w:rPr>
          <w:rFonts w:ascii="Arial" w:cs="Arial" w:eastAsia="Arial" w:hAnsi="Arial"/>
          <w:sz w:val="11"/>
          <w:szCs w:val="11"/>
          <w:i w:val="1"/>
          <w:iCs w:val="1"/>
          <w:color w:val="auto"/>
        </w:rPr>
        <w:t xml:space="preserve"> </w:t>
      </w:r>
      <w:r>
        <w:rPr>
          <w:rFonts w:ascii="Arial" w:cs="Arial" w:eastAsia="Arial" w:hAnsi="Arial"/>
          <w:sz w:val="11"/>
          <w:szCs w:val="11"/>
          <w:color w:val="auto"/>
        </w:rPr>
        <w:t>directors. New directors have five years from the time of their appointment to the Board to comply with the Director Share Ownership Guidelines (as defined below).</w:t>
      </w:r>
    </w:p>
    <w:p>
      <w:pPr>
        <w:spacing w:after="0" w:line="38" w:lineRule="exact"/>
        <w:rPr>
          <w:rFonts w:ascii="Arial" w:cs="Arial" w:eastAsia="Arial" w:hAnsi="Arial"/>
          <w:sz w:val="16"/>
          <w:szCs w:val="16"/>
          <w:color w:val="auto"/>
          <w:vertAlign w:val="superscript"/>
        </w:rPr>
      </w:pPr>
    </w:p>
    <w:p>
      <w:pPr>
        <w:jc w:val="both"/>
        <w:ind w:left="1580" w:right="1319" w:hanging="257"/>
        <w:spacing w:after="0" w:line="252" w:lineRule="auto"/>
        <w:tabs>
          <w:tab w:leader="none" w:pos="1580" w:val="left"/>
        </w:tabs>
        <w:numPr>
          <w:ilvl w:val="0"/>
          <w:numId w:val="47"/>
        </w:numPr>
        <w:rPr>
          <w:rFonts w:ascii="Arial" w:cs="Arial" w:eastAsia="Arial" w:hAnsi="Arial"/>
          <w:sz w:val="15"/>
          <w:szCs w:val="15"/>
          <w:color w:val="auto"/>
          <w:vertAlign w:val="superscript"/>
        </w:rPr>
      </w:pPr>
      <w:r>
        <w:rPr>
          <w:rFonts w:ascii="Arial" w:cs="Arial" w:eastAsia="Arial" w:hAnsi="Arial"/>
          <w:sz w:val="10"/>
          <w:szCs w:val="10"/>
          <w:color w:val="auto"/>
        </w:rPr>
        <w:t xml:space="preserve">As President and CEO of the Corporation, Mr. Mionis is subject to the Executive Share Ownership Guidelines instead of the Director Share Ownership Guidelines. See </w:t>
      </w:r>
      <w:r>
        <w:rPr>
          <w:rFonts w:ascii="Arial" w:cs="Arial" w:eastAsia="Arial" w:hAnsi="Arial"/>
          <w:sz w:val="10"/>
          <w:szCs w:val="10"/>
          <w:i w:val="1"/>
          <w:iCs w:val="1"/>
          <w:color w:val="auto"/>
        </w:rPr>
        <w:t>Executive Share Ownership.</w:t>
      </w:r>
      <w:r>
        <w:rPr>
          <w:rFonts w:ascii="Arial" w:cs="Arial" w:eastAsia="Arial" w:hAnsi="Arial"/>
          <w:sz w:val="10"/>
          <w:szCs w:val="10"/>
          <w:color w:val="auto"/>
        </w:rPr>
        <w:t xml:space="preserve"> The securities in the table for 2019 represent all SVS beneficially owned and all unvested RSUs held as of December 31, 2019, as well as PSUs that vested at 40% of target on January 31, 2020. The securities in the table for 2020 represent all SVS beneficially owned and all unvested RSUs held as of December 31, 2020, as well as PSUs that vested at 26% of target on January 30, 2021. All other unvested PSUs held by Mr. Mionis are not included. The $ value and “Total Value” for such securities is based on the closing price of SVS on the NYSE on December 31, 2020 ($8.07).</w:t>
      </w:r>
    </w:p>
    <w:p>
      <w:pPr>
        <w:spacing w:after="0" w:line="31" w:lineRule="exact"/>
        <w:rPr>
          <w:rFonts w:ascii="Arial" w:cs="Arial" w:eastAsia="Arial" w:hAnsi="Arial"/>
          <w:sz w:val="15"/>
          <w:szCs w:val="15"/>
          <w:color w:val="auto"/>
          <w:vertAlign w:val="superscript"/>
        </w:rPr>
      </w:pPr>
    </w:p>
    <w:p>
      <w:pPr>
        <w:jc w:val="both"/>
        <w:ind w:left="1580" w:right="1319" w:hanging="257"/>
        <w:spacing w:after="0" w:line="222" w:lineRule="auto"/>
        <w:tabs>
          <w:tab w:leader="none" w:pos="1580" w:val="left"/>
        </w:tabs>
        <w:numPr>
          <w:ilvl w:val="0"/>
          <w:numId w:val="47"/>
        </w:numPr>
        <w:rPr>
          <w:rFonts w:ascii="Arial" w:cs="Arial" w:eastAsia="Arial" w:hAnsi="Arial"/>
          <w:sz w:val="16"/>
          <w:szCs w:val="16"/>
          <w:color w:val="auto"/>
          <w:vertAlign w:val="superscript"/>
        </w:rPr>
      </w:pPr>
      <w:r>
        <w:rPr>
          <w:rFonts w:ascii="Arial" w:cs="Arial" w:eastAsia="Arial" w:hAnsi="Arial"/>
          <w:sz w:val="11"/>
          <w:szCs w:val="11"/>
          <w:color w:val="auto"/>
        </w:rPr>
        <w:t>Mr. Popatia, as an officer of Onex, is not subject to the Director Share Ownership Guidelines. In addition, Mr. Popatia does not receive any compensation in his capacity as a director of the Corporation; however, Onex receives compensation in the amount of $235,000 per year, payable in DSUs in equal quarterly installments in arrears, for providing his services (41,180 DSUs in 2020 and 30,849 DSUs in 2019). See footnote 7 to Table 3.</w:t>
      </w:r>
    </w:p>
    <w:p>
      <w:pPr>
        <w:spacing w:after="0" w:line="36" w:lineRule="exact"/>
        <w:rPr>
          <w:rFonts w:ascii="Arial" w:cs="Arial" w:eastAsia="Arial" w:hAnsi="Arial"/>
          <w:sz w:val="16"/>
          <w:szCs w:val="16"/>
          <w:color w:val="auto"/>
          <w:vertAlign w:val="superscript"/>
        </w:rPr>
      </w:pPr>
    </w:p>
    <w:p>
      <w:pPr>
        <w:jc w:val="both"/>
        <w:ind w:left="1580" w:right="1319" w:hanging="257"/>
        <w:spacing w:after="0" w:line="216" w:lineRule="auto"/>
        <w:tabs>
          <w:tab w:leader="none" w:pos="1580" w:val="left"/>
        </w:tabs>
        <w:numPr>
          <w:ilvl w:val="0"/>
          <w:numId w:val="47"/>
        </w:numPr>
        <w:rPr>
          <w:rFonts w:ascii="Arial" w:cs="Arial" w:eastAsia="Arial" w:hAnsi="Arial"/>
          <w:sz w:val="16"/>
          <w:szCs w:val="16"/>
          <w:color w:val="auto"/>
          <w:vertAlign w:val="superscript"/>
        </w:rPr>
      </w:pPr>
      <w:r>
        <w:rPr>
          <w:rFonts w:ascii="Arial" w:cs="Arial" w:eastAsia="Arial" w:hAnsi="Arial"/>
          <w:sz w:val="11"/>
          <w:szCs w:val="11"/>
          <w:color w:val="auto"/>
        </w:rPr>
        <w:t xml:space="preserve">The Board approved an exception to its retirement policy for Mr. Ryan to stand for re-election at the Meeting. Mr. Ryan has resigned as the Chair of the HRCC, effective at the close of the Meeting, and Mr. Cascella has been appointed as Chair of the HRCC (if elected as a director), effective as of such resignation. See </w:t>
      </w:r>
      <w:r>
        <w:rPr>
          <w:rFonts w:ascii="Arial" w:cs="Arial" w:eastAsia="Arial" w:hAnsi="Arial"/>
          <w:sz w:val="11"/>
          <w:szCs w:val="11"/>
          <w:i w:val="1"/>
          <w:iCs w:val="1"/>
          <w:color w:val="auto"/>
        </w:rPr>
        <w:t>Election of Directors</w:t>
      </w:r>
      <w:r>
        <w:rPr>
          <w:rFonts w:ascii="Arial" w:cs="Arial" w:eastAsia="Arial" w:hAnsi="Arial"/>
          <w:sz w:val="11"/>
          <w:szCs w:val="1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 w:name="page24"/>
    <w:bookmarkEnd w:id="23"/>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32"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38100</wp:posOffset>
            </wp:positionV>
            <wp:extent cx="3843655"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43655" cy="635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50800</wp:posOffset>
            </wp:positionV>
            <wp:extent cx="3843655"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210" w:lineRule="exact"/>
        <w:rPr>
          <w:sz w:val="20"/>
          <w:szCs w:val="20"/>
          <w:color w:val="auto"/>
        </w:rPr>
      </w:pPr>
    </w:p>
    <w:p>
      <w:pPr>
        <w:jc w:val="both"/>
        <w:ind w:left="1480" w:right="1499"/>
        <w:spacing w:after="0" w:line="245" w:lineRule="auto"/>
        <w:rPr>
          <w:sz w:val="20"/>
          <w:szCs w:val="20"/>
          <w:color w:val="auto"/>
        </w:rPr>
      </w:pPr>
      <w:r>
        <w:rPr>
          <w:rFonts w:ascii="Arial" w:cs="Arial" w:eastAsia="Arial" w:hAnsi="Arial"/>
          <w:sz w:val="13"/>
          <w:szCs w:val="13"/>
          <w:color w:val="auto"/>
        </w:rPr>
        <w:t>Director compensation is set by the Board on the recommendation of the HRCC and in accordance with director compensation guidelines and principles established by the NCGC. Under these guidelines and principles, the Board seeks to maintain director compensation at a level that is competitive with director compensation at comparable companies, and requires a substantial portion of such compensation to be taken in the form of DSUs (or, at a director’s election, RSUs, if the Director Share Ownership Guidelines described below have been met). The director fee structure for 2020 is set forth in Table 2 below.</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Table 2: Directors’ Fees</w:t>
      </w:r>
      <w:r>
        <w:rPr>
          <w:rFonts w:ascii="Arial" w:cs="Arial" w:eastAsia="Arial" w:hAnsi="Arial"/>
          <w:sz w:val="19"/>
          <w:szCs w:val="19"/>
          <w:b w:val="1"/>
          <w:bCs w:val="1"/>
          <w:color w:val="auto"/>
          <w:vertAlign w:val="superscript"/>
        </w:rPr>
        <w:t>(1)</w:t>
      </w:r>
    </w:p>
    <w:p>
      <w:pPr>
        <w:spacing w:after="0" w:line="43" w:lineRule="exact"/>
        <w:rPr>
          <w:sz w:val="20"/>
          <w:szCs w:val="20"/>
          <w:color w:val="auto"/>
        </w:rPr>
      </w:pPr>
    </w:p>
    <w:tbl>
      <w:tblPr>
        <w:tblLayout w:type="fixed"/>
        <w:tblInd w:w="1490" w:type="dxa"/>
        <w:tblCellMar>
          <w:top w:w="0" w:type="dxa"/>
          <w:left w:w="0" w:type="dxa"/>
          <w:bottom w:w="0" w:type="dxa"/>
          <w:right w:w="0" w:type="dxa"/>
        </w:tblCellMar>
      </w:tblPr>
      <w:tr>
        <w:trPr>
          <w:trHeight w:val="40"/>
        </w:trPr>
        <w:tc>
          <w:tcPr>
            <w:tcW w:w="3980" w:type="dxa"/>
            <w:vAlign w:val="bottom"/>
            <w:tcBorders>
              <w:top w:val="single" w:sz="8" w:color="auto"/>
              <w:bottom w:val="single" w:sz="8" w:color="auto"/>
            </w:tcBorders>
          </w:tcPr>
          <w:p>
            <w:pPr>
              <w:spacing w:after="0"/>
              <w:rPr>
                <w:sz w:val="3"/>
                <w:szCs w:val="3"/>
                <w:color w:val="auto"/>
              </w:rPr>
            </w:pPr>
          </w:p>
        </w:tc>
        <w:tc>
          <w:tcPr>
            <w:tcW w:w="2080" w:type="dxa"/>
            <w:vAlign w:val="bottom"/>
            <w:tcBorders>
              <w:top w:val="single" w:sz="8" w:color="auto"/>
              <w:bottom w:val="single" w:sz="8" w:color="auto"/>
              <w:right w:val="single" w:sz="8" w:color="auto"/>
            </w:tcBorders>
          </w:tcPr>
          <w:p>
            <w:pPr>
              <w:spacing w:after="0"/>
              <w:rPr>
                <w:sz w:val="3"/>
                <w:szCs w:val="3"/>
                <w:color w:val="auto"/>
              </w:rPr>
            </w:pPr>
          </w:p>
        </w:tc>
      </w:tr>
      <w:tr>
        <w:trPr>
          <w:trHeight w:val="205"/>
        </w:trPr>
        <w:tc>
          <w:tcPr>
            <w:tcW w:w="3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1"/>
                <w:szCs w:val="11"/>
                <w:b w:val="1"/>
                <w:bCs w:val="1"/>
                <w:color w:val="auto"/>
              </w:rPr>
              <w:t>Element</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2"/>
              </w:rPr>
              <w:t>Director Fee Structure for 2020</w:t>
            </w:r>
            <w:r>
              <w:rPr>
                <w:rFonts w:ascii="Arial" w:cs="Arial" w:eastAsia="Arial" w:hAnsi="Arial"/>
                <w:sz w:val="15"/>
                <w:szCs w:val="15"/>
                <w:b w:val="1"/>
                <w:bCs w:val="1"/>
                <w:color w:val="auto"/>
                <w:w w:val="82"/>
                <w:vertAlign w:val="superscript"/>
              </w:rPr>
              <w:t>(2)</w:t>
            </w:r>
          </w:p>
        </w:tc>
      </w:tr>
      <w:tr>
        <w:trPr>
          <w:trHeight w:val="229"/>
        </w:trPr>
        <w:tc>
          <w:tcPr>
            <w:tcW w:w="39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Annual Board Retainer</w:t>
            </w:r>
            <w:r>
              <w:rPr>
                <w:rFonts w:ascii="Arial" w:cs="Arial" w:eastAsia="Arial" w:hAnsi="Arial"/>
                <w:sz w:val="19"/>
                <w:szCs w:val="19"/>
                <w:color w:val="auto"/>
                <w:vertAlign w:val="superscript"/>
              </w:rPr>
              <w:t>(3)</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$360,000 — Board Chair</w:t>
            </w:r>
          </w:p>
        </w:tc>
      </w:tr>
      <w:tr>
        <w:trPr>
          <w:trHeight w:val="174"/>
        </w:trPr>
        <w:tc>
          <w:tcPr>
            <w:tcW w:w="3980" w:type="dxa"/>
            <w:vAlign w:val="bottom"/>
            <w:tcBorders>
              <w:left w:val="single" w:sz="8" w:color="auto"/>
              <w:bottom w:val="single" w:sz="8" w:color="auto"/>
              <w:right w:val="single" w:sz="8" w:color="auto"/>
            </w:tcBorders>
          </w:tcPr>
          <w:p>
            <w:pPr>
              <w:spacing w:after="0"/>
              <w:rPr>
                <w:sz w:val="15"/>
                <w:szCs w:val="15"/>
                <w:color w:val="auto"/>
              </w:rPr>
            </w:pP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$235,000 — Directors</w:t>
            </w:r>
          </w:p>
        </w:tc>
      </w:tr>
      <w:tr>
        <w:trPr>
          <w:trHeight w:val="224"/>
        </w:trPr>
        <w:tc>
          <w:tcPr>
            <w:tcW w:w="3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Travel Fees</w:t>
            </w:r>
            <w:r>
              <w:rPr>
                <w:rFonts w:ascii="Arial" w:cs="Arial" w:eastAsia="Arial" w:hAnsi="Arial"/>
                <w:sz w:val="19"/>
                <w:szCs w:val="19"/>
                <w:color w:val="auto"/>
                <w:vertAlign w:val="superscript"/>
              </w:rPr>
              <w:t>(4)</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$2,500</w:t>
            </w:r>
          </w:p>
        </w:tc>
      </w:tr>
      <w:tr>
        <w:trPr>
          <w:trHeight w:val="204"/>
        </w:trPr>
        <w:tc>
          <w:tcPr>
            <w:tcW w:w="3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Annual Retainer for the Audit Committee Chair</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3"/>
              </w:rPr>
              <w:t>$20,000</w:t>
            </w:r>
          </w:p>
        </w:tc>
      </w:tr>
      <w:tr>
        <w:trPr>
          <w:trHeight w:val="209"/>
        </w:trPr>
        <w:tc>
          <w:tcPr>
            <w:tcW w:w="3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Annual Retainer for the HRCC Chair</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3"/>
              </w:rPr>
              <w:t>$15,000</w:t>
            </w:r>
          </w:p>
        </w:tc>
      </w:tr>
      <w:tr>
        <w:trPr>
          <w:trHeight w:val="224"/>
        </w:trPr>
        <w:tc>
          <w:tcPr>
            <w:tcW w:w="3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Annual Retainer for the NCGC Chair</w:t>
            </w:r>
            <w:r>
              <w:rPr>
                <w:rFonts w:ascii="Arial" w:cs="Arial" w:eastAsia="Arial" w:hAnsi="Arial"/>
                <w:sz w:val="19"/>
                <w:szCs w:val="19"/>
                <w:color w:val="auto"/>
                <w:vertAlign w:val="superscript"/>
              </w:rPr>
              <w:t>(5)</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r>
      <w:tr>
        <w:trPr>
          <w:trHeight w:val="20"/>
        </w:trPr>
        <w:tc>
          <w:tcPr>
            <w:tcW w:w="39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both"/>
        <w:ind w:left="1740" w:right="1499" w:hanging="262"/>
        <w:spacing w:after="0" w:line="216" w:lineRule="auto"/>
        <w:tabs>
          <w:tab w:leader="none" w:pos="1740" w:val="left"/>
        </w:tabs>
        <w:numPr>
          <w:ilvl w:val="0"/>
          <w:numId w:val="48"/>
        </w:numPr>
        <w:rPr>
          <w:rFonts w:ascii="Arial" w:cs="Arial" w:eastAsia="Arial" w:hAnsi="Arial"/>
          <w:sz w:val="16"/>
          <w:szCs w:val="16"/>
          <w:color w:val="auto"/>
          <w:vertAlign w:val="superscript"/>
        </w:rPr>
      </w:pPr>
      <w:r>
        <w:rPr>
          <w:rFonts w:ascii="Arial" w:cs="Arial" w:eastAsia="Arial" w:hAnsi="Arial"/>
          <w:sz w:val="11"/>
          <w:szCs w:val="11"/>
          <w:color w:val="auto"/>
        </w:rPr>
        <w:t>Does not include Mr. Mionis, President and CEO of the Corporation, whose compensation is set out in Table 20 of this Circular. Does not include fees payable to Onex for the service of Mr. Popatia as a director, which are described in footnote 7 to Table 3 of this Circular.</w:t>
      </w:r>
    </w:p>
    <w:p>
      <w:pPr>
        <w:spacing w:after="0" w:line="14" w:lineRule="exact"/>
        <w:rPr>
          <w:rFonts w:ascii="Arial" w:cs="Arial" w:eastAsia="Arial" w:hAnsi="Arial"/>
          <w:sz w:val="16"/>
          <w:szCs w:val="16"/>
          <w:color w:val="auto"/>
          <w:vertAlign w:val="superscript"/>
        </w:rPr>
      </w:pPr>
    </w:p>
    <w:p>
      <w:pPr>
        <w:jc w:val="both"/>
        <w:ind w:left="1740" w:right="1499" w:hanging="262"/>
        <w:spacing w:after="0" w:line="234" w:lineRule="auto"/>
        <w:tabs>
          <w:tab w:leader="none" w:pos="1740" w:val="left"/>
        </w:tabs>
        <w:numPr>
          <w:ilvl w:val="0"/>
          <w:numId w:val="48"/>
        </w:numPr>
        <w:rPr>
          <w:rFonts w:ascii="Arial" w:cs="Arial" w:eastAsia="Arial" w:hAnsi="Arial"/>
          <w:sz w:val="15"/>
          <w:szCs w:val="15"/>
          <w:color w:val="auto"/>
          <w:vertAlign w:val="superscript"/>
        </w:rPr>
      </w:pPr>
      <w:r>
        <w:rPr>
          <w:rFonts w:ascii="Arial" w:cs="Arial" w:eastAsia="Arial" w:hAnsi="Arial"/>
          <w:sz w:val="10"/>
          <w:szCs w:val="10"/>
          <w:color w:val="auto"/>
        </w:rPr>
        <w:t xml:space="preserve">Directors may also receive further retainers and meeting fees for participation on </w:t>
      </w:r>
      <w:r>
        <w:rPr>
          <w:rFonts w:ascii="Arial" w:cs="Arial" w:eastAsia="Arial" w:hAnsi="Arial"/>
          <w:sz w:val="10"/>
          <w:szCs w:val="10"/>
          <w:i w:val="1"/>
          <w:iCs w:val="1"/>
          <w:color w:val="auto"/>
        </w:rPr>
        <w:t>ad hoc</w:t>
      </w:r>
      <w:r>
        <w:rPr>
          <w:rFonts w:ascii="Arial" w:cs="Arial" w:eastAsia="Arial" w:hAnsi="Arial"/>
          <w:sz w:val="10"/>
          <w:szCs w:val="10"/>
          <w:color w:val="auto"/>
        </w:rPr>
        <w:t xml:space="preserve"> committees. No incremental fees were paid to directors for their participation on the Director Search Committee during 2020. The Board has the discretion to grant supplemental equity awards to individual directors as deemed appropriate (no such discretion was exercised in 2020).</w:t>
      </w:r>
    </w:p>
    <w:p>
      <w:pPr>
        <w:ind w:left="1740" w:hanging="262"/>
        <w:spacing w:after="0" w:line="194" w:lineRule="auto"/>
        <w:tabs>
          <w:tab w:leader="none" w:pos="1740" w:val="left"/>
        </w:tabs>
        <w:numPr>
          <w:ilvl w:val="0"/>
          <w:numId w:val="48"/>
        </w:numPr>
        <w:rPr>
          <w:rFonts w:ascii="Arial" w:cs="Arial" w:eastAsia="Arial" w:hAnsi="Arial"/>
          <w:sz w:val="16"/>
          <w:szCs w:val="16"/>
          <w:color w:val="auto"/>
          <w:vertAlign w:val="superscript"/>
        </w:rPr>
      </w:pPr>
      <w:r>
        <w:rPr>
          <w:rFonts w:ascii="Arial" w:cs="Arial" w:eastAsia="Arial" w:hAnsi="Arial"/>
          <w:sz w:val="11"/>
          <w:szCs w:val="11"/>
          <w:color w:val="auto"/>
        </w:rPr>
        <w:t>Paid on a quarterly basis.</w:t>
      </w:r>
    </w:p>
    <w:p>
      <w:pPr>
        <w:spacing w:after="0" w:line="33" w:lineRule="exact"/>
        <w:rPr>
          <w:rFonts w:ascii="Arial" w:cs="Arial" w:eastAsia="Arial" w:hAnsi="Arial"/>
          <w:sz w:val="16"/>
          <w:szCs w:val="16"/>
          <w:color w:val="auto"/>
          <w:vertAlign w:val="superscript"/>
        </w:rPr>
      </w:pPr>
    </w:p>
    <w:p>
      <w:pPr>
        <w:jc w:val="both"/>
        <w:ind w:left="1740" w:right="1499" w:hanging="262"/>
        <w:spacing w:after="0" w:line="211" w:lineRule="auto"/>
        <w:tabs>
          <w:tab w:leader="none" w:pos="1740" w:val="left"/>
        </w:tabs>
        <w:numPr>
          <w:ilvl w:val="0"/>
          <w:numId w:val="48"/>
        </w:numPr>
        <w:rPr>
          <w:rFonts w:ascii="Arial" w:cs="Arial" w:eastAsia="Arial" w:hAnsi="Arial"/>
          <w:sz w:val="16"/>
          <w:szCs w:val="16"/>
          <w:color w:val="auto"/>
          <w:vertAlign w:val="superscript"/>
        </w:rPr>
      </w:pPr>
      <w:r>
        <w:rPr>
          <w:rFonts w:ascii="Arial" w:cs="Arial" w:eastAsia="Arial" w:hAnsi="Arial"/>
          <w:sz w:val="11"/>
          <w:szCs w:val="11"/>
          <w:color w:val="auto"/>
        </w:rPr>
        <w:t>Payable only to directors who travel outside of their home state or province to attend a Board or Committee meeting. Travel fees were suspended in March 2020 as Board/Committees meetings were held virtually for the remainder of the year due to COVID-19.</w:t>
      </w:r>
    </w:p>
    <w:p>
      <w:pPr>
        <w:spacing w:after="0" w:line="1" w:lineRule="exact"/>
        <w:rPr>
          <w:rFonts w:ascii="Arial" w:cs="Arial" w:eastAsia="Arial" w:hAnsi="Arial"/>
          <w:sz w:val="16"/>
          <w:szCs w:val="16"/>
          <w:color w:val="auto"/>
          <w:vertAlign w:val="superscript"/>
        </w:rPr>
      </w:pPr>
    </w:p>
    <w:p>
      <w:pPr>
        <w:ind w:left="1740" w:hanging="262"/>
        <w:spacing w:after="0" w:line="207" w:lineRule="auto"/>
        <w:tabs>
          <w:tab w:leader="none" w:pos="1740" w:val="left"/>
        </w:tabs>
        <w:numPr>
          <w:ilvl w:val="0"/>
          <w:numId w:val="48"/>
        </w:numPr>
        <w:rPr>
          <w:rFonts w:ascii="Arial" w:cs="Arial" w:eastAsia="Arial" w:hAnsi="Arial"/>
          <w:sz w:val="16"/>
          <w:szCs w:val="16"/>
          <w:color w:val="auto"/>
          <w:vertAlign w:val="superscript"/>
        </w:rPr>
      </w:pPr>
      <w:r>
        <w:rPr>
          <w:rFonts w:ascii="Arial" w:cs="Arial" w:eastAsia="Arial" w:hAnsi="Arial"/>
          <w:sz w:val="11"/>
          <w:szCs w:val="11"/>
          <w:color w:val="auto"/>
        </w:rPr>
        <w:t>The Chair of the Board also served as the Chair of the NCGC in 2020, for which no additional fee was paid.</w:t>
      </w:r>
    </w:p>
    <w:p>
      <w:pPr>
        <w:spacing w:after="0" w:line="153"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auto"/>
        </w:rPr>
        <w:t>DSU/RSU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38100</wp:posOffset>
            </wp:positionV>
            <wp:extent cx="3502025"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502025" cy="6350"/>
                    </a:xfrm>
                    <a:prstGeom prst="rect">
                      <a:avLst/>
                    </a:prstGeom>
                    <a:noFill/>
                  </pic:spPr>
                </pic:pic>
              </a:graphicData>
            </a:graphic>
          </wp:anchor>
        </w:drawing>
      </w:r>
    </w:p>
    <w:p>
      <w:pPr>
        <w:spacing w:after="0" w:line="121" w:lineRule="exact"/>
        <w:rPr>
          <w:sz w:val="20"/>
          <w:szCs w:val="20"/>
          <w:color w:val="auto"/>
        </w:rPr>
      </w:pPr>
    </w:p>
    <w:p>
      <w:pPr>
        <w:jc w:val="both"/>
        <w:ind w:left="1480" w:right="1499"/>
        <w:spacing w:after="0" w:line="270" w:lineRule="auto"/>
        <w:rPr>
          <w:sz w:val="20"/>
          <w:szCs w:val="20"/>
          <w:color w:val="auto"/>
        </w:rPr>
      </w:pPr>
      <w:r>
        <w:rPr>
          <w:rFonts w:ascii="Arial" w:cs="Arial" w:eastAsia="Arial" w:hAnsi="Arial"/>
          <w:sz w:val="12"/>
          <w:szCs w:val="12"/>
          <w:color w:val="auto"/>
        </w:rPr>
        <w:t xml:space="preserve">Each director must elect to receive 0%, 25% or 50% of their annual board fees, committee chair retainer fees and travel fees (collectively, “ </w:t>
      </w:r>
      <w:r>
        <w:rPr>
          <w:rFonts w:ascii="Arial" w:cs="Arial" w:eastAsia="Arial" w:hAnsi="Arial"/>
          <w:sz w:val="12"/>
          <w:szCs w:val="12"/>
          <w:b w:val="1"/>
          <w:bCs w:val="1"/>
          <w:color w:val="auto"/>
        </w:rPr>
        <w:t>Annual Fees</w:t>
      </w:r>
      <w:r>
        <w:rPr>
          <w:rFonts w:ascii="Arial" w:cs="Arial" w:eastAsia="Arial" w:hAnsi="Arial"/>
          <w:sz w:val="12"/>
          <w:szCs w:val="12"/>
          <w:color w:val="auto"/>
        </w:rPr>
        <w:t xml:space="preserve">”) in cash, with the balance in DSUs, until such director has satisfied the requirements of the Director Share Ownership Guidelines described (and defined) under </w:t>
      </w:r>
      <w:r>
        <w:rPr>
          <w:rFonts w:ascii="Arial" w:cs="Arial" w:eastAsia="Arial" w:hAnsi="Arial"/>
          <w:sz w:val="12"/>
          <w:szCs w:val="12"/>
          <w:i w:val="1"/>
          <w:iCs w:val="1"/>
          <w:color w:val="auto"/>
        </w:rPr>
        <w:t xml:space="preserve">Director Share Ownership Guidelines </w:t>
      </w:r>
      <w:r>
        <w:rPr>
          <w:rFonts w:ascii="Arial" w:cs="Arial" w:eastAsia="Arial" w:hAnsi="Arial"/>
          <w:sz w:val="12"/>
          <w:szCs w:val="12"/>
          <w:color w:val="auto"/>
        </w:rPr>
        <w:t>below. Once a director has satisfied such requirements, the director</w:t>
      </w:r>
      <w:r>
        <w:rPr>
          <w:rFonts w:ascii="Arial" w:cs="Arial" w:eastAsia="Arial" w:hAnsi="Arial"/>
          <w:sz w:val="12"/>
          <w:szCs w:val="12"/>
          <w:i w:val="1"/>
          <w:iCs w:val="1"/>
          <w:color w:val="auto"/>
        </w:rPr>
        <w:t xml:space="preserve"> </w:t>
      </w:r>
      <w:r>
        <w:rPr>
          <w:rFonts w:ascii="Arial" w:cs="Arial" w:eastAsia="Arial" w:hAnsi="Arial"/>
          <w:sz w:val="12"/>
          <w:szCs w:val="12"/>
          <w:color w:val="auto"/>
        </w:rPr>
        <w:t>may then elect to receive 0%, 25% or 50% of their Annual Fees in cash, with the balance either in DSUs or RSUs. If a director does not make an election, 100% of such director’s Annual Fees will be paid in DSUs.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935355</wp:posOffset>
            </wp:positionH>
            <wp:positionV relativeFrom="paragraph">
              <wp:posOffset>24130</wp:posOffset>
            </wp:positionV>
            <wp:extent cx="3856355" cy="10560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56355" cy="1056005"/>
                    </a:xfrm>
                    <a:prstGeom prst="rect">
                      <a:avLst/>
                    </a:prstGeom>
                    <a:noFill/>
                  </pic:spPr>
                </pic:pic>
              </a:graphicData>
            </a:graphic>
          </wp:anchor>
        </w:drawing>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Annual Fee Election</w:t>
      </w:r>
    </w:p>
    <w:p>
      <w:pPr>
        <w:spacing w:after="0" w:line="12" w:lineRule="exact"/>
        <w:rPr>
          <w:sz w:val="20"/>
          <w:szCs w:val="20"/>
          <w:color w:val="auto"/>
        </w:rPr>
      </w:pPr>
    </w:p>
    <w:tbl>
      <w:tblPr>
        <w:tblLayout w:type="fixed"/>
        <w:tblInd w:w="1520" w:type="dxa"/>
        <w:tblCellMar>
          <w:top w:w="0" w:type="dxa"/>
          <w:left w:w="0" w:type="dxa"/>
          <w:bottom w:w="0" w:type="dxa"/>
          <w:right w:w="0" w:type="dxa"/>
        </w:tblCellMar>
      </w:tblPr>
      <w:tr>
        <w:trPr>
          <w:trHeight w:val="160"/>
        </w:trPr>
        <w:tc>
          <w:tcPr>
            <w:tcW w:w="2400" w:type="dxa"/>
            <w:vAlign w:val="bottom"/>
            <w:tcBorders>
              <w:top w:val="single" w:sz="8" w:color="auto"/>
              <w:right w:val="single" w:sz="8" w:color="auto"/>
            </w:tcBorders>
            <w:gridSpan w:val="2"/>
          </w:tcPr>
          <w:p>
            <w:pPr>
              <w:jc w:val="center"/>
              <w:ind w:right="21"/>
              <w:spacing w:after="0"/>
              <w:rPr>
                <w:sz w:val="20"/>
                <w:szCs w:val="20"/>
                <w:color w:val="auto"/>
              </w:rPr>
            </w:pPr>
            <w:r>
              <w:rPr>
                <w:rFonts w:ascii="Arial" w:cs="Arial" w:eastAsia="Arial" w:hAnsi="Arial"/>
                <w:sz w:val="11"/>
                <w:szCs w:val="11"/>
                <w:b w:val="1"/>
                <w:bCs w:val="1"/>
                <w:color w:val="auto"/>
                <w:w w:val="83"/>
              </w:rPr>
              <w:t>Prior to Satisfaction of Director</w:t>
            </w:r>
          </w:p>
        </w:tc>
        <w:tc>
          <w:tcPr>
            <w:tcW w:w="10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1"/>
                <w:szCs w:val="11"/>
                <w:b w:val="1"/>
                <w:bCs w:val="1"/>
                <w:color w:val="auto"/>
                <w:w w:val="84"/>
              </w:rPr>
              <w:t>After Satisfaction of Director</w:t>
            </w:r>
          </w:p>
        </w:tc>
        <w:tc>
          <w:tcPr>
            <w:tcW w:w="10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4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2"/>
              </w:rPr>
              <w:t>Share Ownership Guidelines</w:t>
            </w:r>
          </w:p>
        </w:tc>
        <w:tc>
          <w:tcPr>
            <w:tcW w:w="10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84"/>
              </w:rPr>
              <w:t>Share Ownership Guidelines</w:t>
            </w:r>
          </w:p>
        </w:tc>
        <w:tc>
          <w:tcPr>
            <w:tcW w:w="10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Option 1</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5"/>
              </w:rPr>
              <w:t>Option 2</w:t>
            </w:r>
          </w:p>
        </w:tc>
        <w:tc>
          <w:tcPr>
            <w:tcW w:w="1060" w:type="dxa"/>
            <w:vAlign w:val="bottom"/>
            <w:tcBorders>
              <w:bottom w:val="single" w:sz="8" w:color="auto"/>
            </w:tcBorders>
          </w:tcPr>
          <w:p>
            <w:pPr>
              <w:jc w:val="center"/>
              <w:ind w:left="62"/>
              <w:spacing w:after="0"/>
              <w:rPr>
                <w:sz w:val="20"/>
                <w:szCs w:val="20"/>
                <w:color w:val="auto"/>
              </w:rPr>
            </w:pPr>
            <w:r>
              <w:rPr>
                <w:rFonts w:ascii="Arial" w:cs="Arial" w:eastAsia="Arial" w:hAnsi="Arial"/>
                <w:sz w:val="11"/>
                <w:szCs w:val="11"/>
                <w:b w:val="1"/>
                <w:bCs w:val="1"/>
                <w:color w:val="auto"/>
                <w:w w:val="85"/>
              </w:rPr>
              <w:t>Option 1</w:t>
            </w:r>
          </w:p>
        </w:tc>
        <w:tc>
          <w:tcPr>
            <w:tcW w:w="160" w:type="dxa"/>
            <w:vAlign w:val="bottom"/>
            <w:tcBorders>
              <w:bottom w:val="single" w:sz="8" w:color="auto"/>
              <w:right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5"/>
              </w:rPr>
              <w:t>Option 2</w:t>
            </w: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41"/>
              <w:spacing w:after="0"/>
              <w:rPr>
                <w:sz w:val="20"/>
                <w:szCs w:val="20"/>
                <w:color w:val="auto"/>
              </w:rPr>
            </w:pPr>
            <w:r>
              <w:rPr>
                <w:rFonts w:ascii="Arial" w:cs="Arial" w:eastAsia="Arial" w:hAnsi="Arial"/>
                <w:sz w:val="11"/>
                <w:szCs w:val="11"/>
                <w:b w:val="1"/>
                <w:bCs w:val="1"/>
                <w:color w:val="auto"/>
                <w:w w:val="85"/>
              </w:rPr>
              <w:t>Option 3</w:t>
            </w:r>
          </w:p>
        </w:tc>
        <w:tc>
          <w:tcPr>
            <w:tcW w:w="0" w:type="dxa"/>
            <w:vAlign w:val="bottom"/>
          </w:tcPr>
          <w:p>
            <w:pPr>
              <w:spacing w:after="0"/>
              <w:rPr>
                <w:sz w:val="1"/>
                <w:szCs w:val="1"/>
                <w:color w:val="auto"/>
              </w:rPr>
            </w:pPr>
          </w:p>
        </w:tc>
      </w:tr>
      <w:tr>
        <w:trPr>
          <w:trHeight w:val="201"/>
        </w:trPr>
        <w:tc>
          <w:tcPr>
            <w:tcW w:w="120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jc w:val="center"/>
              <w:ind w:right="21"/>
              <w:spacing w:after="0"/>
              <w:rPr>
                <w:sz w:val="20"/>
                <w:szCs w:val="20"/>
                <w:color w:val="auto"/>
              </w:rPr>
            </w:pPr>
            <w:r>
              <w:rPr>
                <w:rFonts w:ascii="Arial" w:cs="Arial" w:eastAsia="Arial" w:hAnsi="Arial"/>
                <w:sz w:val="12"/>
                <w:szCs w:val="12"/>
                <w:color w:val="auto"/>
                <w:w w:val="95"/>
              </w:rPr>
              <w:t>(i) 25% Cash +</w:t>
            </w:r>
          </w:p>
        </w:tc>
        <w:tc>
          <w:tcPr>
            <w:tcW w:w="1060" w:type="dxa"/>
            <w:vAlign w:val="bottom"/>
            <w:vMerge w:val="restart"/>
          </w:tcPr>
          <w:p>
            <w:pPr>
              <w:jc w:val="center"/>
              <w:ind w:left="22"/>
              <w:spacing w:after="0"/>
              <w:rPr>
                <w:sz w:val="20"/>
                <w:szCs w:val="20"/>
                <w:color w:val="auto"/>
              </w:rPr>
            </w:pPr>
            <w:r>
              <w:rPr>
                <w:rFonts w:ascii="Arial" w:cs="Arial" w:eastAsia="Arial" w:hAnsi="Arial"/>
                <w:sz w:val="12"/>
                <w:szCs w:val="12"/>
                <w:color w:val="auto"/>
                <w:w w:val="98"/>
              </w:rPr>
              <w:t>(i) 100% DSUs</w:t>
            </w:r>
          </w:p>
        </w:tc>
        <w:tc>
          <w:tcPr>
            <w:tcW w:w="1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jc w:val="center"/>
              <w:ind w:right="1"/>
              <w:spacing w:after="0"/>
              <w:rPr>
                <w:sz w:val="20"/>
                <w:szCs w:val="20"/>
                <w:color w:val="auto"/>
              </w:rPr>
            </w:pPr>
            <w:r>
              <w:rPr>
                <w:rFonts w:ascii="Arial" w:cs="Arial" w:eastAsia="Arial" w:hAnsi="Arial"/>
                <w:sz w:val="12"/>
                <w:szCs w:val="12"/>
                <w:color w:val="auto"/>
                <w:w w:val="95"/>
              </w:rPr>
              <w:t>(i) 25% Cash +</w:t>
            </w:r>
          </w:p>
        </w:tc>
        <w:tc>
          <w:tcPr>
            <w:tcW w:w="100" w:type="dxa"/>
            <w:vAlign w:val="bottom"/>
          </w:tcPr>
          <w:p>
            <w:pPr>
              <w:spacing w:after="0"/>
              <w:rPr>
                <w:sz w:val="17"/>
                <w:szCs w:val="17"/>
                <w:color w:val="auto"/>
              </w:rPr>
            </w:pPr>
          </w:p>
        </w:tc>
        <w:tc>
          <w:tcPr>
            <w:tcW w:w="1080" w:type="dxa"/>
            <w:vAlign w:val="bottom"/>
          </w:tcPr>
          <w:p>
            <w:pPr>
              <w:jc w:val="center"/>
              <w:ind w:right="61"/>
              <w:spacing w:after="0"/>
              <w:rPr>
                <w:sz w:val="20"/>
                <w:szCs w:val="20"/>
                <w:color w:val="auto"/>
              </w:rPr>
            </w:pPr>
            <w:r>
              <w:rPr>
                <w:rFonts w:ascii="Arial" w:cs="Arial" w:eastAsia="Arial" w:hAnsi="Arial"/>
                <w:sz w:val="12"/>
                <w:szCs w:val="12"/>
                <w:color w:val="auto"/>
                <w:w w:val="95"/>
              </w:rPr>
              <w:t>(i) 25% Cash +</w:t>
            </w:r>
          </w:p>
        </w:tc>
        <w:tc>
          <w:tcPr>
            <w:tcW w:w="0" w:type="dxa"/>
            <w:vAlign w:val="bottom"/>
          </w:tcPr>
          <w:p>
            <w:pPr>
              <w:spacing w:after="0"/>
              <w:rPr>
                <w:sz w:val="1"/>
                <w:szCs w:val="1"/>
                <w:color w:val="auto"/>
              </w:rPr>
            </w:pPr>
          </w:p>
        </w:tc>
      </w:tr>
      <w:tr>
        <w:trPr>
          <w:trHeight w:val="129"/>
        </w:trPr>
        <w:tc>
          <w:tcPr>
            <w:tcW w:w="120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jc w:val="center"/>
              <w:ind w:right="1"/>
              <w:spacing w:after="0" w:line="130" w:lineRule="exact"/>
              <w:rPr>
                <w:sz w:val="20"/>
                <w:szCs w:val="20"/>
                <w:color w:val="auto"/>
              </w:rPr>
            </w:pPr>
            <w:r>
              <w:rPr>
                <w:rFonts w:ascii="Arial" w:cs="Arial" w:eastAsia="Arial" w:hAnsi="Arial"/>
                <w:sz w:val="12"/>
                <w:szCs w:val="12"/>
                <w:color w:val="auto"/>
                <w:w w:val="91"/>
              </w:rPr>
              <w:t>75% DSUs</w:t>
            </w:r>
          </w:p>
        </w:tc>
        <w:tc>
          <w:tcPr>
            <w:tcW w:w="1060" w:type="dxa"/>
            <w:vAlign w:val="bottom"/>
            <w:vMerge w:val="continue"/>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jc w:val="center"/>
              <w:ind w:right="1"/>
              <w:spacing w:after="0" w:line="130" w:lineRule="exact"/>
              <w:rPr>
                <w:sz w:val="20"/>
                <w:szCs w:val="20"/>
                <w:color w:val="auto"/>
              </w:rPr>
            </w:pPr>
            <w:r>
              <w:rPr>
                <w:rFonts w:ascii="Arial" w:cs="Arial" w:eastAsia="Arial" w:hAnsi="Arial"/>
                <w:sz w:val="12"/>
                <w:szCs w:val="12"/>
                <w:color w:val="auto"/>
                <w:w w:val="95"/>
              </w:rPr>
              <w:t>75% DSUs</w:t>
            </w:r>
          </w:p>
        </w:tc>
        <w:tc>
          <w:tcPr>
            <w:tcW w:w="100" w:type="dxa"/>
            <w:vAlign w:val="bottom"/>
          </w:tcPr>
          <w:p>
            <w:pPr>
              <w:spacing w:after="0"/>
              <w:rPr>
                <w:sz w:val="11"/>
                <w:szCs w:val="11"/>
                <w:color w:val="auto"/>
              </w:rPr>
            </w:pPr>
          </w:p>
        </w:tc>
        <w:tc>
          <w:tcPr>
            <w:tcW w:w="1080" w:type="dxa"/>
            <w:vAlign w:val="bottom"/>
          </w:tcPr>
          <w:p>
            <w:pPr>
              <w:jc w:val="center"/>
              <w:ind w:right="81"/>
              <w:spacing w:after="0" w:line="130" w:lineRule="exact"/>
              <w:rPr>
                <w:sz w:val="20"/>
                <w:szCs w:val="20"/>
                <w:color w:val="auto"/>
              </w:rPr>
            </w:pPr>
            <w:r>
              <w:rPr>
                <w:rFonts w:ascii="Arial" w:cs="Arial" w:eastAsia="Arial" w:hAnsi="Arial"/>
                <w:sz w:val="12"/>
                <w:szCs w:val="12"/>
                <w:color w:val="auto"/>
                <w:w w:val="91"/>
              </w:rPr>
              <w:t>75% RSUs</w:t>
            </w:r>
          </w:p>
        </w:tc>
        <w:tc>
          <w:tcPr>
            <w:tcW w:w="0" w:type="dxa"/>
            <w:vAlign w:val="bottom"/>
          </w:tcPr>
          <w:p>
            <w:pPr>
              <w:spacing w:after="0"/>
              <w:rPr>
                <w:sz w:val="1"/>
                <w:szCs w:val="1"/>
                <w:color w:val="auto"/>
              </w:rPr>
            </w:pPr>
          </w:p>
        </w:tc>
      </w:tr>
      <w:tr>
        <w:trPr>
          <w:trHeight w:val="139"/>
        </w:trPr>
        <w:tc>
          <w:tcPr>
            <w:tcW w:w="1200" w:type="dxa"/>
            <w:vAlign w:val="bottom"/>
            <w:tcBorders>
              <w:right w:val="single" w:sz="8" w:color="auto"/>
            </w:tcBorders>
          </w:tcPr>
          <w:p>
            <w:pPr>
              <w:jc w:val="center"/>
              <w:ind w:right="5"/>
              <w:spacing w:after="0"/>
              <w:rPr>
                <w:sz w:val="20"/>
                <w:szCs w:val="20"/>
                <w:color w:val="auto"/>
              </w:rPr>
            </w:pPr>
            <w:r>
              <w:rPr>
                <w:rFonts w:ascii="Arial" w:cs="Arial" w:eastAsia="Arial" w:hAnsi="Arial"/>
                <w:sz w:val="12"/>
                <w:szCs w:val="12"/>
                <w:color w:val="auto"/>
                <w:w w:val="94"/>
              </w:rPr>
              <w:t>100% DSUs</w:t>
            </w:r>
          </w:p>
        </w:tc>
        <w:tc>
          <w:tcPr>
            <w:tcW w:w="1200" w:type="dxa"/>
            <w:vAlign w:val="bottom"/>
            <w:tcBorders>
              <w:right w:val="single" w:sz="8" w:color="auto"/>
            </w:tcBorders>
          </w:tcPr>
          <w:p>
            <w:pPr>
              <w:jc w:val="center"/>
              <w:ind w:right="1"/>
              <w:spacing w:after="0"/>
              <w:rPr>
                <w:sz w:val="20"/>
                <w:szCs w:val="20"/>
                <w:color w:val="auto"/>
              </w:rPr>
            </w:pPr>
            <w:r>
              <w:rPr>
                <w:rFonts w:ascii="Arial" w:cs="Arial" w:eastAsia="Arial" w:hAnsi="Arial"/>
                <w:sz w:val="12"/>
                <w:szCs w:val="12"/>
                <w:color w:val="auto"/>
                <w:w w:val="93"/>
              </w:rPr>
              <w:t>or</w:t>
            </w:r>
          </w:p>
        </w:tc>
        <w:tc>
          <w:tcPr>
            <w:tcW w:w="1060" w:type="dxa"/>
            <w:vAlign w:val="bottom"/>
          </w:tcPr>
          <w:p>
            <w:pPr>
              <w:jc w:val="center"/>
              <w:ind w:left="22"/>
              <w:spacing w:after="0"/>
              <w:rPr>
                <w:sz w:val="20"/>
                <w:szCs w:val="20"/>
                <w:color w:val="auto"/>
              </w:rPr>
            </w:pPr>
            <w:r>
              <w:rPr>
                <w:rFonts w:ascii="Arial" w:cs="Arial" w:eastAsia="Arial" w:hAnsi="Arial"/>
                <w:sz w:val="12"/>
                <w:szCs w:val="12"/>
                <w:color w:val="auto"/>
                <w:w w:val="93"/>
              </w:rPr>
              <w:t>or</w:t>
            </w:r>
          </w:p>
        </w:tc>
        <w:tc>
          <w:tcPr>
            <w:tcW w:w="16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jc w:val="center"/>
              <w:ind w:right="21"/>
              <w:spacing w:after="0"/>
              <w:rPr>
                <w:sz w:val="20"/>
                <w:szCs w:val="20"/>
                <w:color w:val="auto"/>
              </w:rPr>
            </w:pPr>
            <w:r>
              <w:rPr>
                <w:rFonts w:ascii="Arial" w:cs="Arial" w:eastAsia="Arial" w:hAnsi="Arial"/>
                <w:sz w:val="12"/>
                <w:szCs w:val="12"/>
                <w:color w:val="auto"/>
                <w:w w:val="93"/>
              </w:rPr>
              <w:t>or</w:t>
            </w:r>
          </w:p>
        </w:tc>
        <w:tc>
          <w:tcPr>
            <w:tcW w:w="100" w:type="dxa"/>
            <w:vAlign w:val="bottom"/>
          </w:tcPr>
          <w:p>
            <w:pPr>
              <w:spacing w:after="0"/>
              <w:rPr>
                <w:sz w:val="12"/>
                <w:szCs w:val="12"/>
                <w:color w:val="auto"/>
              </w:rPr>
            </w:pPr>
          </w:p>
        </w:tc>
        <w:tc>
          <w:tcPr>
            <w:tcW w:w="1080" w:type="dxa"/>
            <w:vAlign w:val="bottom"/>
          </w:tcPr>
          <w:p>
            <w:pPr>
              <w:jc w:val="center"/>
              <w:ind w:right="81"/>
              <w:spacing w:after="0"/>
              <w:rPr>
                <w:sz w:val="20"/>
                <w:szCs w:val="20"/>
                <w:color w:val="auto"/>
              </w:rPr>
            </w:pPr>
            <w:r>
              <w:rPr>
                <w:rFonts w:ascii="Arial" w:cs="Arial" w:eastAsia="Arial" w:hAnsi="Arial"/>
                <w:sz w:val="12"/>
                <w:szCs w:val="12"/>
                <w:color w:val="auto"/>
                <w:w w:val="93"/>
              </w:rPr>
              <w:t>or</w:t>
            </w:r>
          </w:p>
        </w:tc>
        <w:tc>
          <w:tcPr>
            <w:tcW w:w="0" w:type="dxa"/>
            <w:vAlign w:val="bottom"/>
          </w:tcPr>
          <w:p>
            <w:pPr>
              <w:spacing w:after="0"/>
              <w:rPr>
                <w:sz w:val="1"/>
                <w:szCs w:val="1"/>
                <w:color w:val="auto"/>
              </w:rPr>
            </w:pPr>
          </w:p>
        </w:tc>
      </w:tr>
      <w:tr>
        <w:trPr>
          <w:trHeight w:val="149"/>
        </w:trPr>
        <w:tc>
          <w:tcPr>
            <w:tcW w:w="120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jc w:val="center"/>
              <w:ind w:right="21"/>
              <w:spacing w:after="0"/>
              <w:rPr>
                <w:sz w:val="20"/>
                <w:szCs w:val="20"/>
                <w:color w:val="auto"/>
              </w:rPr>
            </w:pPr>
            <w:r>
              <w:rPr>
                <w:rFonts w:ascii="Arial" w:cs="Arial" w:eastAsia="Arial" w:hAnsi="Arial"/>
                <w:sz w:val="12"/>
                <w:szCs w:val="12"/>
                <w:color w:val="auto"/>
                <w:w w:val="97"/>
              </w:rPr>
              <w:t>(ii) 50% Cash +</w:t>
            </w:r>
          </w:p>
        </w:tc>
        <w:tc>
          <w:tcPr>
            <w:tcW w:w="1060" w:type="dxa"/>
            <w:vAlign w:val="bottom"/>
          </w:tcPr>
          <w:p>
            <w:pPr>
              <w:jc w:val="center"/>
              <w:ind w:left="42"/>
              <w:spacing w:after="0"/>
              <w:rPr>
                <w:sz w:val="20"/>
                <w:szCs w:val="20"/>
                <w:color w:val="auto"/>
              </w:rPr>
            </w:pPr>
            <w:r>
              <w:rPr>
                <w:rFonts w:ascii="Arial" w:cs="Arial" w:eastAsia="Arial" w:hAnsi="Arial"/>
                <w:sz w:val="12"/>
                <w:szCs w:val="12"/>
                <w:color w:val="auto"/>
                <w:w w:val="97"/>
              </w:rPr>
              <w:t>(ii) 100% RSUs</w:t>
            </w:r>
          </w:p>
        </w:tc>
        <w:tc>
          <w:tcPr>
            <w:tcW w:w="16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jc w:val="center"/>
              <w:ind w:right="1"/>
              <w:spacing w:after="0"/>
              <w:rPr>
                <w:sz w:val="20"/>
                <w:szCs w:val="20"/>
                <w:color w:val="auto"/>
              </w:rPr>
            </w:pPr>
            <w:r>
              <w:rPr>
                <w:rFonts w:ascii="Arial" w:cs="Arial" w:eastAsia="Arial" w:hAnsi="Arial"/>
                <w:sz w:val="12"/>
                <w:szCs w:val="12"/>
                <w:color w:val="auto"/>
                <w:w w:val="97"/>
              </w:rPr>
              <w:t>(ii) 50% Cash +</w:t>
            </w:r>
          </w:p>
        </w:tc>
        <w:tc>
          <w:tcPr>
            <w:tcW w:w="100" w:type="dxa"/>
            <w:vAlign w:val="bottom"/>
          </w:tcPr>
          <w:p>
            <w:pPr>
              <w:spacing w:after="0"/>
              <w:rPr>
                <w:sz w:val="12"/>
                <w:szCs w:val="12"/>
                <w:color w:val="auto"/>
              </w:rPr>
            </w:pPr>
          </w:p>
        </w:tc>
        <w:tc>
          <w:tcPr>
            <w:tcW w:w="1080" w:type="dxa"/>
            <w:vAlign w:val="bottom"/>
          </w:tcPr>
          <w:p>
            <w:pPr>
              <w:jc w:val="center"/>
              <w:ind w:right="61"/>
              <w:spacing w:after="0"/>
              <w:rPr>
                <w:sz w:val="20"/>
                <w:szCs w:val="20"/>
                <w:color w:val="auto"/>
              </w:rPr>
            </w:pPr>
            <w:r>
              <w:rPr>
                <w:rFonts w:ascii="Arial" w:cs="Arial" w:eastAsia="Arial" w:hAnsi="Arial"/>
                <w:sz w:val="12"/>
                <w:szCs w:val="12"/>
                <w:color w:val="auto"/>
                <w:w w:val="97"/>
              </w:rPr>
              <w:t>(ii) 50% Cash +</w:t>
            </w:r>
          </w:p>
        </w:tc>
        <w:tc>
          <w:tcPr>
            <w:tcW w:w="0" w:type="dxa"/>
            <w:vAlign w:val="bottom"/>
          </w:tcPr>
          <w:p>
            <w:pPr>
              <w:spacing w:after="0"/>
              <w:rPr>
                <w:sz w:val="1"/>
                <w:szCs w:val="1"/>
                <w:color w:val="auto"/>
              </w:rPr>
            </w:pPr>
          </w:p>
        </w:tc>
      </w:tr>
      <w:tr>
        <w:trPr>
          <w:trHeight w:val="152"/>
        </w:trPr>
        <w:tc>
          <w:tcPr>
            <w:tcW w:w="120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5"/>
              </w:rPr>
              <w:t>50% DSUs</w:t>
            </w:r>
          </w:p>
        </w:tc>
        <w:tc>
          <w:tcPr>
            <w:tcW w:w="106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50% DSUs</w:t>
            </w:r>
          </w:p>
        </w:tc>
        <w:tc>
          <w:tcPr>
            <w:tcW w:w="100" w:type="dxa"/>
            <w:vAlign w:val="bottom"/>
          </w:tcPr>
          <w:p>
            <w:pPr>
              <w:spacing w:after="0"/>
              <w:rPr>
                <w:sz w:val="13"/>
                <w:szCs w:val="13"/>
                <w:color w:val="auto"/>
              </w:rPr>
            </w:pPr>
          </w:p>
        </w:tc>
        <w:tc>
          <w:tcPr>
            <w:tcW w:w="1080" w:type="dxa"/>
            <w:vAlign w:val="bottom"/>
          </w:tcPr>
          <w:p>
            <w:pPr>
              <w:jc w:val="center"/>
              <w:ind w:right="41"/>
              <w:spacing w:after="0"/>
              <w:rPr>
                <w:sz w:val="20"/>
                <w:szCs w:val="20"/>
                <w:color w:val="auto"/>
              </w:rPr>
            </w:pPr>
            <w:r>
              <w:rPr>
                <w:rFonts w:ascii="Arial" w:cs="Arial" w:eastAsia="Arial" w:hAnsi="Arial"/>
                <w:sz w:val="12"/>
                <w:szCs w:val="12"/>
                <w:color w:val="auto"/>
                <w:w w:val="91"/>
              </w:rPr>
              <w:t>50% RSUs</w:t>
            </w:r>
          </w:p>
        </w:tc>
        <w:tc>
          <w:tcPr>
            <w:tcW w:w="0" w:type="dxa"/>
            <w:vAlign w:val="bottom"/>
          </w:tcPr>
          <w:p>
            <w:pPr>
              <w:spacing w:after="0"/>
              <w:rPr>
                <w:sz w:val="1"/>
                <w:szCs w:val="1"/>
                <w:color w:val="auto"/>
              </w:rPr>
            </w:pPr>
          </w:p>
        </w:tc>
      </w:tr>
      <w:tr>
        <w:trPr>
          <w:trHeight w:val="44"/>
        </w:trPr>
        <w:tc>
          <w:tcPr>
            <w:tcW w:w="120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jc w:val="both"/>
        <w:ind w:left="1480" w:right="1499"/>
        <w:spacing w:after="0" w:line="244" w:lineRule="auto"/>
        <w:rPr>
          <w:sz w:val="20"/>
          <w:szCs w:val="20"/>
          <w:color w:val="auto"/>
        </w:rPr>
      </w:pPr>
      <w:r>
        <w:rPr>
          <w:rFonts w:ascii="Arial" w:cs="Arial" w:eastAsia="Arial" w:hAnsi="Arial"/>
          <w:sz w:val="13"/>
          <w:szCs w:val="13"/>
          <w:color w:val="auto"/>
        </w:rPr>
        <w:t>Subject to the terms of the Directors’ Share Compensation Plan, each DSU represents the right to receive one SVS or an equivalent value in cash (at the Corporation’s discretion) when the director (a) ceases to be a director of the Corporation and (b) is not an employee of the Corporation or a director or employee of any corporation that does not deal at arm’s-length with the Corporation (collectively, “</w:t>
      </w:r>
      <w:r>
        <w:rPr>
          <w:rFonts w:ascii="Arial" w:cs="Arial" w:eastAsia="Arial" w:hAnsi="Arial"/>
          <w:sz w:val="13"/>
          <w:szCs w:val="13"/>
          <w:b w:val="1"/>
          <w:bCs w:val="1"/>
          <w:color w:val="auto"/>
        </w:rPr>
        <w:t>Retires</w:t>
      </w:r>
      <w:r>
        <w:rPr>
          <w:rFonts w:ascii="Arial" w:cs="Arial" w:eastAsia="Arial" w:hAnsi="Arial"/>
          <w:sz w:val="13"/>
          <w:szCs w:val="13"/>
          <w:color w:val="auto"/>
        </w:rPr>
        <w:t>”). RSUs granted to directors are governed by the terms of the Corporation’s Long- Term Incentive Plan (“</w:t>
      </w:r>
      <w:r>
        <w:rPr>
          <w:rFonts w:ascii="Arial" w:cs="Arial" w:eastAsia="Arial" w:hAnsi="Arial"/>
          <w:sz w:val="13"/>
          <w:szCs w:val="13"/>
          <w:b w:val="1"/>
          <w:bCs w:val="1"/>
          <w:color w:val="auto"/>
        </w:rPr>
        <w:t>LTIP</w:t>
      </w:r>
      <w:r>
        <w:rPr>
          <w:rFonts w:ascii="Arial" w:cs="Arial" w:eastAsia="Arial" w:hAnsi="Arial"/>
          <w:sz w:val="13"/>
          <w:szCs w:val="13"/>
          <w:color w:val="auto"/>
        </w:rPr>
        <w:t>”). Each quarterly grant of RSUs will vest in instalments of one- third per year on the first, second and third anniversary dates of the grant. Each vested RSU entitles the holder thereof to one SVS; however, if permitted by the Corporation</w:t>
      </w: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 w:name="page25"/>
    <w:bookmarkEnd w:id="24"/>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97" w:lineRule="exact"/>
        <w:rPr>
          <w:sz w:val="20"/>
          <w:szCs w:val="20"/>
          <w:color w:val="auto"/>
        </w:rPr>
      </w:pPr>
    </w:p>
    <w:p>
      <w:pPr>
        <w:jc w:val="both"/>
        <w:ind w:left="1480" w:right="1499"/>
        <w:spacing w:after="0" w:line="244" w:lineRule="auto"/>
        <w:rPr>
          <w:sz w:val="20"/>
          <w:szCs w:val="20"/>
          <w:color w:val="auto"/>
        </w:rPr>
      </w:pPr>
      <w:r>
        <w:rPr>
          <w:rFonts w:ascii="Arial" w:cs="Arial" w:eastAsia="Arial" w:hAnsi="Arial"/>
          <w:sz w:val="13"/>
          <w:szCs w:val="13"/>
          <w:color w:val="auto"/>
        </w:rPr>
        <w:t>under the terms of the grant, a director may elect to receive a payment of cash in lieu of SVS. Unvested RSUs will vest immediately on the date that the director Retires. The date used in valuing DSUs and RSUs that vest on retirement for settlement purposes is the date that is 45 days following the date on which the director Retires, or as soon as practicable thereafter. Such DSUs and RSUs, as applicable, are redeemed and payable on or prior to the 90</w:t>
      </w:r>
      <w:r>
        <w:rPr>
          <w:rFonts w:ascii="Arial" w:cs="Arial" w:eastAsia="Arial" w:hAnsi="Arial"/>
          <w:sz w:val="19"/>
          <w:szCs w:val="19"/>
          <w:color w:val="auto"/>
          <w:vertAlign w:val="superscript"/>
        </w:rPr>
        <w:t>th</w:t>
      </w:r>
      <w:r>
        <w:rPr>
          <w:rFonts w:ascii="Arial" w:cs="Arial" w:eastAsia="Arial" w:hAnsi="Arial"/>
          <w:sz w:val="13"/>
          <w:szCs w:val="13"/>
          <w:color w:val="auto"/>
        </w:rPr>
        <w:t xml:space="preserve"> day following the date on which the director Retires.</w:t>
      </w:r>
    </w:p>
    <w:p>
      <w:pPr>
        <w:spacing w:after="0" w:line="6" w:lineRule="exact"/>
        <w:rPr>
          <w:sz w:val="20"/>
          <w:szCs w:val="20"/>
          <w:color w:val="auto"/>
        </w:rPr>
      </w:pPr>
    </w:p>
    <w:p>
      <w:pPr>
        <w:jc w:val="both"/>
        <w:ind w:left="1480" w:right="1499"/>
        <w:spacing w:after="0" w:line="247" w:lineRule="auto"/>
        <w:rPr>
          <w:sz w:val="20"/>
          <w:szCs w:val="20"/>
          <w:color w:val="auto"/>
        </w:rPr>
      </w:pPr>
      <w:r>
        <w:rPr>
          <w:rFonts w:ascii="Arial" w:cs="Arial" w:eastAsia="Arial" w:hAnsi="Arial"/>
          <w:sz w:val="13"/>
          <w:szCs w:val="13"/>
          <w:color w:val="auto"/>
        </w:rPr>
        <w:t>Grants of DSUs and RSUs to directors are credited quarterly in arrears. The number of DSUs and RSUs, as applicable, granted is calculated by multiplying the amount of such director’s Annual Fees for the quarter by the percentage of the Annual Fees that the director elected to receive in the form of DSUs or RSUs, as applicable, and dividing the product by the closing price of the SVS on the NYSE on the last business day of the quarter.</w:t>
      </w:r>
    </w:p>
    <w:p>
      <w:pPr>
        <w:spacing w:after="0" w:line="81"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Directors’ Fees Earned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38100</wp:posOffset>
            </wp:positionV>
            <wp:extent cx="3843655"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43655" cy="635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50800</wp:posOffset>
            </wp:positionV>
            <wp:extent cx="3843655"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210" w:lineRule="exact"/>
        <w:rPr>
          <w:sz w:val="20"/>
          <w:szCs w:val="20"/>
          <w:color w:val="auto"/>
        </w:rPr>
      </w:pPr>
    </w:p>
    <w:p>
      <w:pPr>
        <w:jc w:val="both"/>
        <w:ind w:left="1480" w:right="1499"/>
        <w:spacing w:after="0" w:line="249" w:lineRule="auto"/>
        <w:rPr>
          <w:sz w:val="20"/>
          <w:szCs w:val="20"/>
          <w:color w:val="auto"/>
        </w:rPr>
      </w:pPr>
      <w:r>
        <w:rPr>
          <w:rFonts w:ascii="Arial" w:cs="Arial" w:eastAsia="Arial" w:hAnsi="Arial"/>
          <w:sz w:val="13"/>
          <w:szCs w:val="13"/>
          <w:color w:val="auto"/>
        </w:rPr>
        <w:t>All compensation paid in 2020 by the Corporation to its directors is set out in Table 3, except for the compensation of Mr. Mionis, President and CEO of the Corporation, which is set out in Table 20 of this Circular. The Board (excluding Messrs. Mionis and Popatia) earned $1,833,722 in Total Annual Fees in respect of 2020, including total grants of $1,159,347 in DSUs and $125,000 in RSUs.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Table 3: Director Fees Earned in Respect of 2020</w:t>
      </w:r>
    </w:p>
    <w:p>
      <w:pPr>
        <w:spacing w:after="0" w:line="67" w:lineRule="exact"/>
        <w:rPr>
          <w:sz w:val="20"/>
          <w:szCs w:val="20"/>
          <w:color w:val="auto"/>
        </w:rPr>
      </w:pPr>
    </w:p>
    <w:tbl>
      <w:tblPr>
        <w:tblLayout w:type="fixed"/>
        <w:tblInd w:w="1490" w:type="dxa"/>
        <w:tblCellMar>
          <w:top w:w="0" w:type="dxa"/>
          <w:left w:w="0" w:type="dxa"/>
          <w:bottom w:w="0" w:type="dxa"/>
          <w:right w:w="0" w:type="dxa"/>
        </w:tblCellMar>
      </w:tblPr>
      <w:tr>
        <w:trPr>
          <w:trHeight w:val="45"/>
        </w:trPr>
        <w:tc>
          <w:tcPr>
            <w:tcW w:w="1800" w:type="dxa"/>
            <w:vAlign w:val="bottom"/>
            <w:tcBorders>
              <w:top w:val="single" w:sz="8" w:color="auto"/>
              <w:bottom w:val="single" w:sz="8" w:color="auto"/>
            </w:tcBorders>
          </w:tcPr>
          <w:p>
            <w:pPr>
              <w:spacing w:after="0"/>
              <w:rPr>
                <w:sz w:val="3"/>
                <w:szCs w:val="3"/>
                <w:color w:val="auto"/>
              </w:rPr>
            </w:pPr>
          </w:p>
        </w:tc>
        <w:tc>
          <w:tcPr>
            <w:tcW w:w="600" w:type="dxa"/>
            <w:vAlign w:val="bottom"/>
            <w:tcBorders>
              <w:top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480" w:type="dxa"/>
            <w:vAlign w:val="bottom"/>
            <w:tcBorders>
              <w:top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540" w:type="dxa"/>
            <w:vAlign w:val="bottom"/>
            <w:tcBorders>
              <w:top w:val="single" w:sz="8" w:color="auto"/>
              <w:bottom w:val="single" w:sz="8" w:color="auto"/>
            </w:tcBorders>
          </w:tcPr>
          <w:p>
            <w:pPr>
              <w:spacing w:after="0"/>
              <w:rPr>
                <w:sz w:val="3"/>
                <w:szCs w:val="3"/>
                <w:color w:val="auto"/>
              </w:rPr>
            </w:pPr>
          </w:p>
        </w:tc>
        <w:tc>
          <w:tcPr>
            <w:tcW w:w="72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54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1800" w:type="dxa"/>
            <w:vAlign w:val="bottom"/>
            <w:tcBorders>
              <w:left w:val="single" w:sz="8" w:color="auto"/>
              <w:right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w w:val="92"/>
              </w:rPr>
              <w:t>Annual Fees Earned</w:t>
            </w:r>
          </w:p>
        </w:tc>
        <w:tc>
          <w:tcPr>
            <w:tcW w:w="640" w:type="dxa"/>
            <w:vAlign w:val="bottom"/>
            <w:tcBorders>
              <w:bottom w:val="single" w:sz="8" w:color="auto"/>
              <w:right w:val="single" w:sz="8" w:color="auto"/>
            </w:tcBorders>
          </w:tcPr>
          <w:p>
            <w:pPr>
              <w:spacing w:after="0"/>
              <w:rPr>
                <w:sz w:val="17"/>
                <w:szCs w:val="17"/>
                <w:color w:val="auto"/>
              </w:rPr>
            </w:pPr>
          </w:p>
        </w:tc>
        <w:tc>
          <w:tcPr>
            <w:tcW w:w="1860" w:type="dxa"/>
            <w:vAlign w:val="bottom"/>
            <w:tcBorders>
              <w:bottom w:val="single" w:sz="8" w:color="auto"/>
              <w:right w:val="single" w:sz="8" w:color="auto"/>
            </w:tcBorders>
            <w:gridSpan w:val="4"/>
            <w:shd w:val="clear" w:color="auto" w:fill="E5E5E5"/>
          </w:tcPr>
          <w:p>
            <w:pPr>
              <w:jc w:val="center"/>
              <w:ind w:right="21"/>
              <w:spacing w:after="0"/>
              <w:rPr>
                <w:sz w:val="20"/>
                <w:szCs w:val="20"/>
                <w:color w:val="auto"/>
              </w:rPr>
            </w:pPr>
            <w:r>
              <w:rPr>
                <w:rFonts w:ascii="Arial" w:cs="Arial" w:eastAsia="Arial" w:hAnsi="Arial"/>
                <w:sz w:val="11"/>
                <w:szCs w:val="11"/>
                <w:b w:val="1"/>
                <w:bCs w:val="1"/>
                <w:color w:val="auto"/>
                <w:w w:val="81"/>
              </w:rPr>
              <w:t>Allocation of Annual Fees</w:t>
            </w:r>
            <w:r>
              <w:rPr>
                <w:rFonts w:ascii="Arial" w:cs="Arial" w:eastAsia="Arial" w:hAnsi="Arial"/>
                <w:sz w:val="15"/>
                <w:szCs w:val="15"/>
                <w:b w:val="1"/>
                <w:bCs w:val="1"/>
                <w:color w:val="auto"/>
                <w:w w:val="81"/>
                <w:vertAlign w:val="superscript"/>
              </w:rPr>
              <w:t>(1)(2)</w:t>
            </w: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800" w:type="dxa"/>
            <w:vAlign w:val="bottom"/>
            <w:tcBorders>
              <w:left w:val="single" w:sz="8" w:color="auto"/>
              <w:right w:val="single" w:sz="8" w:color="auto"/>
            </w:tcBorders>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jc w:val="center"/>
              <w:ind w:right="3"/>
              <w:spacing w:after="0"/>
              <w:rPr>
                <w:sz w:val="20"/>
                <w:szCs w:val="20"/>
                <w:color w:val="auto"/>
              </w:rPr>
            </w:pPr>
            <w:r>
              <w:rPr>
                <w:rFonts w:ascii="Arial" w:cs="Arial" w:eastAsia="Arial" w:hAnsi="Arial"/>
                <w:sz w:val="11"/>
                <w:szCs w:val="11"/>
                <w:b w:val="1"/>
                <w:bCs w:val="1"/>
                <w:color w:val="auto"/>
                <w:w w:val="85"/>
              </w:rPr>
              <w:t>Annual</w:t>
            </w:r>
          </w:p>
        </w:tc>
        <w:tc>
          <w:tcPr>
            <w:tcW w:w="48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540" w:type="dxa"/>
            <w:vAlign w:val="bottom"/>
            <w:tcBorders>
              <w:right w:val="single" w:sz="8" w:color="auto"/>
            </w:tcBorders>
            <w:shd w:val="clear" w:color="auto" w:fill="E5E5E5"/>
          </w:tcPr>
          <w:p>
            <w:pPr>
              <w:spacing w:after="0"/>
              <w:rPr>
                <w:sz w:val="12"/>
                <w:szCs w:val="12"/>
                <w:color w:val="auto"/>
              </w:rPr>
            </w:pPr>
          </w:p>
        </w:tc>
        <w:tc>
          <w:tcPr>
            <w:tcW w:w="720" w:type="dxa"/>
            <w:vAlign w:val="bottom"/>
            <w:tcBorders>
              <w:right w:val="single" w:sz="8" w:color="auto"/>
            </w:tcBorders>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540" w:type="dxa"/>
            <w:vAlign w:val="bottom"/>
            <w:tcBorders>
              <w:right w:val="single" w:sz="8" w:color="auto"/>
            </w:tcBorders>
            <w:shd w:val="clear" w:color="auto" w:fill="E5E5E5"/>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800" w:type="dxa"/>
            <w:vAlign w:val="bottom"/>
            <w:tcBorders>
              <w:left w:val="single" w:sz="8" w:color="auto"/>
              <w:right w:val="single" w:sz="8" w:color="auto"/>
            </w:tcBorders>
          </w:tcPr>
          <w:p>
            <w:pPr>
              <w:spacing w:after="0"/>
              <w:rPr>
                <w:sz w:val="10"/>
                <w:szCs w:val="10"/>
                <w:color w:val="auto"/>
              </w:rPr>
            </w:pPr>
          </w:p>
        </w:tc>
        <w:tc>
          <w:tcPr>
            <w:tcW w:w="600" w:type="dxa"/>
            <w:vAlign w:val="bottom"/>
            <w:tcBorders>
              <w:right w:val="single" w:sz="8" w:color="auto"/>
            </w:tcBorders>
          </w:tcPr>
          <w:p>
            <w:pPr>
              <w:jc w:val="center"/>
              <w:spacing w:after="0" w:line="120" w:lineRule="exact"/>
              <w:rPr>
                <w:sz w:val="20"/>
                <w:szCs w:val="20"/>
                <w:color w:val="auto"/>
              </w:rPr>
            </w:pPr>
            <w:r>
              <w:rPr>
                <w:rFonts w:ascii="Arial" w:cs="Arial" w:eastAsia="Arial" w:hAnsi="Arial"/>
                <w:sz w:val="11"/>
                <w:szCs w:val="11"/>
                <w:b w:val="1"/>
                <w:bCs w:val="1"/>
                <w:color w:val="auto"/>
                <w:w w:val="85"/>
              </w:rPr>
              <w:t>Annual</w:t>
            </w:r>
          </w:p>
        </w:tc>
        <w:tc>
          <w:tcPr>
            <w:tcW w:w="660" w:type="dxa"/>
            <w:vAlign w:val="bottom"/>
            <w:tcBorders>
              <w:right w:val="single" w:sz="8" w:color="auto"/>
            </w:tcBorders>
          </w:tcPr>
          <w:p>
            <w:pPr>
              <w:jc w:val="center"/>
              <w:ind w:right="3"/>
              <w:spacing w:after="0" w:line="120" w:lineRule="exact"/>
              <w:rPr>
                <w:sz w:val="20"/>
                <w:szCs w:val="20"/>
                <w:color w:val="auto"/>
              </w:rPr>
            </w:pPr>
            <w:r>
              <w:rPr>
                <w:rFonts w:ascii="Arial" w:cs="Arial" w:eastAsia="Arial" w:hAnsi="Arial"/>
                <w:sz w:val="11"/>
                <w:szCs w:val="11"/>
                <w:b w:val="1"/>
                <w:bCs w:val="1"/>
                <w:color w:val="auto"/>
                <w:w w:val="84"/>
              </w:rPr>
              <w:t>Committee</w:t>
            </w:r>
          </w:p>
        </w:tc>
        <w:tc>
          <w:tcPr>
            <w:tcW w:w="48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540" w:type="dxa"/>
            <w:vAlign w:val="bottom"/>
            <w:tcBorders>
              <w:right w:val="single" w:sz="8" w:color="auto"/>
            </w:tcBorders>
            <w:shd w:val="clear" w:color="auto" w:fill="E5E5E5"/>
          </w:tcPr>
          <w:p>
            <w:pPr>
              <w:spacing w:after="0"/>
              <w:rPr>
                <w:sz w:val="10"/>
                <w:szCs w:val="10"/>
                <w:color w:val="auto"/>
              </w:rPr>
            </w:pPr>
          </w:p>
        </w:tc>
        <w:tc>
          <w:tcPr>
            <w:tcW w:w="720" w:type="dxa"/>
            <w:vAlign w:val="bottom"/>
            <w:tcBorders>
              <w:right w:val="single" w:sz="8" w:color="auto"/>
            </w:tcBorders>
            <w:shd w:val="clear" w:color="auto" w:fill="E5E5E5"/>
          </w:tcPr>
          <w:p>
            <w:pPr>
              <w:spacing w:after="0"/>
              <w:rPr>
                <w:sz w:val="10"/>
                <w:szCs w:val="10"/>
                <w:color w:val="auto"/>
              </w:rPr>
            </w:pPr>
          </w:p>
        </w:tc>
        <w:tc>
          <w:tcPr>
            <w:tcW w:w="60" w:type="dxa"/>
            <w:vAlign w:val="bottom"/>
            <w:shd w:val="clear" w:color="auto" w:fill="E5E5E5"/>
          </w:tcPr>
          <w:p>
            <w:pPr>
              <w:spacing w:after="0"/>
              <w:rPr>
                <w:sz w:val="10"/>
                <w:szCs w:val="10"/>
                <w:color w:val="auto"/>
              </w:rPr>
            </w:pPr>
          </w:p>
        </w:tc>
        <w:tc>
          <w:tcPr>
            <w:tcW w:w="540" w:type="dxa"/>
            <w:vAlign w:val="bottom"/>
            <w:tcBorders>
              <w:right w:val="single" w:sz="8" w:color="auto"/>
            </w:tcBorders>
            <w:shd w:val="clear" w:color="auto" w:fill="E5E5E5"/>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800" w:type="dxa"/>
            <w:vAlign w:val="bottom"/>
            <w:tcBorders>
              <w:left w:val="single" w:sz="8" w:color="auto"/>
              <w:right w:val="single" w:sz="8" w:color="auto"/>
            </w:tcBorders>
          </w:tcPr>
          <w:p>
            <w:pPr>
              <w:spacing w:after="0"/>
              <w:rPr>
                <w:sz w:val="10"/>
                <w:szCs w:val="10"/>
                <w:color w:val="auto"/>
              </w:rPr>
            </w:pPr>
          </w:p>
        </w:tc>
        <w:tc>
          <w:tcPr>
            <w:tcW w:w="600" w:type="dxa"/>
            <w:vAlign w:val="bottom"/>
            <w:tcBorders>
              <w:right w:val="single" w:sz="8" w:color="auto"/>
            </w:tcBorders>
          </w:tcPr>
          <w:p>
            <w:pPr>
              <w:jc w:val="center"/>
              <w:spacing w:after="0" w:line="120" w:lineRule="exact"/>
              <w:rPr>
                <w:sz w:val="20"/>
                <w:szCs w:val="20"/>
                <w:color w:val="auto"/>
              </w:rPr>
            </w:pPr>
            <w:r>
              <w:rPr>
                <w:rFonts w:ascii="Arial" w:cs="Arial" w:eastAsia="Arial" w:hAnsi="Arial"/>
                <w:sz w:val="11"/>
                <w:szCs w:val="11"/>
                <w:b w:val="1"/>
                <w:bCs w:val="1"/>
                <w:color w:val="auto"/>
                <w:w w:val="87"/>
              </w:rPr>
              <w:t>Board</w:t>
            </w:r>
          </w:p>
        </w:tc>
        <w:tc>
          <w:tcPr>
            <w:tcW w:w="660" w:type="dxa"/>
            <w:vAlign w:val="bottom"/>
            <w:tcBorders>
              <w:right w:val="single" w:sz="8" w:color="auto"/>
            </w:tcBorders>
          </w:tcPr>
          <w:p>
            <w:pPr>
              <w:jc w:val="center"/>
              <w:spacing w:after="0" w:line="120" w:lineRule="exact"/>
              <w:rPr>
                <w:sz w:val="20"/>
                <w:szCs w:val="20"/>
                <w:color w:val="auto"/>
              </w:rPr>
            </w:pPr>
            <w:r>
              <w:rPr>
                <w:rFonts w:ascii="Arial" w:cs="Arial" w:eastAsia="Arial" w:hAnsi="Arial"/>
                <w:sz w:val="11"/>
                <w:szCs w:val="11"/>
                <w:b w:val="1"/>
                <w:bCs w:val="1"/>
                <w:color w:val="auto"/>
                <w:w w:val="92"/>
              </w:rPr>
              <w:t>Chair</w:t>
            </w:r>
          </w:p>
        </w:tc>
        <w:tc>
          <w:tcPr>
            <w:tcW w:w="480" w:type="dxa"/>
            <w:vAlign w:val="bottom"/>
            <w:tcBorders>
              <w:right w:val="single" w:sz="8" w:color="auto"/>
            </w:tcBorders>
          </w:tcPr>
          <w:p>
            <w:pPr>
              <w:jc w:val="center"/>
              <w:ind w:right="1"/>
              <w:spacing w:after="0" w:line="120" w:lineRule="exact"/>
              <w:rPr>
                <w:sz w:val="20"/>
                <w:szCs w:val="20"/>
                <w:color w:val="auto"/>
              </w:rPr>
            </w:pPr>
            <w:r>
              <w:rPr>
                <w:rFonts w:ascii="Arial" w:cs="Arial" w:eastAsia="Arial" w:hAnsi="Arial"/>
                <w:sz w:val="11"/>
                <w:szCs w:val="11"/>
                <w:b w:val="1"/>
                <w:bCs w:val="1"/>
                <w:color w:val="auto"/>
                <w:w w:val="92"/>
              </w:rPr>
              <w:t>Travel</w:t>
            </w:r>
          </w:p>
        </w:tc>
        <w:tc>
          <w:tcPr>
            <w:tcW w:w="640" w:type="dxa"/>
            <w:vAlign w:val="bottom"/>
            <w:tcBorders>
              <w:right w:val="single" w:sz="8" w:color="auto"/>
            </w:tcBorders>
          </w:tcPr>
          <w:p>
            <w:pPr>
              <w:jc w:val="right"/>
              <w:ind w:right="201"/>
              <w:spacing w:after="0" w:line="120" w:lineRule="exact"/>
              <w:rPr>
                <w:sz w:val="20"/>
                <w:szCs w:val="20"/>
                <w:color w:val="auto"/>
              </w:rPr>
            </w:pPr>
            <w:r>
              <w:rPr>
                <w:rFonts w:ascii="Arial" w:cs="Arial" w:eastAsia="Arial" w:hAnsi="Arial"/>
                <w:sz w:val="11"/>
                <w:szCs w:val="11"/>
                <w:b w:val="1"/>
                <w:bCs w:val="1"/>
                <w:color w:val="auto"/>
              </w:rPr>
              <w:t>Total</w:t>
            </w:r>
          </w:p>
        </w:tc>
        <w:tc>
          <w:tcPr>
            <w:tcW w:w="540" w:type="dxa"/>
            <w:vAlign w:val="bottom"/>
            <w:tcBorders>
              <w:right w:val="single" w:sz="8" w:color="auto"/>
            </w:tcBorders>
            <w:vMerge w:val="restart"/>
            <w:shd w:val="clear" w:color="auto" w:fill="E5E5E5"/>
          </w:tcPr>
          <w:p>
            <w:pPr>
              <w:ind w:left="80"/>
              <w:spacing w:after="0"/>
              <w:rPr>
                <w:sz w:val="20"/>
                <w:szCs w:val="20"/>
                <w:color w:val="auto"/>
              </w:rPr>
            </w:pPr>
            <w:r>
              <w:rPr>
                <w:rFonts w:ascii="Arial" w:cs="Arial" w:eastAsia="Arial" w:hAnsi="Arial"/>
                <w:sz w:val="11"/>
                <w:szCs w:val="11"/>
                <w:b w:val="1"/>
                <w:bCs w:val="1"/>
                <w:color w:val="auto"/>
              </w:rPr>
              <w:t>DSUs</w:t>
            </w:r>
            <w:r>
              <w:rPr>
                <w:rFonts w:ascii="Arial" w:cs="Arial" w:eastAsia="Arial" w:hAnsi="Arial"/>
                <w:sz w:val="15"/>
                <w:szCs w:val="15"/>
                <w:b w:val="1"/>
                <w:bCs w:val="1"/>
                <w:color w:val="auto"/>
                <w:vertAlign w:val="superscript"/>
              </w:rPr>
              <w:t>(3)</w:t>
            </w:r>
          </w:p>
        </w:tc>
        <w:tc>
          <w:tcPr>
            <w:tcW w:w="720" w:type="dxa"/>
            <w:vAlign w:val="bottom"/>
            <w:tcBorders>
              <w:right w:val="single" w:sz="8" w:color="auto"/>
            </w:tcBorders>
            <w:shd w:val="clear" w:color="auto" w:fill="E5E5E5"/>
          </w:tcPr>
          <w:p>
            <w:pPr>
              <w:spacing w:after="0"/>
              <w:rPr>
                <w:sz w:val="10"/>
                <w:szCs w:val="10"/>
                <w:color w:val="auto"/>
              </w:rPr>
            </w:pPr>
          </w:p>
        </w:tc>
        <w:tc>
          <w:tcPr>
            <w:tcW w:w="60" w:type="dxa"/>
            <w:vAlign w:val="bottom"/>
            <w:shd w:val="clear" w:color="auto" w:fill="E5E5E5"/>
          </w:tcPr>
          <w:p>
            <w:pPr>
              <w:spacing w:after="0"/>
              <w:rPr>
                <w:sz w:val="10"/>
                <w:szCs w:val="10"/>
                <w:color w:val="auto"/>
              </w:rPr>
            </w:pPr>
          </w:p>
        </w:tc>
        <w:tc>
          <w:tcPr>
            <w:tcW w:w="540" w:type="dxa"/>
            <w:vAlign w:val="bottom"/>
            <w:tcBorders>
              <w:right w:val="single" w:sz="8" w:color="auto"/>
            </w:tcBorders>
            <w:vMerge w:val="restart"/>
            <w:shd w:val="clear" w:color="auto" w:fill="E5E5E5"/>
          </w:tcPr>
          <w:p>
            <w:pPr>
              <w:ind w:left="80"/>
              <w:spacing w:after="0"/>
              <w:rPr>
                <w:sz w:val="20"/>
                <w:szCs w:val="20"/>
                <w:color w:val="auto"/>
              </w:rPr>
            </w:pPr>
            <w:r>
              <w:rPr>
                <w:rFonts w:ascii="Arial" w:cs="Arial" w:eastAsia="Arial" w:hAnsi="Arial"/>
                <w:sz w:val="11"/>
                <w:szCs w:val="11"/>
                <w:b w:val="1"/>
                <w:bCs w:val="1"/>
                <w:color w:val="auto"/>
              </w:rPr>
              <w:t>Cash</w:t>
            </w:r>
            <w:r>
              <w:rPr>
                <w:rFonts w:ascii="Arial" w:cs="Arial" w:eastAsia="Arial" w:hAnsi="Arial"/>
                <w:sz w:val="15"/>
                <w:szCs w:val="15"/>
                <w:b w:val="1"/>
                <w:bCs w:val="1"/>
                <w:color w:val="auto"/>
                <w:vertAlign w:val="superscript"/>
              </w:rPr>
              <w:t>(4)</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8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1"/>
                <w:szCs w:val="11"/>
                <w:b w:val="1"/>
                <w:bCs w:val="1"/>
                <w:color w:val="auto"/>
              </w:rPr>
              <w:t>Name</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6"/>
              </w:rPr>
              <w:t>Retainer</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6"/>
              </w:rPr>
              <w:t>Retainer</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79"/>
              </w:rPr>
              <w:t>Fees</w:t>
            </w:r>
          </w:p>
        </w:tc>
        <w:tc>
          <w:tcPr>
            <w:tcW w:w="640" w:type="dxa"/>
            <w:vAlign w:val="bottom"/>
            <w:tcBorders>
              <w:bottom w:val="single" w:sz="8" w:color="auto"/>
              <w:right w:val="single" w:sz="8" w:color="auto"/>
            </w:tcBorders>
          </w:tcPr>
          <w:p>
            <w:pPr>
              <w:jc w:val="right"/>
              <w:ind w:right="201"/>
              <w:spacing w:after="0"/>
              <w:rPr>
                <w:sz w:val="20"/>
                <w:szCs w:val="20"/>
                <w:color w:val="auto"/>
              </w:rPr>
            </w:pPr>
            <w:r>
              <w:rPr>
                <w:rFonts w:ascii="Arial" w:cs="Arial" w:eastAsia="Arial" w:hAnsi="Arial"/>
                <w:sz w:val="11"/>
                <w:szCs w:val="11"/>
                <w:b w:val="1"/>
                <w:bCs w:val="1"/>
                <w:color w:val="auto"/>
              </w:rPr>
              <w:t>Fees</w:t>
            </w:r>
          </w:p>
        </w:tc>
        <w:tc>
          <w:tcPr>
            <w:tcW w:w="540" w:type="dxa"/>
            <w:vAlign w:val="bottom"/>
            <w:tcBorders>
              <w:bottom w:val="single" w:sz="8" w:color="auto"/>
              <w:right w:val="single" w:sz="8" w:color="auto"/>
            </w:tcBorders>
            <w:vMerge w:val="continue"/>
            <w:shd w:val="clear" w:color="auto" w:fill="E5E5E5"/>
          </w:tcPr>
          <w:p>
            <w:pPr>
              <w:spacing w:after="0"/>
              <w:rPr>
                <w:sz w:val="13"/>
                <w:szCs w:val="13"/>
                <w:color w:val="auto"/>
              </w:rPr>
            </w:pPr>
          </w:p>
        </w:tc>
        <w:tc>
          <w:tcPr>
            <w:tcW w:w="72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1"/>
                <w:szCs w:val="11"/>
                <w:b w:val="1"/>
                <w:bCs w:val="1"/>
                <w:color w:val="auto"/>
                <w:w w:val="81"/>
              </w:rPr>
              <w:t>RSUs</w:t>
            </w:r>
          </w:p>
        </w:tc>
        <w:tc>
          <w:tcPr>
            <w:tcW w:w="60" w:type="dxa"/>
            <w:vAlign w:val="bottom"/>
            <w:tcBorders>
              <w:bottom w:val="single" w:sz="8" w:color="auto"/>
            </w:tcBorders>
            <w:shd w:val="clear" w:color="auto" w:fill="E5E5E5"/>
          </w:tcPr>
          <w:p>
            <w:pPr>
              <w:spacing w:after="0"/>
              <w:rPr>
                <w:sz w:val="13"/>
                <w:szCs w:val="13"/>
                <w:color w:val="auto"/>
              </w:rPr>
            </w:pPr>
          </w:p>
        </w:tc>
        <w:tc>
          <w:tcPr>
            <w:tcW w:w="540" w:type="dxa"/>
            <w:vAlign w:val="bottom"/>
            <w:tcBorders>
              <w:bottom w:val="single" w:sz="8" w:color="auto"/>
              <w:right w:val="single" w:sz="8" w:color="auto"/>
            </w:tcBorders>
            <w:vMerge w:val="continue"/>
            <w:shd w:val="clear" w:color="auto" w:fill="E5E5E5"/>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8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Robert A. Cascella</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$235,000</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2"/>
              </w:rPr>
              <w:t>$2,500</w:t>
            </w:r>
          </w:p>
        </w:tc>
        <w:tc>
          <w:tcPr>
            <w:tcW w:w="640" w:type="dxa"/>
            <w:vAlign w:val="bottom"/>
            <w:tcBorders>
              <w:bottom w:val="single" w:sz="8" w:color="auto"/>
              <w:right w:val="single" w:sz="8" w:color="auto"/>
            </w:tcBorders>
          </w:tcPr>
          <w:p>
            <w:pPr>
              <w:jc w:val="center"/>
              <w:ind w:right="21"/>
              <w:spacing w:after="0"/>
              <w:rPr>
                <w:sz w:val="20"/>
                <w:szCs w:val="20"/>
                <w:color w:val="auto"/>
              </w:rPr>
            </w:pPr>
            <w:r>
              <w:rPr>
                <w:rFonts w:ascii="Arial" w:cs="Arial" w:eastAsia="Arial" w:hAnsi="Arial"/>
                <w:sz w:val="12"/>
                <w:szCs w:val="12"/>
                <w:color w:val="auto"/>
                <w:w w:val="95"/>
              </w:rPr>
              <w:t>$237,500</w:t>
            </w:r>
          </w:p>
        </w:tc>
        <w:tc>
          <w:tcPr>
            <w:tcW w:w="540" w:type="dxa"/>
            <w:vAlign w:val="bottom"/>
            <w:tcBorders>
              <w:bottom w:val="single" w:sz="8" w:color="auto"/>
              <w:right w:val="single" w:sz="8" w:color="auto"/>
            </w:tcBorders>
            <w:shd w:val="clear" w:color="auto" w:fill="E5E5E5"/>
          </w:tcPr>
          <w:p>
            <w:pPr>
              <w:jc w:val="center"/>
              <w:ind w:right="21"/>
              <w:spacing w:after="0"/>
              <w:rPr>
                <w:sz w:val="20"/>
                <w:szCs w:val="20"/>
                <w:color w:val="auto"/>
              </w:rPr>
            </w:pPr>
            <w:r>
              <w:rPr>
                <w:rFonts w:ascii="Arial" w:cs="Arial" w:eastAsia="Arial" w:hAnsi="Arial"/>
                <w:sz w:val="12"/>
                <w:szCs w:val="12"/>
                <w:color w:val="auto"/>
                <w:w w:val="91"/>
              </w:rPr>
              <w:t>$118,750</w:t>
            </w:r>
          </w:p>
        </w:tc>
        <w:tc>
          <w:tcPr>
            <w:tcW w:w="72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tcBorders>
              <w:bottom w:val="single" w:sz="8" w:color="auto"/>
            </w:tcBorders>
            <w:shd w:val="clear" w:color="auto" w:fill="E5E5E5"/>
          </w:tcPr>
          <w:p>
            <w:pPr>
              <w:spacing w:after="0"/>
              <w:rPr>
                <w:sz w:val="16"/>
                <w:szCs w:val="16"/>
                <w:color w:val="auto"/>
              </w:rPr>
            </w:pPr>
          </w:p>
        </w:tc>
        <w:tc>
          <w:tcPr>
            <w:tcW w:w="540" w:type="dxa"/>
            <w:vAlign w:val="bottom"/>
            <w:tcBorders>
              <w:bottom w:val="single" w:sz="8" w:color="auto"/>
              <w:right w:val="single" w:sz="8" w:color="auto"/>
            </w:tcBorders>
            <w:shd w:val="clear" w:color="auto" w:fill="E5E5E5"/>
          </w:tcPr>
          <w:p>
            <w:pPr>
              <w:jc w:val="center"/>
              <w:ind w:right="21"/>
              <w:spacing w:after="0"/>
              <w:rPr>
                <w:sz w:val="20"/>
                <w:szCs w:val="20"/>
                <w:color w:val="auto"/>
              </w:rPr>
            </w:pPr>
            <w:r>
              <w:rPr>
                <w:rFonts w:ascii="Arial" w:cs="Arial" w:eastAsia="Arial" w:hAnsi="Arial"/>
                <w:sz w:val="12"/>
                <w:szCs w:val="12"/>
                <w:color w:val="auto"/>
                <w:w w:val="91"/>
              </w:rPr>
              <w:t>$118,750</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8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Deepak Chopra</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$235,000</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640" w:type="dxa"/>
            <w:vAlign w:val="bottom"/>
            <w:tcBorders>
              <w:bottom w:val="single" w:sz="8" w:color="auto"/>
              <w:right w:val="single" w:sz="8" w:color="auto"/>
            </w:tcBorders>
          </w:tcPr>
          <w:p>
            <w:pPr>
              <w:jc w:val="center"/>
              <w:ind w:right="21"/>
              <w:spacing w:after="0"/>
              <w:rPr>
                <w:sz w:val="20"/>
                <w:szCs w:val="20"/>
                <w:color w:val="auto"/>
              </w:rPr>
            </w:pPr>
            <w:r>
              <w:rPr>
                <w:rFonts w:ascii="Arial" w:cs="Arial" w:eastAsia="Arial" w:hAnsi="Arial"/>
                <w:sz w:val="12"/>
                <w:szCs w:val="12"/>
                <w:color w:val="auto"/>
                <w:w w:val="95"/>
              </w:rPr>
              <w:t>$235,000</w:t>
            </w:r>
          </w:p>
        </w:tc>
        <w:tc>
          <w:tcPr>
            <w:tcW w:w="540" w:type="dxa"/>
            <w:vAlign w:val="bottom"/>
            <w:tcBorders>
              <w:bottom w:val="single" w:sz="8" w:color="auto"/>
              <w:right w:val="single" w:sz="8" w:color="auto"/>
            </w:tcBorders>
            <w:shd w:val="clear" w:color="auto" w:fill="E5E5E5"/>
          </w:tcPr>
          <w:p>
            <w:pPr>
              <w:jc w:val="center"/>
              <w:ind w:right="21"/>
              <w:spacing w:after="0"/>
              <w:rPr>
                <w:sz w:val="20"/>
                <w:szCs w:val="20"/>
                <w:color w:val="auto"/>
              </w:rPr>
            </w:pPr>
            <w:r>
              <w:rPr>
                <w:rFonts w:ascii="Arial" w:cs="Arial" w:eastAsia="Arial" w:hAnsi="Arial"/>
                <w:sz w:val="12"/>
                <w:szCs w:val="12"/>
                <w:color w:val="auto"/>
                <w:w w:val="91"/>
              </w:rPr>
              <w:t>$117,500</w:t>
            </w:r>
          </w:p>
        </w:tc>
        <w:tc>
          <w:tcPr>
            <w:tcW w:w="72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tcBorders>
              <w:bottom w:val="single" w:sz="8" w:color="auto"/>
            </w:tcBorders>
            <w:shd w:val="clear" w:color="auto" w:fill="E5E5E5"/>
          </w:tcPr>
          <w:p>
            <w:pPr>
              <w:spacing w:after="0"/>
              <w:rPr>
                <w:sz w:val="17"/>
                <w:szCs w:val="17"/>
                <w:color w:val="auto"/>
              </w:rPr>
            </w:pPr>
          </w:p>
        </w:tc>
        <w:tc>
          <w:tcPr>
            <w:tcW w:w="540" w:type="dxa"/>
            <w:vAlign w:val="bottom"/>
            <w:tcBorders>
              <w:bottom w:val="single" w:sz="8" w:color="auto"/>
              <w:right w:val="single" w:sz="8" w:color="auto"/>
            </w:tcBorders>
            <w:shd w:val="clear" w:color="auto" w:fill="E5E5E5"/>
          </w:tcPr>
          <w:p>
            <w:pPr>
              <w:jc w:val="center"/>
              <w:ind w:right="21"/>
              <w:spacing w:after="0"/>
              <w:rPr>
                <w:sz w:val="20"/>
                <w:szCs w:val="20"/>
                <w:color w:val="auto"/>
              </w:rPr>
            </w:pPr>
            <w:r>
              <w:rPr>
                <w:rFonts w:ascii="Arial" w:cs="Arial" w:eastAsia="Arial" w:hAnsi="Arial"/>
                <w:sz w:val="12"/>
                <w:szCs w:val="12"/>
                <w:color w:val="auto"/>
                <w:w w:val="91"/>
              </w:rPr>
              <w:t>$117,500</w:t>
            </w: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Daniel P. DiMaggio</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$235,000</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2"/>
              </w:rPr>
              <w:t>$2,500</w:t>
            </w:r>
          </w:p>
        </w:tc>
        <w:tc>
          <w:tcPr>
            <w:tcW w:w="640" w:type="dxa"/>
            <w:vAlign w:val="bottom"/>
            <w:tcBorders>
              <w:bottom w:val="single" w:sz="8" w:color="auto"/>
              <w:right w:val="single" w:sz="8" w:color="auto"/>
            </w:tcBorders>
          </w:tcPr>
          <w:p>
            <w:pPr>
              <w:jc w:val="center"/>
              <w:ind w:right="21"/>
              <w:spacing w:after="0"/>
              <w:rPr>
                <w:sz w:val="20"/>
                <w:szCs w:val="20"/>
                <w:color w:val="auto"/>
              </w:rPr>
            </w:pPr>
            <w:r>
              <w:rPr>
                <w:rFonts w:ascii="Arial" w:cs="Arial" w:eastAsia="Arial" w:hAnsi="Arial"/>
                <w:sz w:val="12"/>
                <w:szCs w:val="12"/>
                <w:color w:val="auto"/>
                <w:w w:val="95"/>
              </w:rPr>
              <w:t>$237,500</w:t>
            </w:r>
          </w:p>
        </w:tc>
        <w:tc>
          <w:tcPr>
            <w:tcW w:w="540" w:type="dxa"/>
            <w:vAlign w:val="bottom"/>
            <w:tcBorders>
              <w:bottom w:val="single" w:sz="8" w:color="auto"/>
              <w:right w:val="single" w:sz="8" w:color="auto"/>
            </w:tcBorders>
            <w:shd w:val="clear" w:color="auto" w:fill="E5E5E5"/>
          </w:tcPr>
          <w:p>
            <w:pPr>
              <w:jc w:val="center"/>
              <w:ind w:right="21"/>
              <w:spacing w:after="0"/>
              <w:rPr>
                <w:sz w:val="20"/>
                <w:szCs w:val="20"/>
                <w:color w:val="auto"/>
              </w:rPr>
            </w:pPr>
            <w:r>
              <w:rPr>
                <w:rFonts w:ascii="Arial" w:cs="Arial" w:eastAsia="Arial" w:hAnsi="Arial"/>
                <w:sz w:val="12"/>
                <w:szCs w:val="12"/>
                <w:color w:val="auto"/>
                <w:w w:val="91"/>
              </w:rPr>
              <w:t>$178,125</w:t>
            </w:r>
          </w:p>
        </w:tc>
        <w:tc>
          <w:tcPr>
            <w:tcW w:w="72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tcBorders>
              <w:bottom w:val="single" w:sz="8" w:color="auto"/>
            </w:tcBorders>
            <w:shd w:val="clear" w:color="auto" w:fill="E5E5E5"/>
          </w:tcPr>
          <w:p>
            <w:pPr>
              <w:spacing w:after="0"/>
              <w:rPr>
                <w:sz w:val="17"/>
                <w:szCs w:val="17"/>
                <w:color w:val="auto"/>
              </w:rPr>
            </w:pPr>
          </w:p>
        </w:tc>
        <w:tc>
          <w:tcPr>
            <w:tcW w:w="540" w:type="dxa"/>
            <w:vAlign w:val="bottom"/>
            <w:tcBorders>
              <w:bottom w:val="single" w:sz="8" w:color="auto"/>
              <w:right w:val="single" w:sz="8" w:color="auto"/>
            </w:tcBorders>
            <w:shd w:val="clear" w:color="auto" w:fill="E5E5E5"/>
          </w:tcPr>
          <w:p>
            <w:pPr>
              <w:jc w:val="center"/>
              <w:ind w:right="21"/>
              <w:spacing w:after="0"/>
              <w:rPr>
                <w:sz w:val="20"/>
                <w:szCs w:val="20"/>
                <w:color w:val="auto"/>
              </w:rPr>
            </w:pPr>
            <w:r>
              <w:rPr>
                <w:rFonts w:ascii="Arial" w:cs="Arial" w:eastAsia="Arial" w:hAnsi="Arial"/>
                <w:sz w:val="12"/>
                <w:szCs w:val="12"/>
                <w:color w:val="auto"/>
                <w:w w:val="96"/>
              </w:rPr>
              <w:t>$59,375</w:t>
            </w: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William A. Etherington</w:t>
            </w:r>
            <w:r>
              <w:rPr>
                <w:rFonts w:ascii="Arial" w:cs="Arial" w:eastAsia="Arial" w:hAnsi="Arial"/>
                <w:sz w:val="15"/>
                <w:szCs w:val="15"/>
                <w:color w:val="auto"/>
                <w:vertAlign w:val="superscript"/>
              </w:rPr>
              <w:t>(5)</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2"/>
              </w:rPr>
              <w:t>$28,681</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640" w:type="dxa"/>
            <w:vAlign w:val="bottom"/>
            <w:tcBorders>
              <w:bottom w:val="single" w:sz="8" w:color="auto"/>
              <w:right w:val="single" w:sz="8" w:color="auto"/>
            </w:tcBorders>
          </w:tcPr>
          <w:p>
            <w:pPr>
              <w:jc w:val="center"/>
              <w:ind w:right="21"/>
              <w:spacing w:after="0"/>
              <w:rPr>
                <w:sz w:val="20"/>
                <w:szCs w:val="20"/>
                <w:color w:val="auto"/>
              </w:rPr>
            </w:pPr>
            <w:r>
              <w:rPr>
                <w:rFonts w:ascii="Arial" w:cs="Arial" w:eastAsia="Arial" w:hAnsi="Arial"/>
                <w:sz w:val="12"/>
                <w:szCs w:val="12"/>
                <w:color w:val="auto"/>
                <w:w w:val="92"/>
              </w:rPr>
              <w:t>$28,681</w:t>
            </w:r>
          </w:p>
        </w:tc>
        <w:tc>
          <w:tcPr>
            <w:tcW w:w="540" w:type="dxa"/>
            <w:vAlign w:val="bottom"/>
            <w:tcBorders>
              <w:bottom w:val="single" w:sz="8" w:color="auto"/>
              <w:right w:val="single" w:sz="8" w:color="auto"/>
            </w:tcBorders>
            <w:shd w:val="clear" w:color="auto" w:fill="E5E5E5"/>
          </w:tcPr>
          <w:p>
            <w:pPr>
              <w:jc w:val="center"/>
              <w:ind w:right="1"/>
              <w:spacing w:after="0"/>
              <w:rPr>
                <w:sz w:val="20"/>
                <w:szCs w:val="20"/>
                <w:color w:val="auto"/>
              </w:rPr>
            </w:pPr>
            <w:r>
              <w:rPr>
                <w:rFonts w:ascii="Arial" w:cs="Arial" w:eastAsia="Arial" w:hAnsi="Arial"/>
                <w:sz w:val="12"/>
                <w:szCs w:val="12"/>
                <w:color w:val="auto"/>
                <w:w w:val="92"/>
              </w:rPr>
              <w:t>$28,681</w:t>
            </w:r>
          </w:p>
        </w:tc>
        <w:tc>
          <w:tcPr>
            <w:tcW w:w="72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right w:val="single" w:sz="8" w:color="auto"/>
            </w:tcBorders>
            <w:shd w:val="clear" w:color="auto" w:fill="E5E5E5"/>
          </w:tcPr>
          <w:p>
            <w:pPr>
              <w:jc w:val="center"/>
              <w:ind w:right="1"/>
              <w:spacing w:after="0"/>
              <w:rPr>
                <w:sz w:val="20"/>
                <w:szCs w:val="20"/>
                <w:color w:val="auto"/>
              </w:rPr>
            </w:pPr>
            <w:r>
              <w:rPr>
                <w:rFonts w:ascii="Arial" w:cs="Arial" w:eastAsia="Arial" w:hAnsi="Arial"/>
                <w:sz w:val="12"/>
                <w:szCs w:val="12"/>
                <w:color w:val="auto"/>
                <w:w w:val="99"/>
              </w:rPr>
              <w:t>—</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Laurette T. Koellner</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$235,000</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$20,000</w:t>
            </w:r>
            <w:r>
              <w:rPr>
                <w:rFonts w:ascii="Arial" w:cs="Arial" w:eastAsia="Arial" w:hAnsi="Arial"/>
                <w:sz w:val="18"/>
                <w:szCs w:val="18"/>
                <w:color w:val="auto"/>
                <w:w w:val="89"/>
                <w:vertAlign w:val="superscript"/>
              </w:rPr>
              <w:t>(6)</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2"/>
              </w:rPr>
              <w:t>$2,500</w:t>
            </w:r>
          </w:p>
        </w:tc>
        <w:tc>
          <w:tcPr>
            <w:tcW w:w="640" w:type="dxa"/>
            <w:vAlign w:val="bottom"/>
            <w:tcBorders>
              <w:bottom w:val="single" w:sz="8" w:color="auto"/>
              <w:right w:val="single" w:sz="8" w:color="auto"/>
            </w:tcBorders>
          </w:tcPr>
          <w:p>
            <w:pPr>
              <w:jc w:val="center"/>
              <w:ind w:right="21"/>
              <w:spacing w:after="0"/>
              <w:rPr>
                <w:sz w:val="20"/>
                <w:szCs w:val="20"/>
                <w:color w:val="auto"/>
              </w:rPr>
            </w:pPr>
            <w:r>
              <w:rPr>
                <w:rFonts w:ascii="Arial" w:cs="Arial" w:eastAsia="Arial" w:hAnsi="Arial"/>
                <w:sz w:val="12"/>
                <w:szCs w:val="12"/>
                <w:color w:val="auto"/>
                <w:w w:val="95"/>
              </w:rPr>
              <w:t>$257,500</w:t>
            </w:r>
          </w:p>
        </w:tc>
        <w:tc>
          <w:tcPr>
            <w:tcW w:w="540" w:type="dxa"/>
            <w:vAlign w:val="bottom"/>
            <w:tcBorders>
              <w:bottom w:val="single" w:sz="8" w:color="auto"/>
              <w:right w:val="single" w:sz="8" w:color="auto"/>
            </w:tcBorders>
            <w:shd w:val="clear" w:color="auto" w:fill="E5E5E5"/>
          </w:tcPr>
          <w:p>
            <w:pPr>
              <w:jc w:val="center"/>
              <w:ind w:right="21"/>
              <w:spacing w:after="0"/>
              <w:rPr>
                <w:sz w:val="20"/>
                <w:szCs w:val="20"/>
                <w:color w:val="auto"/>
              </w:rPr>
            </w:pPr>
            <w:r>
              <w:rPr>
                <w:rFonts w:ascii="Arial" w:cs="Arial" w:eastAsia="Arial" w:hAnsi="Arial"/>
                <w:sz w:val="12"/>
                <w:szCs w:val="12"/>
                <w:color w:val="auto"/>
                <w:w w:val="91"/>
              </w:rPr>
              <w:t>$128,750</w:t>
            </w:r>
          </w:p>
        </w:tc>
        <w:tc>
          <w:tcPr>
            <w:tcW w:w="72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right w:val="single" w:sz="8" w:color="auto"/>
            </w:tcBorders>
            <w:shd w:val="clear" w:color="auto" w:fill="E5E5E5"/>
          </w:tcPr>
          <w:p>
            <w:pPr>
              <w:jc w:val="center"/>
              <w:ind w:right="21"/>
              <w:spacing w:after="0"/>
              <w:rPr>
                <w:sz w:val="20"/>
                <w:szCs w:val="20"/>
                <w:color w:val="auto"/>
              </w:rPr>
            </w:pPr>
            <w:r>
              <w:rPr>
                <w:rFonts w:ascii="Arial" w:cs="Arial" w:eastAsia="Arial" w:hAnsi="Arial"/>
                <w:sz w:val="12"/>
                <w:szCs w:val="12"/>
                <w:color w:val="auto"/>
                <w:w w:val="91"/>
              </w:rPr>
              <w:t>$128,750</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8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Carol S. Perry</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$235,000</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640" w:type="dxa"/>
            <w:vAlign w:val="bottom"/>
            <w:tcBorders>
              <w:bottom w:val="single" w:sz="8" w:color="auto"/>
              <w:right w:val="single" w:sz="8" w:color="auto"/>
            </w:tcBorders>
          </w:tcPr>
          <w:p>
            <w:pPr>
              <w:jc w:val="center"/>
              <w:ind w:right="21"/>
              <w:spacing w:after="0"/>
              <w:rPr>
                <w:sz w:val="20"/>
                <w:szCs w:val="20"/>
                <w:color w:val="auto"/>
              </w:rPr>
            </w:pPr>
            <w:r>
              <w:rPr>
                <w:rFonts w:ascii="Arial" w:cs="Arial" w:eastAsia="Arial" w:hAnsi="Arial"/>
                <w:sz w:val="12"/>
                <w:szCs w:val="12"/>
                <w:color w:val="auto"/>
                <w:w w:val="95"/>
              </w:rPr>
              <w:t>$235,000</w:t>
            </w:r>
          </w:p>
        </w:tc>
        <w:tc>
          <w:tcPr>
            <w:tcW w:w="540" w:type="dxa"/>
            <w:vAlign w:val="bottom"/>
            <w:tcBorders>
              <w:bottom w:val="single" w:sz="8" w:color="auto"/>
              <w:right w:val="single" w:sz="8" w:color="auto"/>
            </w:tcBorders>
            <w:shd w:val="clear" w:color="auto" w:fill="E5E5E5"/>
          </w:tcPr>
          <w:p>
            <w:pPr>
              <w:jc w:val="center"/>
              <w:ind w:right="21"/>
              <w:spacing w:after="0"/>
              <w:rPr>
                <w:sz w:val="20"/>
                <w:szCs w:val="20"/>
                <w:color w:val="auto"/>
              </w:rPr>
            </w:pPr>
            <w:r>
              <w:rPr>
                <w:rFonts w:ascii="Arial" w:cs="Arial" w:eastAsia="Arial" w:hAnsi="Arial"/>
                <w:sz w:val="12"/>
                <w:szCs w:val="12"/>
                <w:color w:val="auto"/>
                <w:w w:val="91"/>
              </w:rPr>
              <w:t>$235,000</w:t>
            </w:r>
          </w:p>
        </w:tc>
        <w:tc>
          <w:tcPr>
            <w:tcW w:w="72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tcBorders>
              <w:bottom w:val="single" w:sz="8" w:color="auto"/>
            </w:tcBorders>
            <w:shd w:val="clear" w:color="auto" w:fill="E5E5E5"/>
          </w:tcPr>
          <w:p>
            <w:pPr>
              <w:spacing w:after="0"/>
              <w:rPr>
                <w:sz w:val="16"/>
                <w:szCs w:val="16"/>
                <w:color w:val="auto"/>
              </w:rPr>
            </w:pPr>
          </w:p>
        </w:tc>
        <w:tc>
          <w:tcPr>
            <w:tcW w:w="540" w:type="dxa"/>
            <w:vAlign w:val="bottom"/>
            <w:tcBorders>
              <w:bottom w:val="single" w:sz="8" w:color="auto"/>
              <w:right w:val="single" w:sz="8" w:color="auto"/>
            </w:tcBorders>
            <w:shd w:val="clear" w:color="auto" w:fill="E5E5E5"/>
          </w:tcPr>
          <w:p>
            <w:pPr>
              <w:jc w:val="center"/>
              <w:ind w:right="1"/>
              <w:spacing w:after="0"/>
              <w:rPr>
                <w:sz w:val="20"/>
                <w:szCs w:val="20"/>
                <w:color w:val="auto"/>
              </w:rPr>
            </w:pPr>
            <w:r>
              <w:rPr>
                <w:rFonts w:ascii="Arial" w:cs="Arial" w:eastAsia="Arial" w:hAnsi="Arial"/>
                <w:sz w:val="12"/>
                <w:szCs w:val="12"/>
                <w:color w:val="auto"/>
                <w:w w:val="99"/>
              </w:rPr>
              <w:t>—</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Tawfiq Popatia</w:t>
            </w:r>
            <w:r>
              <w:rPr>
                <w:rFonts w:ascii="Arial" w:cs="Arial" w:eastAsia="Arial" w:hAnsi="Arial"/>
                <w:sz w:val="18"/>
                <w:szCs w:val="18"/>
                <w:color w:val="auto"/>
                <w:vertAlign w:val="superscript"/>
              </w:rPr>
              <w:t>(7)</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640" w:type="dxa"/>
            <w:vAlign w:val="bottom"/>
            <w:tcBorders>
              <w:bottom w:val="single" w:sz="8" w:color="auto"/>
              <w:right w:val="single" w:sz="8" w:color="auto"/>
            </w:tcBorders>
          </w:tcPr>
          <w:p>
            <w:pPr>
              <w:jc w:val="center"/>
              <w:ind w:right="21"/>
              <w:spacing w:after="0"/>
              <w:rPr>
                <w:sz w:val="20"/>
                <w:szCs w:val="20"/>
                <w:color w:val="auto"/>
              </w:rPr>
            </w:pPr>
            <w:r>
              <w:rPr>
                <w:rFonts w:ascii="Arial" w:cs="Arial" w:eastAsia="Arial" w:hAnsi="Arial"/>
                <w:sz w:val="12"/>
                <w:szCs w:val="12"/>
                <w:color w:val="auto"/>
                <w:w w:val="99"/>
              </w:rPr>
              <w:t>—</w:t>
            </w:r>
          </w:p>
        </w:tc>
        <w:tc>
          <w:tcPr>
            <w:tcW w:w="540" w:type="dxa"/>
            <w:vAlign w:val="bottom"/>
            <w:tcBorders>
              <w:bottom w:val="single" w:sz="8" w:color="auto"/>
              <w:right w:val="single" w:sz="8" w:color="auto"/>
            </w:tcBorders>
            <w:shd w:val="clear" w:color="auto" w:fill="E5E5E5"/>
          </w:tcPr>
          <w:p>
            <w:pPr>
              <w:jc w:val="center"/>
              <w:ind w:right="1"/>
              <w:spacing w:after="0"/>
              <w:rPr>
                <w:sz w:val="20"/>
                <w:szCs w:val="20"/>
                <w:color w:val="auto"/>
              </w:rPr>
            </w:pPr>
            <w:r>
              <w:rPr>
                <w:rFonts w:ascii="Arial" w:cs="Arial" w:eastAsia="Arial" w:hAnsi="Arial"/>
                <w:sz w:val="12"/>
                <w:szCs w:val="12"/>
                <w:color w:val="auto"/>
                <w:w w:val="99"/>
              </w:rPr>
              <w:t>—</w:t>
            </w:r>
          </w:p>
        </w:tc>
        <w:tc>
          <w:tcPr>
            <w:tcW w:w="72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right w:val="single" w:sz="8" w:color="auto"/>
            </w:tcBorders>
            <w:shd w:val="clear" w:color="auto" w:fill="E5E5E5"/>
          </w:tcPr>
          <w:p>
            <w:pPr>
              <w:jc w:val="center"/>
              <w:ind w:right="1"/>
              <w:spacing w:after="0"/>
              <w:rPr>
                <w:sz w:val="20"/>
                <w:szCs w:val="20"/>
                <w:color w:val="auto"/>
              </w:rPr>
            </w:pPr>
            <w:r>
              <w:rPr>
                <w:rFonts w:ascii="Arial" w:cs="Arial" w:eastAsia="Arial" w:hAnsi="Arial"/>
                <w:sz w:val="12"/>
                <w:szCs w:val="12"/>
                <w:color w:val="auto"/>
                <w:w w:val="99"/>
              </w:rPr>
              <w:t>—</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Eamon J. Ryan</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$235,000</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$15,000</w:t>
            </w:r>
            <w:r>
              <w:rPr>
                <w:rFonts w:ascii="Arial" w:cs="Arial" w:eastAsia="Arial" w:hAnsi="Arial"/>
                <w:sz w:val="18"/>
                <w:szCs w:val="18"/>
                <w:color w:val="auto"/>
                <w:w w:val="89"/>
                <w:vertAlign w:val="superscript"/>
              </w:rPr>
              <w:t>(8)</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640" w:type="dxa"/>
            <w:vAlign w:val="bottom"/>
            <w:tcBorders>
              <w:bottom w:val="single" w:sz="8" w:color="auto"/>
              <w:right w:val="single" w:sz="8" w:color="auto"/>
            </w:tcBorders>
          </w:tcPr>
          <w:p>
            <w:pPr>
              <w:jc w:val="center"/>
              <w:ind w:right="21"/>
              <w:spacing w:after="0"/>
              <w:rPr>
                <w:sz w:val="20"/>
                <w:szCs w:val="20"/>
                <w:color w:val="auto"/>
              </w:rPr>
            </w:pPr>
            <w:r>
              <w:rPr>
                <w:rFonts w:ascii="Arial" w:cs="Arial" w:eastAsia="Arial" w:hAnsi="Arial"/>
                <w:sz w:val="12"/>
                <w:szCs w:val="12"/>
                <w:color w:val="auto"/>
                <w:w w:val="95"/>
              </w:rPr>
              <w:t>$250,000</w:t>
            </w:r>
          </w:p>
        </w:tc>
        <w:tc>
          <w:tcPr>
            <w:tcW w:w="540" w:type="dxa"/>
            <w:vAlign w:val="bottom"/>
            <w:tcBorders>
              <w:bottom w:val="single" w:sz="8" w:color="auto"/>
              <w:right w:val="single" w:sz="8" w:color="auto"/>
            </w:tcBorders>
            <w:shd w:val="clear" w:color="auto" w:fill="E5E5E5"/>
          </w:tcPr>
          <w:p>
            <w:pPr>
              <w:jc w:val="center"/>
              <w:ind w:right="1"/>
              <w:spacing w:after="0"/>
              <w:rPr>
                <w:sz w:val="20"/>
                <w:szCs w:val="20"/>
                <w:color w:val="auto"/>
              </w:rPr>
            </w:pPr>
            <w:r>
              <w:rPr>
                <w:rFonts w:ascii="Arial" w:cs="Arial" w:eastAsia="Arial" w:hAnsi="Arial"/>
                <w:sz w:val="12"/>
                <w:szCs w:val="12"/>
                <w:color w:val="auto"/>
                <w:w w:val="99"/>
              </w:rPr>
              <w:t>—</w:t>
            </w:r>
          </w:p>
        </w:tc>
        <w:tc>
          <w:tcPr>
            <w:tcW w:w="72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2"/>
                <w:szCs w:val="12"/>
                <w:color w:val="auto"/>
                <w:w w:val="89"/>
              </w:rPr>
              <w:t>$125,000</w:t>
            </w:r>
            <w:r>
              <w:rPr>
                <w:rFonts w:ascii="Arial" w:cs="Arial" w:eastAsia="Arial" w:hAnsi="Arial"/>
                <w:sz w:val="18"/>
                <w:szCs w:val="18"/>
                <w:color w:val="auto"/>
                <w:w w:val="89"/>
                <w:vertAlign w:val="superscript"/>
              </w:rPr>
              <w:t>(9)</w:t>
            </w:r>
          </w:p>
        </w:tc>
        <w:tc>
          <w:tcPr>
            <w:tcW w:w="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right w:val="single" w:sz="8" w:color="auto"/>
            </w:tcBorders>
            <w:shd w:val="clear" w:color="auto" w:fill="E5E5E5"/>
          </w:tcPr>
          <w:p>
            <w:pPr>
              <w:jc w:val="center"/>
              <w:ind w:right="21"/>
              <w:spacing w:after="0"/>
              <w:rPr>
                <w:sz w:val="20"/>
                <w:szCs w:val="20"/>
                <w:color w:val="auto"/>
              </w:rPr>
            </w:pPr>
            <w:r>
              <w:rPr>
                <w:rFonts w:ascii="Arial" w:cs="Arial" w:eastAsia="Arial" w:hAnsi="Arial"/>
                <w:sz w:val="12"/>
                <w:szCs w:val="12"/>
                <w:color w:val="auto"/>
                <w:w w:val="91"/>
              </w:rPr>
              <w:t>$125,000</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Michael M. Wilson</w:t>
            </w:r>
            <w:r>
              <w:rPr>
                <w:rFonts w:ascii="Arial" w:cs="Arial" w:eastAsia="Arial" w:hAnsi="Arial"/>
                <w:sz w:val="18"/>
                <w:szCs w:val="18"/>
                <w:color w:val="auto"/>
                <w:vertAlign w:val="superscript"/>
              </w:rPr>
              <w:t>(10)</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$350,041</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2"/>
              </w:rPr>
              <w:t>$2,500</w:t>
            </w:r>
          </w:p>
        </w:tc>
        <w:tc>
          <w:tcPr>
            <w:tcW w:w="640" w:type="dxa"/>
            <w:vAlign w:val="bottom"/>
            <w:tcBorders>
              <w:bottom w:val="single" w:sz="8" w:color="auto"/>
              <w:right w:val="single" w:sz="8" w:color="auto"/>
            </w:tcBorders>
          </w:tcPr>
          <w:p>
            <w:pPr>
              <w:jc w:val="center"/>
              <w:ind w:right="21"/>
              <w:spacing w:after="0"/>
              <w:rPr>
                <w:sz w:val="20"/>
                <w:szCs w:val="20"/>
                <w:color w:val="auto"/>
              </w:rPr>
            </w:pPr>
            <w:r>
              <w:rPr>
                <w:rFonts w:ascii="Arial" w:cs="Arial" w:eastAsia="Arial" w:hAnsi="Arial"/>
                <w:sz w:val="12"/>
                <w:szCs w:val="12"/>
                <w:color w:val="auto"/>
                <w:w w:val="95"/>
              </w:rPr>
              <w:t>$352,541</w:t>
            </w:r>
          </w:p>
        </w:tc>
        <w:tc>
          <w:tcPr>
            <w:tcW w:w="540" w:type="dxa"/>
            <w:vAlign w:val="bottom"/>
            <w:tcBorders>
              <w:bottom w:val="single" w:sz="8" w:color="auto"/>
              <w:right w:val="single" w:sz="8" w:color="auto"/>
            </w:tcBorders>
            <w:shd w:val="clear" w:color="auto" w:fill="E5E5E5"/>
          </w:tcPr>
          <w:p>
            <w:pPr>
              <w:jc w:val="center"/>
              <w:ind w:right="21"/>
              <w:spacing w:after="0"/>
              <w:rPr>
                <w:sz w:val="20"/>
                <w:szCs w:val="20"/>
                <w:color w:val="auto"/>
              </w:rPr>
            </w:pPr>
            <w:r>
              <w:rPr>
                <w:rFonts w:ascii="Arial" w:cs="Arial" w:eastAsia="Arial" w:hAnsi="Arial"/>
                <w:sz w:val="12"/>
                <w:szCs w:val="12"/>
                <w:color w:val="auto"/>
                <w:w w:val="91"/>
              </w:rPr>
              <w:t>$352,541</w:t>
            </w:r>
          </w:p>
        </w:tc>
        <w:tc>
          <w:tcPr>
            <w:tcW w:w="72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right w:val="single" w:sz="8" w:color="auto"/>
            </w:tcBorders>
            <w:shd w:val="clear" w:color="auto" w:fill="E5E5E5"/>
          </w:tcPr>
          <w:p>
            <w:pPr>
              <w:jc w:val="center"/>
              <w:ind w:right="1"/>
              <w:spacing w:after="0"/>
              <w:rPr>
                <w:sz w:val="20"/>
                <w:szCs w:val="20"/>
                <w:color w:val="auto"/>
              </w:rPr>
            </w:pPr>
            <w:r>
              <w:rPr>
                <w:rFonts w:ascii="Arial" w:cs="Arial" w:eastAsia="Arial" w:hAnsi="Arial"/>
                <w:sz w:val="12"/>
                <w:szCs w:val="12"/>
                <w:color w:val="auto"/>
                <w:w w:val="99"/>
              </w:rPr>
              <w:t>—</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963930</wp:posOffset>
            </wp:positionH>
            <wp:positionV relativeFrom="paragraph">
              <wp:posOffset>-1664970</wp:posOffset>
            </wp:positionV>
            <wp:extent cx="110617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06170" cy="6350"/>
                    </a:xfrm>
                    <a:prstGeom prst="rect">
                      <a:avLst/>
                    </a:prstGeom>
                    <a:noFill/>
                  </pic:spPr>
                </pic:pic>
              </a:graphicData>
            </a:graphic>
          </wp:anchor>
        </w:drawing>
      </w:r>
    </w:p>
    <w:p>
      <w:pPr>
        <w:spacing w:after="0" w:line="52" w:lineRule="exact"/>
        <w:rPr>
          <w:sz w:val="20"/>
          <w:szCs w:val="20"/>
          <w:color w:val="auto"/>
        </w:rPr>
      </w:pPr>
    </w:p>
    <w:p>
      <w:pPr>
        <w:jc w:val="both"/>
        <w:ind w:left="1740" w:right="1499" w:hanging="262"/>
        <w:spacing w:after="0" w:line="255" w:lineRule="auto"/>
        <w:tabs>
          <w:tab w:leader="none" w:pos="1740" w:val="left"/>
        </w:tabs>
        <w:numPr>
          <w:ilvl w:val="0"/>
          <w:numId w:val="49"/>
        </w:numPr>
        <w:rPr>
          <w:rFonts w:ascii="Arial" w:cs="Arial" w:eastAsia="Arial" w:hAnsi="Arial"/>
          <w:sz w:val="15"/>
          <w:szCs w:val="15"/>
          <w:color w:val="auto"/>
          <w:vertAlign w:val="superscript"/>
        </w:rPr>
      </w:pPr>
      <w:r>
        <w:rPr>
          <w:rFonts w:ascii="Arial" w:cs="Arial" w:eastAsia="Arial" w:hAnsi="Arial"/>
          <w:sz w:val="10"/>
          <w:szCs w:val="10"/>
          <w:color w:val="auto"/>
        </w:rPr>
        <w:t>Directors who had not satisfied the requirements of the Director Share Ownership Guidelines described below were required to elect to receive 0%, 25% or 50% of their 2020 Annual Fees (set forth in the “Total Fees” column above) in cash, with the balance in DSUs. Directors who have satisfied such requirements were required to elect to receive 0%, 25% or 50% of their 2020 Annual Fees in cash, with the balance either in DSUs or RSUs. The Annual Fees received by directors in DSUs and RSUs for 2020 were credited quarterly, and the number of DSUs and RSUs, as applicable, granted in respect of the amounts credited quarterly was determined using the closing price of the SVS on the NYSE on the last business day of each quarter, which was $3.50 on March 31, 2020, $6.83 on June 30, 2020, $6.90 on September 30, 2020 and $8.07 on December 31, 2020.</w:t>
      </w:r>
    </w:p>
    <w:p>
      <w:pPr>
        <w:ind w:left="1740" w:hanging="262"/>
        <w:spacing w:after="0" w:line="220" w:lineRule="auto"/>
        <w:tabs>
          <w:tab w:leader="none" w:pos="1740" w:val="left"/>
        </w:tabs>
        <w:numPr>
          <w:ilvl w:val="0"/>
          <w:numId w:val="49"/>
        </w:numPr>
        <w:rPr>
          <w:rFonts w:ascii="Arial" w:cs="Arial" w:eastAsia="Arial" w:hAnsi="Arial"/>
          <w:sz w:val="16"/>
          <w:szCs w:val="16"/>
          <w:color w:val="auto"/>
          <w:vertAlign w:val="superscript"/>
        </w:rPr>
      </w:pPr>
      <w:r>
        <w:rPr>
          <w:rFonts w:ascii="Arial" w:cs="Arial" w:eastAsia="Arial" w:hAnsi="Arial"/>
          <w:sz w:val="11"/>
          <w:szCs w:val="11"/>
          <w:color w:val="auto"/>
        </w:rPr>
        <w:t>For 2020, the directors elected to receive their Annual Fees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1064895</wp:posOffset>
            </wp:positionH>
            <wp:positionV relativeFrom="paragraph">
              <wp:posOffset>125730</wp:posOffset>
            </wp:positionV>
            <wp:extent cx="5080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0800" cy="6350"/>
                    </a:xfrm>
                    <a:prstGeom prst="rect">
                      <a:avLst/>
                    </a:prstGeom>
                    <a:noFill/>
                  </pic:spPr>
                </pic:pic>
              </a:graphicData>
            </a:graphic>
          </wp:anchor>
        </w:drawing>
      </w:r>
    </w:p>
    <w:p>
      <w:pPr>
        <w:spacing w:after="0" w:line="158" w:lineRule="exact"/>
        <w:rPr>
          <w:sz w:val="20"/>
          <w:szCs w:val="20"/>
          <w:color w:val="auto"/>
        </w:rPr>
      </w:pPr>
    </w:p>
    <w:tbl>
      <w:tblPr>
        <w:tblLayout w:type="fixed"/>
        <w:tblInd w:w="1750" w:type="dxa"/>
        <w:tblCellMar>
          <w:top w:w="0" w:type="dxa"/>
          <w:left w:w="0" w:type="dxa"/>
          <w:bottom w:w="0" w:type="dxa"/>
          <w:right w:w="0" w:type="dxa"/>
        </w:tblCellMar>
      </w:tblPr>
      <w:tr>
        <w:trPr>
          <w:trHeight w:val="170"/>
        </w:trPr>
        <w:tc>
          <w:tcPr>
            <w:tcW w:w="17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b w:val="1"/>
                <w:bCs w:val="1"/>
                <w:color w:val="auto"/>
              </w:rPr>
              <w:t>Director</w:t>
            </w:r>
          </w:p>
        </w:tc>
        <w:tc>
          <w:tcPr>
            <w:tcW w:w="3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1"/>
                <w:szCs w:val="11"/>
                <w:b w:val="1"/>
                <w:bCs w:val="1"/>
                <w:color w:val="auto"/>
                <w:w w:val="96"/>
              </w:rPr>
              <w:t>Cash</w:t>
            </w:r>
          </w:p>
        </w:tc>
        <w:tc>
          <w:tcPr>
            <w:tcW w:w="42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1"/>
                <w:szCs w:val="11"/>
                <w:b w:val="1"/>
                <w:bCs w:val="1"/>
                <w:color w:val="auto"/>
              </w:rPr>
              <w:t>DSUs</w:t>
            </w:r>
          </w:p>
        </w:tc>
        <w:tc>
          <w:tcPr>
            <w:tcW w:w="42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1"/>
                <w:szCs w:val="11"/>
                <w:b w:val="1"/>
                <w:bCs w:val="1"/>
                <w:color w:val="auto"/>
              </w:rPr>
              <w:t>RSUs</w:t>
            </w:r>
          </w:p>
        </w:tc>
      </w:tr>
      <w:tr>
        <w:trPr>
          <w:trHeight w:val="159"/>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Robert A. Cascella</w:t>
            </w:r>
          </w:p>
        </w:tc>
        <w:tc>
          <w:tcPr>
            <w:tcW w:w="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50%</w:t>
            </w:r>
          </w:p>
        </w:tc>
        <w:tc>
          <w:tcPr>
            <w:tcW w:w="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50%</w:t>
            </w:r>
          </w:p>
        </w:tc>
        <w:tc>
          <w:tcPr>
            <w:tcW w:w="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r>
      <w:tr>
        <w:trPr>
          <w:trHeight w:val="159"/>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Deepak Chopra</w:t>
            </w:r>
          </w:p>
        </w:tc>
        <w:tc>
          <w:tcPr>
            <w:tcW w:w="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50%</w:t>
            </w:r>
          </w:p>
        </w:tc>
        <w:tc>
          <w:tcPr>
            <w:tcW w:w="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50%</w:t>
            </w:r>
          </w:p>
        </w:tc>
        <w:tc>
          <w:tcPr>
            <w:tcW w:w="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r>
      <w:tr>
        <w:trPr>
          <w:trHeight w:val="159"/>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Daniel P. DiMaggio</w:t>
            </w:r>
          </w:p>
        </w:tc>
        <w:tc>
          <w:tcPr>
            <w:tcW w:w="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25%</w:t>
            </w:r>
          </w:p>
        </w:tc>
        <w:tc>
          <w:tcPr>
            <w:tcW w:w="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75%</w:t>
            </w:r>
          </w:p>
        </w:tc>
        <w:tc>
          <w:tcPr>
            <w:tcW w:w="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r>
      <w:tr>
        <w:trPr>
          <w:trHeight w:val="159"/>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William A. Etherington</w:t>
            </w:r>
          </w:p>
        </w:tc>
        <w:tc>
          <w:tcPr>
            <w:tcW w:w="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5"/>
              </w:rPr>
              <w:t>100%</w:t>
            </w:r>
          </w:p>
        </w:tc>
        <w:tc>
          <w:tcPr>
            <w:tcW w:w="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r>
      <w:tr>
        <w:trPr>
          <w:trHeight w:val="159"/>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Laurette T. Koellner</w:t>
            </w:r>
          </w:p>
        </w:tc>
        <w:tc>
          <w:tcPr>
            <w:tcW w:w="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50%</w:t>
            </w:r>
          </w:p>
        </w:tc>
        <w:tc>
          <w:tcPr>
            <w:tcW w:w="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50%</w:t>
            </w:r>
          </w:p>
        </w:tc>
        <w:tc>
          <w:tcPr>
            <w:tcW w:w="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r>
      <w:tr>
        <w:trPr>
          <w:trHeight w:val="159"/>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Carol S. Perry</w:t>
            </w:r>
          </w:p>
        </w:tc>
        <w:tc>
          <w:tcPr>
            <w:tcW w:w="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5"/>
              </w:rPr>
              <w:t>100%</w:t>
            </w:r>
          </w:p>
        </w:tc>
        <w:tc>
          <w:tcPr>
            <w:tcW w:w="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r>
      <w:tr>
        <w:trPr>
          <w:trHeight w:val="159"/>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Eamon J. Ryan</w:t>
            </w:r>
          </w:p>
        </w:tc>
        <w:tc>
          <w:tcPr>
            <w:tcW w:w="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50%</w:t>
            </w:r>
          </w:p>
        </w:tc>
        <w:tc>
          <w:tcPr>
            <w:tcW w:w="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50%</w:t>
            </w:r>
          </w:p>
        </w:tc>
      </w:tr>
      <w:tr>
        <w:trPr>
          <w:trHeight w:val="159"/>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Michael M. Wilson</w:t>
            </w:r>
          </w:p>
        </w:tc>
        <w:tc>
          <w:tcPr>
            <w:tcW w:w="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5"/>
              </w:rPr>
              <w:t>100%</w:t>
            </w:r>
          </w:p>
        </w:tc>
        <w:tc>
          <w:tcPr>
            <w:tcW w:w="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r>
    </w:tbl>
    <w:p>
      <w:pPr>
        <w:spacing w:after="0" w:line="47" w:lineRule="exact"/>
        <w:rPr>
          <w:sz w:val="20"/>
          <w:szCs w:val="20"/>
          <w:color w:val="auto"/>
        </w:rPr>
      </w:pPr>
    </w:p>
    <w:p>
      <w:pPr>
        <w:ind w:left="1740" w:right="1499" w:hanging="262"/>
        <w:spacing w:after="0" w:line="204" w:lineRule="auto"/>
        <w:tabs>
          <w:tab w:leader="none" w:pos="1740" w:val="left"/>
        </w:tabs>
        <w:numPr>
          <w:ilvl w:val="0"/>
          <w:numId w:val="50"/>
        </w:numPr>
        <w:rPr>
          <w:rFonts w:ascii="Arial" w:cs="Arial" w:eastAsia="Arial" w:hAnsi="Arial"/>
          <w:sz w:val="16"/>
          <w:szCs w:val="16"/>
          <w:color w:val="auto"/>
          <w:vertAlign w:val="superscript"/>
        </w:rPr>
      </w:pPr>
      <w:r>
        <w:rPr>
          <w:rFonts w:ascii="Arial" w:cs="Arial" w:eastAsia="Arial" w:hAnsi="Arial"/>
          <w:sz w:val="11"/>
          <w:szCs w:val="11"/>
          <w:color w:val="auto"/>
        </w:rPr>
        <w:t>Amounts in this column represent the grant date fair value of the DSUs issued in respect of 2020 Annual Fees which is the same as their accounting value.</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 w:name="page26"/>
    <w:bookmarkEnd w:id="25"/>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54" w:lineRule="exact"/>
        <w:rPr>
          <w:sz w:val="20"/>
          <w:szCs w:val="20"/>
          <w:color w:val="auto"/>
        </w:rPr>
      </w:pPr>
    </w:p>
    <w:p>
      <w:pPr>
        <w:ind w:left="1740" w:hanging="262"/>
        <w:spacing w:after="0"/>
        <w:tabs>
          <w:tab w:leader="none" w:pos="1740" w:val="left"/>
        </w:tabs>
        <w:numPr>
          <w:ilvl w:val="0"/>
          <w:numId w:val="51"/>
        </w:numPr>
        <w:rPr>
          <w:rFonts w:ascii="Arial" w:cs="Arial" w:eastAsia="Arial" w:hAnsi="Arial"/>
          <w:sz w:val="16"/>
          <w:szCs w:val="16"/>
          <w:color w:val="auto"/>
          <w:vertAlign w:val="superscript"/>
        </w:rPr>
      </w:pPr>
      <w:r>
        <w:rPr>
          <w:rFonts w:ascii="Arial" w:cs="Arial" w:eastAsia="Arial" w:hAnsi="Arial"/>
          <w:sz w:val="11"/>
          <w:szCs w:val="11"/>
          <w:color w:val="auto"/>
        </w:rPr>
        <w:t>Amounts in this column represent the portion of 2020 Annual Fees paid in cash.</w:t>
      </w:r>
    </w:p>
    <w:p>
      <w:pPr>
        <w:spacing w:after="0" w:line="42" w:lineRule="exact"/>
        <w:rPr>
          <w:rFonts w:ascii="Arial" w:cs="Arial" w:eastAsia="Arial" w:hAnsi="Arial"/>
          <w:sz w:val="16"/>
          <w:szCs w:val="16"/>
          <w:color w:val="auto"/>
          <w:vertAlign w:val="superscript"/>
        </w:rPr>
      </w:pPr>
    </w:p>
    <w:p>
      <w:pPr>
        <w:ind w:left="1740" w:right="1499" w:hanging="262"/>
        <w:spacing w:after="0" w:line="197" w:lineRule="auto"/>
        <w:tabs>
          <w:tab w:leader="none" w:pos="1740" w:val="left"/>
        </w:tabs>
        <w:numPr>
          <w:ilvl w:val="0"/>
          <w:numId w:val="51"/>
        </w:numPr>
        <w:rPr>
          <w:rFonts w:ascii="Arial" w:cs="Arial" w:eastAsia="Arial" w:hAnsi="Arial"/>
          <w:sz w:val="16"/>
          <w:szCs w:val="16"/>
          <w:color w:val="auto"/>
          <w:vertAlign w:val="superscript"/>
        </w:rPr>
      </w:pPr>
      <w:r>
        <w:rPr>
          <w:rFonts w:ascii="Arial" w:cs="Arial" w:eastAsia="Arial" w:hAnsi="Arial"/>
          <w:sz w:val="11"/>
          <w:szCs w:val="11"/>
          <w:color w:val="auto"/>
        </w:rPr>
        <w:t>Mr. Etherington served as Chair of the Board and Chair of the NCGC from January 1 to 29, 2020. He retired from the Board effective January 29, 2020.</w:t>
      </w:r>
    </w:p>
    <w:p>
      <w:pPr>
        <w:spacing w:after="0" w:line="1" w:lineRule="exact"/>
        <w:rPr>
          <w:rFonts w:ascii="Arial" w:cs="Arial" w:eastAsia="Arial" w:hAnsi="Arial"/>
          <w:sz w:val="16"/>
          <w:szCs w:val="16"/>
          <w:color w:val="auto"/>
          <w:vertAlign w:val="superscript"/>
        </w:rPr>
      </w:pPr>
    </w:p>
    <w:p>
      <w:pPr>
        <w:ind w:left="1740" w:hanging="262"/>
        <w:spacing w:after="0" w:line="220" w:lineRule="auto"/>
        <w:tabs>
          <w:tab w:leader="none" w:pos="1740" w:val="left"/>
        </w:tabs>
        <w:numPr>
          <w:ilvl w:val="0"/>
          <w:numId w:val="51"/>
        </w:numPr>
        <w:rPr>
          <w:rFonts w:ascii="Arial" w:cs="Arial" w:eastAsia="Arial" w:hAnsi="Arial"/>
          <w:sz w:val="16"/>
          <w:szCs w:val="16"/>
          <w:color w:val="auto"/>
          <w:vertAlign w:val="superscript"/>
        </w:rPr>
      </w:pPr>
      <w:r>
        <w:rPr>
          <w:rFonts w:ascii="Arial" w:cs="Arial" w:eastAsia="Arial" w:hAnsi="Arial"/>
          <w:sz w:val="11"/>
          <w:szCs w:val="11"/>
          <w:color w:val="auto"/>
        </w:rPr>
        <w:t>Represents the annual retainer for the Chair of the Audit Committee.</w:t>
      </w:r>
    </w:p>
    <w:p>
      <w:pPr>
        <w:spacing w:after="0" w:line="53" w:lineRule="exact"/>
        <w:rPr>
          <w:rFonts w:ascii="Arial" w:cs="Arial" w:eastAsia="Arial" w:hAnsi="Arial"/>
          <w:sz w:val="16"/>
          <w:szCs w:val="16"/>
          <w:color w:val="auto"/>
          <w:vertAlign w:val="superscript"/>
        </w:rPr>
      </w:pPr>
    </w:p>
    <w:p>
      <w:pPr>
        <w:jc w:val="both"/>
        <w:ind w:left="1740" w:right="1499" w:hanging="262"/>
        <w:spacing w:after="0" w:line="235" w:lineRule="auto"/>
        <w:tabs>
          <w:tab w:leader="none" w:pos="1740" w:val="left"/>
        </w:tabs>
        <w:numPr>
          <w:ilvl w:val="0"/>
          <w:numId w:val="51"/>
        </w:numPr>
        <w:rPr>
          <w:rFonts w:ascii="Arial" w:cs="Arial" w:eastAsia="Arial" w:hAnsi="Arial"/>
          <w:sz w:val="16"/>
          <w:szCs w:val="16"/>
          <w:color w:val="auto"/>
          <w:vertAlign w:val="superscript"/>
        </w:rPr>
      </w:pPr>
      <w:r>
        <w:rPr>
          <w:rFonts w:ascii="Arial" w:cs="Arial" w:eastAsia="Arial" w:hAnsi="Arial"/>
          <w:sz w:val="11"/>
          <w:szCs w:val="11"/>
          <w:color w:val="auto"/>
        </w:rPr>
        <w:t>Mr. Popatia is an officer of Onex and did not receive any compensation in his capacity as a director of the Corporation in 2020; however, Onex received compensation for providing the services of Mr. Popatia as a director in 2020 pursuant to a Services Agreement between the Corporation and Onex, entered into on January 1, 2009 (as amended January 1, 2017, the “Services Agreement”). The Services Agreement automatically renews for successive one-year terms unless the Corporation or Onex provide notice of intent not to renew. The Services Agreement terminates automatically and the rights of Onex to receive compensation (other than accrued and unpaid compensation) will terminate (a) 30 days after the first day on which Onex ceases to hold at least one MVS of Celestica or any successor company or (b) the date Mr. Popatia ceases to be a director of Celestica, for any reason. Onex receives compensation under the Services Agreement in an amount equal to $235,000 per year (consistent with current annual Board retainer fees) payable in DSUs in equal quarterly installments in arrears. The number of DSUs is determined using the closing price of the SVS on the NYSE on the last day of the fiscal quarter in respect of which the instalment is to be credited.</w:t>
      </w:r>
    </w:p>
    <w:p>
      <w:pPr>
        <w:spacing w:after="0" w:line="2" w:lineRule="exact"/>
        <w:rPr>
          <w:rFonts w:ascii="Arial" w:cs="Arial" w:eastAsia="Arial" w:hAnsi="Arial"/>
          <w:sz w:val="16"/>
          <w:szCs w:val="16"/>
          <w:color w:val="auto"/>
          <w:vertAlign w:val="superscript"/>
        </w:rPr>
      </w:pPr>
    </w:p>
    <w:p>
      <w:pPr>
        <w:ind w:left="1740" w:hanging="262"/>
        <w:spacing w:after="0" w:line="220" w:lineRule="auto"/>
        <w:tabs>
          <w:tab w:leader="none" w:pos="1740" w:val="left"/>
        </w:tabs>
        <w:numPr>
          <w:ilvl w:val="0"/>
          <w:numId w:val="51"/>
        </w:numPr>
        <w:rPr>
          <w:rFonts w:ascii="Arial" w:cs="Arial" w:eastAsia="Arial" w:hAnsi="Arial"/>
          <w:sz w:val="16"/>
          <w:szCs w:val="16"/>
          <w:color w:val="auto"/>
          <w:vertAlign w:val="superscript"/>
        </w:rPr>
      </w:pPr>
      <w:r>
        <w:rPr>
          <w:rFonts w:ascii="Arial" w:cs="Arial" w:eastAsia="Arial" w:hAnsi="Arial"/>
          <w:sz w:val="11"/>
          <w:szCs w:val="11"/>
          <w:color w:val="auto"/>
        </w:rPr>
        <w:t>Represents the annual retainer for the Chair of the HRCC.</w:t>
      </w:r>
    </w:p>
    <w:p>
      <w:pPr>
        <w:spacing w:after="0" w:line="43" w:lineRule="exact"/>
        <w:rPr>
          <w:rFonts w:ascii="Arial" w:cs="Arial" w:eastAsia="Arial" w:hAnsi="Arial"/>
          <w:sz w:val="16"/>
          <w:szCs w:val="16"/>
          <w:color w:val="auto"/>
          <w:vertAlign w:val="superscript"/>
        </w:rPr>
      </w:pPr>
    </w:p>
    <w:p>
      <w:pPr>
        <w:jc w:val="both"/>
        <w:ind w:left="1740" w:right="1499" w:hanging="262"/>
        <w:spacing w:after="0" w:line="219" w:lineRule="auto"/>
        <w:tabs>
          <w:tab w:leader="none" w:pos="1740" w:val="left"/>
        </w:tabs>
        <w:numPr>
          <w:ilvl w:val="0"/>
          <w:numId w:val="51"/>
        </w:numPr>
        <w:rPr>
          <w:rFonts w:ascii="Arial" w:cs="Arial" w:eastAsia="Arial" w:hAnsi="Arial"/>
          <w:sz w:val="16"/>
          <w:szCs w:val="16"/>
          <w:color w:val="auto"/>
          <w:vertAlign w:val="superscript"/>
        </w:rPr>
      </w:pPr>
      <w:r>
        <w:rPr>
          <w:rFonts w:ascii="Arial" w:cs="Arial" w:eastAsia="Arial" w:hAnsi="Arial"/>
          <w:sz w:val="11"/>
          <w:szCs w:val="11"/>
          <w:color w:val="auto"/>
        </w:rPr>
        <w:t>Mr. Ryan was entitled to, and elected to, receive 50% of his 2020 Annual Fees in RSUs. Each quarterly RSU grant vests ratably over three years, commencing on the first anniversary of the date of grant. The amount shown represents the grant date fair value of Mr. Ryan’s 2020 RSU grants, which is the same as their accounting value. In 2020, 5,470 of the RSUs previously issued to Mr. Ryan vested and were settled in SVS (on a one-for-one basis) at his election.</w:t>
      </w:r>
    </w:p>
    <w:p>
      <w:pPr>
        <w:spacing w:after="0" w:line="35" w:lineRule="exact"/>
        <w:rPr>
          <w:rFonts w:ascii="Arial" w:cs="Arial" w:eastAsia="Arial" w:hAnsi="Arial"/>
          <w:sz w:val="16"/>
          <w:szCs w:val="16"/>
          <w:color w:val="auto"/>
          <w:vertAlign w:val="superscript"/>
        </w:rPr>
      </w:pPr>
    </w:p>
    <w:p>
      <w:pPr>
        <w:ind w:left="1740" w:right="1499" w:hanging="262"/>
        <w:spacing w:after="0" w:line="220" w:lineRule="auto"/>
        <w:tabs>
          <w:tab w:leader="none" w:pos="1740" w:val="left"/>
        </w:tabs>
        <w:numPr>
          <w:ilvl w:val="0"/>
          <w:numId w:val="51"/>
        </w:numPr>
        <w:rPr>
          <w:rFonts w:ascii="Arial" w:cs="Arial" w:eastAsia="Arial" w:hAnsi="Arial"/>
          <w:sz w:val="15"/>
          <w:szCs w:val="15"/>
          <w:color w:val="auto"/>
          <w:vertAlign w:val="superscript"/>
        </w:rPr>
      </w:pPr>
      <w:r>
        <w:rPr>
          <w:rFonts w:ascii="Arial" w:cs="Arial" w:eastAsia="Arial" w:hAnsi="Arial"/>
          <w:sz w:val="10"/>
          <w:szCs w:val="10"/>
          <w:color w:val="auto"/>
        </w:rPr>
        <w:t>Mr. Wilson was appointed Chair of the Board effective January 29, 2020. From January 1 to 29, 2020, Mr. Wilson received the annual board retainer after which he received the annual Chair retainer, pro-rated for the first quarter of 2020 as appropriate.</w:t>
      </w:r>
    </w:p>
    <w:p>
      <w:pPr>
        <w:spacing w:after="0" w:line="153"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Directors’ Ownership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38100</wp:posOffset>
            </wp:positionV>
            <wp:extent cx="3843655"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43655" cy="635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50800</wp:posOffset>
            </wp:positionV>
            <wp:extent cx="3843655"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363"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auto"/>
        </w:rPr>
        <w:t>Outstanding Share-Based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38100</wp:posOffset>
            </wp:positionV>
            <wp:extent cx="3502025"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502025" cy="6350"/>
                    </a:xfrm>
                    <a:prstGeom prst="rect">
                      <a:avLst/>
                    </a:prstGeom>
                    <a:noFill/>
                  </pic:spPr>
                </pic:pic>
              </a:graphicData>
            </a:graphic>
          </wp:anchor>
        </w:drawing>
      </w:r>
    </w:p>
    <w:p>
      <w:pPr>
        <w:spacing w:after="0" w:line="121" w:lineRule="exact"/>
        <w:rPr>
          <w:sz w:val="20"/>
          <w:szCs w:val="20"/>
          <w:color w:val="auto"/>
        </w:rPr>
      </w:pPr>
    </w:p>
    <w:p>
      <w:pPr>
        <w:jc w:val="both"/>
        <w:ind w:left="1480" w:right="1499"/>
        <w:spacing w:after="0" w:line="264" w:lineRule="auto"/>
        <w:rPr>
          <w:sz w:val="20"/>
          <w:szCs w:val="20"/>
          <w:color w:val="auto"/>
        </w:rPr>
      </w:pPr>
      <w:r>
        <w:rPr>
          <w:rFonts w:ascii="Arial" w:cs="Arial" w:eastAsia="Arial" w:hAnsi="Arial"/>
          <w:sz w:val="12"/>
          <w:szCs w:val="12"/>
          <w:color w:val="auto"/>
        </w:rPr>
        <w:t>Information concerning all outstanding share-based awards as of December 31, 2020 made by the Corporation to each director proposed for election at the Meeting (other than Mr. Mionis, whose information is set out in Table 21 of this Circular), including awards granted prior to 2020, is set out in Table 4. Such awards consist of DSUs and RSUs. DSUs that were granted prior to January 1, 2007 may be settled in SVS issued from treasury, SVS purchased in the open market, or an equivalent value in cash (at the discretion of the Corporation). DSUs granted after January 1, 2007 may only be settled in SVS purchased in the open market or an equivalent value in cash (at the discretion of the Corporation). RSUs granted to directors are governed by the terms of the LTIP. Each vested RSU entitles the holder thereof to one SVS; however, if permitted by the Corporation under the terms of the grant, a director may elect to receive a payment of cash in lieu of SVS. No options to acquire SVS may currently be granted to directors under the LTIP, and no options previously granted to directors (or former directors) under the LTIP remain outstanding.</w:t>
      </w: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Table 4: Outstanding Share-Based Awards</w:t>
      </w:r>
    </w:p>
    <w:p>
      <w:pPr>
        <w:spacing w:after="0" w:line="67" w:lineRule="exact"/>
        <w:rPr>
          <w:sz w:val="20"/>
          <w:szCs w:val="20"/>
          <w:color w:val="auto"/>
        </w:rPr>
      </w:pPr>
    </w:p>
    <w:tbl>
      <w:tblPr>
        <w:tblLayout w:type="fixed"/>
        <w:tblInd w:w="1970" w:type="dxa"/>
        <w:tblCellMar>
          <w:top w:w="0" w:type="dxa"/>
          <w:left w:w="0" w:type="dxa"/>
          <w:bottom w:w="0" w:type="dxa"/>
          <w:right w:w="0" w:type="dxa"/>
        </w:tblCellMar>
      </w:tblPr>
      <w:tr>
        <w:trPr>
          <w:trHeight w:val="45"/>
        </w:trPr>
        <w:tc>
          <w:tcPr>
            <w:tcW w:w="2120" w:type="dxa"/>
            <w:vAlign w:val="bottom"/>
            <w:tcBorders>
              <w:top w:val="single" w:sz="8" w:color="auto"/>
              <w:bottom w:val="single" w:sz="8" w:color="auto"/>
            </w:tcBorders>
          </w:tcPr>
          <w:p>
            <w:pPr>
              <w:spacing w:after="0"/>
              <w:rPr>
                <w:sz w:val="3"/>
                <w:szCs w:val="3"/>
                <w:color w:val="auto"/>
              </w:rPr>
            </w:pPr>
          </w:p>
        </w:tc>
        <w:tc>
          <w:tcPr>
            <w:tcW w:w="720" w:type="dxa"/>
            <w:vAlign w:val="bottom"/>
            <w:tcBorders>
              <w:top w:val="single" w:sz="8" w:color="auto"/>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120" w:type="dxa"/>
            <w:vAlign w:val="bottom"/>
            <w:tcBorders>
              <w:left w:val="single" w:sz="8" w:color="auto"/>
              <w:right w:val="single" w:sz="8" w:color="auto"/>
            </w:tcBorders>
          </w:tcPr>
          <w:p>
            <w:pPr>
              <w:spacing w:after="0"/>
              <w:rPr>
                <w:sz w:val="14"/>
                <w:szCs w:val="14"/>
                <w:color w:val="auto"/>
              </w:rPr>
            </w:pPr>
          </w:p>
        </w:tc>
        <w:tc>
          <w:tcPr>
            <w:tcW w:w="14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1"/>
                <w:szCs w:val="11"/>
                <w:b w:val="1"/>
                <w:bCs w:val="1"/>
                <w:color w:val="auto"/>
                <w:w w:val="83"/>
              </w:rPr>
              <w:t>Number of</w:t>
            </w:r>
          </w:p>
        </w:tc>
        <w:tc>
          <w:tcPr>
            <w:tcW w:w="1480" w:type="dxa"/>
            <w:vAlign w:val="bottom"/>
            <w:tcBorders>
              <w:right w:val="single" w:sz="8" w:color="auto"/>
            </w:tcBorders>
            <w:gridSpan w:val="3"/>
          </w:tcPr>
          <w:p>
            <w:pPr>
              <w:ind w:left="380"/>
              <w:spacing w:after="0" w:line="164" w:lineRule="exact"/>
              <w:rPr>
                <w:sz w:val="20"/>
                <w:szCs w:val="20"/>
                <w:color w:val="auto"/>
              </w:rPr>
            </w:pPr>
            <w:r>
              <w:rPr>
                <w:rFonts w:ascii="Arial" w:cs="Arial" w:eastAsia="Arial" w:hAnsi="Arial"/>
                <w:sz w:val="11"/>
                <w:szCs w:val="11"/>
                <w:b w:val="1"/>
                <w:bCs w:val="1"/>
                <w:color w:val="auto"/>
              </w:rPr>
              <w:t xml:space="preserve">Market Value of  </w:t>
            </w:r>
            <w:r>
              <w:rPr>
                <w:rFonts w:ascii="Arial" w:cs="Arial" w:eastAsia="Arial" w:hAnsi="Arial"/>
                <w:sz w:val="15"/>
                <w:szCs w:val="15"/>
                <w:b w:val="1"/>
                <w:bCs w:val="1"/>
                <w:color w:val="auto"/>
                <w:vertAlign w:val="subscript"/>
              </w:rPr>
              <w:t>(2)</w:t>
            </w: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120" w:type="dxa"/>
            <w:vAlign w:val="bottom"/>
            <w:tcBorders>
              <w:left w:val="single" w:sz="8" w:color="auto"/>
              <w:right w:val="single" w:sz="8" w:color="auto"/>
            </w:tcBorders>
          </w:tcPr>
          <w:p>
            <w:pPr>
              <w:spacing w:after="0"/>
              <w:rPr>
                <w:sz w:val="8"/>
                <w:szCs w:val="8"/>
                <w:color w:val="auto"/>
              </w:rPr>
            </w:pPr>
          </w:p>
        </w:tc>
        <w:tc>
          <w:tcPr>
            <w:tcW w:w="1420" w:type="dxa"/>
            <w:vAlign w:val="bottom"/>
            <w:tcBorders>
              <w:right w:val="single" w:sz="8" w:color="auto"/>
            </w:tcBorders>
            <w:gridSpan w:val="2"/>
            <w:vMerge w:val="continue"/>
          </w:tcPr>
          <w:p>
            <w:pPr>
              <w:spacing w:after="0"/>
              <w:rPr>
                <w:sz w:val="8"/>
                <w:szCs w:val="8"/>
                <w:color w:val="auto"/>
              </w:rPr>
            </w:pPr>
          </w:p>
        </w:tc>
        <w:tc>
          <w:tcPr>
            <w:tcW w:w="1480" w:type="dxa"/>
            <w:vAlign w:val="bottom"/>
            <w:tcBorders>
              <w:right w:val="single" w:sz="8" w:color="auto"/>
            </w:tcBorders>
            <w:gridSpan w:val="3"/>
          </w:tcPr>
          <w:p>
            <w:pPr>
              <w:ind w:left="200"/>
              <w:spacing w:after="0" w:line="95" w:lineRule="exact"/>
              <w:rPr>
                <w:sz w:val="20"/>
                <w:szCs w:val="20"/>
                <w:color w:val="auto"/>
              </w:rPr>
            </w:pPr>
            <w:r>
              <w:rPr>
                <w:rFonts w:ascii="Arial" w:cs="Arial" w:eastAsia="Arial" w:hAnsi="Arial"/>
                <w:sz w:val="10"/>
                <w:szCs w:val="10"/>
                <w:b w:val="1"/>
                <w:bCs w:val="1"/>
                <w:color w:val="auto"/>
              </w:rPr>
              <w:t>Outstanding Securities</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2120" w:type="dxa"/>
            <w:vAlign w:val="bottom"/>
            <w:tcBorders>
              <w:left w:val="single" w:sz="8" w:color="auto"/>
              <w:right w:val="single" w:sz="8" w:color="auto"/>
            </w:tcBorders>
          </w:tcPr>
          <w:p>
            <w:pPr>
              <w:spacing w:after="0"/>
              <w:rPr>
                <w:sz w:val="15"/>
                <w:szCs w:val="15"/>
                <w:color w:val="auto"/>
              </w:rPr>
            </w:pPr>
          </w:p>
        </w:tc>
        <w:tc>
          <w:tcPr>
            <w:tcW w:w="14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1"/>
              </w:rPr>
              <w:t>Outstanding Securities</w:t>
            </w:r>
            <w:r>
              <w:rPr>
                <w:rFonts w:ascii="Arial" w:cs="Arial" w:eastAsia="Arial" w:hAnsi="Arial"/>
                <w:sz w:val="15"/>
                <w:szCs w:val="15"/>
                <w:b w:val="1"/>
                <w:bCs w:val="1"/>
                <w:color w:val="auto"/>
                <w:w w:val="81"/>
                <w:vertAlign w:val="superscript"/>
              </w:rPr>
              <w:t>(1)</w:t>
            </w: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640" w:type="dxa"/>
            <w:vAlign w:val="bottom"/>
            <w:tcBorders>
              <w:bottom w:val="single" w:sz="8" w:color="auto"/>
              <w:right w:val="single" w:sz="8" w:color="auto"/>
            </w:tcBorders>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120" w:type="dxa"/>
            <w:vAlign w:val="bottom"/>
            <w:tcBorders>
              <w:left w:val="single" w:sz="8" w:color="auto"/>
              <w:right w:val="single" w:sz="8" w:color="auto"/>
            </w:tcBorders>
          </w:tcPr>
          <w:p>
            <w:pPr>
              <w:spacing w:after="0"/>
              <w:rPr>
                <w:sz w:val="12"/>
                <w:szCs w:val="12"/>
                <w:color w:val="auto"/>
              </w:rPr>
            </w:pPr>
          </w:p>
        </w:tc>
        <w:tc>
          <w:tcPr>
            <w:tcW w:w="720" w:type="dxa"/>
            <w:vAlign w:val="bottom"/>
            <w:tcBorders>
              <w:right w:val="single" w:sz="8" w:color="auto"/>
            </w:tcBorders>
          </w:tcPr>
          <w:p>
            <w:pPr>
              <w:ind w:left="200"/>
              <w:spacing w:after="0"/>
              <w:rPr>
                <w:sz w:val="20"/>
                <w:szCs w:val="20"/>
                <w:color w:val="auto"/>
              </w:rPr>
            </w:pPr>
            <w:r>
              <w:rPr>
                <w:rFonts w:ascii="Arial" w:cs="Arial" w:eastAsia="Arial" w:hAnsi="Arial"/>
                <w:sz w:val="11"/>
                <w:szCs w:val="11"/>
                <w:b w:val="1"/>
                <w:bCs w:val="1"/>
                <w:color w:val="auto"/>
              </w:rPr>
              <w:t>DSUs</w:t>
            </w:r>
          </w:p>
        </w:tc>
        <w:tc>
          <w:tcPr>
            <w:tcW w:w="700" w:type="dxa"/>
            <w:vAlign w:val="bottom"/>
            <w:tcBorders>
              <w:right w:val="single" w:sz="8" w:color="auto"/>
            </w:tcBorders>
          </w:tcPr>
          <w:p>
            <w:pPr>
              <w:ind w:left="200"/>
              <w:spacing w:after="0"/>
              <w:rPr>
                <w:sz w:val="20"/>
                <w:szCs w:val="20"/>
                <w:color w:val="auto"/>
              </w:rPr>
            </w:pPr>
            <w:r>
              <w:rPr>
                <w:rFonts w:ascii="Arial" w:cs="Arial" w:eastAsia="Arial" w:hAnsi="Arial"/>
                <w:sz w:val="11"/>
                <w:szCs w:val="11"/>
                <w:b w:val="1"/>
                <w:bCs w:val="1"/>
                <w:color w:val="auto"/>
              </w:rPr>
              <w:t>RSUs</w:t>
            </w:r>
          </w:p>
        </w:tc>
        <w:tc>
          <w:tcPr>
            <w:tcW w:w="780" w:type="dxa"/>
            <w:vAlign w:val="bottom"/>
            <w:tcBorders>
              <w:right w:val="single" w:sz="8" w:color="auto"/>
            </w:tcBorders>
          </w:tcPr>
          <w:p>
            <w:pPr>
              <w:ind w:left="260"/>
              <w:spacing w:after="0"/>
              <w:rPr>
                <w:sz w:val="20"/>
                <w:szCs w:val="20"/>
                <w:color w:val="auto"/>
              </w:rPr>
            </w:pPr>
            <w:r>
              <w:rPr>
                <w:rFonts w:ascii="Arial" w:cs="Arial" w:eastAsia="Arial" w:hAnsi="Arial"/>
                <w:sz w:val="11"/>
                <w:szCs w:val="11"/>
                <w:b w:val="1"/>
                <w:bCs w:val="1"/>
                <w:color w:val="auto"/>
              </w:rPr>
              <w:t>DSUs</w:t>
            </w:r>
          </w:p>
        </w:tc>
        <w:tc>
          <w:tcPr>
            <w:tcW w:w="60" w:type="dxa"/>
            <w:vAlign w:val="bottom"/>
          </w:tcPr>
          <w:p>
            <w:pPr>
              <w:spacing w:after="0"/>
              <w:rPr>
                <w:sz w:val="12"/>
                <w:szCs w:val="12"/>
                <w:color w:val="auto"/>
              </w:rPr>
            </w:pPr>
          </w:p>
        </w:tc>
        <w:tc>
          <w:tcPr>
            <w:tcW w:w="640" w:type="dxa"/>
            <w:vAlign w:val="bottom"/>
            <w:tcBorders>
              <w:right w:val="single" w:sz="8" w:color="auto"/>
            </w:tcBorders>
          </w:tcPr>
          <w:p>
            <w:pPr>
              <w:ind w:left="160"/>
              <w:spacing w:after="0"/>
              <w:rPr>
                <w:sz w:val="20"/>
                <w:szCs w:val="20"/>
                <w:color w:val="auto"/>
              </w:rPr>
            </w:pPr>
            <w:r>
              <w:rPr>
                <w:rFonts w:ascii="Arial" w:cs="Arial" w:eastAsia="Arial" w:hAnsi="Arial"/>
                <w:sz w:val="11"/>
                <w:szCs w:val="11"/>
                <w:b w:val="1"/>
                <w:bCs w:val="1"/>
                <w:color w:val="auto"/>
              </w:rPr>
              <w:t>RSUs</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1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1"/>
                <w:szCs w:val="11"/>
                <w:b w:val="1"/>
                <w:bCs w:val="1"/>
                <w:color w:val="auto"/>
              </w:rPr>
              <w:t>Name</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w:t>
            </w:r>
          </w:p>
        </w:tc>
        <w:tc>
          <w:tcPr>
            <w:tcW w:w="700" w:type="dxa"/>
            <w:vAlign w:val="bottom"/>
            <w:tcBorders>
              <w:bottom w:val="single" w:sz="8" w:color="auto"/>
              <w:right w:val="single" w:sz="8" w:color="auto"/>
            </w:tcBorders>
          </w:tcPr>
          <w:p>
            <w:pPr>
              <w:jc w:val="right"/>
              <w:ind w:right="236"/>
              <w:spacing w:after="0"/>
              <w:rPr>
                <w:sz w:val="20"/>
                <w:szCs w:val="20"/>
                <w:color w:val="auto"/>
              </w:rPr>
            </w:pPr>
            <w:r>
              <w:rPr>
                <w:rFonts w:ascii="Arial" w:cs="Arial" w:eastAsia="Arial" w:hAnsi="Arial"/>
                <w:sz w:val="11"/>
                <w:szCs w:val="11"/>
                <w:b w:val="1"/>
                <w:bCs w:val="1"/>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w:t>
            </w: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jc w:val="right"/>
              <w:ind w:right="216"/>
              <w:spacing w:after="0"/>
              <w:rPr>
                <w:sz w:val="20"/>
                <w:szCs w:val="20"/>
                <w:color w:val="auto"/>
              </w:rPr>
            </w:pPr>
            <w:r>
              <w:rPr>
                <w:rFonts w:ascii="Arial" w:cs="Arial" w:eastAsia="Arial" w:hAnsi="Arial"/>
                <w:sz w:val="11"/>
                <w:szCs w:val="11"/>
                <w:b w:val="1"/>
                <w:bCs w:val="1"/>
                <w:color w:val="auto"/>
              </w:rPr>
              <w:t>($)</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1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Robert A. Cascella</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37,028</w:t>
            </w:r>
          </w:p>
        </w:tc>
        <w:tc>
          <w:tcPr>
            <w:tcW w:w="70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$298,816</w:t>
            </w:r>
          </w:p>
        </w:tc>
        <w:tc>
          <w:tcPr>
            <w:tcW w:w="6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3"/>
                <w:szCs w:val="13"/>
                <w:color w:val="auto"/>
              </w:rPr>
              <w:t>—</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Deepak Chopra</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48,816</w:t>
            </w:r>
          </w:p>
        </w:tc>
        <w:tc>
          <w:tcPr>
            <w:tcW w:w="70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$393,945</w:t>
            </w:r>
          </w:p>
        </w:tc>
        <w:tc>
          <w:tcPr>
            <w:tcW w:w="6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3"/>
                <w:szCs w:val="13"/>
                <w:color w:val="auto"/>
              </w:rPr>
              <w:t>—</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Daniel P. DiMaggio</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3"/>
              </w:rPr>
              <w:t>242,474</w:t>
            </w:r>
          </w:p>
        </w:tc>
        <w:tc>
          <w:tcPr>
            <w:tcW w:w="70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$1,956,765</w:t>
            </w:r>
          </w:p>
        </w:tc>
        <w:tc>
          <w:tcPr>
            <w:tcW w:w="6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3"/>
                <w:szCs w:val="13"/>
                <w:color w:val="auto"/>
              </w:rPr>
              <w:t>—</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Laurette T. Koellner</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3"/>
              </w:rPr>
              <w:t>252,779</w:t>
            </w:r>
          </w:p>
        </w:tc>
        <w:tc>
          <w:tcPr>
            <w:tcW w:w="70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$2,039,927</w:t>
            </w:r>
          </w:p>
        </w:tc>
        <w:tc>
          <w:tcPr>
            <w:tcW w:w="6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3"/>
                <w:szCs w:val="13"/>
                <w:color w:val="auto"/>
              </w:rPr>
              <w:t>—</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Carol S. Perry</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3"/>
              </w:rPr>
              <w:t>195,731</w:t>
            </w:r>
          </w:p>
        </w:tc>
        <w:tc>
          <w:tcPr>
            <w:tcW w:w="70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$1,579,549</w:t>
            </w:r>
          </w:p>
        </w:tc>
        <w:tc>
          <w:tcPr>
            <w:tcW w:w="6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3"/>
                <w:szCs w:val="13"/>
                <w:color w:val="auto"/>
              </w:rPr>
              <w:t>—</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1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Tawfiq Popatia</w:t>
            </w:r>
            <w:r>
              <w:rPr>
                <w:rFonts w:ascii="Arial" w:cs="Arial" w:eastAsia="Arial" w:hAnsi="Arial"/>
                <w:sz w:val="19"/>
                <w:szCs w:val="19"/>
                <w:color w:val="auto"/>
                <w:vertAlign w:val="superscript"/>
              </w:rPr>
              <w:t>(3)</w:t>
            </w:r>
          </w:p>
        </w:tc>
        <w:tc>
          <w:tcPr>
            <w:tcW w:w="72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3"/>
                <w:szCs w:val="13"/>
                <w:color w:val="auto"/>
              </w:rPr>
              <w:t>—</w:t>
            </w: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1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Eamon J. Ryan</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3"/>
              </w:rPr>
              <w:t>262,768</w:t>
            </w:r>
          </w:p>
        </w:tc>
        <w:tc>
          <w:tcPr>
            <w:tcW w:w="700" w:type="dxa"/>
            <w:vAlign w:val="bottom"/>
            <w:tcBorders>
              <w:bottom w:val="single" w:sz="8" w:color="auto"/>
              <w:right w:val="single" w:sz="8" w:color="auto"/>
            </w:tcBorders>
          </w:tcPr>
          <w:p>
            <w:pPr>
              <w:jc w:val="right"/>
              <w:ind w:right="116"/>
              <w:spacing w:after="0"/>
              <w:rPr>
                <w:sz w:val="20"/>
                <w:szCs w:val="20"/>
                <w:color w:val="auto"/>
              </w:rPr>
            </w:pPr>
            <w:r>
              <w:rPr>
                <w:rFonts w:ascii="Arial" w:cs="Arial" w:eastAsia="Arial" w:hAnsi="Arial"/>
                <w:sz w:val="13"/>
                <w:szCs w:val="13"/>
                <w:color w:val="auto"/>
              </w:rPr>
              <w:t>32,842</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$2,120,538</w:t>
            </w:r>
          </w:p>
        </w:tc>
        <w:tc>
          <w:tcPr>
            <w:tcW w:w="6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jc w:val="right"/>
              <w:ind w:right="36"/>
              <w:spacing w:after="0"/>
              <w:rPr>
                <w:sz w:val="20"/>
                <w:szCs w:val="20"/>
                <w:color w:val="auto"/>
              </w:rPr>
            </w:pPr>
            <w:r>
              <w:rPr>
                <w:rFonts w:ascii="Arial" w:cs="Arial" w:eastAsia="Arial" w:hAnsi="Arial"/>
                <w:sz w:val="13"/>
                <w:szCs w:val="13"/>
                <w:color w:val="auto"/>
                <w:w w:val="95"/>
              </w:rPr>
              <w:t>$265,035</w:t>
            </w: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1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Michael M. Wilson</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3"/>
              </w:rPr>
              <w:t>283,131</w:t>
            </w:r>
          </w:p>
        </w:tc>
        <w:tc>
          <w:tcPr>
            <w:tcW w:w="70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$2,284,867</w:t>
            </w:r>
          </w:p>
        </w:tc>
        <w:tc>
          <w:tcPr>
            <w:tcW w:w="6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3"/>
                <w:szCs w:val="13"/>
                <w:color w:val="auto"/>
              </w:rPr>
              <w:t>—</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1266825</wp:posOffset>
            </wp:positionH>
            <wp:positionV relativeFrom="paragraph">
              <wp:posOffset>-1399540</wp:posOffset>
            </wp:positionV>
            <wp:extent cx="1308735"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08735" cy="6350"/>
                    </a:xfrm>
                    <a:prstGeom prst="rect">
                      <a:avLst/>
                    </a:prstGeom>
                    <a:noFill/>
                  </pic:spPr>
                </pic:pic>
              </a:graphicData>
            </a:graphic>
          </wp:anchor>
        </w:drawing>
      </w:r>
    </w:p>
    <w:p>
      <w:pPr>
        <w:spacing w:after="0" w:line="52" w:lineRule="exact"/>
        <w:rPr>
          <w:sz w:val="20"/>
          <w:szCs w:val="20"/>
          <w:color w:val="auto"/>
        </w:rPr>
      </w:pPr>
    </w:p>
    <w:p>
      <w:pPr>
        <w:ind w:left="1740" w:right="1499" w:hanging="262"/>
        <w:spacing w:after="0" w:line="204" w:lineRule="auto"/>
        <w:tabs>
          <w:tab w:leader="none" w:pos="1740" w:val="left"/>
        </w:tabs>
        <w:numPr>
          <w:ilvl w:val="0"/>
          <w:numId w:val="52"/>
        </w:numPr>
        <w:rPr>
          <w:rFonts w:ascii="Arial" w:cs="Arial" w:eastAsia="Arial" w:hAnsi="Arial"/>
          <w:sz w:val="16"/>
          <w:szCs w:val="16"/>
          <w:color w:val="auto"/>
          <w:vertAlign w:val="superscript"/>
        </w:rPr>
      </w:pPr>
      <w:r>
        <w:rPr>
          <w:rFonts w:ascii="Arial" w:cs="Arial" w:eastAsia="Arial" w:hAnsi="Arial"/>
          <w:sz w:val="11"/>
          <w:szCs w:val="11"/>
          <w:color w:val="auto"/>
        </w:rPr>
        <w:t>Represents all outstanding DSUs and unvested RSUs, including the regular quarterly grant of DSUs and RSUs made on January 4, 2021 in respect of the fourth quarter of 2020.</w:t>
      </w: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201295</wp:posOffset>
            </wp:positionV>
            <wp:extent cx="5019040" cy="12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 w:name="page27"/>
    <w:bookmarkEnd w:id="26"/>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740" w:right="1499" w:hanging="262"/>
        <w:spacing w:after="0" w:line="204" w:lineRule="auto"/>
        <w:tabs>
          <w:tab w:leader="none" w:pos="1740" w:val="left"/>
        </w:tabs>
        <w:numPr>
          <w:ilvl w:val="0"/>
          <w:numId w:val="53"/>
        </w:numPr>
        <w:rPr>
          <w:rFonts w:ascii="Arial" w:cs="Arial" w:eastAsia="Arial" w:hAnsi="Arial"/>
          <w:sz w:val="16"/>
          <w:szCs w:val="16"/>
          <w:color w:val="auto"/>
          <w:vertAlign w:val="superscript"/>
        </w:rPr>
      </w:pPr>
      <w:r>
        <w:rPr>
          <w:rFonts w:ascii="Arial" w:cs="Arial" w:eastAsia="Arial" w:hAnsi="Arial"/>
          <w:sz w:val="11"/>
          <w:szCs w:val="11"/>
          <w:color w:val="auto"/>
        </w:rPr>
        <w:t>The market value of DSUs and unvested RSUs was determined using a share price of $8.07, which was the closing price of the SVS on the NYSE on December 31, 2020.</w:t>
      </w:r>
    </w:p>
    <w:p>
      <w:pPr>
        <w:spacing w:after="0" w:line="34" w:lineRule="exact"/>
        <w:rPr>
          <w:rFonts w:ascii="Arial" w:cs="Arial" w:eastAsia="Arial" w:hAnsi="Arial"/>
          <w:sz w:val="16"/>
          <w:szCs w:val="16"/>
          <w:color w:val="auto"/>
          <w:vertAlign w:val="superscript"/>
        </w:rPr>
      </w:pPr>
    </w:p>
    <w:p>
      <w:pPr>
        <w:jc w:val="both"/>
        <w:ind w:left="1740" w:right="1499" w:hanging="262"/>
        <w:spacing w:after="0" w:line="216" w:lineRule="auto"/>
        <w:tabs>
          <w:tab w:leader="none" w:pos="1740" w:val="left"/>
        </w:tabs>
        <w:numPr>
          <w:ilvl w:val="0"/>
          <w:numId w:val="53"/>
        </w:numPr>
        <w:rPr>
          <w:rFonts w:ascii="Arial" w:cs="Arial" w:eastAsia="Arial" w:hAnsi="Arial"/>
          <w:sz w:val="16"/>
          <w:szCs w:val="16"/>
          <w:color w:val="auto"/>
          <w:vertAlign w:val="superscript"/>
        </w:rPr>
      </w:pPr>
      <w:r>
        <w:rPr>
          <w:rFonts w:ascii="Arial" w:cs="Arial" w:eastAsia="Arial" w:hAnsi="Arial"/>
          <w:sz w:val="11"/>
          <w:szCs w:val="11"/>
          <w:color w:val="auto"/>
        </w:rPr>
        <w:t>No share based awards have been made to Mr. Popatia; however 291,168 DSUs have been issued to Onex (and are outstanding) pursuant to the Services Agreement since its inception, including 41,180 DSUs issued to Onex for the services of Mr. Popatia as a director of the Corporation in 2020. For further information see footnote 7 to Table 3.</w:t>
      </w:r>
    </w:p>
    <w:p>
      <w:pPr>
        <w:spacing w:after="0" w:line="142"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auto"/>
        </w:rPr>
        <w:t>Director Share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38100</wp:posOffset>
            </wp:positionV>
            <wp:extent cx="3502025"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502025" cy="6350"/>
                    </a:xfrm>
                    <a:prstGeom prst="rect">
                      <a:avLst/>
                    </a:prstGeom>
                    <a:noFill/>
                  </pic:spPr>
                </pic:pic>
              </a:graphicData>
            </a:graphic>
          </wp:anchor>
        </w:drawing>
      </w:r>
    </w:p>
    <w:p>
      <w:pPr>
        <w:spacing w:after="0" w:line="117" w:lineRule="exact"/>
        <w:rPr>
          <w:sz w:val="20"/>
          <w:szCs w:val="20"/>
          <w:color w:val="auto"/>
        </w:rPr>
      </w:pPr>
    </w:p>
    <w:p>
      <w:pPr>
        <w:jc w:val="both"/>
        <w:ind w:left="1480" w:right="1499"/>
        <w:spacing w:after="0" w:line="261" w:lineRule="auto"/>
        <w:rPr>
          <w:sz w:val="20"/>
          <w:szCs w:val="20"/>
          <w:color w:val="auto"/>
        </w:rPr>
      </w:pPr>
      <w:r>
        <w:rPr>
          <w:rFonts w:ascii="Arial" w:cs="Arial" w:eastAsia="Arial" w:hAnsi="Arial"/>
          <w:sz w:val="13"/>
          <w:szCs w:val="13"/>
          <w:color w:val="auto"/>
        </w:rPr>
        <w:t>The Corporation has minimum shareholding requirements (the “</w:t>
      </w:r>
      <w:r>
        <w:rPr>
          <w:rFonts w:ascii="Arial" w:cs="Arial" w:eastAsia="Arial" w:hAnsi="Arial"/>
          <w:sz w:val="13"/>
          <w:szCs w:val="13"/>
          <w:b w:val="1"/>
          <w:bCs w:val="1"/>
          <w:color w:val="auto"/>
        </w:rPr>
        <w:t>Director Share Ownership Guidelines</w:t>
      </w:r>
      <w:r>
        <w:rPr>
          <w:rFonts w:ascii="Arial" w:cs="Arial" w:eastAsia="Arial" w:hAnsi="Arial"/>
          <w:sz w:val="13"/>
          <w:szCs w:val="13"/>
          <w:color w:val="auto"/>
        </w:rPr>
        <w:t xml:space="preserve">”) for directors who are not employees or officers of the Corporation or Onex (see </w:t>
      </w:r>
      <w:r>
        <w:rPr>
          <w:rFonts w:ascii="Arial" w:cs="Arial" w:eastAsia="Arial" w:hAnsi="Arial"/>
          <w:sz w:val="13"/>
          <w:szCs w:val="13"/>
          <w:i w:val="1"/>
          <w:iCs w:val="1"/>
          <w:color w:val="auto"/>
        </w:rPr>
        <w:t>Executive Share Ownership</w:t>
      </w:r>
      <w:r>
        <w:rPr>
          <w:rFonts w:ascii="Arial" w:cs="Arial" w:eastAsia="Arial" w:hAnsi="Arial"/>
          <w:sz w:val="13"/>
          <w:szCs w:val="13"/>
          <w:color w:val="auto"/>
        </w:rPr>
        <w:t xml:space="preserve"> for share ownership guidelines applicable to Mr. Mionis in his role as President and CEO of the Corporation). The Director Share Ownership Guidelines require that a director hold SVS, DSUs and/or unvested RSUs with an aggregate value equal to 150% of the annual retainer and that the Chair of the Board hold SVS, DSUs and/or unvested RSUs with an aggregate value equal to 187.5% of the annual retainer of the Chair of the Board.</w:t>
      </w:r>
    </w:p>
    <w:p>
      <w:pPr>
        <w:spacing w:after="0" w:line="61" w:lineRule="exact"/>
        <w:rPr>
          <w:sz w:val="20"/>
          <w:szCs w:val="20"/>
          <w:color w:val="auto"/>
        </w:rPr>
      </w:pPr>
    </w:p>
    <w:p>
      <w:pPr>
        <w:jc w:val="both"/>
        <w:ind w:left="1480" w:right="1499"/>
        <w:spacing w:after="0" w:line="260" w:lineRule="auto"/>
        <w:rPr>
          <w:sz w:val="20"/>
          <w:szCs w:val="20"/>
          <w:color w:val="auto"/>
        </w:rPr>
      </w:pPr>
      <w:r>
        <w:rPr>
          <w:rFonts w:ascii="Arial" w:cs="Arial" w:eastAsia="Arial" w:hAnsi="Arial"/>
          <w:sz w:val="13"/>
          <w:szCs w:val="13"/>
          <w:color w:val="auto"/>
        </w:rPr>
        <w:t>Directors have five years from the time of their appointment to the Board to comply with the Director Share Ownership Guidelines. Although directors subject to the Director Share Ownership Guidelines will not be deemed to have breached such Guidelines by reason of a decrease in the market value of the Corporation’s securities, such directors are required to purchase further securities within a reasonable period of time after such occurrence to comply with the Director Share Ownership Guidelines. Each director’s holdings of securities are reviewed annually as of December 31. The following table sets out, for each applicable director proposed for election at the Meeting, whether such director was in compliance with the Director Share Ownership Guidelines as of December 31, 2020.</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Table 5: Shareholding Requirements</w:t>
      </w:r>
    </w:p>
    <w:p>
      <w:pPr>
        <w:spacing w:after="0" w:line="77" w:lineRule="exact"/>
        <w:rPr>
          <w:sz w:val="20"/>
          <w:szCs w:val="20"/>
          <w:color w:val="auto"/>
        </w:rPr>
      </w:pPr>
    </w:p>
    <w:tbl>
      <w:tblPr>
        <w:tblLayout w:type="fixed"/>
        <w:tblInd w:w="1970" w:type="dxa"/>
        <w:tblCellMar>
          <w:top w:w="0" w:type="dxa"/>
          <w:left w:w="0" w:type="dxa"/>
          <w:bottom w:w="0" w:type="dxa"/>
          <w:right w:w="0" w:type="dxa"/>
        </w:tblCellMar>
      </w:tblPr>
      <w:tr>
        <w:trPr>
          <w:trHeight w:val="40"/>
        </w:trPr>
        <w:tc>
          <w:tcPr>
            <w:tcW w:w="1760" w:type="dxa"/>
            <w:vAlign w:val="bottom"/>
            <w:tcBorders>
              <w:top w:val="single" w:sz="8" w:color="auto"/>
              <w:bottom w:val="single" w:sz="8" w:color="auto"/>
            </w:tcBorders>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c>
          <w:tcPr>
            <w:tcW w:w="10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1760" w:type="dxa"/>
            <w:vAlign w:val="bottom"/>
            <w:tcBorders>
              <w:left w:val="single" w:sz="8" w:color="auto"/>
              <w:right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2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Shareholding Requirements</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7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1"/>
                <w:szCs w:val="11"/>
                <w:b w:val="1"/>
                <w:bCs w:val="1"/>
                <w:color w:val="auto"/>
              </w:rPr>
              <w:t>Director</w:t>
            </w:r>
            <w:r>
              <w:rPr>
                <w:rFonts w:ascii="Arial" w:cs="Arial" w:eastAsia="Arial" w:hAnsi="Arial"/>
                <w:sz w:val="15"/>
                <w:szCs w:val="15"/>
                <w:b w:val="1"/>
                <w:bCs w:val="1"/>
                <w:color w:val="auto"/>
                <w:vertAlign w:val="superscript"/>
              </w:rPr>
              <w:t>(1)</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82"/>
              </w:rPr>
              <w:t>Target Value as of</w:t>
            </w:r>
          </w:p>
        </w:tc>
        <w:tc>
          <w:tcPr>
            <w:tcW w:w="1080" w:type="dxa"/>
            <w:vAlign w:val="bottom"/>
            <w:tcBorders>
              <w:right w:val="single" w:sz="8" w:color="auto"/>
            </w:tcBorders>
          </w:tcPr>
          <w:p>
            <w:pPr>
              <w:jc w:val="right"/>
              <w:ind w:right="258"/>
              <w:spacing w:after="0"/>
              <w:rPr>
                <w:sz w:val="20"/>
                <w:szCs w:val="20"/>
                <w:color w:val="auto"/>
              </w:rPr>
            </w:pPr>
            <w:r>
              <w:rPr>
                <w:rFonts w:ascii="Arial" w:cs="Arial" w:eastAsia="Arial" w:hAnsi="Arial"/>
                <w:sz w:val="11"/>
                <w:szCs w:val="11"/>
                <w:b w:val="1"/>
                <w:bCs w:val="1"/>
                <w:color w:val="auto"/>
              </w:rPr>
              <w:t>Value as of</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85"/>
              </w:rPr>
              <w:t>Met Target as of</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7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2"/>
              </w:rPr>
              <w:t>December 31, 2020</w:t>
            </w:r>
          </w:p>
        </w:tc>
        <w:tc>
          <w:tcPr>
            <w:tcW w:w="1080" w:type="dxa"/>
            <w:vAlign w:val="bottom"/>
            <w:tcBorders>
              <w:bottom w:val="single" w:sz="8" w:color="auto"/>
              <w:right w:val="single" w:sz="8" w:color="auto"/>
            </w:tcBorders>
          </w:tcPr>
          <w:p>
            <w:pPr>
              <w:jc w:val="right"/>
              <w:ind w:right="38"/>
              <w:spacing w:after="0" w:line="169" w:lineRule="exact"/>
              <w:rPr>
                <w:sz w:val="20"/>
                <w:szCs w:val="20"/>
                <w:color w:val="auto"/>
              </w:rPr>
            </w:pPr>
            <w:r>
              <w:rPr>
                <w:rFonts w:ascii="Arial" w:cs="Arial" w:eastAsia="Arial" w:hAnsi="Arial"/>
                <w:sz w:val="11"/>
                <w:szCs w:val="11"/>
                <w:b w:val="1"/>
                <w:bCs w:val="1"/>
                <w:color w:val="auto"/>
                <w:w w:val="86"/>
              </w:rPr>
              <w:t>December 31, 2020</w:t>
            </w:r>
            <w:r>
              <w:rPr>
                <w:rFonts w:ascii="Arial" w:cs="Arial" w:eastAsia="Arial" w:hAnsi="Arial"/>
                <w:sz w:val="15"/>
                <w:szCs w:val="15"/>
                <w:b w:val="1"/>
                <w:bCs w:val="1"/>
                <w:color w:val="auto"/>
                <w:w w:val="86"/>
                <w:vertAlign w:val="superscript"/>
              </w:rPr>
              <w:t>(2)</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2"/>
              </w:rPr>
              <w:t>December 31, 2020</w:t>
            </w: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Robert A. Cascella</w:t>
            </w:r>
            <w:r>
              <w:rPr>
                <w:rFonts w:ascii="Arial" w:cs="Arial" w:eastAsia="Arial" w:hAnsi="Arial"/>
                <w:sz w:val="19"/>
                <w:szCs w:val="19"/>
                <w:color w:val="auto"/>
                <w:vertAlign w:val="superscript"/>
              </w:rPr>
              <w:t>(3)</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$352,500</w:t>
            </w:r>
          </w:p>
        </w:tc>
        <w:tc>
          <w:tcPr>
            <w:tcW w:w="1080" w:type="dxa"/>
            <w:vAlign w:val="bottom"/>
            <w:tcBorders>
              <w:bottom w:val="single" w:sz="8" w:color="auto"/>
              <w:right w:val="single" w:sz="8" w:color="auto"/>
            </w:tcBorders>
          </w:tcPr>
          <w:p>
            <w:pPr>
              <w:jc w:val="right"/>
              <w:ind w:right="178"/>
              <w:spacing w:after="0"/>
              <w:rPr>
                <w:sz w:val="20"/>
                <w:szCs w:val="20"/>
                <w:color w:val="auto"/>
              </w:rPr>
            </w:pPr>
            <w:r>
              <w:rPr>
                <w:rFonts w:ascii="Arial" w:cs="Arial" w:eastAsia="Arial" w:hAnsi="Arial"/>
                <w:sz w:val="13"/>
                <w:szCs w:val="13"/>
                <w:color w:val="auto"/>
              </w:rPr>
              <w:t>$298,816</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Not yet applicable</w:t>
            </w: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Deepak Chopra</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$352,500</w:t>
            </w:r>
          </w:p>
        </w:tc>
        <w:tc>
          <w:tcPr>
            <w:tcW w:w="1080" w:type="dxa"/>
            <w:vAlign w:val="bottom"/>
            <w:tcBorders>
              <w:bottom w:val="single" w:sz="8" w:color="auto"/>
              <w:right w:val="single" w:sz="8" w:color="auto"/>
            </w:tcBorders>
          </w:tcPr>
          <w:p>
            <w:pPr>
              <w:jc w:val="right"/>
              <w:ind w:right="178"/>
              <w:spacing w:after="0"/>
              <w:rPr>
                <w:sz w:val="20"/>
                <w:szCs w:val="20"/>
                <w:color w:val="auto"/>
              </w:rPr>
            </w:pPr>
            <w:r>
              <w:rPr>
                <w:rFonts w:ascii="Arial" w:cs="Arial" w:eastAsia="Arial" w:hAnsi="Arial"/>
                <w:sz w:val="13"/>
                <w:szCs w:val="13"/>
                <w:color w:val="auto"/>
              </w:rPr>
              <w:t>$393,945</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Yes</w:t>
            </w: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Daniel P. DiMaggio</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$352,500</w:t>
            </w:r>
          </w:p>
        </w:tc>
        <w:tc>
          <w:tcPr>
            <w:tcW w:w="1080" w:type="dxa"/>
            <w:vAlign w:val="bottom"/>
            <w:tcBorders>
              <w:bottom w:val="single" w:sz="8" w:color="auto"/>
              <w:right w:val="single" w:sz="8" w:color="auto"/>
            </w:tcBorders>
          </w:tcPr>
          <w:p>
            <w:pPr>
              <w:jc w:val="right"/>
              <w:ind w:right="178"/>
              <w:spacing w:after="0"/>
              <w:rPr>
                <w:sz w:val="20"/>
                <w:szCs w:val="20"/>
                <w:color w:val="auto"/>
              </w:rPr>
            </w:pPr>
            <w:r>
              <w:rPr>
                <w:rFonts w:ascii="Arial" w:cs="Arial" w:eastAsia="Arial" w:hAnsi="Arial"/>
                <w:sz w:val="13"/>
                <w:szCs w:val="13"/>
                <w:color w:val="auto"/>
              </w:rPr>
              <w:t>$1,956,765</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Yes</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Laurette T. Koellner</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$352,500</w:t>
            </w:r>
          </w:p>
        </w:tc>
        <w:tc>
          <w:tcPr>
            <w:tcW w:w="1080" w:type="dxa"/>
            <w:vAlign w:val="bottom"/>
            <w:tcBorders>
              <w:bottom w:val="single" w:sz="8" w:color="auto"/>
              <w:right w:val="single" w:sz="8" w:color="auto"/>
            </w:tcBorders>
          </w:tcPr>
          <w:p>
            <w:pPr>
              <w:jc w:val="right"/>
              <w:ind w:right="178"/>
              <w:spacing w:after="0"/>
              <w:rPr>
                <w:sz w:val="20"/>
                <w:szCs w:val="20"/>
                <w:color w:val="auto"/>
              </w:rPr>
            </w:pPr>
            <w:r>
              <w:rPr>
                <w:rFonts w:ascii="Arial" w:cs="Arial" w:eastAsia="Arial" w:hAnsi="Arial"/>
                <w:sz w:val="13"/>
                <w:szCs w:val="13"/>
                <w:color w:val="auto"/>
              </w:rPr>
              <w:t>$2,039,927</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Yes</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Carol S. Perry</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$352,500</w:t>
            </w:r>
          </w:p>
        </w:tc>
        <w:tc>
          <w:tcPr>
            <w:tcW w:w="1080" w:type="dxa"/>
            <w:vAlign w:val="bottom"/>
            <w:tcBorders>
              <w:bottom w:val="single" w:sz="8" w:color="auto"/>
              <w:right w:val="single" w:sz="8" w:color="auto"/>
            </w:tcBorders>
          </w:tcPr>
          <w:p>
            <w:pPr>
              <w:jc w:val="right"/>
              <w:ind w:right="178"/>
              <w:spacing w:after="0"/>
              <w:rPr>
                <w:sz w:val="20"/>
                <w:szCs w:val="20"/>
                <w:color w:val="auto"/>
              </w:rPr>
            </w:pPr>
            <w:r>
              <w:rPr>
                <w:rFonts w:ascii="Arial" w:cs="Arial" w:eastAsia="Arial" w:hAnsi="Arial"/>
                <w:sz w:val="13"/>
                <w:szCs w:val="13"/>
                <w:color w:val="auto"/>
              </w:rPr>
              <w:t>$1,579,549</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Yes</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Eamon J. Ryan</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$352,500</w:t>
            </w:r>
          </w:p>
        </w:tc>
        <w:tc>
          <w:tcPr>
            <w:tcW w:w="1080" w:type="dxa"/>
            <w:vAlign w:val="bottom"/>
            <w:tcBorders>
              <w:bottom w:val="single" w:sz="8" w:color="auto"/>
              <w:right w:val="single" w:sz="8" w:color="auto"/>
            </w:tcBorders>
          </w:tcPr>
          <w:p>
            <w:pPr>
              <w:jc w:val="right"/>
              <w:ind w:right="178"/>
              <w:spacing w:after="0"/>
              <w:rPr>
                <w:sz w:val="20"/>
                <w:szCs w:val="20"/>
                <w:color w:val="auto"/>
              </w:rPr>
            </w:pPr>
            <w:r>
              <w:rPr>
                <w:rFonts w:ascii="Arial" w:cs="Arial" w:eastAsia="Arial" w:hAnsi="Arial"/>
                <w:sz w:val="13"/>
                <w:szCs w:val="13"/>
                <w:color w:val="auto"/>
              </w:rPr>
              <w:t>$2,429,716</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Yes</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Michael M. Wilson</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$675,000</w:t>
            </w:r>
          </w:p>
        </w:tc>
        <w:tc>
          <w:tcPr>
            <w:tcW w:w="1080" w:type="dxa"/>
            <w:vAlign w:val="bottom"/>
            <w:tcBorders>
              <w:bottom w:val="single" w:sz="8" w:color="auto"/>
              <w:right w:val="single" w:sz="8" w:color="auto"/>
            </w:tcBorders>
          </w:tcPr>
          <w:p>
            <w:pPr>
              <w:jc w:val="right"/>
              <w:ind w:right="178"/>
              <w:spacing w:after="0"/>
              <w:rPr>
                <w:sz w:val="20"/>
                <w:szCs w:val="20"/>
                <w:color w:val="auto"/>
              </w:rPr>
            </w:pPr>
            <w:r>
              <w:rPr>
                <w:rFonts w:ascii="Arial" w:cs="Arial" w:eastAsia="Arial" w:hAnsi="Arial"/>
                <w:sz w:val="13"/>
                <w:szCs w:val="13"/>
                <w:color w:val="auto"/>
              </w:rPr>
              <w:t>$2,446,267</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Yes</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1266825</wp:posOffset>
            </wp:positionH>
            <wp:positionV relativeFrom="paragraph">
              <wp:posOffset>-1260475</wp:posOffset>
            </wp:positionV>
            <wp:extent cx="108712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87120" cy="6350"/>
                    </a:xfrm>
                    <a:prstGeom prst="rect">
                      <a:avLst/>
                    </a:prstGeom>
                    <a:noFill/>
                  </pic:spPr>
                </pic:pic>
              </a:graphicData>
            </a:graphic>
          </wp:anchor>
        </w:drawing>
      </w:r>
    </w:p>
    <w:p>
      <w:pPr>
        <w:spacing w:after="0" w:line="52" w:lineRule="exact"/>
        <w:rPr>
          <w:sz w:val="20"/>
          <w:szCs w:val="20"/>
          <w:color w:val="auto"/>
        </w:rPr>
      </w:pPr>
    </w:p>
    <w:p>
      <w:pPr>
        <w:ind w:left="1740" w:right="1499" w:hanging="262"/>
        <w:spacing w:after="0" w:line="204" w:lineRule="auto"/>
        <w:tabs>
          <w:tab w:leader="none" w:pos="1740" w:val="left"/>
        </w:tabs>
        <w:numPr>
          <w:ilvl w:val="0"/>
          <w:numId w:val="54"/>
        </w:numPr>
        <w:rPr>
          <w:rFonts w:ascii="Arial" w:cs="Arial" w:eastAsia="Arial" w:hAnsi="Arial"/>
          <w:sz w:val="16"/>
          <w:szCs w:val="16"/>
          <w:color w:val="auto"/>
          <w:vertAlign w:val="superscript"/>
        </w:rPr>
      </w:pPr>
      <w:r>
        <w:rPr>
          <w:rFonts w:ascii="Arial" w:cs="Arial" w:eastAsia="Arial" w:hAnsi="Arial"/>
          <w:sz w:val="11"/>
          <w:szCs w:val="11"/>
          <w:color w:val="auto"/>
        </w:rPr>
        <w:t>As President and CEO of the Corporation, Mr. Mionis is subject to the Executive Share Ownership Guidelines. As an officer of Onex, Mr. Popatia is not subject to the Director Share Ownership Guidelines.</w:t>
      </w:r>
    </w:p>
    <w:p>
      <w:pPr>
        <w:spacing w:after="0" w:line="34" w:lineRule="exact"/>
        <w:rPr>
          <w:rFonts w:ascii="Arial" w:cs="Arial" w:eastAsia="Arial" w:hAnsi="Arial"/>
          <w:sz w:val="16"/>
          <w:szCs w:val="16"/>
          <w:color w:val="auto"/>
          <w:vertAlign w:val="superscript"/>
        </w:rPr>
      </w:pPr>
    </w:p>
    <w:p>
      <w:pPr>
        <w:ind w:left="1740" w:right="1499" w:hanging="262"/>
        <w:spacing w:after="0" w:line="204" w:lineRule="auto"/>
        <w:tabs>
          <w:tab w:leader="none" w:pos="1740" w:val="left"/>
        </w:tabs>
        <w:numPr>
          <w:ilvl w:val="0"/>
          <w:numId w:val="54"/>
        </w:numPr>
        <w:rPr>
          <w:rFonts w:ascii="Arial" w:cs="Arial" w:eastAsia="Arial" w:hAnsi="Arial"/>
          <w:sz w:val="16"/>
          <w:szCs w:val="16"/>
          <w:color w:val="auto"/>
          <w:vertAlign w:val="superscript"/>
        </w:rPr>
      </w:pPr>
      <w:r>
        <w:rPr>
          <w:rFonts w:ascii="Arial" w:cs="Arial" w:eastAsia="Arial" w:hAnsi="Arial"/>
          <w:sz w:val="11"/>
          <w:szCs w:val="11"/>
          <w:color w:val="auto"/>
        </w:rPr>
        <w:t>The value of the aggregate number of SVS, DSUs and/or unvested RSUs held by each director is determined using a share price of $8.07, which was the closing price of the SVS on the NYSE on December 31, 2020.</w:t>
      </w:r>
    </w:p>
    <w:p>
      <w:pPr>
        <w:spacing w:after="0" w:line="34" w:lineRule="exact"/>
        <w:rPr>
          <w:rFonts w:ascii="Arial" w:cs="Arial" w:eastAsia="Arial" w:hAnsi="Arial"/>
          <w:sz w:val="16"/>
          <w:szCs w:val="16"/>
          <w:color w:val="auto"/>
          <w:vertAlign w:val="superscript"/>
        </w:rPr>
      </w:pPr>
    </w:p>
    <w:p>
      <w:pPr>
        <w:ind w:left="1740" w:right="1499" w:hanging="262"/>
        <w:spacing w:after="0" w:line="204" w:lineRule="auto"/>
        <w:tabs>
          <w:tab w:leader="none" w:pos="1740" w:val="left"/>
        </w:tabs>
        <w:numPr>
          <w:ilvl w:val="0"/>
          <w:numId w:val="54"/>
        </w:numPr>
        <w:rPr>
          <w:rFonts w:ascii="Arial" w:cs="Arial" w:eastAsia="Arial" w:hAnsi="Arial"/>
          <w:sz w:val="16"/>
          <w:szCs w:val="16"/>
          <w:color w:val="auto"/>
          <w:vertAlign w:val="superscript"/>
        </w:rPr>
      </w:pPr>
      <w:r>
        <w:rPr>
          <w:rFonts w:ascii="Arial" w:cs="Arial" w:eastAsia="Arial" w:hAnsi="Arial"/>
          <w:sz w:val="11"/>
          <w:szCs w:val="11"/>
          <w:color w:val="auto"/>
        </w:rPr>
        <w:t>Mr. Cascella was appointed to the Board of Directors effective February 1, 2019 and he is required to comply with the Director Share Ownership Guidelines within five years of his appointment.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7" w:name="page28"/>
    <w:bookmarkEnd w:id="27"/>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384810</wp:posOffset>
            </wp:positionV>
            <wp:extent cx="3843655" cy="189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43655" cy="189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41910</wp:posOffset>
            </wp:positionV>
            <wp:extent cx="3843655"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166" w:lineRule="exact"/>
        <w:rPr>
          <w:sz w:val="20"/>
          <w:szCs w:val="20"/>
          <w:color w:val="auto"/>
        </w:rPr>
      </w:pPr>
    </w:p>
    <w:p>
      <w:pPr>
        <w:jc w:val="both"/>
        <w:ind w:left="1480" w:right="1499"/>
        <w:spacing w:after="0" w:line="269" w:lineRule="auto"/>
        <w:rPr>
          <w:sz w:val="20"/>
          <w:szCs w:val="20"/>
          <w:color w:val="auto"/>
        </w:rPr>
      </w:pPr>
      <w:r>
        <w:rPr>
          <w:rFonts w:ascii="Arial" w:cs="Arial" w:eastAsia="Arial" w:hAnsi="Arial"/>
          <w:sz w:val="13"/>
          <w:szCs w:val="13"/>
          <w:color w:val="auto"/>
        </w:rPr>
        <w:t>The Corporation is committed to high standards of corporate governance in all aspects of its decision making processes.</w:t>
      </w:r>
    </w:p>
    <w:p>
      <w:pPr>
        <w:spacing w:after="0" w:line="43" w:lineRule="exact"/>
        <w:rPr>
          <w:sz w:val="20"/>
          <w:szCs w:val="20"/>
          <w:color w:val="auto"/>
        </w:rPr>
      </w:pPr>
    </w:p>
    <w:p>
      <w:pPr>
        <w:jc w:val="both"/>
        <w:ind w:left="1480" w:right="1499"/>
        <w:spacing w:after="0" w:line="243" w:lineRule="auto"/>
        <w:rPr>
          <w:sz w:val="20"/>
          <w:szCs w:val="20"/>
          <w:color w:val="auto"/>
        </w:rPr>
      </w:pPr>
      <w:r>
        <w:rPr>
          <w:rFonts w:ascii="Arial" w:cs="Arial" w:eastAsia="Arial" w:hAnsi="Arial"/>
          <w:sz w:val="13"/>
          <w:szCs w:val="13"/>
          <w:color w:val="auto"/>
        </w:rPr>
        <w:t>The Corporation is listed on the NYSE and, although it is not required to comply with all of the NYSE corporate governance requirements to which the Corporation would be subject if it were a U.S. corporation, the Corporation’s governance practices differ significantly in only one respect from those required by the NYSE of U.S. domestic issuers. The Corporation complies with applicable TSX rules, which require shareholder approval of share compensation arrangements involving new issuances of shares, and of certain amendments to such arrangements, but do not require such approval if the compensation arrangements involve only shares purchased in the open market. NYSE rules require shareholder approval of all equity compensation arrangements (and material revisions thereto), subject to limited exceptions, regardless of whether new issuances or treasury shares are used.</w:t>
      </w:r>
    </w:p>
    <w:p>
      <w:pPr>
        <w:spacing w:after="0" w:line="61" w:lineRule="exact"/>
        <w:rPr>
          <w:sz w:val="20"/>
          <w:szCs w:val="20"/>
          <w:color w:val="auto"/>
        </w:rPr>
      </w:pPr>
    </w:p>
    <w:p>
      <w:pPr>
        <w:jc w:val="both"/>
        <w:ind w:left="1480" w:right="1499"/>
        <w:spacing w:after="0" w:line="254" w:lineRule="auto"/>
        <w:rPr>
          <w:sz w:val="20"/>
          <w:szCs w:val="20"/>
          <w:color w:val="auto"/>
        </w:rPr>
      </w:pPr>
      <w:r>
        <w:rPr>
          <w:rFonts w:ascii="Arial" w:cs="Arial" w:eastAsia="Arial" w:hAnsi="Arial"/>
          <w:sz w:val="13"/>
          <w:szCs w:val="13"/>
          <w:color w:val="auto"/>
        </w:rPr>
        <w:t xml:space="preserve">Each of the following documents, which are referred to throughout this Corporate Governance section, are posted on the Corporation’s website at </w:t>
      </w:r>
      <w:r>
        <w:rPr>
          <w:rFonts w:ascii="Arial" w:cs="Arial" w:eastAsia="Arial" w:hAnsi="Arial"/>
          <w:sz w:val="13"/>
          <w:szCs w:val="13"/>
          <w:u w:val="single" w:color="auto"/>
          <w:color w:val="auto"/>
        </w:rPr>
        <w:t>www.celestica.com</w:t>
      </w:r>
      <w:r>
        <w:rPr>
          <w:rFonts w:ascii="Arial" w:cs="Arial" w:eastAsia="Arial" w:hAnsi="Arial"/>
          <w:sz w:val="13"/>
          <w:szCs w:val="13"/>
          <w:color w:val="auto"/>
        </w:rPr>
        <w:t xml:space="preserve"> under “Investor Relations” | “Corporate Governance” (information on our website is not incorporated by reference into this Circular):</w:t>
      </w:r>
    </w:p>
    <w:p>
      <w:pPr>
        <w:spacing w:after="0" w:line="53" w:lineRule="exact"/>
        <w:rPr>
          <w:sz w:val="20"/>
          <w:szCs w:val="20"/>
          <w:color w:val="auto"/>
        </w:rPr>
      </w:pPr>
    </w:p>
    <w:p>
      <w:pPr>
        <w:ind w:left="2000" w:hanging="257"/>
        <w:spacing w:after="0"/>
        <w:tabs>
          <w:tab w:leader="none" w:pos="20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Corporate Governance Guidelines;</w:t>
      </w:r>
    </w:p>
    <w:p>
      <w:pPr>
        <w:spacing w:after="0" w:line="45" w:lineRule="exact"/>
        <w:rPr>
          <w:rFonts w:ascii="Arial" w:cs="Arial" w:eastAsia="Arial" w:hAnsi="Arial"/>
          <w:sz w:val="13"/>
          <w:szCs w:val="13"/>
          <w:color w:val="auto"/>
        </w:rPr>
      </w:pPr>
    </w:p>
    <w:p>
      <w:pPr>
        <w:ind w:left="2000" w:hanging="257"/>
        <w:spacing w:after="0"/>
        <w:tabs>
          <w:tab w:leader="none" w:pos="20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Board of Directors Mandate (“</w:t>
      </w:r>
      <w:r>
        <w:rPr>
          <w:rFonts w:ascii="Arial" w:cs="Arial" w:eastAsia="Arial" w:hAnsi="Arial"/>
          <w:sz w:val="13"/>
          <w:szCs w:val="13"/>
          <w:b w:val="1"/>
          <w:bCs w:val="1"/>
          <w:color w:val="auto"/>
        </w:rPr>
        <w:t>Board Mandate</w:t>
      </w:r>
      <w:r>
        <w:rPr>
          <w:rFonts w:ascii="Arial" w:cs="Arial" w:eastAsia="Arial" w:hAnsi="Arial"/>
          <w:sz w:val="13"/>
          <w:szCs w:val="13"/>
          <w:color w:val="auto"/>
        </w:rPr>
        <w:t>”);</w:t>
      </w:r>
    </w:p>
    <w:p>
      <w:pPr>
        <w:spacing w:after="0" w:line="43" w:lineRule="exact"/>
        <w:rPr>
          <w:rFonts w:ascii="Arial" w:cs="Arial" w:eastAsia="Arial" w:hAnsi="Arial"/>
          <w:sz w:val="13"/>
          <w:szCs w:val="13"/>
          <w:color w:val="auto"/>
        </w:rPr>
      </w:pPr>
    </w:p>
    <w:p>
      <w:pPr>
        <w:ind w:left="2000" w:right="1499" w:hanging="257"/>
        <w:spacing w:after="0" w:line="285" w:lineRule="auto"/>
        <w:tabs>
          <w:tab w:leader="none" w:pos="20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Written position descriptions for each of the Chair of the Board, the Chair of each standing committee of the Board and the CEO;</w:t>
      </w:r>
    </w:p>
    <w:p>
      <w:pPr>
        <w:spacing w:after="0" w:line="3" w:lineRule="exact"/>
        <w:rPr>
          <w:rFonts w:ascii="Arial" w:cs="Arial" w:eastAsia="Arial" w:hAnsi="Arial"/>
          <w:sz w:val="13"/>
          <w:szCs w:val="13"/>
          <w:color w:val="auto"/>
        </w:rPr>
      </w:pPr>
    </w:p>
    <w:p>
      <w:pPr>
        <w:ind w:left="2000" w:hanging="257"/>
        <w:spacing w:after="0"/>
        <w:tabs>
          <w:tab w:leader="none" w:pos="20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Celestica’s Corporate Values;</w:t>
      </w:r>
    </w:p>
    <w:p>
      <w:pPr>
        <w:spacing w:after="0" w:line="45" w:lineRule="exact"/>
        <w:rPr>
          <w:rFonts w:ascii="Arial" w:cs="Arial" w:eastAsia="Arial" w:hAnsi="Arial"/>
          <w:sz w:val="13"/>
          <w:szCs w:val="13"/>
          <w:color w:val="auto"/>
        </w:rPr>
      </w:pPr>
    </w:p>
    <w:p>
      <w:pPr>
        <w:ind w:left="2000" w:hanging="257"/>
        <w:spacing w:after="0"/>
        <w:tabs>
          <w:tab w:leader="none" w:pos="20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Business Conduct Governance Policy (the “</w:t>
      </w:r>
      <w:r>
        <w:rPr>
          <w:rFonts w:ascii="Arial" w:cs="Arial" w:eastAsia="Arial" w:hAnsi="Arial"/>
          <w:sz w:val="13"/>
          <w:szCs w:val="13"/>
          <w:b w:val="1"/>
          <w:bCs w:val="1"/>
          <w:color w:val="auto"/>
        </w:rPr>
        <w:t>BCG Policy</w:t>
      </w:r>
      <w:r>
        <w:rPr>
          <w:rFonts w:ascii="Arial" w:cs="Arial" w:eastAsia="Arial" w:hAnsi="Arial"/>
          <w:sz w:val="13"/>
          <w:szCs w:val="13"/>
          <w:color w:val="auto"/>
        </w:rPr>
        <w:t>”);</w:t>
      </w:r>
    </w:p>
    <w:p>
      <w:pPr>
        <w:spacing w:after="0" w:line="53" w:lineRule="exact"/>
        <w:rPr>
          <w:rFonts w:ascii="Arial" w:cs="Arial" w:eastAsia="Arial" w:hAnsi="Arial"/>
          <w:sz w:val="13"/>
          <w:szCs w:val="13"/>
          <w:color w:val="auto"/>
        </w:rPr>
      </w:pPr>
    </w:p>
    <w:p>
      <w:pPr>
        <w:ind w:left="2000" w:hanging="257"/>
        <w:spacing w:after="0"/>
        <w:tabs>
          <w:tab w:leader="none" w:pos="20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Finance Code of Professional Conduct;</w:t>
      </w:r>
    </w:p>
    <w:p>
      <w:pPr>
        <w:spacing w:after="0" w:line="49" w:lineRule="exact"/>
        <w:rPr>
          <w:rFonts w:ascii="Arial" w:cs="Arial" w:eastAsia="Arial" w:hAnsi="Arial"/>
          <w:sz w:val="13"/>
          <w:szCs w:val="13"/>
          <w:color w:val="auto"/>
        </w:rPr>
      </w:pPr>
    </w:p>
    <w:p>
      <w:pPr>
        <w:ind w:left="2000" w:hanging="257"/>
        <w:spacing w:after="0"/>
        <w:tabs>
          <w:tab w:leader="none" w:pos="20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Audit Committee Mandate;</w:t>
      </w:r>
    </w:p>
    <w:p>
      <w:pPr>
        <w:spacing w:after="0" w:line="49" w:lineRule="exact"/>
        <w:rPr>
          <w:rFonts w:ascii="Arial" w:cs="Arial" w:eastAsia="Arial" w:hAnsi="Arial"/>
          <w:sz w:val="13"/>
          <w:szCs w:val="13"/>
          <w:color w:val="auto"/>
        </w:rPr>
      </w:pPr>
    </w:p>
    <w:p>
      <w:pPr>
        <w:ind w:left="2000" w:hanging="257"/>
        <w:spacing w:after="0"/>
        <w:tabs>
          <w:tab w:leader="none" w:pos="20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NCGC Mandate; and</w:t>
      </w:r>
    </w:p>
    <w:p>
      <w:pPr>
        <w:spacing w:after="0" w:line="49" w:lineRule="exact"/>
        <w:rPr>
          <w:rFonts w:ascii="Arial" w:cs="Arial" w:eastAsia="Arial" w:hAnsi="Arial"/>
          <w:sz w:val="13"/>
          <w:szCs w:val="13"/>
          <w:color w:val="auto"/>
        </w:rPr>
      </w:pPr>
    </w:p>
    <w:p>
      <w:pPr>
        <w:ind w:left="2000" w:hanging="257"/>
        <w:spacing w:after="0"/>
        <w:tabs>
          <w:tab w:leader="none" w:pos="20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HRCC Mandate.</w:t>
      </w:r>
    </w:p>
    <w:p>
      <w:pPr>
        <w:spacing w:after="0" w:line="89" w:lineRule="exact"/>
        <w:rPr>
          <w:sz w:val="20"/>
          <w:szCs w:val="20"/>
          <w:color w:val="auto"/>
        </w:rPr>
      </w:pPr>
    </w:p>
    <w:p>
      <w:pPr>
        <w:jc w:val="both"/>
        <w:ind w:left="1480" w:right="1499"/>
        <w:spacing w:after="0" w:line="245" w:lineRule="auto"/>
        <w:rPr>
          <w:sz w:val="20"/>
          <w:szCs w:val="20"/>
          <w:color w:val="auto"/>
        </w:rPr>
      </w:pPr>
      <w:r>
        <w:rPr>
          <w:rFonts w:ascii="Arial" w:cs="Arial" w:eastAsia="Arial" w:hAnsi="Arial"/>
          <w:sz w:val="13"/>
          <w:szCs w:val="13"/>
          <w:color w:val="auto"/>
        </w:rPr>
        <w:t xml:space="preserve">The Corporation’s annual report, financial statements and management’s discussion and analysis are also available on our website at </w:t>
      </w:r>
      <w:r>
        <w:rPr>
          <w:rFonts w:ascii="Arial" w:cs="Arial" w:eastAsia="Arial" w:hAnsi="Arial"/>
          <w:sz w:val="13"/>
          <w:szCs w:val="13"/>
          <w:u w:val="single" w:color="auto"/>
          <w:color w:val="auto"/>
        </w:rPr>
        <w:t>www.celestica.com</w:t>
      </w:r>
      <w:r>
        <w:rPr>
          <w:rFonts w:ascii="Arial" w:cs="Arial" w:eastAsia="Arial" w:hAnsi="Arial"/>
          <w:sz w:val="13"/>
          <w:szCs w:val="13"/>
          <w:color w:val="auto"/>
        </w:rPr>
        <w:t xml:space="preserve"> under “Investor Relations” | “Annual Reports” | “Quarterly Reports” (information on our website is not incorporated by reference into this Circular). Additional information about the Corporation is available on SEDAR at </w:t>
      </w:r>
      <w:r>
        <w:rPr>
          <w:rFonts w:ascii="Arial" w:cs="Arial" w:eastAsia="Arial" w:hAnsi="Arial"/>
          <w:sz w:val="13"/>
          <w:szCs w:val="13"/>
          <w:u w:val="single" w:color="auto"/>
          <w:color w:val="auto"/>
        </w:rPr>
        <w:t>www.sedar.com</w:t>
      </w:r>
      <w:r>
        <w:rPr>
          <w:rFonts w:ascii="Arial" w:cs="Arial" w:eastAsia="Arial" w:hAnsi="Arial"/>
          <w:sz w:val="13"/>
          <w:szCs w:val="13"/>
          <w:color w:val="auto"/>
        </w:rPr>
        <w:t xml:space="preserve"> and on EDGAR at </w:t>
      </w:r>
      <w:r>
        <w:rPr>
          <w:rFonts w:ascii="Arial" w:cs="Arial" w:eastAsia="Arial" w:hAnsi="Arial"/>
          <w:sz w:val="13"/>
          <w:szCs w:val="13"/>
          <w:u w:val="single" w:color="auto"/>
          <w:color w:val="auto"/>
        </w:rPr>
        <w:t>www.sec.gov</w:t>
      </w:r>
      <w:r>
        <w:rPr>
          <w:rFonts w:ascii="Arial" w:cs="Arial" w:eastAsia="Arial" w:hAnsi="Arial"/>
          <w:sz w:val="13"/>
          <w:szCs w:val="13"/>
          <w:color w:val="auto"/>
        </w:rPr>
        <w:t xml:space="preserve">. You can request copies of any of the documents mentioned above by contacting Celestica’s Corporate Secretary at </w:t>
      </w:r>
      <w:r>
        <w:rPr>
          <w:rFonts w:ascii="Arial" w:cs="Arial" w:eastAsia="Arial" w:hAnsi="Arial"/>
          <w:sz w:val="13"/>
          <w:szCs w:val="13"/>
          <w:u w:val="single" w:color="auto"/>
          <w:color w:val="auto"/>
        </w:rPr>
        <w:t>clsir@celestica.com</w:t>
      </w:r>
      <w:r>
        <w:rPr>
          <w:rFonts w:ascii="Arial" w:cs="Arial" w:eastAsia="Arial" w:hAnsi="Arial"/>
          <w:sz w:val="13"/>
          <w:szCs w:val="13"/>
          <w:color w:val="auto"/>
        </w:rPr>
        <w:t>.</w:t>
      </w:r>
    </w:p>
    <w:p>
      <w:pPr>
        <w:spacing w:after="0" w:line="134"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38100</wp:posOffset>
            </wp:positionV>
            <wp:extent cx="3843655"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843655" cy="635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50800</wp:posOffset>
            </wp:positionV>
            <wp:extent cx="3843655"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373"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auto"/>
        </w:rPr>
        <w:t>Role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38100</wp:posOffset>
            </wp:positionV>
            <wp:extent cx="3502025"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502025" cy="6350"/>
                    </a:xfrm>
                    <a:prstGeom prst="rect">
                      <a:avLst/>
                    </a:prstGeom>
                    <a:noFill/>
                  </pic:spPr>
                </pic:pic>
              </a:graphicData>
            </a:graphic>
          </wp:anchor>
        </w:drawing>
      </w:r>
    </w:p>
    <w:p>
      <w:pPr>
        <w:spacing w:after="0" w:line="111"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Under the Board Mandate, the Board has explicitly assumed stewardship responsibility for the Corporation.</w:t>
      </w:r>
    </w:p>
    <w:p>
      <w:pPr>
        <w:spacing w:after="0" w:line="21"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The duties and responsibilities of the Board include:</w:t>
      </w:r>
    </w:p>
    <w:p>
      <w:pPr>
        <w:spacing w:after="0" w:line="69" w:lineRule="exact"/>
        <w:rPr>
          <w:sz w:val="20"/>
          <w:szCs w:val="20"/>
          <w:color w:val="auto"/>
        </w:rPr>
      </w:pPr>
    </w:p>
    <w:p>
      <w:pPr>
        <w:ind w:left="1880" w:right="1499" w:hanging="137"/>
        <w:spacing w:after="0" w:line="285" w:lineRule="auto"/>
        <w:tabs>
          <w:tab w:leader="none" w:pos="18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satisfying itself as to the integrity of the CEO and other executive officers and that the CEO and other executive officers create a culture of integrity throughout the organization;</w:t>
      </w:r>
    </w:p>
    <w:p>
      <w:pPr>
        <w:spacing w:after="0" w:line="43" w:lineRule="exact"/>
        <w:rPr>
          <w:rFonts w:ascii="Arial" w:cs="Arial" w:eastAsia="Arial" w:hAnsi="Arial"/>
          <w:sz w:val="13"/>
          <w:szCs w:val="13"/>
          <w:color w:val="auto"/>
        </w:rPr>
      </w:pPr>
    </w:p>
    <w:p>
      <w:pPr>
        <w:ind w:left="1880" w:hanging="137"/>
        <w:spacing w:after="0"/>
        <w:tabs>
          <w:tab w:leader="none" w:pos="18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adopting a strategic planning process and approving, on at least an annual basis, a strategic plan;</w:t>
      </w:r>
    </w:p>
    <w:p>
      <w:pPr>
        <w:spacing w:after="0" w:line="89" w:lineRule="exact"/>
        <w:rPr>
          <w:rFonts w:ascii="Arial" w:cs="Arial" w:eastAsia="Arial" w:hAnsi="Arial"/>
          <w:sz w:val="13"/>
          <w:szCs w:val="13"/>
          <w:color w:val="auto"/>
        </w:rPr>
      </w:pPr>
    </w:p>
    <w:p>
      <w:pPr>
        <w:ind w:left="1880" w:right="1499" w:hanging="137"/>
        <w:spacing w:after="0" w:line="285" w:lineRule="auto"/>
        <w:tabs>
          <w:tab w:leader="none" w:pos="18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identifying the principal risks of the business and ensuring the implementation of appropriate systems to manage such risks;</w:t>
      </w:r>
    </w:p>
    <w:p>
      <w:pPr>
        <w:spacing w:after="0" w:line="43" w:lineRule="exact"/>
        <w:rPr>
          <w:rFonts w:ascii="Arial" w:cs="Arial" w:eastAsia="Arial" w:hAnsi="Arial"/>
          <w:sz w:val="13"/>
          <w:szCs w:val="13"/>
          <w:color w:val="auto"/>
        </w:rPr>
      </w:pPr>
    </w:p>
    <w:p>
      <w:pPr>
        <w:ind w:left="1880" w:hanging="137"/>
        <w:spacing w:after="0"/>
        <w:tabs>
          <w:tab w:leader="none" w:pos="18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succession planning;</w:t>
      </w:r>
    </w:p>
    <w:p>
      <w:pPr>
        <w:spacing w:after="0" w:line="89" w:lineRule="exact"/>
        <w:rPr>
          <w:rFonts w:ascii="Arial" w:cs="Arial" w:eastAsia="Arial" w:hAnsi="Arial"/>
          <w:sz w:val="13"/>
          <w:szCs w:val="13"/>
          <w:color w:val="auto"/>
        </w:rPr>
      </w:pPr>
    </w:p>
    <w:p>
      <w:pPr>
        <w:ind w:left="1880" w:hanging="137"/>
        <w:spacing w:after="0"/>
        <w:tabs>
          <w:tab w:leader="none" w:pos="18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reviewing financial reporting and regulatory compliance;</w:t>
      </w:r>
    </w:p>
    <w:p>
      <w:pPr>
        <w:spacing w:after="0" w:line="89" w:lineRule="exact"/>
        <w:rPr>
          <w:rFonts w:ascii="Arial" w:cs="Arial" w:eastAsia="Arial" w:hAnsi="Arial"/>
          <w:sz w:val="13"/>
          <w:szCs w:val="13"/>
          <w:color w:val="auto"/>
        </w:rPr>
      </w:pPr>
    </w:p>
    <w:p>
      <w:pPr>
        <w:ind w:left="1880" w:hanging="137"/>
        <w:spacing w:after="0"/>
        <w:tabs>
          <w:tab w:leader="none" w:pos="18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reviewing internal control and management information systems;</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8" w:name="page29"/>
    <w:bookmarkEnd w:id="28"/>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97" w:lineRule="exact"/>
        <w:rPr>
          <w:sz w:val="20"/>
          <w:szCs w:val="20"/>
          <w:color w:val="auto"/>
        </w:rPr>
      </w:pPr>
    </w:p>
    <w:p>
      <w:pPr>
        <w:ind w:left="1880" w:hanging="137"/>
        <w:spacing w:after="0"/>
        <w:tabs>
          <w:tab w:leader="none" w:pos="18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reviewing and approving material transactions;</w:t>
      </w:r>
    </w:p>
    <w:p>
      <w:pPr>
        <w:spacing w:after="0" w:line="69" w:lineRule="exact"/>
        <w:rPr>
          <w:rFonts w:ascii="Arial" w:cs="Arial" w:eastAsia="Arial" w:hAnsi="Arial"/>
          <w:sz w:val="13"/>
          <w:szCs w:val="13"/>
          <w:color w:val="auto"/>
        </w:rPr>
      </w:pPr>
    </w:p>
    <w:p>
      <w:pPr>
        <w:ind w:left="1880" w:hanging="137"/>
        <w:spacing w:after="0"/>
        <w:tabs>
          <w:tab w:leader="none" w:pos="18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establishing measures for receiving feedback from securityholders;</w:t>
      </w:r>
    </w:p>
    <w:p>
      <w:pPr>
        <w:spacing w:after="0" w:line="69" w:lineRule="exact"/>
        <w:rPr>
          <w:rFonts w:ascii="Arial" w:cs="Arial" w:eastAsia="Arial" w:hAnsi="Arial"/>
          <w:sz w:val="13"/>
          <w:szCs w:val="13"/>
          <w:color w:val="auto"/>
        </w:rPr>
      </w:pPr>
    </w:p>
    <w:p>
      <w:pPr>
        <w:ind w:left="1880" w:right="1499" w:hanging="137"/>
        <w:spacing w:after="0" w:line="285" w:lineRule="auto"/>
        <w:tabs>
          <w:tab w:leader="none" w:pos="18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overseeing the general strategy, policies and initiatives relating to environmental, social and governance matters, including, among other things, sustainability;</w:t>
      </w:r>
    </w:p>
    <w:p>
      <w:pPr>
        <w:spacing w:after="0" w:line="23" w:lineRule="exact"/>
        <w:rPr>
          <w:rFonts w:ascii="Arial" w:cs="Arial" w:eastAsia="Arial" w:hAnsi="Arial"/>
          <w:sz w:val="13"/>
          <w:szCs w:val="13"/>
          <w:color w:val="auto"/>
        </w:rPr>
      </w:pPr>
    </w:p>
    <w:p>
      <w:pPr>
        <w:ind w:left="1880" w:hanging="137"/>
        <w:spacing w:after="0"/>
        <w:tabs>
          <w:tab w:leader="none" w:pos="18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reviewing board operations and evaluating board, committee and individual Director effectiveness;</w:t>
      </w:r>
    </w:p>
    <w:p>
      <w:pPr>
        <w:spacing w:after="0" w:line="69" w:lineRule="exact"/>
        <w:rPr>
          <w:rFonts w:ascii="Arial" w:cs="Arial" w:eastAsia="Arial" w:hAnsi="Arial"/>
          <w:sz w:val="13"/>
          <w:szCs w:val="13"/>
          <w:color w:val="auto"/>
        </w:rPr>
      </w:pPr>
    </w:p>
    <w:p>
      <w:pPr>
        <w:ind w:left="1880" w:hanging="137"/>
        <w:spacing w:after="0"/>
        <w:tabs>
          <w:tab w:leader="none" w:pos="18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developing the Corporation’s approach to corporate governance;</w:t>
      </w:r>
    </w:p>
    <w:p>
      <w:pPr>
        <w:spacing w:after="0" w:line="69" w:lineRule="exact"/>
        <w:rPr>
          <w:rFonts w:ascii="Arial" w:cs="Arial" w:eastAsia="Arial" w:hAnsi="Arial"/>
          <w:sz w:val="13"/>
          <w:szCs w:val="13"/>
          <w:color w:val="auto"/>
        </w:rPr>
      </w:pPr>
    </w:p>
    <w:p>
      <w:pPr>
        <w:ind w:left="1880" w:hanging="137"/>
        <w:spacing w:after="0"/>
        <w:tabs>
          <w:tab w:leader="none" w:pos="18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reviewing and approving the annual director assessment process;</w:t>
      </w:r>
    </w:p>
    <w:p>
      <w:pPr>
        <w:spacing w:after="0" w:line="69" w:lineRule="exact"/>
        <w:rPr>
          <w:rFonts w:ascii="Arial" w:cs="Arial" w:eastAsia="Arial" w:hAnsi="Arial"/>
          <w:sz w:val="13"/>
          <w:szCs w:val="13"/>
          <w:color w:val="auto"/>
        </w:rPr>
      </w:pPr>
    </w:p>
    <w:p>
      <w:pPr>
        <w:ind w:left="1880" w:hanging="137"/>
        <w:spacing w:after="0"/>
        <w:tabs>
          <w:tab w:leader="none" w:pos="18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nominating and appointing directors;</w:t>
      </w:r>
    </w:p>
    <w:p>
      <w:pPr>
        <w:spacing w:after="0" w:line="69" w:lineRule="exact"/>
        <w:rPr>
          <w:rFonts w:ascii="Arial" w:cs="Arial" w:eastAsia="Arial" w:hAnsi="Arial"/>
          <w:sz w:val="13"/>
          <w:szCs w:val="13"/>
          <w:color w:val="auto"/>
        </w:rPr>
      </w:pPr>
    </w:p>
    <w:p>
      <w:pPr>
        <w:ind w:left="1880" w:right="1499" w:hanging="137"/>
        <w:spacing w:after="0" w:line="285" w:lineRule="auto"/>
        <w:tabs>
          <w:tab w:leader="none" w:pos="18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reviewing and approving financial and business goals and objectives used as a basis for measuring the performance of the CEO and relevant to CEO compensation;</w:t>
      </w:r>
    </w:p>
    <w:p>
      <w:pPr>
        <w:spacing w:after="0" w:line="23" w:lineRule="exact"/>
        <w:rPr>
          <w:rFonts w:ascii="Arial" w:cs="Arial" w:eastAsia="Arial" w:hAnsi="Arial"/>
          <w:sz w:val="13"/>
          <w:szCs w:val="13"/>
          <w:color w:val="auto"/>
        </w:rPr>
      </w:pPr>
    </w:p>
    <w:p>
      <w:pPr>
        <w:ind w:left="1880" w:right="1499" w:hanging="137"/>
        <w:spacing w:after="0" w:line="285" w:lineRule="auto"/>
        <w:tabs>
          <w:tab w:leader="none" w:pos="18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reviewing and approving Celestica’s quarterly and annual financial statements after the Audit Committee has reviewed and made a recommendation to the Board regarding such statements;</w:t>
      </w:r>
    </w:p>
    <w:p>
      <w:pPr>
        <w:spacing w:after="0" w:line="23" w:lineRule="exact"/>
        <w:rPr>
          <w:rFonts w:ascii="Arial" w:cs="Arial" w:eastAsia="Arial" w:hAnsi="Arial"/>
          <w:sz w:val="13"/>
          <w:szCs w:val="13"/>
          <w:color w:val="auto"/>
        </w:rPr>
      </w:pPr>
    </w:p>
    <w:p>
      <w:pPr>
        <w:ind w:left="1880" w:hanging="137"/>
        <w:spacing w:after="0"/>
        <w:tabs>
          <w:tab w:leader="none" w:pos="18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approving director compensation; and</w:t>
      </w:r>
    </w:p>
    <w:p>
      <w:pPr>
        <w:spacing w:after="0" w:line="69" w:lineRule="exact"/>
        <w:rPr>
          <w:rFonts w:ascii="Arial" w:cs="Arial" w:eastAsia="Arial" w:hAnsi="Arial"/>
          <w:sz w:val="13"/>
          <w:szCs w:val="13"/>
          <w:color w:val="auto"/>
        </w:rPr>
      </w:pPr>
    </w:p>
    <w:p>
      <w:pPr>
        <w:ind w:left="1880" w:hanging="137"/>
        <w:spacing w:after="0"/>
        <w:tabs>
          <w:tab w:leader="none" w:pos="18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monitoring compliance with the BCG Policy.</w:t>
      </w:r>
    </w:p>
    <w:p>
      <w:pPr>
        <w:spacing w:after="0" w:line="89"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The Board Mandate is attached to this Circular as Schedule A.</w:t>
      </w:r>
    </w:p>
    <w:p>
      <w:pPr>
        <w:spacing w:after="0" w:line="163" w:lineRule="exact"/>
        <w:rPr>
          <w:sz w:val="20"/>
          <w:szCs w:val="20"/>
          <w:color w:val="auto"/>
        </w:rPr>
      </w:pPr>
    </w:p>
    <w:p>
      <w:pPr>
        <w:jc w:val="center"/>
        <w:ind w:right="3919"/>
        <w:spacing w:after="0"/>
        <w:rPr>
          <w:sz w:val="20"/>
          <w:szCs w:val="20"/>
          <w:color w:val="auto"/>
        </w:rPr>
      </w:pPr>
      <w:r>
        <w:rPr>
          <w:rFonts w:ascii="Arial" w:cs="Arial" w:eastAsia="Arial" w:hAnsi="Arial"/>
          <w:sz w:val="16"/>
          <w:szCs w:val="16"/>
          <w:b w:val="1"/>
          <w:bCs w:val="1"/>
          <w:color w:val="auto"/>
        </w:rPr>
        <w:t>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38100</wp:posOffset>
            </wp:positionV>
            <wp:extent cx="3502025"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502025" cy="6350"/>
                    </a:xfrm>
                    <a:prstGeom prst="rect">
                      <a:avLst/>
                    </a:prstGeom>
                    <a:noFill/>
                  </pic:spPr>
                </pic:pic>
              </a:graphicData>
            </a:graphic>
          </wp:anchor>
        </w:drawing>
      </w:r>
    </w:p>
    <w:p>
      <w:pPr>
        <w:spacing w:after="0" w:line="178" w:lineRule="exact"/>
        <w:rPr>
          <w:sz w:val="20"/>
          <w:szCs w:val="20"/>
          <w:color w:val="auto"/>
        </w:rPr>
      </w:pPr>
    </w:p>
    <w:p>
      <w:pPr>
        <w:ind w:left="1740"/>
        <w:spacing w:after="0"/>
        <w:rPr>
          <w:sz w:val="20"/>
          <w:szCs w:val="20"/>
          <w:color w:val="auto"/>
        </w:rPr>
      </w:pPr>
      <w:r>
        <w:rPr>
          <w:rFonts w:ascii="Arial" w:cs="Arial" w:eastAsia="Arial" w:hAnsi="Arial"/>
          <w:sz w:val="15"/>
          <w:szCs w:val="15"/>
          <w:b w:val="1"/>
          <w:bCs w:val="1"/>
          <w:u w:val="single" w:color="auto"/>
          <w:color w:val="auto"/>
        </w:rPr>
        <w:t>Director Independence</w:t>
      </w:r>
    </w:p>
    <w:p>
      <w:pPr>
        <w:spacing w:after="0" w:line="158" w:lineRule="exact"/>
        <w:rPr>
          <w:sz w:val="20"/>
          <w:szCs w:val="20"/>
          <w:color w:val="auto"/>
        </w:rPr>
      </w:pPr>
    </w:p>
    <w:p>
      <w:pPr>
        <w:jc w:val="both"/>
        <w:ind w:left="1480" w:right="1499"/>
        <w:spacing w:after="0" w:line="243" w:lineRule="auto"/>
        <w:rPr>
          <w:sz w:val="20"/>
          <w:szCs w:val="20"/>
          <w:color w:val="auto"/>
        </w:rPr>
      </w:pPr>
      <w:r>
        <w:rPr>
          <w:rFonts w:ascii="Arial" w:cs="Arial" w:eastAsia="Arial" w:hAnsi="Arial"/>
          <w:sz w:val="13"/>
          <w:szCs w:val="13"/>
          <w:color w:val="auto"/>
        </w:rPr>
        <w:t>The Board has determined that all directors, except for Messrs. Mionis and Popatia, are independent as determined in accordance with applicable Canadian securities laws and NYSE listing standards. To determine whether directors are independent, the Board uses information about their personal and business relationships with Celestica. The Board collects this information from sources such as directors’ responses to a detailed annual questionnaire, director biographical information and internal records of direct or indirect material relationships (such as any relationship with the Corporation, any of the Corporation’s subsidiaries or with Onex (which holds approximately 80.9% of the voting rights of the Corporation’s securities)) which could, in the view of the Board, be reasonably expected to interfere with the exercise of the director’s independent judgment.</w:t>
      </w:r>
    </w:p>
    <w:p>
      <w:pPr>
        <w:spacing w:after="0" w:line="61" w:lineRule="exact"/>
        <w:rPr>
          <w:sz w:val="20"/>
          <w:szCs w:val="20"/>
          <w:color w:val="auto"/>
        </w:rPr>
      </w:pPr>
    </w:p>
    <w:p>
      <w:pPr>
        <w:jc w:val="both"/>
        <w:ind w:left="1480" w:right="1499"/>
        <w:spacing w:after="0" w:line="269" w:lineRule="auto"/>
        <w:rPr>
          <w:sz w:val="20"/>
          <w:szCs w:val="20"/>
          <w:color w:val="auto"/>
        </w:rPr>
      </w:pPr>
      <w:r>
        <w:rPr>
          <w:rFonts w:ascii="Arial" w:cs="Arial" w:eastAsia="Arial" w:hAnsi="Arial"/>
          <w:sz w:val="13"/>
          <w:szCs w:val="13"/>
          <w:color w:val="auto"/>
        </w:rPr>
        <w:t>The following chart details the Board’s determination with respect to the independence status of each director nominee:</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Table 6: Directors’ Relationships to the Corporation</w:t>
      </w:r>
    </w:p>
    <w:p>
      <w:pPr>
        <w:spacing w:after="0" w:line="67" w:lineRule="exact"/>
        <w:rPr>
          <w:sz w:val="20"/>
          <w:szCs w:val="20"/>
          <w:color w:val="auto"/>
        </w:rPr>
      </w:pPr>
    </w:p>
    <w:tbl>
      <w:tblPr>
        <w:tblLayout w:type="fixed"/>
        <w:tblInd w:w="1950" w:type="dxa"/>
        <w:tblCellMar>
          <w:top w:w="0" w:type="dxa"/>
          <w:left w:w="0" w:type="dxa"/>
          <w:bottom w:w="0" w:type="dxa"/>
          <w:right w:w="0" w:type="dxa"/>
        </w:tblCellMar>
      </w:tblPr>
      <w:tr>
        <w:trPr>
          <w:trHeight w:val="45"/>
        </w:trPr>
        <w:tc>
          <w:tcPr>
            <w:tcW w:w="60" w:type="dxa"/>
            <w:vAlign w:val="bottom"/>
            <w:tcBorders>
              <w:top w:val="single" w:sz="8" w:color="auto"/>
              <w:left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800" w:type="dxa"/>
            <w:vAlign w:val="bottom"/>
            <w:tcBorders>
              <w:top w:val="single" w:sz="8" w:color="auto"/>
              <w:bottom w:val="single" w:sz="8" w:color="auto"/>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188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r>
      <w:tr>
        <w:trPr>
          <w:trHeight w:val="176"/>
        </w:trPr>
        <w:tc>
          <w:tcPr>
            <w:tcW w:w="60" w:type="dxa"/>
            <w:vAlign w:val="bottom"/>
            <w:tcBorders>
              <w:left w:val="single" w:sz="8" w:color="auto"/>
              <w:right w:val="single" w:sz="8" w:color="auto"/>
            </w:tcBorders>
          </w:tcPr>
          <w:p>
            <w:pPr>
              <w:spacing w:after="0"/>
              <w:rPr>
                <w:sz w:val="15"/>
                <w:szCs w:val="15"/>
                <w:color w:val="auto"/>
              </w:rPr>
            </w:pPr>
          </w:p>
        </w:tc>
        <w:tc>
          <w:tcPr>
            <w:tcW w:w="152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jc w:val="center"/>
              <w:ind w:right="4"/>
              <w:spacing w:after="0"/>
              <w:rPr>
                <w:sz w:val="20"/>
                <w:szCs w:val="20"/>
                <w:color w:val="auto"/>
              </w:rPr>
            </w:pPr>
            <w:r>
              <w:rPr>
                <w:rFonts w:ascii="Arial" w:cs="Arial" w:eastAsia="Arial" w:hAnsi="Arial"/>
                <w:sz w:val="11"/>
                <w:szCs w:val="11"/>
                <w:i w:val="1"/>
                <w:iCs w:val="1"/>
                <w:color w:val="auto"/>
                <w:w w:val="93"/>
              </w:rPr>
              <w:t>Not</w:t>
            </w:r>
          </w:p>
        </w:tc>
        <w:tc>
          <w:tcPr>
            <w:tcW w:w="1880" w:type="dxa"/>
            <w:vAlign w:val="bottom"/>
            <w:tcBorders>
              <w:right w:val="single" w:sz="8" w:color="auto"/>
            </w:tcBorders>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r>
      <w:tr>
        <w:trPr>
          <w:trHeight w:val="143"/>
        </w:trPr>
        <w:tc>
          <w:tcPr>
            <w:tcW w:w="60" w:type="dxa"/>
            <w:vAlign w:val="bottom"/>
            <w:tcBorders>
              <w:left w:val="single" w:sz="8" w:color="auto"/>
              <w:right w:val="single" w:sz="8" w:color="auto"/>
            </w:tcBorders>
          </w:tcPr>
          <w:p>
            <w:pPr>
              <w:spacing w:after="0"/>
              <w:rPr>
                <w:sz w:val="12"/>
                <w:szCs w:val="12"/>
                <w:color w:val="auto"/>
              </w:rPr>
            </w:pPr>
          </w:p>
        </w:tc>
        <w:tc>
          <w:tcPr>
            <w:tcW w:w="1520" w:type="dxa"/>
            <w:vAlign w:val="bottom"/>
            <w:tcBorders>
              <w:bottom w:val="single" w:sz="8" w:color="auto"/>
              <w:right w:val="single" w:sz="8" w:color="auto"/>
            </w:tcBorders>
          </w:tcPr>
          <w:p>
            <w:pPr>
              <w:ind w:left="620"/>
              <w:spacing w:after="0"/>
              <w:rPr>
                <w:sz w:val="20"/>
                <w:szCs w:val="20"/>
                <w:color w:val="auto"/>
              </w:rPr>
            </w:pPr>
            <w:r>
              <w:rPr>
                <w:rFonts w:ascii="Arial" w:cs="Arial" w:eastAsia="Arial" w:hAnsi="Arial"/>
                <w:sz w:val="11"/>
                <w:szCs w:val="11"/>
                <w:i w:val="1"/>
                <w:iCs w:val="1"/>
                <w:color w:val="auto"/>
              </w:rPr>
              <w:t>Name</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i w:val="1"/>
                <w:iCs w:val="1"/>
                <w:color w:val="auto"/>
                <w:w w:val="88"/>
              </w:rPr>
              <w:t>Independent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i w:val="1"/>
                <w:iCs w:val="1"/>
                <w:color w:val="auto"/>
                <w:w w:val="88"/>
              </w:rPr>
              <w:t>Independent</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i w:val="1"/>
                <w:iCs w:val="1"/>
                <w:color w:val="auto"/>
                <w:w w:val="89"/>
              </w:rPr>
              <w:t>Reason not Independent</w:t>
            </w:r>
          </w:p>
        </w:tc>
        <w:tc>
          <w:tcPr>
            <w:tcW w:w="40" w:type="dxa"/>
            <w:vAlign w:val="bottom"/>
            <w:tcBorders>
              <w:right w:val="single" w:sz="8" w:color="auto"/>
            </w:tcBorders>
          </w:tcPr>
          <w:p>
            <w:pPr>
              <w:spacing w:after="0"/>
              <w:rPr>
                <w:sz w:val="12"/>
                <w:szCs w:val="12"/>
                <w:color w:val="auto"/>
              </w:rPr>
            </w:pPr>
          </w:p>
        </w:tc>
      </w:tr>
      <w:tr>
        <w:trPr>
          <w:trHeight w:val="217"/>
        </w:trPr>
        <w:tc>
          <w:tcPr>
            <w:tcW w:w="60" w:type="dxa"/>
            <w:vAlign w:val="bottom"/>
            <w:tcBorders>
              <w:left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Robert A. Cascella</w:t>
            </w:r>
          </w:p>
        </w:tc>
        <w:tc>
          <w:tcPr>
            <w:tcW w:w="800" w:type="dxa"/>
            <w:vAlign w:val="bottom"/>
            <w:tcBorders>
              <w:bottom w:val="single" w:sz="8" w:color="auto"/>
              <w:right w:val="single" w:sz="8" w:color="auto"/>
            </w:tcBorders>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78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r>
      <w:tr>
        <w:trPr>
          <w:trHeight w:val="209"/>
        </w:trPr>
        <w:tc>
          <w:tcPr>
            <w:tcW w:w="60" w:type="dxa"/>
            <w:vAlign w:val="bottom"/>
            <w:tcBorders>
              <w:left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Deepak Chopra</w:t>
            </w:r>
          </w:p>
        </w:tc>
        <w:tc>
          <w:tcPr>
            <w:tcW w:w="800" w:type="dxa"/>
            <w:vAlign w:val="bottom"/>
            <w:tcBorders>
              <w:bottom w:val="single" w:sz="8" w:color="auto"/>
              <w:right w:val="single" w:sz="8" w:color="auto"/>
            </w:tcBorders>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78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r>
      <w:tr>
        <w:trPr>
          <w:trHeight w:val="209"/>
        </w:trPr>
        <w:tc>
          <w:tcPr>
            <w:tcW w:w="60" w:type="dxa"/>
            <w:vAlign w:val="bottom"/>
            <w:tcBorders>
              <w:left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Daniel P. DiMaggio</w:t>
            </w:r>
          </w:p>
        </w:tc>
        <w:tc>
          <w:tcPr>
            <w:tcW w:w="800" w:type="dxa"/>
            <w:vAlign w:val="bottom"/>
            <w:tcBorders>
              <w:bottom w:val="single" w:sz="8" w:color="auto"/>
              <w:right w:val="single" w:sz="8" w:color="auto"/>
            </w:tcBorders>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78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r>
      <w:tr>
        <w:trPr>
          <w:trHeight w:val="209"/>
        </w:trPr>
        <w:tc>
          <w:tcPr>
            <w:tcW w:w="60" w:type="dxa"/>
            <w:vAlign w:val="bottom"/>
            <w:tcBorders>
              <w:left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Laurette T. Koellner</w:t>
            </w:r>
          </w:p>
        </w:tc>
        <w:tc>
          <w:tcPr>
            <w:tcW w:w="800" w:type="dxa"/>
            <w:vAlign w:val="bottom"/>
            <w:tcBorders>
              <w:bottom w:val="single" w:sz="8" w:color="auto"/>
              <w:right w:val="single" w:sz="8" w:color="auto"/>
            </w:tcBorders>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78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r>
      <w:tr>
        <w:trPr>
          <w:trHeight w:val="209"/>
        </w:trPr>
        <w:tc>
          <w:tcPr>
            <w:tcW w:w="60" w:type="dxa"/>
            <w:vAlign w:val="bottom"/>
            <w:tcBorders>
              <w:left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Robert A. Mionis</w:t>
            </w:r>
          </w:p>
        </w:tc>
        <w:tc>
          <w:tcPr>
            <w:tcW w:w="80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2"/>
              </w:rPr>
              <w:t>President and CEO of Celestica</w:t>
            </w:r>
          </w:p>
        </w:tc>
        <w:tc>
          <w:tcPr>
            <w:tcW w:w="40" w:type="dxa"/>
            <w:vAlign w:val="bottom"/>
            <w:tcBorders>
              <w:right w:val="single" w:sz="8" w:color="auto"/>
            </w:tcBorders>
          </w:tcPr>
          <w:p>
            <w:pPr>
              <w:spacing w:after="0"/>
              <w:rPr>
                <w:sz w:val="18"/>
                <w:szCs w:val="18"/>
                <w:color w:val="auto"/>
              </w:rPr>
            </w:pPr>
          </w:p>
        </w:tc>
      </w:tr>
      <w:tr>
        <w:trPr>
          <w:trHeight w:val="209"/>
        </w:trPr>
        <w:tc>
          <w:tcPr>
            <w:tcW w:w="60" w:type="dxa"/>
            <w:vAlign w:val="bottom"/>
            <w:tcBorders>
              <w:left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Carol S. Perry</w:t>
            </w:r>
          </w:p>
        </w:tc>
        <w:tc>
          <w:tcPr>
            <w:tcW w:w="800" w:type="dxa"/>
            <w:vAlign w:val="bottom"/>
            <w:tcBorders>
              <w:bottom w:val="single" w:sz="8" w:color="auto"/>
              <w:right w:val="single" w:sz="8" w:color="auto"/>
            </w:tcBorders>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78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r>
      <w:tr>
        <w:trPr>
          <w:trHeight w:val="209"/>
        </w:trPr>
        <w:tc>
          <w:tcPr>
            <w:tcW w:w="60" w:type="dxa"/>
            <w:vAlign w:val="bottom"/>
            <w:tcBorders>
              <w:left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Tawfiq Popatia</w:t>
            </w:r>
          </w:p>
        </w:tc>
        <w:tc>
          <w:tcPr>
            <w:tcW w:w="80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Senior Managing Director of Onex</w:t>
            </w:r>
          </w:p>
        </w:tc>
        <w:tc>
          <w:tcPr>
            <w:tcW w:w="40" w:type="dxa"/>
            <w:vAlign w:val="bottom"/>
            <w:tcBorders>
              <w:right w:val="single" w:sz="8" w:color="auto"/>
            </w:tcBorders>
          </w:tcPr>
          <w:p>
            <w:pPr>
              <w:spacing w:after="0"/>
              <w:rPr>
                <w:sz w:val="18"/>
                <w:szCs w:val="18"/>
                <w:color w:val="auto"/>
              </w:rPr>
            </w:pPr>
          </w:p>
        </w:tc>
      </w:tr>
      <w:tr>
        <w:trPr>
          <w:trHeight w:val="209"/>
        </w:trPr>
        <w:tc>
          <w:tcPr>
            <w:tcW w:w="60" w:type="dxa"/>
            <w:vAlign w:val="bottom"/>
            <w:tcBorders>
              <w:left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Eamon J. Ryan</w:t>
            </w:r>
          </w:p>
        </w:tc>
        <w:tc>
          <w:tcPr>
            <w:tcW w:w="800" w:type="dxa"/>
            <w:vAlign w:val="bottom"/>
            <w:tcBorders>
              <w:bottom w:val="single" w:sz="8" w:color="auto"/>
              <w:right w:val="single" w:sz="8" w:color="auto"/>
            </w:tcBorders>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78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r>
      <w:tr>
        <w:trPr>
          <w:trHeight w:val="209"/>
        </w:trPr>
        <w:tc>
          <w:tcPr>
            <w:tcW w:w="60" w:type="dxa"/>
            <w:vAlign w:val="bottom"/>
            <w:tcBorders>
              <w:left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Michael M. Wilson</w:t>
            </w:r>
          </w:p>
        </w:tc>
        <w:tc>
          <w:tcPr>
            <w:tcW w:w="800" w:type="dxa"/>
            <w:vAlign w:val="bottom"/>
            <w:tcBorders>
              <w:bottom w:val="single" w:sz="8" w:color="auto"/>
              <w:right w:val="single" w:sz="8" w:color="auto"/>
            </w:tcBorders>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78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r>
      <w:tr>
        <w:trPr>
          <w:trHeight w:val="20"/>
        </w:trPr>
        <w:tc>
          <w:tcPr>
            <w:tcW w:w="60" w:type="dxa"/>
            <w:vAlign w:val="bottom"/>
            <w:tcBorders>
              <w:left w:val="single" w:sz="8" w:color="auto"/>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1740"/>
        <w:spacing w:after="0"/>
        <w:rPr>
          <w:sz w:val="20"/>
          <w:szCs w:val="20"/>
          <w:color w:val="auto"/>
        </w:rPr>
      </w:pPr>
      <w:r>
        <w:rPr>
          <w:rFonts w:ascii="Arial" w:cs="Arial" w:eastAsia="Arial" w:hAnsi="Arial"/>
          <w:sz w:val="15"/>
          <w:szCs w:val="15"/>
          <w:b w:val="1"/>
          <w:bCs w:val="1"/>
          <w:u w:val="single" w:color="auto"/>
          <w:color w:val="auto"/>
        </w:rPr>
        <w:t>Independent Chair</w:t>
      </w:r>
    </w:p>
    <w:p>
      <w:pPr>
        <w:spacing w:after="0" w:line="158" w:lineRule="exact"/>
        <w:rPr>
          <w:sz w:val="20"/>
          <w:szCs w:val="20"/>
          <w:color w:val="auto"/>
        </w:rPr>
      </w:pPr>
    </w:p>
    <w:p>
      <w:pPr>
        <w:jc w:val="both"/>
        <w:ind w:left="1480" w:right="1499"/>
        <w:spacing w:after="0" w:line="254" w:lineRule="auto"/>
        <w:rPr>
          <w:sz w:val="20"/>
          <w:szCs w:val="20"/>
          <w:color w:val="auto"/>
        </w:rPr>
      </w:pPr>
      <w:r>
        <w:rPr>
          <w:rFonts w:ascii="Arial" w:cs="Arial" w:eastAsia="Arial" w:hAnsi="Arial"/>
          <w:sz w:val="13"/>
          <w:szCs w:val="13"/>
          <w:color w:val="auto"/>
        </w:rPr>
        <w:t>Mr. Wilson is the Chair of the Board and is an independent director under applicable Canadian rules and NYSE listing standards. In this capacity, Mr. Wilson is responsible for the effective functioning of the Board.</w:t>
      </w: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9" w:name="page30"/>
    <w:bookmarkEnd w:id="29"/>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97" w:lineRule="exact"/>
        <w:rPr>
          <w:sz w:val="20"/>
          <w:szCs w:val="20"/>
          <w:color w:val="auto"/>
        </w:rPr>
      </w:pPr>
    </w:p>
    <w:p>
      <w:pPr>
        <w:jc w:val="both"/>
        <w:ind w:left="1480" w:right="1499"/>
        <w:spacing w:after="0" w:line="247" w:lineRule="auto"/>
        <w:rPr>
          <w:sz w:val="20"/>
          <w:szCs w:val="20"/>
          <w:color w:val="auto"/>
        </w:rPr>
      </w:pPr>
      <w:r>
        <w:rPr>
          <w:rFonts w:ascii="Arial" w:cs="Arial" w:eastAsia="Arial" w:hAnsi="Arial"/>
          <w:sz w:val="13"/>
          <w:szCs w:val="13"/>
          <w:color w:val="auto"/>
        </w:rPr>
        <w:t xml:space="preserve">As part of his duties, he establishes procedures to govern the Board’s work and ensure the Board’s full discharge of its duties. Celestica shareholders and other interested parties may communicate directly to the Chair any concerns that they may have regarding the Corporation. See the contact information under </w:t>
      </w:r>
      <w:r>
        <w:rPr>
          <w:rFonts w:ascii="Arial" w:cs="Arial" w:eastAsia="Arial" w:hAnsi="Arial"/>
          <w:sz w:val="13"/>
          <w:szCs w:val="13"/>
          <w:i w:val="1"/>
          <w:iCs w:val="1"/>
          <w:color w:val="auto"/>
        </w:rPr>
        <w:t xml:space="preserve">Questions and Answers on Voting and Proxies — How Can I Contact the Independent Directors and Chair? </w:t>
      </w:r>
      <w:r>
        <w:rPr>
          <w:rFonts w:ascii="Arial" w:cs="Arial" w:eastAsia="Arial" w:hAnsi="Arial"/>
          <w:sz w:val="13"/>
          <w:szCs w:val="13"/>
          <w:color w:val="auto"/>
        </w:rPr>
        <w:t>in this Circular.</w:t>
      </w:r>
    </w:p>
    <w:p>
      <w:pPr>
        <w:spacing w:after="0" w:line="135" w:lineRule="exact"/>
        <w:rPr>
          <w:sz w:val="20"/>
          <w:szCs w:val="20"/>
          <w:color w:val="auto"/>
        </w:rPr>
      </w:pPr>
    </w:p>
    <w:p>
      <w:pPr>
        <w:ind w:left="1740"/>
        <w:spacing w:after="0"/>
        <w:rPr>
          <w:sz w:val="20"/>
          <w:szCs w:val="20"/>
          <w:color w:val="auto"/>
        </w:rPr>
      </w:pPr>
      <w:r>
        <w:rPr>
          <w:rFonts w:ascii="Arial" w:cs="Arial" w:eastAsia="Arial" w:hAnsi="Arial"/>
          <w:sz w:val="15"/>
          <w:szCs w:val="15"/>
          <w:b w:val="1"/>
          <w:bCs w:val="1"/>
          <w:u w:val="single" w:color="auto"/>
          <w:color w:val="auto"/>
        </w:rPr>
        <w:t>Public Company Board Membership</w:t>
      </w:r>
    </w:p>
    <w:p>
      <w:pPr>
        <w:spacing w:after="0" w:line="168" w:lineRule="exact"/>
        <w:rPr>
          <w:sz w:val="20"/>
          <w:szCs w:val="20"/>
          <w:color w:val="auto"/>
        </w:rPr>
      </w:pPr>
    </w:p>
    <w:p>
      <w:pPr>
        <w:jc w:val="both"/>
        <w:ind w:left="1480" w:right="1499"/>
        <w:spacing w:after="0" w:line="254" w:lineRule="auto"/>
        <w:rPr>
          <w:sz w:val="20"/>
          <w:szCs w:val="20"/>
          <w:color w:val="auto"/>
        </w:rPr>
      </w:pPr>
      <w:r>
        <w:rPr>
          <w:rFonts w:ascii="Arial" w:cs="Arial" w:eastAsia="Arial" w:hAnsi="Arial"/>
          <w:sz w:val="13"/>
          <w:szCs w:val="13"/>
          <w:color w:val="auto"/>
        </w:rPr>
        <w:t xml:space="preserve">None of the current directors of the Corporation serve together as directors of other corporations. See </w:t>
      </w:r>
      <w:r>
        <w:rPr>
          <w:rFonts w:ascii="Arial" w:cs="Arial" w:eastAsia="Arial" w:hAnsi="Arial"/>
          <w:sz w:val="13"/>
          <w:szCs w:val="13"/>
          <w:i w:val="1"/>
          <w:iCs w:val="1"/>
          <w:color w:val="auto"/>
        </w:rPr>
        <w:t xml:space="preserve">Election of Directors — Nominees for Election as Director </w:t>
      </w:r>
      <w:r>
        <w:rPr>
          <w:rFonts w:ascii="Arial" w:cs="Arial" w:eastAsia="Arial" w:hAnsi="Arial"/>
          <w:sz w:val="13"/>
          <w:szCs w:val="13"/>
          <w:color w:val="auto"/>
        </w:rPr>
        <w:t>for the other public companies on which the</w:t>
      </w:r>
      <w:r>
        <w:rPr>
          <w:rFonts w:ascii="Arial" w:cs="Arial" w:eastAsia="Arial" w:hAnsi="Arial"/>
          <w:sz w:val="13"/>
          <w:szCs w:val="13"/>
          <w:i w:val="1"/>
          <w:iCs w:val="1"/>
          <w:color w:val="auto"/>
        </w:rPr>
        <w:t xml:space="preserve"> </w:t>
      </w:r>
      <w:r>
        <w:rPr>
          <w:rFonts w:ascii="Arial" w:cs="Arial" w:eastAsia="Arial" w:hAnsi="Arial"/>
          <w:sz w:val="13"/>
          <w:szCs w:val="13"/>
          <w:color w:val="auto"/>
        </w:rPr>
        <w:t>directors currently serve.</w:t>
      </w:r>
    </w:p>
    <w:p>
      <w:pPr>
        <w:spacing w:after="0" w:line="53" w:lineRule="exact"/>
        <w:rPr>
          <w:sz w:val="20"/>
          <w:szCs w:val="20"/>
          <w:color w:val="auto"/>
        </w:rPr>
      </w:pPr>
    </w:p>
    <w:p>
      <w:pPr>
        <w:jc w:val="both"/>
        <w:ind w:left="1480" w:right="1499"/>
        <w:spacing w:after="0" w:line="254" w:lineRule="auto"/>
        <w:rPr>
          <w:sz w:val="20"/>
          <w:szCs w:val="20"/>
          <w:color w:val="auto"/>
        </w:rPr>
      </w:pPr>
      <w:r>
        <w:rPr>
          <w:rFonts w:ascii="Arial" w:cs="Arial" w:eastAsia="Arial" w:hAnsi="Arial"/>
          <w:sz w:val="13"/>
          <w:szCs w:val="13"/>
          <w:color w:val="auto"/>
        </w:rPr>
        <w:t>Under the Corporate Governance Guidelines, directors must advise the Chair and the Chair of the NCGC before accepting membership on other public company boards and must also notify the Chair and Celestica’s Chief Legal Officer of any change of primary employment.</w:t>
      </w:r>
    </w:p>
    <w:p>
      <w:pPr>
        <w:spacing w:after="0" w:line="127"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auto"/>
        </w:rPr>
        <w:t>Position Descriptions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38100</wp:posOffset>
            </wp:positionV>
            <wp:extent cx="3502025"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502025" cy="6350"/>
                    </a:xfrm>
                    <a:prstGeom prst="rect">
                      <a:avLst/>
                    </a:prstGeom>
                    <a:noFill/>
                  </pic:spPr>
                </pic:pic>
              </a:graphicData>
            </a:graphic>
          </wp:anchor>
        </w:drawing>
      </w:r>
    </w:p>
    <w:p>
      <w:pPr>
        <w:spacing w:after="0" w:line="121" w:lineRule="exact"/>
        <w:rPr>
          <w:sz w:val="20"/>
          <w:szCs w:val="20"/>
          <w:color w:val="auto"/>
        </w:rPr>
      </w:pPr>
    </w:p>
    <w:p>
      <w:pPr>
        <w:jc w:val="both"/>
        <w:ind w:left="1480" w:right="1499"/>
        <w:spacing w:after="0" w:line="245" w:lineRule="auto"/>
        <w:rPr>
          <w:sz w:val="20"/>
          <w:szCs w:val="20"/>
          <w:color w:val="auto"/>
        </w:rPr>
      </w:pPr>
      <w:r>
        <w:rPr>
          <w:rFonts w:ascii="Arial" w:cs="Arial" w:eastAsia="Arial" w:hAnsi="Arial"/>
          <w:sz w:val="13"/>
          <w:szCs w:val="13"/>
          <w:color w:val="auto"/>
        </w:rPr>
        <w:t>The Board has developed and approved written position descriptions for the Chair of the Board, the Chair of each standing committee of the Board and the CEO. The CEO has full responsibility for the day-to-day operations of the Corporation’s business in accordance with the Corporation’s strategic plan, current year operating plan and capital expenditure budget, each as approved by the Board. The CEO must develop and implement processes that are intended to ensure the achievement of the Corporation’s financial and operating goals and objectives.</w:t>
      </w:r>
    </w:p>
    <w:p>
      <w:pPr>
        <w:spacing w:after="0" w:line="134"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auto"/>
        </w:rPr>
        <w:t>Director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38100</wp:posOffset>
            </wp:positionV>
            <wp:extent cx="3502025"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502025" cy="6350"/>
                    </a:xfrm>
                    <a:prstGeom prst="rect">
                      <a:avLst/>
                    </a:prstGeom>
                    <a:noFill/>
                  </pic:spPr>
                </pic:pic>
              </a:graphicData>
            </a:graphic>
          </wp:anchor>
        </w:drawing>
      </w:r>
    </w:p>
    <w:p>
      <w:pPr>
        <w:spacing w:after="0" w:line="121" w:lineRule="exact"/>
        <w:rPr>
          <w:sz w:val="20"/>
          <w:szCs w:val="20"/>
          <w:color w:val="auto"/>
        </w:rPr>
      </w:pPr>
    </w:p>
    <w:p>
      <w:pPr>
        <w:jc w:val="both"/>
        <w:ind w:left="1480" w:right="1499"/>
        <w:spacing w:after="0" w:line="249" w:lineRule="auto"/>
        <w:rPr>
          <w:sz w:val="20"/>
          <w:szCs w:val="20"/>
          <w:color w:val="auto"/>
        </w:rPr>
      </w:pPr>
      <w:r>
        <w:rPr>
          <w:rFonts w:ascii="Arial" w:cs="Arial" w:eastAsia="Arial" w:hAnsi="Arial"/>
          <w:sz w:val="13"/>
          <w:szCs w:val="13"/>
          <w:color w:val="auto"/>
        </w:rPr>
        <w:t>Directors are expected to be prepared for and attend all Board and respective committee meetings. The following table sets forth the attendance of directors at Board meetings and at meetings of those standing committees of which they are members, from January 1, 2020 to February 22, 2021. All then-members of the Board attended the Corporation’s last annual meeting of shareholders.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Table 7: Directors’ Attendance at Board and Committee Meetings</w:t>
      </w:r>
    </w:p>
    <w:p>
      <w:pPr>
        <w:spacing w:after="0" w:line="67" w:lineRule="exact"/>
        <w:rPr>
          <w:sz w:val="20"/>
          <w:szCs w:val="20"/>
          <w:color w:val="auto"/>
        </w:rPr>
      </w:pPr>
    </w:p>
    <w:tbl>
      <w:tblPr>
        <w:tblLayout w:type="fixed"/>
        <w:tblInd w:w="1490" w:type="dxa"/>
        <w:tblCellMar>
          <w:top w:w="0" w:type="dxa"/>
          <w:left w:w="0" w:type="dxa"/>
          <w:bottom w:w="0" w:type="dxa"/>
          <w:right w:w="0" w:type="dxa"/>
        </w:tblCellMar>
      </w:tblPr>
      <w:tr>
        <w:trPr>
          <w:trHeight w:val="45"/>
        </w:trPr>
        <w:tc>
          <w:tcPr>
            <w:tcW w:w="2240" w:type="dxa"/>
            <w:vAlign w:val="bottom"/>
            <w:tcBorders>
              <w:top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6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right w:val="single" w:sz="8" w:color="auto"/>
            </w:tcBorders>
          </w:tcPr>
          <w:p>
            <w:pPr>
              <w:spacing w:after="0"/>
              <w:rPr>
                <w:sz w:val="3"/>
                <w:szCs w:val="3"/>
                <w:color w:val="auto"/>
              </w:rPr>
            </w:pPr>
          </w:p>
        </w:tc>
      </w:tr>
      <w:tr>
        <w:trPr>
          <w:trHeight w:val="202"/>
        </w:trPr>
        <w:tc>
          <w:tcPr>
            <w:tcW w:w="224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ind w:left="160"/>
              <w:spacing w:after="0"/>
              <w:rPr>
                <w:sz w:val="20"/>
                <w:szCs w:val="20"/>
                <w:color w:val="auto"/>
              </w:rPr>
            </w:pPr>
            <w:r>
              <w:rPr>
                <w:rFonts w:ascii="Arial" w:cs="Arial" w:eastAsia="Arial" w:hAnsi="Arial"/>
                <w:sz w:val="11"/>
                <w:szCs w:val="11"/>
                <w:b w:val="1"/>
                <w:bCs w:val="1"/>
                <w:color w:val="auto"/>
              </w:rPr>
              <w:t>Audit</w:t>
            </w:r>
          </w:p>
        </w:tc>
        <w:tc>
          <w:tcPr>
            <w:tcW w:w="6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40" w:type="dxa"/>
            <w:vAlign w:val="bottom"/>
            <w:tcBorders>
              <w:bottom w:val="single" w:sz="8" w:color="auto"/>
            </w:tcBorders>
            <w:gridSpan w:val="2"/>
          </w:tcPr>
          <w:p>
            <w:pPr>
              <w:ind w:left="160"/>
              <w:spacing w:after="0"/>
              <w:rPr>
                <w:sz w:val="20"/>
                <w:szCs w:val="20"/>
                <w:color w:val="auto"/>
              </w:rPr>
            </w:pPr>
            <w:r>
              <w:rPr>
                <w:rFonts w:ascii="Arial" w:cs="Arial" w:eastAsia="Arial" w:hAnsi="Arial"/>
                <w:sz w:val="11"/>
                <w:szCs w:val="11"/>
                <w:b w:val="1"/>
                <w:bCs w:val="1"/>
                <w:color w:val="auto"/>
                <w:w w:val="95"/>
              </w:rPr>
              <w:t>Meetings Attended %</w:t>
            </w:r>
          </w:p>
        </w:tc>
        <w:tc>
          <w:tcPr>
            <w:tcW w:w="60" w:type="dxa"/>
            <w:vAlign w:val="bottom"/>
            <w:tcBorders>
              <w:right w:val="single" w:sz="8" w:color="auto"/>
            </w:tcBorders>
          </w:tcPr>
          <w:p>
            <w:pPr>
              <w:spacing w:after="0"/>
              <w:rPr>
                <w:sz w:val="17"/>
                <w:szCs w:val="17"/>
                <w:color w:val="auto"/>
              </w:rPr>
            </w:pPr>
          </w:p>
        </w:tc>
      </w:tr>
      <w:tr>
        <w:trPr>
          <w:trHeight w:val="157"/>
        </w:trPr>
        <w:tc>
          <w:tcPr>
            <w:tcW w:w="22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1"/>
                <w:szCs w:val="11"/>
                <w:b w:val="1"/>
                <w:bCs w:val="1"/>
                <w:color w:val="auto"/>
              </w:rPr>
              <w:t>Director</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Board</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84"/>
              </w:rPr>
              <w:t>Committee</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HRCC</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NCGC</w:t>
            </w:r>
          </w:p>
        </w:tc>
        <w:tc>
          <w:tcPr>
            <w:tcW w:w="640" w:type="dxa"/>
            <w:vAlign w:val="bottom"/>
            <w:tcBorders>
              <w:right w:val="single" w:sz="8" w:color="auto"/>
            </w:tcBorders>
          </w:tcPr>
          <w:p>
            <w:pPr>
              <w:ind w:left="160"/>
              <w:spacing w:after="0"/>
              <w:rPr>
                <w:sz w:val="20"/>
                <w:szCs w:val="20"/>
                <w:color w:val="auto"/>
              </w:rPr>
            </w:pPr>
            <w:r>
              <w:rPr>
                <w:rFonts w:ascii="Arial" w:cs="Arial" w:eastAsia="Arial" w:hAnsi="Arial"/>
                <w:sz w:val="11"/>
                <w:szCs w:val="11"/>
                <w:b w:val="1"/>
                <w:bCs w:val="1"/>
                <w:color w:val="auto"/>
              </w:rPr>
              <w:t>Board</w:t>
            </w:r>
          </w:p>
        </w:tc>
        <w:tc>
          <w:tcPr>
            <w:tcW w:w="660" w:type="dxa"/>
            <w:vAlign w:val="bottom"/>
            <w:tcBorders>
              <w:right w:val="single" w:sz="8" w:color="auto"/>
            </w:tcBorders>
            <w:gridSpan w:val="2"/>
          </w:tcPr>
          <w:p>
            <w:pPr>
              <w:ind w:left="60"/>
              <w:spacing w:after="0"/>
              <w:rPr>
                <w:sz w:val="20"/>
                <w:szCs w:val="20"/>
                <w:color w:val="auto"/>
              </w:rPr>
            </w:pPr>
            <w:r>
              <w:rPr>
                <w:rFonts w:ascii="Arial" w:cs="Arial" w:eastAsia="Arial" w:hAnsi="Arial"/>
                <w:sz w:val="11"/>
                <w:szCs w:val="11"/>
                <w:b w:val="1"/>
                <w:bCs w:val="1"/>
                <w:color w:val="auto"/>
                <w:w w:val="98"/>
              </w:rPr>
              <w:t>Committee</w:t>
            </w:r>
          </w:p>
        </w:tc>
      </w:tr>
      <w:tr>
        <w:trPr>
          <w:trHeight w:val="213"/>
        </w:trPr>
        <w:tc>
          <w:tcPr>
            <w:tcW w:w="224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Robert A. Cascella</w:t>
            </w:r>
          </w:p>
        </w:tc>
        <w:tc>
          <w:tcPr>
            <w:tcW w:w="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8 of 8</w:t>
            </w:r>
          </w:p>
        </w:tc>
        <w:tc>
          <w:tcPr>
            <w:tcW w:w="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6 of 6</w:t>
            </w:r>
          </w:p>
        </w:tc>
        <w:tc>
          <w:tcPr>
            <w:tcW w:w="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6 of 6</w:t>
            </w:r>
          </w:p>
        </w:tc>
        <w:tc>
          <w:tcPr>
            <w:tcW w:w="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3 of 3</w:t>
            </w:r>
          </w:p>
        </w:tc>
        <w:tc>
          <w:tcPr>
            <w:tcW w:w="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100%</w:t>
            </w: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96"/>
              </w:rPr>
              <w:t>100%</w:t>
            </w:r>
          </w:p>
        </w:tc>
        <w:tc>
          <w:tcPr>
            <w:tcW w:w="60" w:type="dxa"/>
            <w:vAlign w:val="bottom"/>
            <w:tcBorders>
              <w:right w:val="single" w:sz="8" w:color="auto"/>
            </w:tcBorders>
          </w:tcPr>
          <w:p>
            <w:pPr>
              <w:spacing w:after="0"/>
              <w:rPr>
                <w:sz w:val="18"/>
                <w:szCs w:val="18"/>
                <w:color w:val="auto"/>
              </w:rPr>
            </w:pPr>
          </w:p>
        </w:tc>
      </w:tr>
      <w:tr>
        <w:trPr>
          <w:trHeight w:val="209"/>
        </w:trPr>
        <w:tc>
          <w:tcPr>
            <w:tcW w:w="22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Deepak Chopra</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8 of 8</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6 of 6</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6 of 6</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3 of 3</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100%</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100%</w:t>
            </w:r>
          </w:p>
        </w:tc>
        <w:tc>
          <w:tcPr>
            <w:tcW w:w="60" w:type="dxa"/>
            <w:vAlign w:val="bottom"/>
            <w:tcBorders>
              <w:right w:val="single" w:sz="8" w:color="auto"/>
            </w:tcBorders>
          </w:tcPr>
          <w:p>
            <w:pPr>
              <w:spacing w:after="0"/>
              <w:rPr>
                <w:sz w:val="18"/>
                <w:szCs w:val="18"/>
                <w:color w:val="auto"/>
              </w:rPr>
            </w:pPr>
          </w:p>
        </w:tc>
      </w:tr>
      <w:tr>
        <w:trPr>
          <w:trHeight w:val="209"/>
        </w:trPr>
        <w:tc>
          <w:tcPr>
            <w:tcW w:w="22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Daniel P. DiMaggio</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8 of 8</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6 of 6</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6 of 6</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3 of 3</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100%</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100%</w:t>
            </w:r>
          </w:p>
        </w:tc>
        <w:tc>
          <w:tcPr>
            <w:tcW w:w="60" w:type="dxa"/>
            <w:vAlign w:val="bottom"/>
            <w:tcBorders>
              <w:right w:val="single" w:sz="8" w:color="auto"/>
            </w:tcBorders>
          </w:tcPr>
          <w:p>
            <w:pPr>
              <w:spacing w:after="0"/>
              <w:rPr>
                <w:sz w:val="18"/>
                <w:szCs w:val="18"/>
                <w:color w:val="auto"/>
              </w:rPr>
            </w:pPr>
          </w:p>
        </w:tc>
      </w:tr>
      <w:tr>
        <w:trPr>
          <w:trHeight w:val="209"/>
        </w:trPr>
        <w:tc>
          <w:tcPr>
            <w:tcW w:w="22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Laurette T. Koellner</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8 of 8</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6 of 6</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6 of 6</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3 of 3</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100%</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100%</w:t>
            </w:r>
          </w:p>
        </w:tc>
        <w:tc>
          <w:tcPr>
            <w:tcW w:w="60" w:type="dxa"/>
            <w:vAlign w:val="bottom"/>
            <w:tcBorders>
              <w:right w:val="single" w:sz="8" w:color="auto"/>
            </w:tcBorders>
          </w:tcPr>
          <w:p>
            <w:pPr>
              <w:spacing w:after="0"/>
              <w:rPr>
                <w:sz w:val="18"/>
                <w:szCs w:val="18"/>
                <w:color w:val="auto"/>
              </w:rPr>
            </w:pPr>
          </w:p>
        </w:tc>
      </w:tr>
      <w:tr>
        <w:trPr>
          <w:trHeight w:val="209"/>
        </w:trPr>
        <w:tc>
          <w:tcPr>
            <w:tcW w:w="22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Robert A. Mionis</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8 of 8</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100%</w:t>
            </w:r>
          </w:p>
        </w:tc>
        <w:tc>
          <w:tcPr>
            <w:tcW w:w="66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3"/>
                <w:szCs w:val="13"/>
                <w:color w:val="auto"/>
                <w:w w:val="91"/>
              </w:rPr>
              <w:t>—</w:t>
            </w:r>
          </w:p>
        </w:tc>
      </w:tr>
      <w:tr>
        <w:trPr>
          <w:trHeight w:val="209"/>
        </w:trPr>
        <w:tc>
          <w:tcPr>
            <w:tcW w:w="224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Carol S. Perry</w:t>
            </w:r>
          </w:p>
        </w:tc>
        <w:tc>
          <w:tcPr>
            <w:tcW w:w="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8 of 8</w:t>
            </w:r>
          </w:p>
        </w:tc>
        <w:tc>
          <w:tcPr>
            <w:tcW w:w="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6 of 6</w:t>
            </w:r>
          </w:p>
        </w:tc>
        <w:tc>
          <w:tcPr>
            <w:tcW w:w="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6 of 6</w:t>
            </w:r>
          </w:p>
        </w:tc>
        <w:tc>
          <w:tcPr>
            <w:tcW w:w="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3 of 3</w:t>
            </w:r>
          </w:p>
        </w:tc>
        <w:tc>
          <w:tcPr>
            <w:tcW w:w="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100%</w:t>
            </w: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96"/>
              </w:rPr>
              <w:t>100%</w:t>
            </w:r>
          </w:p>
        </w:tc>
        <w:tc>
          <w:tcPr>
            <w:tcW w:w="60" w:type="dxa"/>
            <w:vAlign w:val="bottom"/>
            <w:tcBorders>
              <w:right w:val="single" w:sz="8" w:color="auto"/>
            </w:tcBorders>
          </w:tcPr>
          <w:p>
            <w:pPr>
              <w:spacing w:after="0"/>
              <w:rPr>
                <w:sz w:val="18"/>
                <w:szCs w:val="18"/>
                <w:color w:val="auto"/>
              </w:rPr>
            </w:pPr>
          </w:p>
        </w:tc>
      </w:tr>
      <w:tr>
        <w:trPr>
          <w:trHeight w:val="209"/>
        </w:trPr>
        <w:tc>
          <w:tcPr>
            <w:tcW w:w="22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Tawfiq Popatia</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7 of 8</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2"/>
              </w:rPr>
              <w:t>88%</w:t>
            </w:r>
          </w:p>
        </w:tc>
        <w:tc>
          <w:tcPr>
            <w:tcW w:w="66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3"/>
                <w:szCs w:val="13"/>
                <w:color w:val="auto"/>
                <w:w w:val="91"/>
              </w:rPr>
              <w:t>—</w:t>
            </w:r>
          </w:p>
        </w:tc>
      </w:tr>
      <w:tr>
        <w:trPr>
          <w:trHeight w:val="209"/>
        </w:trPr>
        <w:tc>
          <w:tcPr>
            <w:tcW w:w="224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Eamon J. Ryan</w:t>
            </w:r>
          </w:p>
        </w:tc>
        <w:tc>
          <w:tcPr>
            <w:tcW w:w="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8 of 8</w:t>
            </w:r>
          </w:p>
        </w:tc>
        <w:tc>
          <w:tcPr>
            <w:tcW w:w="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6 of 6</w:t>
            </w:r>
          </w:p>
        </w:tc>
        <w:tc>
          <w:tcPr>
            <w:tcW w:w="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6 of 6</w:t>
            </w:r>
          </w:p>
        </w:tc>
        <w:tc>
          <w:tcPr>
            <w:tcW w:w="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3 of 3</w:t>
            </w:r>
          </w:p>
        </w:tc>
        <w:tc>
          <w:tcPr>
            <w:tcW w:w="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100%</w:t>
            </w: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96"/>
              </w:rPr>
              <w:t>100%</w:t>
            </w:r>
          </w:p>
        </w:tc>
        <w:tc>
          <w:tcPr>
            <w:tcW w:w="60" w:type="dxa"/>
            <w:vAlign w:val="bottom"/>
            <w:tcBorders>
              <w:right w:val="single" w:sz="8" w:color="auto"/>
            </w:tcBorders>
          </w:tcPr>
          <w:p>
            <w:pPr>
              <w:spacing w:after="0"/>
              <w:rPr>
                <w:sz w:val="18"/>
                <w:szCs w:val="18"/>
                <w:color w:val="auto"/>
              </w:rPr>
            </w:pPr>
          </w:p>
        </w:tc>
      </w:tr>
      <w:tr>
        <w:trPr>
          <w:trHeight w:val="209"/>
        </w:trPr>
        <w:tc>
          <w:tcPr>
            <w:tcW w:w="22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Michael M. Wilson</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8 of 8</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6 of 6</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6 of 6</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3 of 3</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100%</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100%</w:t>
            </w:r>
          </w:p>
        </w:tc>
        <w:tc>
          <w:tcPr>
            <w:tcW w:w="60" w:type="dxa"/>
            <w:vAlign w:val="bottom"/>
            <w:tcBorders>
              <w:right w:val="single" w:sz="8" w:color="auto"/>
            </w:tcBorders>
          </w:tcPr>
          <w:p>
            <w:pPr>
              <w:spacing w:after="0"/>
              <w:rPr>
                <w:sz w:val="18"/>
                <w:szCs w:val="18"/>
                <w:color w:val="auto"/>
              </w:rPr>
            </w:pPr>
          </w:p>
        </w:tc>
      </w:tr>
      <w:tr>
        <w:trPr>
          <w:trHeight w:val="20"/>
        </w:trPr>
        <w:tc>
          <w:tcPr>
            <w:tcW w:w="2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bl>
    <w:p>
      <w:pPr>
        <w:spacing w:after="0" w:line="96" w:lineRule="exact"/>
        <w:rPr>
          <w:sz w:val="20"/>
          <w:szCs w:val="20"/>
          <w:color w:val="auto"/>
        </w:rPr>
      </w:pPr>
    </w:p>
    <w:p>
      <w:pPr>
        <w:jc w:val="both"/>
        <w:ind w:left="1480" w:right="1499"/>
        <w:spacing w:after="0" w:line="269" w:lineRule="auto"/>
        <w:rPr>
          <w:sz w:val="20"/>
          <w:szCs w:val="20"/>
          <w:color w:val="auto"/>
        </w:rPr>
      </w:pPr>
      <w:r>
        <w:rPr>
          <w:rFonts w:ascii="Arial" w:cs="Arial" w:eastAsia="Arial" w:hAnsi="Arial"/>
          <w:sz w:val="13"/>
          <w:szCs w:val="13"/>
          <w:color w:val="auto"/>
        </w:rPr>
        <w:t>In response to the COVID -19 pandemic, all Board and Committee meetings held in 2020 were held virtually by electronic means (with the exception of those held in person in January 2020).</w:t>
      </w:r>
    </w:p>
    <w:p>
      <w:pPr>
        <w:spacing w:after="0" w:line="121" w:lineRule="exact"/>
        <w:rPr>
          <w:sz w:val="20"/>
          <w:szCs w:val="20"/>
          <w:color w:val="auto"/>
        </w:rPr>
      </w:pPr>
    </w:p>
    <w:p>
      <w:pPr>
        <w:ind w:left="1740"/>
        <w:spacing w:after="0"/>
        <w:rPr>
          <w:sz w:val="20"/>
          <w:szCs w:val="20"/>
          <w:color w:val="auto"/>
        </w:rPr>
      </w:pPr>
      <w:r>
        <w:rPr>
          <w:rFonts w:ascii="Arial" w:cs="Arial" w:eastAsia="Arial" w:hAnsi="Arial"/>
          <w:sz w:val="15"/>
          <w:szCs w:val="15"/>
          <w:b w:val="1"/>
          <w:bCs w:val="1"/>
          <w:i w:val="1"/>
          <w:iCs w:val="1"/>
          <w:u w:val="single" w:color="auto"/>
          <w:color w:val="auto"/>
        </w:rPr>
        <w:t xml:space="preserve">In Camera </w:t>
      </w:r>
      <w:r>
        <w:rPr>
          <w:rFonts w:ascii="Arial" w:cs="Arial" w:eastAsia="Arial" w:hAnsi="Arial"/>
          <w:sz w:val="15"/>
          <w:szCs w:val="15"/>
          <w:b w:val="1"/>
          <w:bCs w:val="1"/>
          <w:u w:val="single" w:color="auto"/>
          <w:color w:val="auto"/>
        </w:rPr>
        <w:t>Sessions</w:t>
      </w:r>
    </w:p>
    <w:p>
      <w:pPr>
        <w:spacing w:after="0" w:line="168" w:lineRule="exact"/>
        <w:rPr>
          <w:sz w:val="20"/>
          <w:szCs w:val="20"/>
          <w:color w:val="auto"/>
        </w:rPr>
      </w:pPr>
    </w:p>
    <w:p>
      <w:pPr>
        <w:jc w:val="both"/>
        <w:ind w:left="1480" w:right="1499"/>
        <w:spacing w:after="0" w:line="254" w:lineRule="auto"/>
        <w:rPr>
          <w:sz w:val="20"/>
          <w:szCs w:val="20"/>
          <w:color w:val="auto"/>
        </w:rPr>
      </w:pPr>
      <w:r>
        <w:rPr>
          <w:rFonts w:ascii="Arial" w:cs="Arial" w:eastAsia="Arial" w:hAnsi="Arial"/>
          <w:sz w:val="13"/>
          <w:szCs w:val="13"/>
          <w:color w:val="auto"/>
        </w:rPr>
        <w:t xml:space="preserve">The independent directors meet separately as part of every Board and Committee meeting. The Chair presides at every </w:t>
      </w:r>
      <w:r>
        <w:rPr>
          <w:rFonts w:ascii="Arial" w:cs="Arial" w:eastAsia="Arial" w:hAnsi="Arial"/>
          <w:sz w:val="13"/>
          <w:szCs w:val="13"/>
          <w:i w:val="1"/>
          <w:iCs w:val="1"/>
          <w:color w:val="auto"/>
        </w:rPr>
        <w:t>in camera</w:t>
      </w:r>
      <w:r>
        <w:rPr>
          <w:rFonts w:ascii="Arial" w:cs="Arial" w:eastAsia="Arial" w:hAnsi="Arial"/>
          <w:sz w:val="13"/>
          <w:szCs w:val="13"/>
          <w:color w:val="auto"/>
        </w:rPr>
        <w:t xml:space="preserve"> session of the Board, or in the absence of the Chair, another independent director selected by those in attendance.</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0" w:name="page31"/>
    <w:bookmarkEnd w:id="30"/>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76" w:lineRule="exact"/>
        <w:rPr>
          <w:sz w:val="20"/>
          <w:szCs w:val="20"/>
          <w:color w:val="auto"/>
        </w:rPr>
      </w:pPr>
    </w:p>
    <w:p>
      <w:pPr>
        <w:ind w:left="1740"/>
        <w:spacing w:after="0"/>
        <w:rPr>
          <w:sz w:val="20"/>
          <w:szCs w:val="20"/>
          <w:color w:val="auto"/>
        </w:rPr>
      </w:pPr>
      <w:r>
        <w:rPr>
          <w:rFonts w:ascii="Arial" w:cs="Arial" w:eastAsia="Arial" w:hAnsi="Arial"/>
          <w:sz w:val="15"/>
          <w:szCs w:val="15"/>
          <w:b w:val="1"/>
          <w:bCs w:val="1"/>
          <w:i w:val="1"/>
          <w:iCs w:val="1"/>
          <w:u w:val="single" w:color="auto"/>
          <w:color w:val="auto"/>
        </w:rPr>
        <w:t xml:space="preserve">Ad Hoc </w:t>
      </w:r>
      <w:r>
        <w:rPr>
          <w:rFonts w:ascii="Arial" w:cs="Arial" w:eastAsia="Arial" w:hAnsi="Arial"/>
          <w:sz w:val="15"/>
          <w:szCs w:val="15"/>
          <w:b w:val="1"/>
          <w:bCs w:val="1"/>
          <w:u w:val="single" w:color="auto"/>
          <w:color w:val="auto"/>
        </w:rPr>
        <w:t>Committees</w:t>
      </w:r>
    </w:p>
    <w:p>
      <w:pPr>
        <w:spacing w:after="0" w:line="128" w:lineRule="exact"/>
        <w:rPr>
          <w:sz w:val="20"/>
          <w:szCs w:val="20"/>
          <w:color w:val="auto"/>
        </w:rPr>
      </w:pPr>
    </w:p>
    <w:p>
      <w:pPr>
        <w:jc w:val="both"/>
        <w:ind w:left="1480" w:right="1499"/>
        <w:spacing w:after="0" w:line="269" w:lineRule="auto"/>
        <w:rPr>
          <w:sz w:val="20"/>
          <w:szCs w:val="20"/>
          <w:color w:val="auto"/>
        </w:rPr>
      </w:pPr>
      <w:r>
        <w:rPr>
          <w:rFonts w:ascii="Arial" w:cs="Arial" w:eastAsia="Arial" w:hAnsi="Arial"/>
          <w:sz w:val="13"/>
          <w:szCs w:val="13"/>
          <w:color w:val="auto"/>
        </w:rPr>
        <w:t xml:space="preserve">From time to time, the Board establishes </w:t>
      </w:r>
      <w:r>
        <w:rPr>
          <w:rFonts w:ascii="Arial" w:cs="Arial" w:eastAsia="Arial" w:hAnsi="Arial"/>
          <w:sz w:val="13"/>
          <w:szCs w:val="13"/>
          <w:i w:val="1"/>
          <w:iCs w:val="1"/>
          <w:color w:val="auto"/>
        </w:rPr>
        <w:t>ad hoc</w:t>
      </w:r>
      <w:r>
        <w:rPr>
          <w:rFonts w:ascii="Arial" w:cs="Arial" w:eastAsia="Arial" w:hAnsi="Arial"/>
          <w:sz w:val="13"/>
          <w:szCs w:val="13"/>
          <w:color w:val="auto"/>
        </w:rPr>
        <w:t xml:space="preserve"> committees. During 2020, Messrs. Cascella, Mionis, Popatia and Wilson served on the Director Search Committee.</w:t>
      </w:r>
    </w:p>
    <w:p>
      <w:pPr>
        <w:spacing w:after="0" w:line="127"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38100</wp:posOffset>
            </wp:positionV>
            <wp:extent cx="3843655"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843655" cy="635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50800</wp:posOffset>
            </wp:positionV>
            <wp:extent cx="3843655"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363"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auto"/>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38100</wp:posOffset>
            </wp:positionV>
            <wp:extent cx="3502025"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502025" cy="6350"/>
                    </a:xfrm>
                    <a:prstGeom prst="rect">
                      <a:avLst/>
                    </a:prstGeom>
                    <a:noFill/>
                  </pic:spPr>
                </pic:pic>
              </a:graphicData>
            </a:graphic>
          </wp:anchor>
        </w:drawing>
      </w:r>
    </w:p>
    <w:p>
      <w:pPr>
        <w:spacing w:after="0" w:line="91" w:lineRule="exact"/>
        <w:rPr>
          <w:sz w:val="20"/>
          <w:szCs w:val="20"/>
          <w:color w:val="auto"/>
        </w:rPr>
      </w:pPr>
    </w:p>
    <w:p>
      <w:pPr>
        <w:jc w:val="both"/>
        <w:ind w:left="1480" w:right="1499"/>
        <w:spacing w:after="0" w:line="270" w:lineRule="auto"/>
        <w:rPr>
          <w:sz w:val="20"/>
          <w:szCs w:val="20"/>
          <w:color w:val="auto"/>
        </w:rPr>
      </w:pPr>
      <w:r>
        <w:rPr>
          <w:rFonts w:ascii="Arial" w:cs="Arial" w:eastAsia="Arial" w:hAnsi="Arial"/>
          <w:sz w:val="12"/>
          <w:szCs w:val="12"/>
          <w:color w:val="auto"/>
        </w:rPr>
        <w:t>The Board has a fully independent Audit Committee (pursuant to applicable Canadian and U.S. Securities and Exchange Commission (“</w:t>
      </w:r>
      <w:r>
        <w:rPr>
          <w:rFonts w:ascii="Arial" w:cs="Arial" w:eastAsia="Arial" w:hAnsi="Arial"/>
          <w:sz w:val="12"/>
          <w:szCs w:val="12"/>
          <w:b w:val="1"/>
          <w:bCs w:val="1"/>
          <w:color w:val="auto"/>
        </w:rPr>
        <w:t>SEC</w:t>
      </w:r>
      <w:r>
        <w:rPr>
          <w:rFonts w:ascii="Arial" w:cs="Arial" w:eastAsia="Arial" w:hAnsi="Arial"/>
          <w:sz w:val="12"/>
          <w:szCs w:val="12"/>
          <w:color w:val="auto"/>
        </w:rPr>
        <w:t>”) rules and NYSE listing standards) and is currently comprised of Laurette T. Koellner (Chair), Robert A. Cascella, Deepak Chopra, Daniel P. DiMaggio, Carol S. Perry, Eamon J. Ryan and Michael M. Wilson. The Audit Committee members and its Chair are appointed annually by the Board. Shareholders may obtain further information regarding the Corporation’s Audit Committee in Part I, Item 6C and Part II, Item 16A of the Corporation’s 2020 Annual Report on Form 20-F.</w:t>
      </w:r>
    </w:p>
    <w:p>
      <w:pPr>
        <w:spacing w:after="0" w:line="44" w:lineRule="exact"/>
        <w:rPr>
          <w:sz w:val="20"/>
          <w:szCs w:val="20"/>
          <w:color w:val="auto"/>
        </w:rPr>
      </w:pPr>
    </w:p>
    <w:p>
      <w:pPr>
        <w:jc w:val="both"/>
        <w:ind w:left="1480" w:right="1499"/>
        <w:spacing w:after="0" w:line="269" w:lineRule="auto"/>
        <w:rPr>
          <w:sz w:val="20"/>
          <w:szCs w:val="20"/>
          <w:color w:val="auto"/>
        </w:rPr>
      </w:pPr>
      <w:r>
        <w:rPr>
          <w:rFonts w:ascii="Arial" w:cs="Arial" w:eastAsia="Arial" w:hAnsi="Arial"/>
          <w:sz w:val="13"/>
          <w:szCs w:val="13"/>
          <w:color w:val="auto"/>
        </w:rPr>
        <w:t>No member of the Audit Committee serves on more than three audit committees of public companies, including that of the Corporation.</w:t>
      </w:r>
    </w:p>
    <w:p>
      <w:pPr>
        <w:spacing w:after="0" w:line="43" w:lineRule="exact"/>
        <w:rPr>
          <w:sz w:val="20"/>
          <w:szCs w:val="20"/>
          <w:color w:val="auto"/>
        </w:rPr>
      </w:pPr>
    </w:p>
    <w:p>
      <w:pPr>
        <w:jc w:val="both"/>
        <w:ind w:left="1480" w:right="1499"/>
        <w:spacing w:after="0" w:line="244" w:lineRule="auto"/>
        <w:rPr>
          <w:sz w:val="20"/>
          <w:szCs w:val="20"/>
          <w:color w:val="auto"/>
        </w:rPr>
      </w:pPr>
      <w:r>
        <w:rPr>
          <w:rFonts w:ascii="Arial" w:cs="Arial" w:eastAsia="Arial" w:hAnsi="Arial"/>
          <w:sz w:val="13"/>
          <w:szCs w:val="13"/>
          <w:color w:val="auto"/>
        </w:rPr>
        <w:t>The Audit Committee is directly responsible for the compensation, retention and oversight of the work of a registered public accounting firm for the purpose of preparing or issuing an audit report or performing other audit, review or attest services for the Corporation. In addition, the Committee has sole authority for recommending the person to be proposed to Celestica’s shareholders for appointment as external auditor and whether at any time the incumbent external auditor should be removed from office. The Audit Committee also has the authority to retain, in addition to the external auditor, such other outside legal, accounting or other advisors as it may consider appropriate and is not required to obtain the approval of the Board in order to retain, compensate or terminate such advisors.</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The Audit Committee and its Chair are appointed annually by the Board. As part of each meeting at which</w:t>
      </w:r>
    </w:p>
    <w:p>
      <w:pPr>
        <w:spacing w:after="0" w:line="21" w:lineRule="exact"/>
        <w:rPr>
          <w:sz w:val="20"/>
          <w:szCs w:val="20"/>
          <w:color w:val="auto"/>
        </w:rPr>
      </w:pPr>
    </w:p>
    <w:p>
      <w:pPr>
        <w:jc w:val="both"/>
        <w:ind w:left="1480" w:right="1499" w:hanging="2"/>
        <w:spacing w:after="0" w:line="246" w:lineRule="auto"/>
        <w:tabs>
          <w:tab w:leader="none" w:pos="1666"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Committee recommends that the Board approve the annual audited financial statements or (ii) the Committee reviews the quarterly financial statements, the Committee members meet separately with each of: management; the external auditor; and the internal auditors.</w:t>
      </w:r>
    </w:p>
    <w:p>
      <w:pPr>
        <w:spacing w:after="0" w:line="58" w:lineRule="exact"/>
        <w:rPr>
          <w:sz w:val="20"/>
          <w:szCs w:val="20"/>
          <w:color w:val="auto"/>
        </w:rPr>
      </w:pPr>
    </w:p>
    <w:p>
      <w:pPr>
        <w:jc w:val="both"/>
        <w:ind w:left="1480" w:right="1499"/>
        <w:spacing w:after="0" w:line="249" w:lineRule="auto"/>
        <w:rPr>
          <w:sz w:val="20"/>
          <w:szCs w:val="20"/>
          <w:color w:val="auto"/>
        </w:rPr>
      </w:pPr>
      <w:r>
        <w:rPr>
          <w:rFonts w:ascii="Arial" w:cs="Arial" w:eastAsia="Arial" w:hAnsi="Arial"/>
          <w:sz w:val="13"/>
          <w:szCs w:val="13"/>
          <w:color w:val="auto"/>
        </w:rPr>
        <w:t>In addition to fulfilling the responsibilities as set forth in its mandate, in 2020, the Audit Committee implemented a formal annual review of the qualifications, expertise, resources and the overall performance of the Corporation’s external auditor, including conducting a survey of each member of the Audit Committee and of certain key management personnel</w:t>
      </w:r>
    </w:p>
    <w:p>
      <w:pPr>
        <w:spacing w:after="0" w:line="57" w:lineRule="exact"/>
        <w:rPr>
          <w:sz w:val="20"/>
          <w:szCs w:val="20"/>
          <w:color w:val="auto"/>
        </w:rPr>
      </w:pPr>
    </w:p>
    <w:p>
      <w:pPr>
        <w:jc w:val="both"/>
        <w:ind w:left="1480" w:right="1499"/>
        <w:spacing w:after="0" w:line="249" w:lineRule="auto"/>
        <w:rPr>
          <w:sz w:val="20"/>
          <w:szCs w:val="20"/>
          <w:color w:val="auto"/>
        </w:rPr>
      </w:pPr>
      <w:r>
        <w:rPr>
          <w:rFonts w:ascii="Arial" w:cs="Arial" w:eastAsia="Arial" w:hAnsi="Arial"/>
          <w:sz w:val="13"/>
          <w:szCs w:val="13"/>
          <w:color w:val="auto"/>
        </w:rPr>
        <w:t>In accordance with National Instrument 52-110 — Audit Committees, shareholders may obtain further information regarding the Corporation’s Audit Committee in Part I, Item 6C and Part II, Item 16A of the Corporation’s Annual Report on Form 20 F for the year ended December 31, 2020 under the United States Securities Exchange Act of 1934, as amended.</w:t>
      </w:r>
    </w:p>
    <w:p>
      <w:pPr>
        <w:spacing w:after="0" w:line="140"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auto"/>
        </w:rPr>
        <w:t>Human Resources and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38100</wp:posOffset>
            </wp:positionV>
            <wp:extent cx="3502025"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502025" cy="6350"/>
                    </a:xfrm>
                    <a:prstGeom prst="rect">
                      <a:avLst/>
                    </a:prstGeom>
                    <a:noFill/>
                  </pic:spPr>
                </pic:pic>
              </a:graphicData>
            </a:graphic>
          </wp:anchor>
        </w:drawing>
      </w:r>
    </w:p>
    <w:p>
      <w:pPr>
        <w:spacing w:after="0" w:line="91" w:lineRule="exact"/>
        <w:rPr>
          <w:sz w:val="20"/>
          <w:szCs w:val="20"/>
          <w:color w:val="auto"/>
        </w:rPr>
      </w:pPr>
    </w:p>
    <w:p>
      <w:pPr>
        <w:jc w:val="both"/>
        <w:ind w:left="1480" w:right="1499"/>
        <w:spacing w:after="0" w:line="266" w:lineRule="auto"/>
        <w:rPr>
          <w:sz w:val="20"/>
          <w:szCs w:val="20"/>
          <w:color w:val="auto"/>
        </w:rPr>
      </w:pPr>
      <w:r>
        <w:rPr>
          <w:rFonts w:ascii="Arial" w:cs="Arial" w:eastAsia="Arial" w:hAnsi="Arial"/>
          <w:sz w:val="12"/>
          <w:szCs w:val="12"/>
          <w:color w:val="auto"/>
        </w:rPr>
        <w:t>The Board has a fully independent HRCC pursuant to applicable Canadian and SEC rules and NYSE listing standards and is currently comprised of Eamon J. Ryan (Chair), Robert A. Cascella, Deepak Chopra, Daniel P. DiMaggio, Laurette T. Koellner, Carol S. Perry and Michael M. Wilson) . Mr. Cascella has been appointed as Chair of the HRCC (if elected as a director), effective at the close of the Meeting, and if elected as a director, Mr. Ryan will remain a member of the HRCC thereafter. The HRCC members and its Chair are appointed annually by the Board. As part of each meeting, the HRCC members meet without any member of management present and also meet with the Corporation’s compensation consultant without any member of management present. The HRCC has the sole authority to retain, compensate and terminate any consultants and advisors it considers necessary within its mandate.</w:t>
      </w:r>
    </w:p>
    <w:p>
      <w:pPr>
        <w:spacing w:after="0" w:line="47"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The duties and responsibilities of the HRCC include:</w:t>
      </w:r>
    </w:p>
    <w:p>
      <w:pPr>
        <w:spacing w:after="0" w:line="70" w:lineRule="exact"/>
        <w:rPr>
          <w:sz w:val="20"/>
          <w:szCs w:val="20"/>
          <w:color w:val="auto"/>
        </w:rPr>
      </w:pPr>
    </w:p>
    <w:p>
      <w:pPr>
        <w:jc w:val="both"/>
        <w:ind w:left="1880" w:right="1499" w:hanging="137"/>
        <w:spacing w:after="0" w:line="270" w:lineRule="auto"/>
        <w:tabs>
          <w:tab w:leader="none" w:pos="18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reviewing and approving an overall reward/compensation policy for the Corporation, including an executive compensation policy that is consistent with competitive practice and supports organizational objectives and ownership interests;</w:t>
      </w: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1" w:name="page32"/>
    <w:bookmarkEnd w:id="31"/>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97" w:lineRule="exact"/>
        <w:rPr>
          <w:sz w:val="20"/>
          <w:szCs w:val="20"/>
          <w:color w:val="auto"/>
        </w:rPr>
      </w:pPr>
    </w:p>
    <w:p>
      <w:pPr>
        <w:jc w:val="both"/>
        <w:ind w:left="1880" w:right="1499" w:hanging="137"/>
        <w:spacing w:after="0" w:line="270" w:lineRule="auto"/>
        <w:tabs>
          <w:tab w:leader="none" w:pos="18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reviewing the corporate goals and objectives relevant to the compensation of the CEO, as approved by the Board, evaluating the CEO’s performance in light of these goals and objectives, and setting the compensation of the CEO based on this evaluation;</w:t>
      </w:r>
    </w:p>
    <w:p>
      <w:pPr>
        <w:spacing w:after="0" w:line="52" w:lineRule="exact"/>
        <w:rPr>
          <w:rFonts w:ascii="Arial" w:cs="Arial" w:eastAsia="Arial" w:hAnsi="Arial"/>
          <w:sz w:val="13"/>
          <w:szCs w:val="13"/>
          <w:color w:val="auto"/>
        </w:rPr>
      </w:pPr>
    </w:p>
    <w:p>
      <w:pPr>
        <w:jc w:val="both"/>
        <w:ind w:left="1880" w:right="1499" w:hanging="137"/>
        <w:spacing w:after="0" w:line="263" w:lineRule="auto"/>
        <w:tabs>
          <w:tab w:leader="none" w:pos="18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reviewing and approving the appointment and terms of employment (or any material changes to terms of employment) and, upon recommendation of the CEO, any changes to the base salary for all senior executive positions that report to the CEO and certain other senior executive positions, as well as any separation agreement or compensation arrangement for any such executive whose employment has been terminated;</w:t>
      </w:r>
    </w:p>
    <w:p>
      <w:pPr>
        <w:spacing w:after="0" w:line="66" w:lineRule="exact"/>
        <w:rPr>
          <w:rFonts w:ascii="Arial" w:cs="Arial" w:eastAsia="Arial" w:hAnsi="Arial"/>
          <w:sz w:val="13"/>
          <w:szCs w:val="13"/>
          <w:color w:val="auto"/>
        </w:rPr>
      </w:pPr>
    </w:p>
    <w:p>
      <w:pPr>
        <w:jc w:val="both"/>
        <w:ind w:left="1880" w:right="1499" w:hanging="137"/>
        <w:spacing w:after="0" w:line="270" w:lineRule="auto"/>
        <w:tabs>
          <w:tab w:leader="none" w:pos="18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reviewing, modifying and approving the elements of the Corporation’s incentive-based plans and equity-based plans, including plan design, performance targets, administration and total funds/shares reserved for payment;</w:t>
      </w:r>
    </w:p>
    <w:p>
      <w:pPr>
        <w:spacing w:after="0" w:line="62" w:lineRule="exact"/>
        <w:rPr>
          <w:rFonts w:ascii="Arial" w:cs="Arial" w:eastAsia="Arial" w:hAnsi="Arial"/>
          <w:sz w:val="13"/>
          <w:szCs w:val="13"/>
          <w:color w:val="auto"/>
        </w:rPr>
      </w:pPr>
    </w:p>
    <w:p>
      <w:pPr>
        <w:ind w:left="1880" w:right="1499" w:hanging="137"/>
        <w:spacing w:after="0" w:line="285" w:lineRule="auto"/>
        <w:tabs>
          <w:tab w:leader="none" w:pos="18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making recommendations to the Board regarding the compensation of the Corporation’s directors in accordance with the principles and guidelines established by the NCGC;</w:t>
      </w:r>
    </w:p>
    <w:p>
      <w:pPr>
        <w:spacing w:after="0" w:line="43" w:lineRule="exact"/>
        <w:rPr>
          <w:rFonts w:ascii="Arial" w:cs="Arial" w:eastAsia="Arial" w:hAnsi="Arial"/>
          <w:sz w:val="13"/>
          <w:szCs w:val="13"/>
          <w:color w:val="auto"/>
        </w:rPr>
      </w:pPr>
    </w:p>
    <w:p>
      <w:pPr>
        <w:ind w:left="1880" w:right="1499" w:hanging="137"/>
        <w:spacing w:after="0" w:line="285" w:lineRule="auto"/>
        <w:tabs>
          <w:tab w:leader="none" w:pos="18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maintaining and reviewing succession planning for the CEO, all positions that report to the CEO and certain other executive positions;</w:t>
      </w:r>
    </w:p>
    <w:p>
      <w:pPr>
        <w:spacing w:after="0" w:line="53" w:lineRule="exact"/>
        <w:rPr>
          <w:rFonts w:ascii="Arial" w:cs="Arial" w:eastAsia="Arial" w:hAnsi="Arial"/>
          <w:sz w:val="13"/>
          <w:szCs w:val="13"/>
          <w:color w:val="auto"/>
        </w:rPr>
      </w:pPr>
    </w:p>
    <w:p>
      <w:pPr>
        <w:jc w:val="both"/>
        <w:ind w:left="1880" w:right="1499" w:hanging="137"/>
        <w:spacing w:after="0" w:line="265" w:lineRule="auto"/>
        <w:tabs>
          <w:tab w:leader="none" w:pos="18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reviewing and approving, in conjunction with management, public disclosure relating to executive compensation in accordance with applicable rules and regulations and preparing any report required by any applicable securities regulatory authority or stock exchange requirement to be included in applicable public disclosure documents;</w:t>
      </w:r>
    </w:p>
    <w:p>
      <w:pPr>
        <w:spacing w:after="0" w:line="66" w:lineRule="exact"/>
        <w:rPr>
          <w:rFonts w:ascii="Arial" w:cs="Arial" w:eastAsia="Arial" w:hAnsi="Arial"/>
          <w:sz w:val="13"/>
          <w:szCs w:val="13"/>
          <w:color w:val="auto"/>
        </w:rPr>
      </w:pPr>
    </w:p>
    <w:p>
      <w:pPr>
        <w:ind w:left="1880" w:hanging="137"/>
        <w:spacing w:after="0"/>
        <w:tabs>
          <w:tab w:leader="none" w:pos="18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reviewing the Corporation’s talent management strategy and practices;</w:t>
      </w:r>
    </w:p>
    <w:p>
      <w:pPr>
        <w:spacing w:after="0" w:line="89" w:lineRule="exact"/>
        <w:rPr>
          <w:rFonts w:ascii="Arial" w:cs="Arial" w:eastAsia="Arial" w:hAnsi="Arial"/>
          <w:sz w:val="13"/>
          <w:szCs w:val="13"/>
          <w:color w:val="auto"/>
        </w:rPr>
      </w:pPr>
    </w:p>
    <w:p>
      <w:pPr>
        <w:ind w:left="1880" w:hanging="137"/>
        <w:spacing w:after="0"/>
        <w:tabs>
          <w:tab w:leader="none" w:pos="18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reviewing and approving insider trading and share ownership policies;</w:t>
      </w:r>
    </w:p>
    <w:p>
      <w:pPr>
        <w:spacing w:after="0" w:line="99" w:lineRule="exact"/>
        <w:rPr>
          <w:rFonts w:ascii="Arial" w:cs="Arial" w:eastAsia="Arial" w:hAnsi="Arial"/>
          <w:sz w:val="13"/>
          <w:szCs w:val="13"/>
          <w:color w:val="auto"/>
        </w:rPr>
      </w:pPr>
    </w:p>
    <w:p>
      <w:pPr>
        <w:ind w:left="1880" w:right="1499" w:hanging="137"/>
        <w:spacing w:after="0" w:line="285" w:lineRule="auto"/>
        <w:tabs>
          <w:tab w:leader="none" w:pos="18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regularly reviewing the risks associated with the Corporation’s compensation policies and practices; and</w:t>
      </w:r>
    </w:p>
    <w:p>
      <w:pPr>
        <w:spacing w:after="0" w:line="53" w:lineRule="exact"/>
        <w:rPr>
          <w:rFonts w:ascii="Arial" w:cs="Arial" w:eastAsia="Arial" w:hAnsi="Arial"/>
          <w:sz w:val="13"/>
          <w:szCs w:val="13"/>
          <w:color w:val="auto"/>
        </w:rPr>
      </w:pPr>
    </w:p>
    <w:p>
      <w:pPr>
        <w:ind w:left="1880" w:hanging="137"/>
        <w:spacing w:after="0"/>
        <w:tabs>
          <w:tab w:leader="none" w:pos="18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performing any other activities consistent with its mandate.</w:t>
      </w:r>
    </w:p>
    <w:p>
      <w:pPr>
        <w:spacing w:after="0" w:line="89" w:lineRule="exact"/>
        <w:rPr>
          <w:sz w:val="20"/>
          <w:szCs w:val="20"/>
          <w:color w:val="auto"/>
        </w:rPr>
      </w:pPr>
    </w:p>
    <w:p>
      <w:pPr>
        <w:jc w:val="both"/>
        <w:ind w:left="1480" w:right="1499"/>
        <w:spacing w:after="0" w:line="279" w:lineRule="auto"/>
        <w:rPr>
          <w:sz w:val="20"/>
          <w:szCs w:val="20"/>
          <w:color w:val="auto"/>
        </w:rPr>
      </w:pPr>
      <w:r>
        <w:rPr>
          <w:rFonts w:ascii="Arial" w:cs="Arial" w:eastAsia="Arial" w:hAnsi="Arial"/>
          <w:sz w:val="12"/>
          <w:szCs w:val="12"/>
          <w:color w:val="auto"/>
        </w:rPr>
        <w:t xml:space="preserve">All members of the HRCC have direct experience that is relevant to their responsibilities relative to human resources and compensation, and have skills and experience that contribute to the ability of the HRCC to make decisions on the suitability of the Corporation’s human resources and compensation policies and practices. Each member of the HRCC possesses significant knowledge in human resources and executive compensation matters gained from his or her experience as an executive in one or more major public corporations, as outlined in the biographies in </w:t>
      </w:r>
      <w:r>
        <w:rPr>
          <w:rFonts w:ascii="Arial" w:cs="Arial" w:eastAsia="Arial" w:hAnsi="Arial"/>
          <w:sz w:val="12"/>
          <w:szCs w:val="12"/>
          <w:i w:val="1"/>
          <w:iCs w:val="1"/>
          <w:color w:val="auto"/>
        </w:rPr>
        <w:t>Information Relating to Our Directors — Election of</w:t>
      </w:r>
      <w:r>
        <w:rPr>
          <w:rFonts w:ascii="Arial" w:cs="Arial" w:eastAsia="Arial" w:hAnsi="Arial"/>
          <w:sz w:val="12"/>
          <w:szCs w:val="12"/>
          <w:color w:val="auto"/>
        </w:rPr>
        <w:t xml:space="preserve"> </w:t>
      </w:r>
      <w:r>
        <w:rPr>
          <w:rFonts w:ascii="Arial" w:cs="Arial" w:eastAsia="Arial" w:hAnsi="Arial"/>
          <w:sz w:val="12"/>
          <w:szCs w:val="12"/>
          <w:i w:val="1"/>
          <w:iCs w:val="1"/>
          <w:color w:val="auto"/>
        </w:rPr>
        <w:t>Directors — Nominees for Election as Director</w:t>
      </w:r>
      <w:r>
        <w:rPr>
          <w:rFonts w:ascii="Arial" w:cs="Arial" w:eastAsia="Arial" w:hAnsi="Arial"/>
          <w:sz w:val="12"/>
          <w:szCs w:val="12"/>
          <w:color w:val="auto"/>
        </w:rPr>
        <w:t>. This experience varies from director to director, but</w:t>
      </w:r>
      <w:r>
        <w:rPr>
          <w:rFonts w:ascii="Arial" w:cs="Arial" w:eastAsia="Arial" w:hAnsi="Arial"/>
          <w:sz w:val="12"/>
          <w:szCs w:val="12"/>
          <w:i w:val="1"/>
          <w:iCs w:val="1"/>
          <w:color w:val="auto"/>
        </w:rPr>
        <w:t xml:space="preserve"> </w:t>
      </w:r>
      <w:r>
        <w:rPr>
          <w:rFonts w:ascii="Arial" w:cs="Arial" w:eastAsia="Arial" w:hAnsi="Arial"/>
          <w:sz w:val="12"/>
          <w:szCs w:val="12"/>
          <w:color w:val="auto"/>
        </w:rPr>
        <w:t>collectively includes having responsibility for oversight of human resources policies; the creation and implementation of executive compensation plans; participating in briefings from outside consultants retained by compensation committees with respect to executive compensation design, administration and governance; having responsibility for human resources and executive compensation decisions; and past/present service on the human resources and/or compensation committees of several other major public corporations. Mr. Wilson currently serves as Chair of the Human Resources and Compensation Committee of Air Canada; Mr. Chopra currently serves as a member of the Human Resources, Compensation and Pension Committee of The North West Company Inc.; Ms. Koellner currently serves on the Compensation Committee of The Goodyear Tire &amp; Rubber Company and the Compensation and Executive Development Committee of Nucor Corporation, and she previously served on the Compensation Committee of AIG; and Ms. Perry previously served on the Management Resources and Compensation Committee of Softchoice Corporation (while it was a public company listed on the TSX). Accordingly, the Corporation believes that its HRCC is appropriately qualified to make decisions on the suitability of the Corporation’s human resources and compensation policies and practices.</w:t>
      </w:r>
    </w:p>
    <w:p>
      <w:pPr>
        <w:spacing w:after="0" w:line="216" w:lineRule="exact"/>
        <w:rPr>
          <w:sz w:val="20"/>
          <w:szCs w:val="20"/>
          <w:color w:val="auto"/>
        </w:rPr>
      </w:pPr>
    </w:p>
    <w:p>
      <w:pPr>
        <w:jc w:val="both"/>
        <w:ind w:left="1480" w:right="1499"/>
        <w:spacing w:after="0" w:line="270" w:lineRule="auto"/>
        <w:rPr>
          <w:sz w:val="20"/>
          <w:szCs w:val="20"/>
          <w:color w:val="auto"/>
        </w:rPr>
      </w:pPr>
      <w:r>
        <w:rPr>
          <w:rFonts w:ascii="Arial" w:cs="Arial" w:eastAsia="Arial" w:hAnsi="Arial"/>
          <w:sz w:val="13"/>
          <w:szCs w:val="13"/>
          <w:color w:val="auto"/>
        </w:rPr>
        <w:t xml:space="preserve">The HRCC has retained an independent compensation consultant to assist in the discharge of its mandate. For a description of the compensation consultant’s role and mandate, see </w:t>
      </w:r>
      <w:r>
        <w:rPr>
          <w:rFonts w:ascii="Arial" w:cs="Arial" w:eastAsia="Arial" w:hAnsi="Arial"/>
          <w:sz w:val="13"/>
          <w:szCs w:val="13"/>
          <w:i w:val="1"/>
          <w:iCs w:val="1"/>
          <w:color w:val="auto"/>
        </w:rPr>
        <w:t>Compensation Discussion and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Analysis — Compensation Objectives — Independent Advice </w:t>
      </w:r>
      <w:r>
        <w:rPr>
          <w:rFonts w:ascii="Arial" w:cs="Arial" w:eastAsia="Arial" w:hAnsi="Arial"/>
          <w:sz w:val="13"/>
          <w:szCs w:val="13"/>
          <w:color w:val="auto"/>
        </w:rPr>
        <w:t>below.</w:t>
      </w: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2" w:name="page33"/>
    <w:bookmarkEnd w:id="32"/>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71"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auto"/>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38100</wp:posOffset>
            </wp:positionV>
            <wp:extent cx="3502025"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502025" cy="6350"/>
                    </a:xfrm>
                    <a:prstGeom prst="rect">
                      <a:avLst/>
                    </a:prstGeom>
                    <a:noFill/>
                  </pic:spPr>
                </pic:pic>
              </a:graphicData>
            </a:graphic>
          </wp:anchor>
        </w:drawing>
      </w:r>
    </w:p>
    <w:p>
      <w:pPr>
        <w:spacing w:after="0" w:line="121" w:lineRule="exact"/>
        <w:rPr>
          <w:sz w:val="20"/>
          <w:szCs w:val="20"/>
          <w:color w:val="auto"/>
        </w:rPr>
      </w:pPr>
    </w:p>
    <w:p>
      <w:pPr>
        <w:jc w:val="both"/>
        <w:ind w:left="1480" w:right="1499"/>
        <w:spacing w:after="0" w:line="265" w:lineRule="auto"/>
        <w:rPr>
          <w:sz w:val="20"/>
          <w:szCs w:val="20"/>
          <w:color w:val="auto"/>
        </w:rPr>
      </w:pPr>
      <w:r>
        <w:rPr>
          <w:rFonts w:ascii="Arial" w:cs="Arial" w:eastAsia="Arial" w:hAnsi="Arial"/>
          <w:sz w:val="13"/>
          <w:szCs w:val="13"/>
          <w:color w:val="auto"/>
        </w:rPr>
        <w:t>The NCGC is a fully independent committee of the Board (pursuant to applicable Canadian rules and NYSE listing standards) and is currently comprised of Michael M. Wilson (Chair), Robert A. Cascella, Deepak Chopra, Daniel P. DiMaggio, Laurette T. Koellner, Carol S. Perry and Eamon J. Ryan. The NCGC members and its Chair are appointed annually by the Board.</w:t>
      </w:r>
    </w:p>
    <w:p>
      <w:pPr>
        <w:spacing w:after="0" w:line="56" w:lineRule="exact"/>
        <w:rPr>
          <w:sz w:val="20"/>
          <w:szCs w:val="20"/>
          <w:color w:val="auto"/>
        </w:rPr>
      </w:pPr>
    </w:p>
    <w:p>
      <w:pPr>
        <w:jc w:val="both"/>
        <w:ind w:left="1480" w:right="1499"/>
        <w:spacing w:after="0" w:line="265" w:lineRule="auto"/>
        <w:rPr>
          <w:sz w:val="20"/>
          <w:szCs w:val="20"/>
          <w:color w:val="auto"/>
        </w:rPr>
      </w:pPr>
      <w:r>
        <w:rPr>
          <w:rFonts w:ascii="Arial" w:cs="Arial" w:eastAsia="Arial" w:hAnsi="Arial"/>
          <w:sz w:val="13"/>
          <w:szCs w:val="13"/>
          <w:color w:val="auto"/>
        </w:rPr>
        <w:t>The NCGC is responsible for developing and recommending governance guidelines for the Corporation (and recommending changes to those guidelines), identifying individuals qualified to become members of the Board, and recommending director nominees to be put before the shareholders at each annual meeting. The duties and responsibilities of the NCGC include:</w:t>
      </w:r>
    </w:p>
    <w:p>
      <w:pPr>
        <w:spacing w:after="0" w:line="56" w:lineRule="exact"/>
        <w:rPr>
          <w:sz w:val="20"/>
          <w:szCs w:val="20"/>
          <w:color w:val="auto"/>
        </w:rPr>
      </w:pPr>
    </w:p>
    <w:p>
      <w:pPr>
        <w:ind w:left="1880" w:hanging="137"/>
        <w:spacing w:after="0"/>
        <w:tabs>
          <w:tab w:leader="none" w:pos="18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reviewing the Corporate Governance Guidelines;</w:t>
      </w:r>
    </w:p>
    <w:p>
      <w:pPr>
        <w:spacing w:after="0" w:line="89" w:lineRule="exact"/>
        <w:rPr>
          <w:rFonts w:ascii="Arial" w:cs="Arial" w:eastAsia="Arial" w:hAnsi="Arial"/>
          <w:sz w:val="13"/>
          <w:szCs w:val="13"/>
          <w:color w:val="auto"/>
        </w:rPr>
      </w:pPr>
    </w:p>
    <w:p>
      <w:pPr>
        <w:ind w:left="1880" w:right="1499" w:hanging="137"/>
        <w:spacing w:after="0" w:line="285" w:lineRule="auto"/>
        <w:tabs>
          <w:tab w:leader="none" w:pos="18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creating a formal, rigorous and transparent procedure for the appointment of new directors to the Board;</w:t>
      </w:r>
    </w:p>
    <w:p>
      <w:pPr>
        <w:spacing w:after="0" w:line="43" w:lineRule="exact"/>
        <w:rPr>
          <w:rFonts w:ascii="Arial" w:cs="Arial" w:eastAsia="Arial" w:hAnsi="Arial"/>
          <w:sz w:val="13"/>
          <w:szCs w:val="13"/>
          <w:color w:val="auto"/>
        </w:rPr>
      </w:pPr>
    </w:p>
    <w:p>
      <w:pPr>
        <w:ind w:left="1880" w:hanging="137"/>
        <w:spacing w:after="0"/>
        <w:tabs>
          <w:tab w:leader="none" w:pos="18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identifying and recommending new director nominees</w:t>
      </w:r>
    </w:p>
    <w:p>
      <w:pPr>
        <w:spacing w:after="0" w:line="89" w:lineRule="exact"/>
        <w:rPr>
          <w:rFonts w:ascii="Arial" w:cs="Arial" w:eastAsia="Arial" w:hAnsi="Arial"/>
          <w:sz w:val="13"/>
          <w:szCs w:val="13"/>
          <w:color w:val="auto"/>
        </w:rPr>
      </w:pPr>
    </w:p>
    <w:p>
      <w:pPr>
        <w:jc w:val="both"/>
        <w:ind w:left="1880" w:right="1499" w:hanging="137"/>
        <w:spacing w:after="0" w:line="265" w:lineRule="auto"/>
        <w:tabs>
          <w:tab w:leader="none" w:pos="18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annually assessing the effectiveness of the Board Diversity Policy and its effectiveness in promoting a diverse Board, and monitoring compliance with disclosure and any other requirements under applicable corporate and securities laws and regulations, as well as any applicable stock exchange requirements, regarding diversity;</w:t>
      </w:r>
    </w:p>
    <w:p>
      <w:pPr>
        <w:spacing w:after="0" w:line="56" w:lineRule="exact"/>
        <w:rPr>
          <w:rFonts w:ascii="Arial" w:cs="Arial" w:eastAsia="Arial" w:hAnsi="Arial"/>
          <w:sz w:val="13"/>
          <w:szCs w:val="13"/>
          <w:color w:val="auto"/>
        </w:rPr>
      </w:pPr>
    </w:p>
    <w:p>
      <w:pPr>
        <w:ind w:left="1880" w:hanging="137"/>
        <w:spacing w:after="0"/>
        <w:tabs>
          <w:tab w:leader="none" w:pos="18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developing a director orientation program;</w:t>
      </w:r>
    </w:p>
    <w:p>
      <w:pPr>
        <w:spacing w:after="0" w:line="99" w:lineRule="exact"/>
        <w:rPr>
          <w:rFonts w:ascii="Arial" w:cs="Arial" w:eastAsia="Arial" w:hAnsi="Arial"/>
          <w:sz w:val="13"/>
          <w:szCs w:val="13"/>
          <w:color w:val="auto"/>
        </w:rPr>
      </w:pPr>
    </w:p>
    <w:p>
      <w:pPr>
        <w:ind w:left="1880" w:hanging="137"/>
        <w:spacing w:after="0"/>
        <w:tabs>
          <w:tab w:leader="none" w:pos="18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developing a director continuing education program;</w:t>
      </w:r>
    </w:p>
    <w:p>
      <w:pPr>
        <w:spacing w:after="0" w:line="89" w:lineRule="exact"/>
        <w:rPr>
          <w:rFonts w:ascii="Arial" w:cs="Arial" w:eastAsia="Arial" w:hAnsi="Arial"/>
          <w:sz w:val="13"/>
          <w:szCs w:val="13"/>
          <w:color w:val="auto"/>
        </w:rPr>
      </w:pPr>
    </w:p>
    <w:p>
      <w:pPr>
        <w:ind w:left="1880" w:hanging="137"/>
        <w:spacing w:after="0"/>
        <w:tabs>
          <w:tab w:leader="none" w:pos="18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developing position descriptions for the Chair, the CEO and the chair of each committee;</w:t>
      </w:r>
    </w:p>
    <w:p>
      <w:pPr>
        <w:spacing w:after="0" w:line="89" w:lineRule="exact"/>
        <w:rPr>
          <w:rFonts w:ascii="Arial" w:cs="Arial" w:eastAsia="Arial" w:hAnsi="Arial"/>
          <w:sz w:val="13"/>
          <w:szCs w:val="13"/>
          <w:color w:val="auto"/>
        </w:rPr>
      </w:pPr>
    </w:p>
    <w:p>
      <w:pPr>
        <w:ind w:left="1880" w:right="1499" w:hanging="137"/>
        <w:spacing w:after="0" w:line="285" w:lineRule="auto"/>
        <w:tabs>
          <w:tab w:leader="none" w:pos="18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developing and overseeing annual director evaluations, including assessing the performance of the Board, the committees, individual directors and through peer review;</w:t>
      </w:r>
    </w:p>
    <w:p>
      <w:pPr>
        <w:spacing w:after="0" w:line="43" w:lineRule="exact"/>
        <w:rPr>
          <w:rFonts w:ascii="Arial" w:cs="Arial" w:eastAsia="Arial" w:hAnsi="Arial"/>
          <w:sz w:val="13"/>
          <w:szCs w:val="13"/>
          <w:color w:val="auto"/>
        </w:rPr>
      </w:pPr>
    </w:p>
    <w:p>
      <w:pPr>
        <w:ind w:left="1880" w:hanging="137"/>
        <w:spacing w:after="0"/>
        <w:tabs>
          <w:tab w:leader="none" w:pos="18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reviewing director compensation guidelines;</w:t>
      </w:r>
    </w:p>
    <w:p>
      <w:pPr>
        <w:spacing w:after="0" w:line="89" w:lineRule="exact"/>
        <w:rPr>
          <w:rFonts w:ascii="Arial" w:cs="Arial" w:eastAsia="Arial" w:hAnsi="Arial"/>
          <w:sz w:val="13"/>
          <w:szCs w:val="13"/>
          <w:color w:val="auto"/>
        </w:rPr>
      </w:pPr>
    </w:p>
    <w:p>
      <w:pPr>
        <w:ind w:left="1880" w:right="1499" w:hanging="137"/>
        <w:spacing w:after="0" w:line="285" w:lineRule="auto"/>
        <w:tabs>
          <w:tab w:leader="none" w:pos="18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overseeing the Corporation’s general strategy, policies and initiatives relating to ESG matters, including, among other things, sustainability, and reviewing the risks related to ESG matters; and</w:t>
      </w:r>
    </w:p>
    <w:p>
      <w:pPr>
        <w:spacing w:after="0" w:line="43" w:lineRule="exact"/>
        <w:rPr>
          <w:rFonts w:ascii="Arial" w:cs="Arial" w:eastAsia="Arial" w:hAnsi="Arial"/>
          <w:sz w:val="13"/>
          <w:szCs w:val="13"/>
          <w:color w:val="auto"/>
        </w:rPr>
      </w:pPr>
    </w:p>
    <w:p>
      <w:pPr>
        <w:ind w:left="1880" w:hanging="137"/>
        <w:spacing w:after="0"/>
        <w:tabs>
          <w:tab w:leader="none" w:pos="18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annual director independence reviews.</w:t>
      </w:r>
    </w:p>
    <w:p>
      <w:pPr>
        <w:spacing w:after="0" w:line="173"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Orientation and Continuing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38100</wp:posOffset>
            </wp:positionV>
            <wp:extent cx="3843655"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843655" cy="635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50800</wp:posOffset>
            </wp:positionV>
            <wp:extent cx="3843655"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363"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auto"/>
        </w:rPr>
        <w:t>Orientation of New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38100</wp:posOffset>
            </wp:positionV>
            <wp:extent cx="3502025"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502025" cy="6350"/>
                    </a:xfrm>
                    <a:prstGeom prst="rect">
                      <a:avLst/>
                    </a:prstGeom>
                    <a:noFill/>
                  </pic:spPr>
                </pic:pic>
              </a:graphicData>
            </a:graphic>
          </wp:anchor>
        </w:drawing>
      </w:r>
    </w:p>
    <w:p>
      <w:pPr>
        <w:spacing w:after="0" w:line="121" w:lineRule="exact"/>
        <w:rPr>
          <w:sz w:val="20"/>
          <w:szCs w:val="20"/>
          <w:color w:val="auto"/>
        </w:rPr>
      </w:pPr>
    </w:p>
    <w:p>
      <w:pPr>
        <w:jc w:val="both"/>
        <w:ind w:left="1480" w:right="1499"/>
        <w:spacing w:after="0" w:line="259" w:lineRule="auto"/>
        <w:rPr>
          <w:sz w:val="20"/>
          <w:szCs w:val="20"/>
          <w:color w:val="auto"/>
        </w:rPr>
      </w:pPr>
      <w:r>
        <w:rPr>
          <w:rFonts w:ascii="Arial" w:cs="Arial" w:eastAsia="Arial" w:hAnsi="Arial"/>
          <w:sz w:val="13"/>
          <w:szCs w:val="13"/>
          <w:color w:val="auto"/>
        </w:rPr>
        <w:t>The Corporation’s orientation program helps new directors contribute effectively to the work of the Board as soon as possible after their appointment or election to the Board. As part of this program, new directors receive written materials on the Board and committee mandates, the Corporation’s structure, organization, current priorities and issues that have been considered by the Board and each of its committees. New directors also attend meetings with the Chair, directors, the Corporation’s external compensation consultant and key executives, and receive periodic presentations from senior management on major business strategy, industry trends, customer requirements and competitive issues. Through this orientation program, new directors have the opportunity to become familiar with the role of the Board and its committees, the contribution individual directors are expected to make, and the nature and operation of the Corporation’s business.</w:t>
      </w:r>
    </w:p>
    <w:p>
      <w:pPr>
        <w:spacing w:after="0" w:line="143"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auto"/>
        </w:rPr>
        <w:t>Director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38100</wp:posOffset>
            </wp:positionV>
            <wp:extent cx="3502025"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502025" cy="6350"/>
                    </a:xfrm>
                    <a:prstGeom prst="rect">
                      <a:avLst/>
                    </a:prstGeom>
                    <a:noFill/>
                  </pic:spPr>
                </pic:pic>
              </a:graphicData>
            </a:graphic>
          </wp:anchor>
        </w:drawing>
      </w:r>
    </w:p>
    <w:p>
      <w:pPr>
        <w:spacing w:after="0" w:line="121" w:lineRule="exact"/>
        <w:rPr>
          <w:sz w:val="20"/>
          <w:szCs w:val="20"/>
          <w:color w:val="auto"/>
        </w:rPr>
      </w:pPr>
    </w:p>
    <w:p>
      <w:pPr>
        <w:jc w:val="both"/>
        <w:ind w:left="1480" w:right="1499"/>
        <w:spacing w:after="0" w:line="270" w:lineRule="auto"/>
        <w:rPr>
          <w:sz w:val="20"/>
          <w:szCs w:val="20"/>
          <w:color w:val="auto"/>
        </w:rPr>
      </w:pPr>
      <w:r>
        <w:rPr>
          <w:rFonts w:ascii="Arial" w:cs="Arial" w:eastAsia="Arial" w:hAnsi="Arial"/>
          <w:sz w:val="13"/>
          <w:szCs w:val="13"/>
          <w:color w:val="auto"/>
        </w:rPr>
        <w:t>The Board recognizes ongoing director education as an important component of good governance. Directors are expected to be informed about current best practices, emerging trends in corporate governance and relevant regulatory developments.</w:t>
      </w: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3" w:name="page34"/>
    <w:bookmarkEnd w:id="33"/>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97" w:lineRule="exact"/>
        <w:rPr>
          <w:sz w:val="20"/>
          <w:szCs w:val="20"/>
          <w:color w:val="auto"/>
        </w:rPr>
      </w:pPr>
    </w:p>
    <w:p>
      <w:pPr>
        <w:jc w:val="both"/>
        <w:ind w:left="1480" w:right="1499"/>
        <w:spacing w:after="0" w:line="270" w:lineRule="auto"/>
        <w:rPr>
          <w:sz w:val="20"/>
          <w:szCs w:val="20"/>
          <w:color w:val="auto"/>
        </w:rPr>
      </w:pPr>
      <w:r>
        <w:rPr>
          <w:rFonts w:ascii="Arial" w:cs="Arial" w:eastAsia="Arial" w:hAnsi="Arial"/>
          <w:sz w:val="13"/>
          <w:szCs w:val="13"/>
          <w:color w:val="auto"/>
        </w:rPr>
        <w:t>The Corporation facilitates corporate governance best practices by maintaining a board membership with the Institute of Corporate Directors for the benefit of all our directors. In addition, the Corporation provides each director with a membership in the National Association of Corporate Directors.</w:t>
      </w:r>
    </w:p>
    <w:p>
      <w:pPr>
        <w:spacing w:after="0" w:line="53" w:lineRule="exact"/>
        <w:rPr>
          <w:sz w:val="20"/>
          <w:szCs w:val="20"/>
          <w:color w:val="auto"/>
        </w:rPr>
      </w:pPr>
    </w:p>
    <w:p>
      <w:pPr>
        <w:jc w:val="both"/>
        <w:ind w:left="1480" w:right="1499"/>
        <w:spacing w:after="0" w:line="260" w:lineRule="auto"/>
        <w:rPr>
          <w:sz w:val="20"/>
          <w:szCs w:val="20"/>
          <w:color w:val="auto"/>
        </w:rPr>
      </w:pPr>
      <w:r>
        <w:rPr>
          <w:rFonts w:ascii="Arial" w:cs="Arial" w:eastAsia="Arial" w:hAnsi="Arial"/>
          <w:sz w:val="13"/>
          <w:szCs w:val="13"/>
          <w:color w:val="auto"/>
        </w:rPr>
        <w:t>While directors are required to take personal responsibility for staying current, Celestica’s Corporate Governance Guidelines require management and outside advisors to provide information and education sessions to the Board and its Committees as necessary to keep the directors up-to-date with Celestica’s business and the environment in which it operates, as well as with developments in the responsibilities of directors. In accordance with the NCGC mandate, our continuing education program has been designed to, among other things: (i) assist directors to maintain or enhance their skills and abilities as directors of the Corporation; and (ii) assist directors in ensuring that their knowledge and understanding of the Corporation’s business remains current.</w:t>
      </w:r>
    </w:p>
    <w:p>
      <w:pPr>
        <w:spacing w:after="0" w:line="58"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The Corporation facilitates these corporate governance best practices by:</w:t>
      </w:r>
    </w:p>
    <w:p>
      <w:pPr>
        <w:spacing w:after="0" w:line="99" w:lineRule="exact"/>
        <w:rPr>
          <w:sz w:val="20"/>
          <w:szCs w:val="20"/>
          <w:color w:val="auto"/>
        </w:rPr>
      </w:pPr>
    </w:p>
    <w:p>
      <w:pPr>
        <w:jc w:val="both"/>
        <w:ind w:left="1880" w:right="1499" w:hanging="137"/>
        <w:spacing w:after="0" w:line="270" w:lineRule="auto"/>
        <w:tabs>
          <w:tab w:leader="none" w:pos="18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providing directors with detailed information packages in advance of each Board and Committee meeting through an online portal which directors can access immediately upon the issuance of materials;</w:t>
      </w:r>
    </w:p>
    <w:p>
      <w:pPr>
        <w:spacing w:after="0" w:line="72" w:lineRule="exact"/>
        <w:rPr>
          <w:rFonts w:ascii="Arial" w:cs="Arial" w:eastAsia="Arial" w:hAnsi="Arial"/>
          <w:sz w:val="13"/>
          <w:szCs w:val="13"/>
          <w:color w:val="auto"/>
        </w:rPr>
      </w:pPr>
    </w:p>
    <w:p>
      <w:pPr>
        <w:ind w:left="1880" w:right="1499" w:hanging="137"/>
        <w:spacing w:after="0" w:line="285" w:lineRule="auto"/>
        <w:tabs>
          <w:tab w:leader="none" w:pos="18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providing regular updates between meetings of the Board with respect to issues that affect the business of the Corporation;</w:t>
      </w:r>
    </w:p>
    <w:p>
      <w:pPr>
        <w:spacing w:after="0" w:line="53" w:lineRule="exact"/>
        <w:rPr>
          <w:rFonts w:ascii="Arial" w:cs="Arial" w:eastAsia="Arial" w:hAnsi="Arial"/>
          <w:sz w:val="13"/>
          <w:szCs w:val="13"/>
          <w:color w:val="auto"/>
        </w:rPr>
      </w:pPr>
    </w:p>
    <w:p>
      <w:pPr>
        <w:ind w:left="1880" w:right="1499" w:hanging="137"/>
        <w:spacing w:after="0" w:line="285" w:lineRule="auto"/>
        <w:tabs>
          <w:tab w:leader="none" w:pos="18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encouraging attendance at industry conferences and educational offers in relation to the Corporation’s business;</w:t>
      </w:r>
    </w:p>
    <w:p>
      <w:pPr>
        <w:spacing w:after="0" w:line="63" w:lineRule="exact"/>
        <w:rPr>
          <w:rFonts w:ascii="Arial" w:cs="Arial" w:eastAsia="Arial" w:hAnsi="Arial"/>
          <w:sz w:val="13"/>
          <w:szCs w:val="13"/>
          <w:color w:val="auto"/>
        </w:rPr>
      </w:pPr>
    </w:p>
    <w:p>
      <w:pPr>
        <w:ind w:left="1880" w:right="1499" w:hanging="137"/>
        <w:spacing w:after="0" w:line="285" w:lineRule="auto"/>
        <w:tabs>
          <w:tab w:leader="none" w:pos="18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contributing to the cost of outside conferences and seminars that are relevant to their role (with prior approval of the Chair); and</w:t>
      </w:r>
    </w:p>
    <w:p>
      <w:pPr>
        <w:spacing w:after="0" w:line="63" w:lineRule="exact"/>
        <w:rPr>
          <w:rFonts w:ascii="Arial" w:cs="Arial" w:eastAsia="Arial" w:hAnsi="Arial"/>
          <w:sz w:val="13"/>
          <w:szCs w:val="13"/>
          <w:color w:val="auto"/>
        </w:rPr>
      </w:pPr>
    </w:p>
    <w:p>
      <w:pPr>
        <w:ind w:left="1880" w:hanging="137"/>
        <w:spacing w:after="0"/>
        <w:tabs>
          <w:tab w:leader="none" w:pos="18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providing directors with full access to senior management and employees of the Corporation.</w:t>
      </w:r>
    </w:p>
    <w:p>
      <w:pPr>
        <w:spacing w:after="0" w:line="89" w:lineRule="exact"/>
        <w:rPr>
          <w:sz w:val="20"/>
          <w:szCs w:val="20"/>
          <w:color w:val="auto"/>
        </w:rPr>
      </w:pPr>
    </w:p>
    <w:p>
      <w:pPr>
        <w:jc w:val="both"/>
        <w:ind w:left="1480" w:right="1499"/>
        <w:spacing w:after="0" w:line="285" w:lineRule="auto"/>
        <w:rPr>
          <w:sz w:val="20"/>
          <w:szCs w:val="20"/>
          <w:color w:val="auto"/>
        </w:rPr>
      </w:pPr>
      <w:r>
        <w:rPr>
          <w:rFonts w:ascii="Arial" w:cs="Arial" w:eastAsia="Arial" w:hAnsi="Arial"/>
          <w:sz w:val="13"/>
          <w:szCs w:val="13"/>
          <w:color w:val="auto"/>
        </w:rPr>
        <w:t>Directors review the annual work plan for Board and committee meetings, participate in setting the agendas for such meetings and participate in annual strategic planning sessions.</w:t>
      </w:r>
    </w:p>
    <w:p>
      <w:pPr>
        <w:spacing w:after="0" w:line="43" w:lineRule="exact"/>
        <w:rPr>
          <w:sz w:val="20"/>
          <w:szCs w:val="20"/>
          <w:color w:val="auto"/>
        </w:rPr>
      </w:pPr>
    </w:p>
    <w:p>
      <w:pPr>
        <w:jc w:val="both"/>
        <w:ind w:left="1480" w:right="1499"/>
        <w:spacing w:after="0" w:line="270" w:lineRule="auto"/>
        <w:rPr>
          <w:sz w:val="20"/>
          <w:szCs w:val="20"/>
          <w:color w:val="auto"/>
        </w:rPr>
      </w:pPr>
      <w:r>
        <w:rPr>
          <w:rFonts w:ascii="Arial" w:cs="Arial" w:eastAsia="Arial" w:hAnsi="Arial"/>
          <w:sz w:val="13"/>
          <w:szCs w:val="13"/>
          <w:color w:val="auto"/>
        </w:rPr>
        <w:t>The Board’s continuing education program also includes management presentations, analyst reports and regular business updates from the CEO. From January 1, 2020 to February 22, 2021, management and/or external advisors provided educational sessions and/or materials on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1245235</wp:posOffset>
            </wp:positionH>
            <wp:positionV relativeFrom="paragraph">
              <wp:posOffset>36195</wp:posOffset>
            </wp:positionV>
            <wp:extent cx="3204845" cy="15360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04845" cy="1536065"/>
                    </a:xfrm>
                    <a:prstGeom prst="rect">
                      <a:avLst/>
                    </a:prstGeom>
                    <a:noFill/>
                  </pic:spPr>
                </pic:pic>
              </a:graphicData>
            </a:graphic>
          </wp:anchor>
        </w:drawing>
      </w:r>
    </w:p>
    <w:p>
      <w:pPr>
        <w:spacing w:after="0" w:line="124" w:lineRule="exact"/>
        <w:rPr>
          <w:sz w:val="20"/>
          <w:szCs w:val="20"/>
          <w:color w:val="auto"/>
        </w:rPr>
      </w:pPr>
    </w:p>
    <w:p>
      <w:pPr>
        <w:ind w:left="2040"/>
        <w:spacing w:after="0"/>
        <w:rPr>
          <w:sz w:val="20"/>
          <w:szCs w:val="20"/>
          <w:color w:val="auto"/>
        </w:rPr>
      </w:pPr>
      <w:r>
        <w:rPr>
          <w:rFonts w:ascii="Arial" w:cs="Arial" w:eastAsia="Arial" w:hAnsi="Arial"/>
          <w:sz w:val="11"/>
          <w:szCs w:val="11"/>
          <w:b w:val="1"/>
          <w:bCs w:val="1"/>
          <w:color w:val="auto"/>
        </w:rPr>
        <w:t>Director Education</w:t>
      </w:r>
    </w:p>
    <w:p>
      <w:pPr>
        <w:spacing w:after="0" w:line="71" w:lineRule="exact"/>
        <w:rPr>
          <w:sz w:val="20"/>
          <w:szCs w:val="20"/>
          <w:color w:val="auto"/>
        </w:rPr>
      </w:pPr>
    </w:p>
    <w:p>
      <w:pPr>
        <w:ind w:left="2040"/>
        <w:spacing w:after="0"/>
        <w:rPr>
          <w:sz w:val="20"/>
          <w:szCs w:val="20"/>
          <w:color w:val="auto"/>
        </w:rPr>
      </w:pPr>
      <w:r>
        <w:rPr>
          <w:rFonts w:ascii="Arial" w:cs="Arial" w:eastAsia="Arial" w:hAnsi="Arial"/>
          <w:sz w:val="13"/>
          <w:szCs w:val="13"/>
          <w:color w:val="auto"/>
        </w:rPr>
        <w:t>Executive compensation trends</w:t>
      </w:r>
    </w:p>
    <w:p>
      <w:pPr>
        <w:spacing w:after="0" w:line="70" w:lineRule="exact"/>
        <w:rPr>
          <w:sz w:val="20"/>
          <w:szCs w:val="20"/>
          <w:color w:val="auto"/>
        </w:rPr>
      </w:pPr>
    </w:p>
    <w:p>
      <w:pPr>
        <w:ind w:left="2040"/>
        <w:spacing w:after="0"/>
        <w:rPr>
          <w:sz w:val="20"/>
          <w:szCs w:val="20"/>
          <w:color w:val="auto"/>
        </w:rPr>
      </w:pPr>
      <w:r>
        <w:rPr>
          <w:rFonts w:ascii="Arial" w:cs="Arial" w:eastAsia="Arial" w:hAnsi="Arial"/>
          <w:sz w:val="13"/>
          <w:szCs w:val="13"/>
          <w:color w:val="auto"/>
        </w:rPr>
        <w:t>Executive compensation disclosure requirements in Canada and the U.S.</w:t>
      </w:r>
    </w:p>
    <w:p>
      <w:pPr>
        <w:spacing w:after="0" w:line="70" w:lineRule="exact"/>
        <w:rPr>
          <w:sz w:val="20"/>
          <w:szCs w:val="20"/>
          <w:color w:val="auto"/>
        </w:rPr>
      </w:pPr>
    </w:p>
    <w:p>
      <w:pPr>
        <w:ind w:left="2040"/>
        <w:spacing w:after="0"/>
        <w:rPr>
          <w:sz w:val="20"/>
          <w:szCs w:val="20"/>
          <w:color w:val="auto"/>
        </w:rPr>
      </w:pPr>
      <w:r>
        <w:rPr>
          <w:rFonts w:ascii="Arial" w:cs="Arial" w:eastAsia="Arial" w:hAnsi="Arial"/>
          <w:sz w:val="13"/>
          <w:szCs w:val="13"/>
          <w:color w:val="auto"/>
        </w:rPr>
        <w:t>Developments in corporate governance</w:t>
      </w:r>
    </w:p>
    <w:p>
      <w:pPr>
        <w:spacing w:after="0" w:line="70" w:lineRule="exact"/>
        <w:rPr>
          <w:sz w:val="20"/>
          <w:szCs w:val="20"/>
          <w:color w:val="auto"/>
        </w:rPr>
      </w:pPr>
    </w:p>
    <w:p>
      <w:pPr>
        <w:ind w:left="2040"/>
        <w:spacing w:after="0"/>
        <w:rPr>
          <w:sz w:val="20"/>
          <w:szCs w:val="20"/>
          <w:color w:val="auto"/>
        </w:rPr>
      </w:pPr>
      <w:r>
        <w:rPr>
          <w:rFonts w:ascii="Arial" w:cs="Arial" w:eastAsia="Arial" w:hAnsi="Arial"/>
          <w:sz w:val="13"/>
          <w:szCs w:val="13"/>
          <w:color w:val="auto"/>
        </w:rPr>
        <w:t>Developments in accounting rules and standards</w:t>
      </w:r>
    </w:p>
    <w:p>
      <w:pPr>
        <w:spacing w:after="0" w:line="70" w:lineRule="exact"/>
        <w:rPr>
          <w:sz w:val="20"/>
          <w:szCs w:val="20"/>
          <w:color w:val="auto"/>
        </w:rPr>
      </w:pPr>
    </w:p>
    <w:p>
      <w:pPr>
        <w:ind w:left="2040"/>
        <w:spacing w:after="0"/>
        <w:rPr>
          <w:sz w:val="20"/>
          <w:szCs w:val="20"/>
          <w:color w:val="auto"/>
        </w:rPr>
      </w:pPr>
      <w:r>
        <w:rPr>
          <w:rFonts w:ascii="Arial" w:cs="Arial" w:eastAsia="Arial" w:hAnsi="Arial"/>
          <w:sz w:val="13"/>
          <w:szCs w:val="13"/>
          <w:color w:val="auto"/>
        </w:rPr>
        <w:t>Cyber-security</w:t>
      </w:r>
    </w:p>
    <w:p>
      <w:pPr>
        <w:spacing w:after="0" w:line="70" w:lineRule="exact"/>
        <w:rPr>
          <w:sz w:val="20"/>
          <w:szCs w:val="20"/>
          <w:color w:val="auto"/>
        </w:rPr>
      </w:pPr>
    </w:p>
    <w:p>
      <w:pPr>
        <w:ind w:left="2040"/>
        <w:spacing w:after="0"/>
        <w:rPr>
          <w:sz w:val="20"/>
          <w:szCs w:val="20"/>
          <w:color w:val="auto"/>
        </w:rPr>
      </w:pPr>
      <w:r>
        <w:rPr>
          <w:rFonts w:ascii="Arial" w:cs="Arial" w:eastAsia="Arial" w:hAnsi="Arial"/>
          <w:sz w:val="13"/>
          <w:szCs w:val="13"/>
          <w:color w:val="auto"/>
        </w:rPr>
        <w:t>Regulatory developments; and industry trends</w:t>
      </w:r>
    </w:p>
    <w:p>
      <w:pPr>
        <w:spacing w:after="0" w:line="60" w:lineRule="exact"/>
        <w:rPr>
          <w:sz w:val="20"/>
          <w:szCs w:val="20"/>
          <w:color w:val="auto"/>
        </w:rPr>
      </w:pPr>
    </w:p>
    <w:p>
      <w:pPr>
        <w:ind w:left="2040" w:right="2319"/>
        <w:spacing w:after="0" w:line="285" w:lineRule="auto"/>
        <w:rPr>
          <w:sz w:val="20"/>
          <w:szCs w:val="20"/>
          <w:color w:val="auto"/>
        </w:rPr>
      </w:pPr>
      <w:r>
        <w:rPr>
          <w:rFonts w:ascii="Arial" w:cs="Arial" w:eastAsia="Arial" w:hAnsi="Arial"/>
          <w:sz w:val="13"/>
          <w:szCs w:val="13"/>
          <w:color w:val="auto"/>
        </w:rPr>
        <w:t>ESG matters, including climate change, employee and community engagement, and corporate governance</w:t>
      </w:r>
    </w:p>
    <w:p>
      <w:pPr>
        <w:spacing w:after="0" w:line="33" w:lineRule="exact"/>
        <w:rPr>
          <w:sz w:val="20"/>
          <w:szCs w:val="20"/>
          <w:color w:val="auto"/>
        </w:rPr>
      </w:pPr>
    </w:p>
    <w:p>
      <w:pPr>
        <w:ind w:left="2040"/>
        <w:spacing w:after="0"/>
        <w:rPr>
          <w:sz w:val="20"/>
          <w:szCs w:val="20"/>
          <w:color w:val="auto"/>
        </w:rPr>
      </w:pPr>
      <w:r>
        <w:rPr>
          <w:rFonts w:ascii="Arial" w:cs="Arial" w:eastAsia="Arial" w:hAnsi="Arial"/>
          <w:sz w:val="13"/>
          <w:szCs w:val="13"/>
          <w:color w:val="auto"/>
        </w:rPr>
        <w:t>Diversity and inclusion</w:t>
      </w:r>
    </w:p>
    <w:p>
      <w:pPr>
        <w:spacing w:after="0" w:line="70" w:lineRule="exact"/>
        <w:rPr>
          <w:sz w:val="20"/>
          <w:szCs w:val="20"/>
          <w:color w:val="auto"/>
        </w:rPr>
      </w:pPr>
    </w:p>
    <w:p>
      <w:pPr>
        <w:ind w:left="2040"/>
        <w:spacing w:after="0"/>
        <w:rPr>
          <w:sz w:val="20"/>
          <w:szCs w:val="20"/>
          <w:color w:val="auto"/>
        </w:rPr>
      </w:pPr>
      <w:r>
        <w:rPr>
          <w:rFonts w:ascii="Arial" w:cs="Arial" w:eastAsia="Arial" w:hAnsi="Arial"/>
          <w:sz w:val="13"/>
          <w:szCs w:val="13"/>
          <w:color w:val="auto"/>
        </w:rPr>
        <w:t>U.S./China relations</w:t>
      </w:r>
    </w:p>
    <w:p>
      <w:pPr>
        <w:spacing w:after="0" w:line="179" w:lineRule="exact"/>
        <w:rPr>
          <w:sz w:val="20"/>
          <w:szCs w:val="20"/>
          <w:color w:val="auto"/>
        </w:rPr>
      </w:pPr>
    </w:p>
    <w:p>
      <w:pPr>
        <w:ind w:left="1480" w:right="1499"/>
        <w:spacing w:after="0" w:line="285" w:lineRule="auto"/>
        <w:rPr>
          <w:sz w:val="20"/>
          <w:szCs w:val="20"/>
          <w:color w:val="auto"/>
        </w:rPr>
      </w:pPr>
      <w:r>
        <w:rPr>
          <w:rFonts w:ascii="Arial" w:cs="Arial" w:eastAsia="Arial" w:hAnsi="Arial"/>
          <w:sz w:val="13"/>
          <w:szCs w:val="13"/>
          <w:color w:val="auto"/>
        </w:rPr>
        <w:t>All of the directors were provided with the educational materials and participated in sessions relevant to the committees on which they sit.</w:t>
      </w:r>
    </w:p>
    <w:p>
      <w:pPr>
        <w:spacing w:after="0" w:line="43" w:lineRule="exact"/>
        <w:rPr>
          <w:sz w:val="20"/>
          <w:szCs w:val="20"/>
          <w:color w:val="auto"/>
        </w:rPr>
      </w:pPr>
    </w:p>
    <w:p>
      <w:pPr>
        <w:ind w:left="1480" w:right="1499"/>
        <w:spacing w:after="0" w:line="285" w:lineRule="auto"/>
        <w:rPr>
          <w:sz w:val="20"/>
          <w:szCs w:val="20"/>
          <w:color w:val="auto"/>
        </w:rPr>
      </w:pPr>
      <w:r>
        <w:rPr>
          <w:rFonts w:ascii="Arial" w:cs="Arial" w:eastAsia="Arial" w:hAnsi="Arial"/>
          <w:sz w:val="13"/>
          <w:szCs w:val="13"/>
          <w:color w:val="auto"/>
        </w:rPr>
        <w:t>Site visits of the Corporation’s facilities are arranged from time to time for Board members; however, these have been temporarily suspended as a result of the COVID-19 pandemic.</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201295</wp:posOffset>
            </wp:positionV>
            <wp:extent cx="5019040" cy="127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4" w:name="page35"/>
    <w:bookmarkEnd w:id="34"/>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71"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Director Skills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38100</wp:posOffset>
            </wp:positionV>
            <wp:extent cx="3843655"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43655" cy="635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50800</wp:posOffset>
            </wp:positionV>
            <wp:extent cx="3843655"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220" w:lineRule="exact"/>
        <w:rPr>
          <w:sz w:val="20"/>
          <w:szCs w:val="20"/>
          <w:color w:val="auto"/>
        </w:rPr>
      </w:pPr>
    </w:p>
    <w:p>
      <w:pPr>
        <w:jc w:val="both"/>
        <w:ind w:left="1480" w:right="1499"/>
        <w:spacing w:after="0" w:line="270" w:lineRule="auto"/>
        <w:rPr>
          <w:sz w:val="20"/>
          <w:szCs w:val="20"/>
          <w:color w:val="auto"/>
        </w:rPr>
      </w:pPr>
      <w:r>
        <w:rPr>
          <w:rFonts w:ascii="Arial" w:cs="Arial" w:eastAsia="Arial" w:hAnsi="Arial"/>
          <w:sz w:val="13"/>
          <w:szCs w:val="13"/>
          <w:color w:val="auto"/>
        </w:rPr>
        <w:t>The NCGC has developed a skills matrix which identifies the functional competencies, expertise and qualifications of the Corporation’s director nominees and the competencies, expertise and qualifications that the Board would ideally possess, which is set forth below.</w:t>
      </w:r>
    </w:p>
    <w:p>
      <w:pPr>
        <w:spacing w:after="0" w:line="72" w:lineRule="exact"/>
        <w:rPr>
          <w:sz w:val="20"/>
          <w:szCs w:val="20"/>
          <w:color w:val="auto"/>
        </w:rPr>
      </w:pPr>
    </w:p>
    <w:tbl>
      <w:tblPr>
        <w:tblLayout w:type="fixed"/>
        <w:tblInd w:w="1490" w:type="dxa"/>
        <w:tblCellMar>
          <w:top w:w="0" w:type="dxa"/>
          <w:left w:w="0" w:type="dxa"/>
          <w:bottom w:w="0" w:type="dxa"/>
          <w:right w:w="0" w:type="dxa"/>
        </w:tblCellMar>
      </w:tblPr>
      <w:tr>
        <w:trPr>
          <w:trHeight w:val="946"/>
        </w:trPr>
        <w:tc>
          <w:tcPr>
            <w:tcW w:w="60" w:type="dxa"/>
            <w:vAlign w:val="bottom"/>
            <w:tcBorders>
              <w:top w:val="single" w:sz="8" w:color="auto"/>
              <w:left w:val="single" w:sz="8" w:color="auto"/>
            </w:tcBorders>
            <w:shd w:val="clear" w:color="auto" w:fill="E5E5E5"/>
          </w:tcPr>
          <w:p>
            <w:pPr>
              <w:spacing w:after="0"/>
              <w:rPr>
                <w:sz w:val="24"/>
                <w:szCs w:val="24"/>
                <w:color w:val="auto"/>
              </w:rPr>
            </w:pPr>
          </w:p>
        </w:tc>
        <w:tc>
          <w:tcPr>
            <w:tcW w:w="2820" w:type="dxa"/>
            <w:vAlign w:val="bottom"/>
            <w:tcBorders>
              <w:top w:val="single" w:sz="8" w:color="auto"/>
              <w:right w:val="single" w:sz="8" w:color="auto"/>
            </w:tcBorders>
            <w:vMerge w:val="restart"/>
            <w:shd w:val="clear" w:color="auto" w:fill="E5E5E5"/>
          </w:tcPr>
          <w:p>
            <w:pPr>
              <w:ind w:left="1260"/>
              <w:spacing w:after="0"/>
              <w:rPr>
                <w:sz w:val="20"/>
                <w:szCs w:val="20"/>
                <w:color w:val="auto"/>
              </w:rPr>
            </w:pPr>
            <w:r>
              <w:rPr>
                <w:rFonts w:ascii="Arial" w:cs="Arial" w:eastAsia="Arial" w:hAnsi="Arial"/>
                <w:sz w:val="11"/>
                <w:szCs w:val="11"/>
                <w:b w:val="1"/>
                <w:bCs w:val="1"/>
                <w:color w:val="auto"/>
              </w:rPr>
              <w:t>2021</w:t>
            </w:r>
          </w:p>
        </w:tc>
        <w:tc>
          <w:tcPr>
            <w:tcW w:w="320" w:type="dxa"/>
            <w:vAlign w:val="bottom"/>
            <w:tcBorders>
              <w:top w:val="single" w:sz="8" w:color="auto"/>
              <w:right w:val="single" w:sz="8" w:color="auto"/>
            </w:tcBorders>
            <w:textDirection w:val="btLr"/>
            <w:shd w:val="clear" w:color="auto" w:fill="E5E5E5"/>
          </w:tcPr>
          <w:p>
            <w:pPr>
              <w:ind w:right="54"/>
              <w:spacing w:after="0"/>
              <w:rPr>
                <w:sz w:val="20"/>
                <w:szCs w:val="20"/>
                <w:color w:val="auto"/>
              </w:rPr>
            </w:pPr>
            <w:r>
              <w:rPr>
                <w:rFonts w:ascii="Arial" w:cs="Arial" w:eastAsia="Arial" w:hAnsi="Arial"/>
                <w:sz w:val="11"/>
                <w:szCs w:val="11"/>
                <w:b w:val="1"/>
                <w:bCs w:val="1"/>
                <w:color w:val="auto"/>
                <w:w w:val="84"/>
              </w:rPr>
              <w:t>Robert A. Cascella</w:t>
            </w:r>
          </w:p>
        </w:tc>
        <w:tc>
          <w:tcPr>
            <w:tcW w:w="320" w:type="dxa"/>
            <w:vAlign w:val="bottom"/>
            <w:tcBorders>
              <w:top w:val="single" w:sz="8" w:color="auto"/>
              <w:right w:val="single" w:sz="8" w:color="auto"/>
            </w:tcBorders>
            <w:textDirection w:val="btLr"/>
            <w:shd w:val="clear" w:color="auto" w:fill="E5E5E5"/>
          </w:tcPr>
          <w:p>
            <w:pPr>
              <w:ind w:right="54"/>
              <w:spacing w:after="0"/>
              <w:rPr>
                <w:sz w:val="20"/>
                <w:szCs w:val="20"/>
                <w:color w:val="auto"/>
              </w:rPr>
            </w:pPr>
            <w:r>
              <w:rPr>
                <w:rFonts w:ascii="Arial" w:cs="Arial" w:eastAsia="Arial" w:hAnsi="Arial"/>
                <w:sz w:val="11"/>
                <w:szCs w:val="11"/>
                <w:b w:val="1"/>
                <w:bCs w:val="1"/>
                <w:color w:val="auto"/>
                <w:w w:val="86"/>
              </w:rPr>
              <w:t>Deepak Chopra</w:t>
            </w:r>
          </w:p>
        </w:tc>
        <w:tc>
          <w:tcPr>
            <w:tcW w:w="320" w:type="dxa"/>
            <w:vAlign w:val="bottom"/>
            <w:tcBorders>
              <w:top w:val="single" w:sz="8" w:color="auto"/>
              <w:right w:val="single" w:sz="8" w:color="auto"/>
            </w:tcBorders>
            <w:textDirection w:val="btLr"/>
            <w:shd w:val="clear" w:color="auto" w:fill="E5E5E5"/>
          </w:tcPr>
          <w:p>
            <w:pPr>
              <w:ind w:right="54"/>
              <w:spacing w:after="0"/>
              <w:rPr>
                <w:sz w:val="20"/>
                <w:szCs w:val="20"/>
                <w:color w:val="auto"/>
              </w:rPr>
            </w:pPr>
            <w:r>
              <w:rPr>
                <w:rFonts w:ascii="Arial" w:cs="Arial" w:eastAsia="Arial" w:hAnsi="Arial"/>
                <w:sz w:val="11"/>
                <w:szCs w:val="11"/>
                <w:b w:val="1"/>
                <w:bCs w:val="1"/>
                <w:color w:val="auto"/>
                <w:w w:val="84"/>
              </w:rPr>
              <w:t>Daniel P. DiMaggio</w:t>
            </w:r>
          </w:p>
        </w:tc>
        <w:tc>
          <w:tcPr>
            <w:tcW w:w="300" w:type="dxa"/>
            <w:vAlign w:val="bottom"/>
            <w:tcBorders>
              <w:top w:val="single" w:sz="8" w:color="auto"/>
              <w:right w:val="single" w:sz="8" w:color="auto"/>
            </w:tcBorders>
            <w:textDirection w:val="btLr"/>
            <w:shd w:val="clear" w:color="auto" w:fill="E5E5E5"/>
          </w:tcPr>
          <w:p>
            <w:pPr>
              <w:spacing w:after="0"/>
              <w:rPr>
                <w:sz w:val="20"/>
                <w:szCs w:val="20"/>
                <w:color w:val="auto"/>
              </w:rPr>
            </w:pPr>
            <w:r>
              <w:rPr>
                <w:rFonts w:ascii="Arial" w:cs="Arial" w:eastAsia="Arial" w:hAnsi="Arial"/>
                <w:sz w:val="11"/>
                <w:szCs w:val="11"/>
                <w:b w:val="1"/>
                <w:bCs w:val="1"/>
                <w:color w:val="auto"/>
                <w:w w:val="87"/>
              </w:rPr>
              <w:t>Laurette T. Koellner</w:t>
            </w:r>
          </w:p>
        </w:tc>
        <w:tc>
          <w:tcPr>
            <w:tcW w:w="320" w:type="dxa"/>
            <w:vAlign w:val="bottom"/>
            <w:tcBorders>
              <w:top w:val="single" w:sz="8" w:color="auto"/>
              <w:right w:val="single" w:sz="8" w:color="auto"/>
            </w:tcBorders>
            <w:textDirection w:val="btLr"/>
            <w:shd w:val="clear" w:color="auto" w:fill="E5E5E5"/>
          </w:tcPr>
          <w:p>
            <w:pPr>
              <w:ind w:right="70"/>
              <w:spacing w:after="0"/>
              <w:rPr>
                <w:sz w:val="20"/>
                <w:szCs w:val="20"/>
                <w:color w:val="auto"/>
              </w:rPr>
            </w:pPr>
            <w:r>
              <w:rPr>
                <w:rFonts w:ascii="Arial" w:cs="Arial" w:eastAsia="Arial" w:hAnsi="Arial"/>
                <w:sz w:val="11"/>
                <w:szCs w:val="11"/>
                <w:b w:val="1"/>
                <w:bCs w:val="1"/>
                <w:color w:val="auto"/>
                <w:w w:val="86"/>
              </w:rPr>
              <w:t>Robert A. Mionis</w:t>
            </w:r>
          </w:p>
        </w:tc>
        <w:tc>
          <w:tcPr>
            <w:tcW w:w="300" w:type="dxa"/>
            <w:vAlign w:val="bottom"/>
            <w:tcBorders>
              <w:top w:val="single" w:sz="8" w:color="auto"/>
              <w:right w:val="single" w:sz="8" w:color="auto"/>
            </w:tcBorders>
            <w:textDirection w:val="btLr"/>
            <w:shd w:val="clear" w:color="auto" w:fill="E5E5E5"/>
          </w:tcPr>
          <w:p>
            <w:pPr>
              <w:spacing w:after="0"/>
              <w:rPr>
                <w:sz w:val="20"/>
                <w:szCs w:val="20"/>
                <w:color w:val="auto"/>
              </w:rPr>
            </w:pPr>
            <w:r>
              <w:rPr>
                <w:rFonts w:ascii="Arial" w:cs="Arial" w:eastAsia="Arial" w:hAnsi="Arial"/>
                <w:sz w:val="11"/>
                <w:szCs w:val="11"/>
                <w:b w:val="1"/>
                <w:bCs w:val="1"/>
                <w:color w:val="auto"/>
                <w:w w:val="85"/>
              </w:rPr>
              <w:t>Carol S. Perry</w:t>
            </w:r>
          </w:p>
        </w:tc>
        <w:tc>
          <w:tcPr>
            <w:tcW w:w="320" w:type="dxa"/>
            <w:vAlign w:val="bottom"/>
            <w:tcBorders>
              <w:top w:val="single" w:sz="8" w:color="auto"/>
              <w:right w:val="single" w:sz="8" w:color="auto"/>
            </w:tcBorders>
            <w:textDirection w:val="btLr"/>
            <w:shd w:val="clear" w:color="auto" w:fill="E5E5E5"/>
          </w:tcPr>
          <w:p>
            <w:pPr>
              <w:ind w:right="73"/>
              <w:spacing w:after="0"/>
              <w:rPr>
                <w:sz w:val="20"/>
                <w:szCs w:val="20"/>
                <w:color w:val="auto"/>
              </w:rPr>
            </w:pPr>
            <w:r>
              <w:rPr>
                <w:rFonts w:ascii="Arial" w:cs="Arial" w:eastAsia="Arial" w:hAnsi="Arial"/>
                <w:sz w:val="11"/>
                <w:szCs w:val="11"/>
                <w:b w:val="1"/>
                <w:bCs w:val="1"/>
                <w:color w:val="auto"/>
                <w:w w:val="84"/>
              </w:rPr>
              <w:t>Tawfiq Popatia</w:t>
            </w:r>
          </w:p>
        </w:tc>
        <w:tc>
          <w:tcPr>
            <w:tcW w:w="320" w:type="dxa"/>
            <w:vAlign w:val="bottom"/>
            <w:tcBorders>
              <w:top w:val="single" w:sz="8" w:color="auto"/>
              <w:right w:val="single" w:sz="8" w:color="auto"/>
            </w:tcBorders>
            <w:textDirection w:val="btLr"/>
            <w:shd w:val="clear" w:color="auto" w:fill="E5E5E5"/>
          </w:tcPr>
          <w:p>
            <w:pPr>
              <w:ind w:right="75"/>
              <w:spacing w:after="0"/>
              <w:rPr>
                <w:sz w:val="20"/>
                <w:szCs w:val="20"/>
                <w:color w:val="auto"/>
              </w:rPr>
            </w:pPr>
            <w:r>
              <w:rPr>
                <w:rFonts w:ascii="Arial" w:cs="Arial" w:eastAsia="Arial" w:hAnsi="Arial"/>
                <w:sz w:val="11"/>
                <w:szCs w:val="11"/>
                <w:b w:val="1"/>
                <w:bCs w:val="1"/>
                <w:color w:val="auto"/>
                <w:w w:val="83"/>
              </w:rPr>
              <w:t>Eamon J. Ryan</w:t>
            </w:r>
          </w:p>
        </w:tc>
        <w:tc>
          <w:tcPr>
            <w:tcW w:w="320" w:type="dxa"/>
            <w:vAlign w:val="bottom"/>
            <w:tcBorders>
              <w:top w:val="single" w:sz="8" w:color="auto"/>
              <w:right w:val="single" w:sz="8" w:color="auto"/>
            </w:tcBorders>
            <w:textDirection w:val="btLr"/>
            <w:shd w:val="clear" w:color="auto" w:fill="E5E5E5"/>
          </w:tcPr>
          <w:p>
            <w:pPr>
              <w:ind w:right="74"/>
              <w:spacing w:after="0"/>
              <w:rPr>
                <w:sz w:val="20"/>
                <w:szCs w:val="20"/>
                <w:color w:val="auto"/>
              </w:rPr>
            </w:pPr>
            <w:r>
              <w:rPr>
                <w:rFonts w:ascii="Arial" w:cs="Arial" w:eastAsia="Arial" w:hAnsi="Arial"/>
                <w:sz w:val="11"/>
                <w:szCs w:val="11"/>
                <w:b w:val="1"/>
                <w:bCs w:val="1"/>
                <w:color w:val="auto"/>
                <w:w w:val="86"/>
              </w:rPr>
              <w:t>Michael M. Wilson</w:t>
            </w:r>
          </w:p>
        </w:tc>
        <w:tc>
          <w:tcPr>
            <w:tcW w:w="580" w:type="dxa"/>
            <w:vAlign w:val="bottom"/>
            <w:tcBorders>
              <w:top w:val="single" w:sz="8" w:color="auto"/>
              <w:right w:val="single" w:sz="8" w:color="auto"/>
            </w:tcBorders>
            <w:textDirection w:val="btLr"/>
            <w:shd w:val="clear" w:color="auto" w:fill="E5E5E5"/>
          </w:tcPr>
          <w:p>
            <w:pPr>
              <w:ind w:left="206"/>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61"/>
        </w:trPr>
        <w:tc>
          <w:tcPr>
            <w:tcW w:w="60" w:type="dxa"/>
            <w:vAlign w:val="bottom"/>
            <w:tcBorders>
              <w:left w:val="single" w:sz="8" w:color="auto"/>
              <w:bottom w:val="single" w:sz="8" w:color="auto"/>
            </w:tcBorders>
            <w:shd w:val="clear" w:color="auto" w:fill="E5E5E5"/>
          </w:tcPr>
          <w:p>
            <w:pPr>
              <w:spacing w:after="0"/>
              <w:rPr>
                <w:sz w:val="5"/>
                <w:szCs w:val="5"/>
                <w:color w:val="auto"/>
              </w:rPr>
            </w:pPr>
          </w:p>
        </w:tc>
        <w:tc>
          <w:tcPr>
            <w:tcW w:w="2820" w:type="dxa"/>
            <w:vAlign w:val="bottom"/>
            <w:tcBorders>
              <w:bottom w:val="single" w:sz="8" w:color="auto"/>
              <w:right w:val="single" w:sz="8" w:color="auto"/>
            </w:tcBorders>
            <w:vMerge w:val="continue"/>
            <w:shd w:val="clear" w:color="auto" w:fill="E5E5E5"/>
          </w:tcPr>
          <w:p>
            <w:pPr>
              <w:spacing w:after="0"/>
              <w:rPr>
                <w:sz w:val="5"/>
                <w:szCs w:val="5"/>
                <w:color w:val="auto"/>
              </w:rPr>
            </w:pPr>
          </w:p>
        </w:tc>
        <w:tc>
          <w:tcPr>
            <w:tcW w:w="320" w:type="dxa"/>
            <w:vAlign w:val="bottom"/>
            <w:tcBorders>
              <w:bottom w:val="single" w:sz="8" w:color="auto"/>
              <w:right w:val="single" w:sz="8" w:color="auto"/>
            </w:tcBorders>
            <w:shd w:val="clear" w:color="auto" w:fill="E5E5E5"/>
          </w:tcPr>
          <w:p>
            <w:pPr>
              <w:spacing w:after="0"/>
              <w:rPr>
                <w:sz w:val="5"/>
                <w:szCs w:val="5"/>
                <w:color w:val="auto"/>
              </w:rPr>
            </w:pPr>
          </w:p>
        </w:tc>
        <w:tc>
          <w:tcPr>
            <w:tcW w:w="320" w:type="dxa"/>
            <w:vAlign w:val="bottom"/>
            <w:tcBorders>
              <w:bottom w:val="single" w:sz="8" w:color="auto"/>
              <w:right w:val="single" w:sz="8" w:color="auto"/>
            </w:tcBorders>
            <w:shd w:val="clear" w:color="auto" w:fill="E5E5E5"/>
          </w:tcPr>
          <w:p>
            <w:pPr>
              <w:spacing w:after="0"/>
              <w:rPr>
                <w:sz w:val="5"/>
                <w:szCs w:val="5"/>
                <w:color w:val="auto"/>
              </w:rPr>
            </w:pPr>
          </w:p>
        </w:tc>
        <w:tc>
          <w:tcPr>
            <w:tcW w:w="320" w:type="dxa"/>
            <w:vAlign w:val="bottom"/>
            <w:tcBorders>
              <w:bottom w:val="single" w:sz="8" w:color="auto"/>
              <w:right w:val="single" w:sz="8" w:color="auto"/>
            </w:tcBorders>
            <w:shd w:val="clear" w:color="auto" w:fill="E5E5E5"/>
          </w:tcPr>
          <w:p>
            <w:pPr>
              <w:spacing w:after="0"/>
              <w:rPr>
                <w:sz w:val="5"/>
                <w:szCs w:val="5"/>
                <w:color w:val="auto"/>
              </w:rPr>
            </w:pPr>
          </w:p>
        </w:tc>
        <w:tc>
          <w:tcPr>
            <w:tcW w:w="300" w:type="dxa"/>
            <w:vAlign w:val="bottom"/>
            <w:tcBorders>
              <w:bottom w:val="single" w:sz="8" w:color="auto"/>
              <w:right w:val="single" w:sz="8" w:color="auto"/>
            </w:tcBorders>
            <w:shd w:val="clear" w:color="auto" w:fill="E5E5E5"/>
          </w:tcPr>
          <w:p>
            <w:pPr>
              <w:spacing w:after="0"/>
              <w:rPr>
                <w:sz w:val="5"/>
                <w:szCs w:val="5"/>
                <w:color w:val="auto"/>
              </w:rPr>
            </w:pPr>
          </w:p>
        </w:tc>
        <w:tc>
          <w:tcPr>
            <w:tcW w:w="320" w:type="dxa"/>
            <w:vAlign w:val="bottom"/>
            <w:tcBorders>
              <w:bottom w:val="single" w:sz="8" w:color="auto"/>
              <w:right w:val="single" w:sz="8" w:color="auto"/>
            </w:tcBorders>
            <w:shd w:val="clear" w:color="auto" w:fill="E5E5E5"/>
          </w:tcPr>
          <w:p>
            <w:pPr>
              <w:spacing w:after="0"/>
              <w:rPr>
                <w:sz w:val="5"/>
                <w:szCs w:val="5"/>
                <w:color w:val="auto"/>
              </w:rPr>
            </w:pPr>
          </w:p>
        </w:tc>
        <w:tc>
          <w:tcPr>
            <w:tcW w:w="300" w:type="dxa"/>
            <w:vAlign w:val="bottom"/>
            <w:tcBorders>
              <w:bottom w:val="single" w:sz="8" w:color="auto"/>
              <w:right w:val="single" w:sz="8" w:color="auto"/>
            </w:tcBorders>
            <w:shd w:val="clear" w:color="auto" w:fill="E5E5E5"/>
          </w:tcPr>
          <w:p>
            <w:pPr>
              <w:spacing w:after="0"/>
              <w:rPr>
                <w:sz w:val="5"/>
                <w:szCs w:val="5"/>
                <w:color w:val="auto"/>
              </w:rPr>
            </w:pPr>
          </w:p>
        </w:tc>
        <w:tc>
          <w:tcPr>
            <w:tcW w:w="320" w:type="dxa"/>
            <w:vAlign w:val="bottom"/>
            <w:tcBorders>
              <w:bottom w:val="single" w:sz="8" w:color="auto"/>
              <w:right w:val="single" w:sz="8" w:color="auto"/>
            </w:tcBorders>
            <w:shd w:val="clear" w:color="auto" w:fill="E5E5E5"/>
          </w:tcPr>
          <w:p>
            <w:pPr>
              <w:spacing w:after="0"/>
              <w:rPr>
                <w:sz w:val="5"/>
                <w:szCs w:val="5"/>
                <w:color w:val="auto"/>
              </w:rPr>
            </w:pPr>
          </w:p>
        </w:tc>
        <w:tc>
          <w:tcPr>
            <w:tcW w:w="320" w:type="dxa"/>
            <w:vAlign w:val="bottom"/>
            <w:tcBorders>
              <w:bottom w:val="single" w:sz="8" w:color="auto"/>
              <w:right w:val="single" w:sz="8" w:color="auto"/>
            </w:tcBorders>
            <w:shd w:val="clear" w:color="auto" w:fill="E5E5E5"/>
          </w:tcPr>
          <w:p>
            <w:pPr>
              <w:spacing w:after="0"/>
              <w:rPr>
                <w:sz w:val="5"/>
                <w:szCs w:val="5"/>
                <w:color w:val="auto"/>
              </w:rPr>
            </w:pPr>
          </w:p>
        </w:tc>
        <w:tc>
          <w:tcPr>
            <w:tcW w:w="320" w:type="dxa"/>
            <w:vAlign w:val="bottom"/>
            <w:tcBorders>
              <w:bottom w:val="single" w:sz="8" w:color="auto"/>
              <w:right w:val="single" w:sz="8" w:color="auto"/>
            </w:tcBorders>
            <w:shd w:val="clear" w:color="auto" w:fill="E5E5E5"/>
          </w:tcPr>
          <w:p>
            <w:pPr>
              <w:spacing w:after="0"/>
              <w:rPr>
                <w:sz w:val="5"/>
                <w:szCs w:val="5"/>
                <w:color w:val="auto"/>
              </w:rPr>
            </w:pPr>
          </w:p>
        </w:tc>
        <w:tc>
          <w:tcPr>
            <w:tcW w:w="580" w:type="dxa"/>
            <w:vAlign w:val="bottom"/>
            <w:tcBorders>
              <w:bottom w:val="single" w:sz="8" w:color="auto"/>
              <w:right w:val="single" w:sz="8" w:color="auto"/>
            </w:tcBorders>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60" w:type="dxa"/>
            <w:vAlign w:val="bottom"/>
            <w:tcBorders>
              <w:left w:val="single" w:sz="8" w:color="auto"/>
              <w:bottom w:val="single" w:sz="8" w:color="auto"/>
            </w:tcBorders>
            <w:shd w:val="clear" w:color="auto" w:fill="E5E5E5"/>
          </w:tcPr>
          <w:p>
            <w:pPr>
              <w:spacing w:after="0"/>
              <w:rPr>
                <w:sz w:val="14"/>
                <w:szCs w:val="14"/>
                <w:color w:val="auto"/>
              </w:rPr>
            </w:pPr>
          </w:p>
        </w:tc>
        <w:tc>
          <w:tcPr>
            <w:tcW w:w="2820" w:type="dxa"/>
            <w:vAlign w:val="bottom"/>
            <w:tcBorders>
              <w:bottom w:val="single" w:sz="8" w:color="auto"/>
              <w:right w:val="single" w:sz="8" w:color="auto"/>
            </w:tcBorders>
            <w:shd w:val="clear" w:color="auto" w:fill="E5E5E5"/>
          </w:tcPr>
          <w:p>
            <w:pPr>
              <w:spacing w:after="0"/>
              <w:rPr>
                <w:sz w:val="20"/>
                <w:szCs w:val="20"/>
                <w:color w:val="auto"/>
              </w:rPr>
            </w:pPr>
            <w:r>
              <w:rPr>
                <w:rFonts w:ascii="Arial" w:cs="Arial" w:eastAsia="Arial" w:hAnsi="Arial"/>
                <w:sz w:val="12"/>
                <w:szCs w:val="12"/>
                <w:b w:val="1"/>
                <w:bCs w:val="1"/>
                <w:color w:val="auto"/>
              </w:rPr>
              <w:t>Skills</w:t>
            </w:r>
          </w:p>
        </w:tc>
        <w:tc>
          <w:tcPr>
            <w:tcW w:w="320" w:type="dxa"/>
            <w:vAlign w:val="bottom"/>
            <w:tcBorders>
              <w:bottom w:val="single" w:sz="8" w:color="auto"/>
              <w:right w:val="single" w:sz="8" w:color="auto"/>
            </w:tcBorders>
            <w:shd w:val="clear" w:color="auto" w:fill="E5E5E5"/>
          </w:tcPr>
          <w:p>
            <w:pPr>
              <w:spacing w:after="0"/>
              <w:rPr>
                <w:sz w:val="14"/>
                <w:szCs w:val="14"/>
                <w:color w:val="auto"/>
              </w:rPr>
            </w:pPr>
          </w:p>
        </w:tc>
        <w:tc>
          <w:tcPr>
            <w:tcW w:w="320" w:type="dxa"/>
            <w:vAlign w:val="bottom"/>
            <w:tcBorders>
              <w:bottom w:val="single" w:sz="8" w:color="auto"/>
              <w:right w:val="single" w:sz="8" w:color="auto"/>
            </w:tcBorders>
            <w:shd w:val="clear" w:color="auto" w:fill="E5E5E5"/>
          </w:tcPr>
          <w:p>
            <w:pPr>
              <w:spacing w:after="0"/>
              <w:rPr>
                <w:sz w:val="14"/>
                <w:szCs w:val="14"/>
                <w:color w:val="auto"/>
              </w:rPr>
            </w:pPr>
          </w:p>
        </w:tc>
        <w:tc>
          <w:tcPr>
            <w:tcW w:w="320" w:type="dxa"/>
            <w:vAlign w:val="bottom"/>
            <w:tcBorders>
              <w:bottom w:val="single" w:sz="8" w:color="auto"/>
              <w:right w:val="single" w:sz="8" w:color="auto"/>
            </w:tcBorders>
            <w:shd w:val="clear" w:color="auto" w:fill="E5E5E5"/>
          </w:tcPr>
          <w:p>
            <w:pPr>
              <w:spacing w:after="0"/>
              <w:rPr>
                <w:sz w:val="14"/>
                <w:szCs w:val="14"/>
                <w:color w:val="auto"/>
              </w:rPr>
            </w:pPr>
          </w:p>
        </w:tc>
        <w:tc>
          <w:tcPr>
            <w:tcW w:w="300" w:type="dxa"/>
            <w:vAlign w:val="bottom"/>
            <w:tcBorders>
              <w:bottom w:val="single" w:sz="8" w:color="auto"/>
              <w:right w:val="single" w:sz="8" w:color="auto"/>
            </w:tcBorders>
            <w:shd w:val="clear" w:color="auto" w:fill="E5E5E5"/>
          </w:tcPr>
          <w:p>
            <w:pPr>
              <w:spacing w:after="0"/>
              <w:rPr>
                <w:sz w:val="14"/>
                <w:szCs w:val="14"/>
                <w:color w:val="auto"/>
              </w:rPr>
            </w:pPr>
          </w:p>
        </w:tc>
        <w:tc>
          <w:tcPr>
            <w:tcW w:w="320" w:type="dxa"/>
            <w:vAlign w:val="bottom"/>
            <w:tcBorders>
              <w:bottom w:val="single" w:sz="8" w:color="auto"/>
              <w:right w:val="single" w:sz="8" w:color="auto"/>
            </w:tcBorders>
            <w:shd w:val="clear" w:color="auto" w:fill="E5E5E5"/>
          </w:tcPr>
          <w:p>
            <w:pPr>
              <w:spacing w:after="0"/>
              <w:rPr>
                <w:sz w:val="14"/>
                <w:szCs w:val="14"/>
                <w:color w:val="auto"/>
              </w:rPr>
            </w:pPr>
          </w:p>
        </w:tc>
        <w:tc>
          <w:tcPr>
            <w:tcW w:w="300" w:type="dxa"/>
            <w:vAlign w:val="bottom"/>
            <w:tcBorders>
              <w:bottom w:val="single" w:sz="8" w:color="auto"/>
              <w:right w:val="single" w:sz="8" w:color="auto"/>
            </w:tcBorders>
            <w:shd w:val="clear" w:color="auto" w:fill="E5E5E5"/>
          </w:tcPr>
          <w:p>
            <w:pPr>
              <w:spacing w:after="0"/>
              <w:rPr>
                <w:sz w:val="14"/>
                <w:szCs w:val="14"/>
                <w:color w:val="auto"/>
              </w:rPr>
            </w:pPr>
          </w:p>
        </w:tc>
        <w:tc>
          <w:tcPr>
            <w:tcW w:w="320" w:type="dxa"/>
            <w:vAlign w:val="bottom"/>
            <w:tcBorders>
              <w:bottom w:val="single" w:sz="8" w:color="auto"/>
              <w:right w:val="single" w:sz="8" w:color="auto"/>
            </w:tcBorders>
            <w:shd w:val="clear" w:color="auto" w:fill="E5E5E5"/>
          </w:tcPr>
          <w:p>
            <w:pPr>
              <w:spacing w:after="0"/>
              <w:rPr>
                <w:sz w:val="14"/>
                <w:szCs w:val="14"/>
                <w:color w:val="auto"/>
              </w:rPr>
            </w:pPr>
          </w:p>
        </w:tc>
        <w:tc>
          <w:tcPr>
            <w:tcW w:w="320" w:type="dxa"/>
            <w:vAlign w:val="bottom"/>
            <w:tcBorders>
              <w:bottom w:val="single" w:sz="8" w:color="auto"/>
              <w:right w:val="single" w:sz="8" w:color="auto"/>
            </w:tcBorders>
            <w:shd w:val="clear" w:color="auto" w:fill="E5E5E5"/>
          </w:tcPr>
          <w:p>
            <w:pPr>
              <w:spacing w:after="0"/>
              <w:rPr>
                <w:sz w:val="14"/>
                <w:szCs w:val="14"/>
                <w:color w:val="auto"/>
              </w:rPr>
            </w:pPr>
          </w:p>
        </w:tc>
        <w:tc>
          <w:tcPr>
            <w:tcW w:w="320" w:type="dxa"/>
            <w:vAlign w:val="bottom"/>
            <w:tcBorders>
              <w:bottom w:val="single" w:sz="8" w:color="auto"/>
              <w:right w:val="single" w:sz="8" w:color="auto"/>
            </w:tcBorders>
            <w:shd w:val="clear" w:color="auto" w:fill="E5E5E5"/>
          </w:tcPr>
          <w:p>
            <w:pPr>
              <w:spacing w:after="0"/>
              <w:rPr>
                <w:sz w:val="14"/>
                <w:szCs w:val="14"/>
                <w:color w:val="auto"/>
              </w:rPr>
            </w:pPr>
          </w:p>
        </w:tc>
        <w:tc>
          <w:tcPr>
            <w:tcW w:w="580" w:type="dxa"/>
            <w:vAlign w:val="bottom"/>
            <w:tcBorders>
              <w:bottom w:val="single" w:sz="8" w:color="auto"/>
              <w:right w:val="single" w:sz="8" w:color="auto"/>
            </w:tcBorders>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0" w:type="dxa"/>
            <w:vAlign w:val="bottom"/>
            <w:tcBorders>
              <w:left w:val="single" w:sz="8" w:color="auto"/>
              <w:bottom w:val="single" w:sz="8" w:color="auto"/>
            </w:tcBorders>
          </w:tcPr>
          <w:p>
            <w:pPr>
              <w:spacing w:after="0"/>
              <w:rPr>
                <w:sz w:val="15"/>
                <w:szCs w:val="15"/>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w w:val="98"/>
              </w:rPr>
              <w:t>Service on Other Public (For-Profit) Company Boards</w:t>
            </w:r>
          </w:p>
        </w:tc>
        <w:tc>
          <w:tcPr>
            <w:tcW w:w="320" w:type="dxa"/>
            <w:vAlign w:val="bottom"/>
            <w:tcBorders>
              <w:bottom w:val="single" w:sz="8" w:color="auto"/>
              <w:right w:val="single" w:sz="8" w:color="auto"/>
            </w:tcBorders>
          </w:tcPr>
          <w:p>
            <w:pPr>
              <w:jc w:val="right"/>
              <w:ind w:right="61"/>
              <w:spacing w:after="0" w:line="121" w:lineRule="exact"/>
              <w:rPr>
                <w:sz w:val="20"/>
                <w:szCs w:val="20"/>
                <w:color w:val="auto"/>
              </w:rPr>
            </w:pPr>
            <w:r>
              <w:rPr>
                <w:rFonts w:ascii="MS PGothic" w:cs="MS PGothic" w:eastAsia="MS PGothic" w:hAnsi="MS PGothic"/>
                <w:sz w:val="12"/>
                <w:szCs w:val="12"/>
                <w:color w:val="auto"/>
              </w:rPr>
              <w:t>✔</w:t>
            </w:r>
          </w:p>
        </w:tc>
        <w:tc>
          <w:tcPr>
            <w:tcW w:w="320" w:type="dxa"/>
            <w:vAlign w:val="bottom"/>
            <w:tcBorders>
              <w:bottom w:val="single" w:sz="8" w:color="auto"/>
              <w:right w:val="single" w:sz="8" w:color="auto"/>
            </w:tcBorders>
          </w:tcPr>
          <w:p>
            <w:pPr>
              <w:jc w:val="right"/>
              <w:ind w:right="61"/>
              <w:spacing w:after="0" w:line="121" w:lineRule="exact"/>
              <w:rPr>
                <w:sz w:val="20"/>
                <w:szCs w:val="20"/>
                <w:color w:val="auto"/>
              </w:rPr>
            </w:pPr>
            <w:r>
              <w:rPr>
                <w:rFonts w:ascii="MS PGothic" w:cs="MS PGothic" w:eastAsia="MS PGothic" w:hAnsi="MS PGothic"/>
                <w:sz w:val="12"/>
                <w:szCs w:val="12"/>
                <w:color w:val="auto"/>
              </w:rPr>
              <w:t>✔</w:t>
            </w:r>
          </w:p>
        </w:tc>
        <w:tc>
          <w:tcPr>
            <w:tcW w:w="320" w:type="dxa"/>
            <w:vAlign w:val="bottom"/>
            <w:tcBorders>
              <w:bottom w:val="single" w:sz="8" w:color="auto"/>
              <w:right w:val="single" w:sz="8" w:color="auto"/>
            </w:tcBorders>
          </w:tcPr>
          <w:p>
            <w:pPr>
              <w:spacing w:after="0"/>
              <w:rPr>
                <w:sz w:val="15"/>
                <w:szCs w:val="15"/>
                <w:color w:val="auto"/>
              </w:rPr>
            </w:pPr>
          </w:p>
        </w:tc>
        <w:tc>
          <w:tcPr>
            <w:tcW w:w="300" w:type="dxa"/>
            <w:vAlign w:val="bottom"/>
            <w:tcBorders>
              <w:bottom w:val="single" w:sz="8" w:color="auto"/>
              <w:right w:val="single" w:sz="8" w:color="auto"/>
            </w:tcBorders>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320" w:type="dxa"/>
            <w:vAlign w:val="bottom"/>
            <w:tcBorders>
              <w:bottom w:val="single" w:sz="8" w:color="auto"/>
              <w:right w:val="single" w:sz="8" w:color="auto"/>
            </w:tcBorders>
          </w:tcPr>
          <w:p>
            <w:pPr>
              <w:jc w:val="right"/>
              <w:ind w:right="61"/>
              <w:spacing w:after="0" w:line="121" w:lineRule="exact"/>
              <w:rPr>
                <w:sz w:val="20"/>
                <w:szCs w:val="20"/>
                <w:color w:val="auto"/>
              </w:rPr>
            </w:pPr>
            <w:r>
              <w:rPr>
                <w:rFonts w:ascii="MS PGothic" w:cs="MS PGothic" w:eastAsia="MS PGothic" w:hAnsi="MS PGothic"/>
                <w:sz w:val="12"/>
                <w:szCs w:val="12"/>
                <w:color w:val="auto"/>
              </w:rPr>
              <w:t>✔</w:t>
            </w:r>
          </w:p>
        </w:tc>
        <w:tc>
          <w:tcPr>
            <w:tcW w:w="300" w:type="dxa"/>
            <w:vAlign w:val="bottom"/>
            <w:tcBorders>
              <w:bottom w:val="single" w:sz="8" w:color="auto"/>
              <w:right w:val="single" w:sz="8" w:color="auto"/>
            </w:tcBorders>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320" w:type="dxa"/>
            <w:vAlign w:val="bottom"/>
            <w:tcBorders>
              <w:bottom w:val="single" w:sz="8" w:color="auto"/>
              <w:right w:val="single" w:sz="8" w:color="auto"/>
            </w:tcBorders>
          </w:tcPr>
          <w:p>
            <w:pPr>
              <w:jc w:val="right"/>
              <w:ind w:right="81"/>
              <w:spacing w:after="0" w:line="121" w:lineRule="exact"/>
              <w:rPr>
                <w:sz w:val="20"/>
                <w:szCs w:val="20"/>
                <w:color w:val="auto"/>
              </w:rPr>
            </w:pPr>
            <w:r>
              <w:rPr>
                <w:rFonts w:ascii="MS PGothic" w:cs="MS PGothic" w:eastAsia="MS PGothic" w:hAnsi="MS PGothic"/>
                <w:sz w:val="12"/>
                <w:szCs w:val="12"/>
                <w:color w:val="auto"/>
              </w:rPr>
              <w:t>✔</w:t>
            </w:r>
          </w:p>
        </w:tc>
        <w:tc>
          <w:tcPr>
            <w:tcW w:w="320" w:type="dxa"/>
            <w:vAlign w:val="bottom"/>
            <w:tcBorders>
              <w:bottom w:val="single" w:sz="8" w:color="auto"/>
              <w:right w:val="single" w:sz="8" w:color="auto"/>
            </w:tcBorders>
          </w:tcPr>
          <w:p>
            <w:pPr>
              <w:spacing w:after="0"/>
              <w:rPr>
                <w:sz w:val="15"/>
                <w:szCs w:val="15"/>
                <w:color w:val="auto"/>
              </w:rPr>
            </w:pPr>
          </w:p>
        </w:tc>
        <w:tc>
          <w:tcPr>
            <w:tcW w:w="320" w:type="dxa"/>
            <w:vAlign w:val="bottom"/>
            <w:tcBorders>
              <w:bottom w:val="single" w:sz="8" w:color="auto"/>
              <w:right w:val="single" w:sz="8" w:color="auto"/>
            </w:tcBorders>
          </w:tcPr>
          <w:p>
            <w:pPr>
              <w:jc w:val="right"/>
              <w:ind w:right="81"/>
              <w:spacing w:after="0" w:line="121" w:lineRule="exact"/>
              <w:rPr>
                <w:sz w:val="20"/>
                <w:szCs w:val="20"/>
                <w:color w:val="auto"/>
              </w:rPr>
            </w:pPr>
            <w:r>
              <w:rPr>
                <w:rFonts w:ascii="MS PGothic" w:cs="MS PGothic" w:eastAsia="MS PGothic" w:hAnsi="MS PGothic"/>
                <w:sz w:val="12"/>
                <w:szCs w:val="12"/>
                <w:color w:val="auto"/>
              </w:rPr>
              <w:t>✔</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7</w:t>
            </w:r>
          </w:p>
        </w:tc>
        <w:tc>
          <w:tcPr>
            <w:tcW w:w="0" w:type="dxa"/>
            <w:vAlign w:val="bottom"/>
          </w:tcPr>
          <w:p>
            <w:pPr>
              <w:spacing w:after="0"/>
              <w:rPr>
                <w:sz w:val="1"/>
                <w:szCs w:val="1"/>
                <w:color w:val="auto"/>
              </w:rPr>
            </w:pPr>
          </w:p>
        </w:tc>
      </w:tr>
      <w:tr>
        <w:trPr>
          <w:trHeight w:val="169"/>
        </w:trPr>
        <w:tc>
          <w:tcPr>
            <w:tcW w:w="60" w:type="dxa"/>
            <w:vAlign w:val="bottom"/>
            <w:tcBorders>
              <w:left w:val="single" w:sz="8" w:color="auto"/>
              <w:bottom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Senior Officer or CEO Experience</w:t>
            </w:r>
          </w:p>
        </w:tc>
        <w:tc>
          <w:tcPr>
            <w:tcW w:w="320" w:type="dxa"/>
            <w:vAlign w:val="bottom"/>
            <w:tcBorders>
              <w:bottom w:val="single" w:sz="8" w:color="auto"/>
              <w:right w:val="single" w:sz="8" w:color="auto"/>
            </w:tcBorders>
          </w:tcPr>
          <w:p>
            <w:pPr>
              <w:jc w:val="right"/>
              <w:ind w:right="61"/>
              <w:spacing w:after="0" w:line="121" w:lineRule="exact"/>
              <w:rPr>
                <w:sz w:val="20"/>
                <w:szCs w:val="20"/>
                <w:color w:val="auto"/>
              </w:rPr>
            </w:pPr>
            <w:r>
              <w:rPr>
                <w:rFonts w:ascii="MS PGothic" w:cs="MS PGothic" w:eastAsia="MS PGothic" w:hAnsi="MS PGothic"/>
                <w:sz w:val="12"/>
                <w:szCs w:val="12"/>
                <w:color w:val="auto"/>
              </w:rPr>
              <w:t>✔</w:t>
            </w:r>
          </w:p>
        </w:tc>
        <w:tc>
          <w:tcPr>
            <w:tcW w:w="320" w:type="dxa"/>
            <w:vAlign w:val="bottom"/>
            <w:tcBorders>
              <w:bottom w:val="single" w:sz="8" w:color="auto"/>
              <w:right w:val="single" w:sz="8" w:color="auto"/>
            </w:tcBorders>
          </w:tcPr>
          <w:p>
            <w:pPr>
              <w:jc w:val="right"/>
              <w:ind w:right="61"/>
              <w:spacing w:after="0" w:line="121" w:lineRule="exact"/>
              <w:rPr>
                <w:sz w:val="20"/>
                <w:szCs w:val="20"/>
                <w:color w:val="auto"/>
              </w:rPr>
            </w:pPr>
            <w:r>
              <w:rPr>
                <w:rFonts w:ascii="MS PGothic" w:cs="MS PGothic" w:eastAsia="MS PGothic" w:hAnsi="MS PGothic"/>
                <w:sz w:val="12"/>
                <w:szCs w:val="12"/>
                <w:color w:val="auto"/>
              </w:rPr>
              <w:t>✔</w:t>
            </w:r>
          </w:p>
        </w:tc>
        <w:tc>
          <w:tcPr>
            <w:tcW w:w="320" w:type="dxa"/>
            <w:vAlign w:val="bottom"/>
            <w:tcBorders>
              <w:bottom w:val="single" w:sz="8" w:color="auto"/>
              <w:right w:val="single" w:sz="8" w:color="auto"/>
            </w:tcBorders>
          </w:tcPr>
          <w:p>
            <w:pPr>
              <w:jc w:val="right"/>
              <w:ind w:right="61"/>
              <w:spacing w:after="0" w:line="121" w:lineRule="exact"/>
              <w:rPr>
                <w:sz w:val="20"/>
                <w:szCs w:val="20"/>
                <w:color w:val="auto"/>
              </w:rPr>
            </w:pPr>
            <w:r>
              <w:rPr>
                <w:rFonts w:ascii="MS PGothic" w:cs="MS PGothic" w:eastAsia="MS PGothic" w:hAnsi="MS PGothic"/>
                <w:sz w:val="12"/>
                <w:szCs w:val="12"/>
                <w:color w:val="auto"/>
              </w:rPr>
              <w:t>✔</w:t>
            </w:r>
          </w:p>
        </w:tc>
        <w:tc>
          <w:tcPr>
            <w:tcW w:w="300" w:type="dxa"/>
            <w:vAlign w:val="bottom"/>
            <w:tcBorders>
              <w:bottom w:val="single" w:sz="8" w:color="auto"/>
              <w:right w:val="single" w:sz="8" w:color="auto"/>
            </w:tcBorders>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320" w:type="dxa"/>
            <w:vAlign w:val="bottom"/>
            <w:tcBorders>
              <w:bottom w:val="single" w:sz="8" w:color="auto"/>
              <w:right w:val="single" w:sz="8" w:color="auto"/>
            </w:tcBorders>
          </w:tcPr>
          <w:p>
            <w:pPr>
              <w:jc w:val="right"/>
              <w:ind w:right="61"/>
              <w:spacing w:after="0" w:line="121" w:lineRule="exact"/>
              <w:rPr>
                <w:sz w:val="20"/>
                <w:szCs w:val="20"/>
                <w:color w:val="auto"/>
              </w:rPr>
            </w:pPr>
            <w:r>
              <w:rPr>
                <w:rFonts w:ascii="MS PGothic" w:cs="MS PGothic" w:eastAsia="MS PGothic" w:hAnsi="MS PGothic"/>
                <w:sz w:val="12"/>
                <w:szCs w:val="12"/>
                <w:color w:val="auto"/>
              </w:rPr>
              <w:t>✔</w:t>
            </w:r>
          </w:p>
        </w:tc>
        <w:tc>
          <w:tcPr>
            <w:tcW w:w="30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right"/>
              <w:ind w:right="81"/>
              <w:spacing w:after="0" w:line="121" w:lineRule="exact"/>
              <w:rPr>
                <w:sz w:val="20"/>
                <w:szCs w:val="20"/>
                <w:color w:val="auto"/>
              </w:rPr>
            </w:pPr>
            <w:r>
              <w:rPr>
                <w:rFonts w:ascii="MS PGothic" w:cs="MS PGothic" w:eastAsia="MS PGothic" w:hAnsi="MS PGothic"/>
                <w:sz w:val="12"/>
                <w:szCs w:val="12"/>
                <w:color w:val="auto"/>
              </w:rPr>
              <w:t>✔</w:t>
            </w:r>
          </w:p>
        </w:tc>
        <w:tc>
          <w:tcPr>
            <w:tcW w:w="320" w:type="dxa"/>
            <w:vAlign w:val="bottom"/>
            <w:tcBorders>
              <w:bottom w:val="single" w:sz="8" w:color="auto"/>
              <w:right w:val="single" w:sz="8" w:color="auto"/>
            </w:tcBorders>
          </w:tcPr>
          <w:p>
            <w:pPr>
              <w:jc w:val="right"/>
              <w:ind w:right="81"/>
              <w:spacing w:after="0" w:line="121" w:lineRule="exact"/>
              <w:rPr>
                <w:sz w:val="20"/>
                <w:szCs w:val="20"/>
                <w:color w:val="auto"/>
              </w:rPr>
            </w:pPr>
            <w:r>
              <w:rPr>
                <w:rFonts w:ascii="MS PGothic" w:cs="MS PGothic" w:eastAsia="MS PGothic" w:hAnsi="MS PGothic"/>
                <w:sz w:val="12"/>
                <w:szCs w:val="12"/>
                <w:color w:val="auto"/>
              </w:rPr>
              <w:t>✔</w:t>
            </w:r>
          </w:p>
        </w:tc>
        <w:tc>
          <w:tcPr>
            <w:tcW w:w="320" w:type="dxa"/>
            <w:vAlign w:val="bottom"/>
            <w:tcBorders>
              <w:bottom w:val="single" w:sz="8" w:color="auto"/>
              <w:right w:val="single" w:sz="8" w:color="auto"/>
            </w:tcBorders>
          </w:tcPr>
          <w:p>
            <w:pPr>
              <w:jc w:val="right"/>
              <w:ind w:right="81"/>
              <w:spacing w:after="0" w:line="121" w:lineRule="exact"/>
              <w:rPr>
                <w:sz w:val="20"/>
                <w:szCs w:val="20"/>
                <w:color w:val="auto"/>
              </w:rPr>
            </w:pPr>
            <w:r>
              <w:rPr>
                <w:rFonts w:ascii="MS PGothic" w:cs="MS PGothic" w:eastAsia="MS PGothic" w:hAnsi="MS PGothic"/>
                <w:sz w:val="12"/>
                <w:szCs w:val="12"/>
                <w:color w:val="auto"/>
              </w:rPr>
              <w:t>✔</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8</w:t>
            </w:r>
          </w:p>
        </w:tc>
        <w:tc>
          <w:tcPr>
            <w:tcW w:w="0" w:type="dxa"/>
            <w:vAlign w:val="bottom"/>
          </w:tcPr>
          <w:p>
            <w:pPr>
              <w:spacing w:after="0"/>
              <w:rPr>
                <w:sz w:val="1"/>
                <w:szCs w:val="1"/>
                <w:color w:val="auto"/>
              </w:rPr>
            </w:pPr>
          </w:p>
        </w:tc>
      </w:tr>
      <w:tr>
        <w:trPr>
          <w:trHeight w:val="169"/>
        </w:trPr>
        <w:tc>
          <w:tcPr>
            <w:tcW w:w="60" w:type="dxa"/>
            <w:vAlign w:val="bottom"/>
            <w:tcBorders>
              <w:left w:val="single" w:sz="8" w:color="auto"/>
              <w:bottom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Financial Literacy</w:t>
            </w:r>
          </w:p>
        </w:tc>
        <w:tc>
          <w:tcPr>
            <w:tcW w:w="320" w:type="dxa"/>
            <w:vAlign w:val="bottom"/>
            <w:tcBorders>
              <w:bottom w:val="single" w:sz="8" w:color="auto"/>
              <w:right w:val="single" w:sz="8" w:color="auto"/>
            </w:tcBorders>
          </w:tcPr>
          <w:p>
            <w:pPr>
              <w:jc w:val="right"/>
              <w:ind w:right="61"/>
              <w:spacing w:after="0" w:line="121" w:lineRule="exact"/>
              <w:rPr>
                <w:sz w:val="20"/>
                <w:szCs w:val="20"/>
                <w:color w:val="auto"/>
              </w:rPr>
            </w:pPr>
            <w:r>
              <w:rPr>
                <w:rFonts w:ascii="MS PGothic" w:cs="MS PGothic" w:eastAsia="MS PGothic" w:hAnsi="MS PGothic"/>
                <w:sz w:val="12"/>
                <w:szCs w:val="12"/>
                <w:color w:val="auto"/>
              </w:rPr>
              <w:t>✔</w:t>
            </w:r>
          </w:p>
        </w:tc>
        <w:tc>
          <w:tcPr>
            <w:tcW w:w="320" w:type="dxa"/>
            <w:vAlign w:val="bottom"/>
            <w:tcBorders>
              <w:bottom w:val="single" w:sz="8" w:color="auto"/>
              <w:right w:val="single" w:sz="8" w:color="auto"/>
            </w:tcBorders>
          </w:tcPr>
          <w:p>
            <w:pPr>
              <w:jc w:val="right"/>
              <w:ind w:right="61"/>
              <w:spacing w:after="0" w:line="121" w:lineRule="exact"/>
              <w:rPr>
                <w:sz w:val="20"/>
                <w:szCs w:val="20"/>
                <w:color w:val="auto"/>
              </w:rPr>
            </w:pPr>
            <w:r>
              <w:rPr>
                <w:rFonts w:ascii="MS PGothic" w:cs="MS PGothic" w:eastAsia="MS PGothic" w:hAnsi="MS PGothic"/>
                <w:sz w:val="12"/>
                <w:szCs w:val="12"/>
                <w:color w:val="auto"/>
              </w:rPr>
              <w:t>✔</w:t>
            </w:r>
          </w:p>
        </w:tc>
        <w:tc>
          <w:tcPr>
            <w:tcW w:w="320" w:type="dxa"/>
            <w:vAlign w:val="bottom"/>
            <w:tcBorders>
              <w:bottom w:val="single" w:sz="8" w:color="auto"/>
              <w:right w:val="single" w:sz="8" w:color="auto"/>
            </w:tcBorders>
          </w:tcPr>
          <w:p>
            <w:pPr>
              <w:jc w:val="right"/>
              <w:ind w:right="61"/>
              <w:spacing w:after="0" w:line="121" w:lineRule="exact"/>
              <w:rPr>
                <w:sz w:val="20"/>
                <w:szCs w:val="20"/>
                <w:color w:val="auto"/>
              </w:rPr>
            </w:pPr>
            <w:r>
              <w:rPr>
                <w:rFonts w:ascii="MS PGothic" w:cs="MS PGothic" w:eastAsia="MS PGothic" w:hAnsi="MS PGothic"/>
                <w:sz w:val="12"/>
                <w:szCs w:val="12"/>
                <w:color w:val="auto"/>
              </w:rPr>
              <w:t>✔</w:t>
            </w:r>
          </w:p>
        </w:tc>
        <w:tc>
          <w:tcPr>
            <w:tcW w:w="300" w:type="dxa"/>
            <w:vAlign w:val="bottom"/>
            <w:tcBorders>
              <w:bottom w:val="single" w:sz="8" w:color="auto"/>
              <w:right w:val="single" w:sz="8" w:color="auto"/>
            </w:tcBorders>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320" w:type="dxa"/>
            <w:vAlign w:val="bottom"/>
            <w:tcBorders>
              <w:bottom w:val="single" w:sz="8" w:color="auto"/>
              <w:right w:val="single" w:sz="8" w:color="auto"/>
            </w:tcBorders>
          </w:tcPr>
          <w:p>
            <w:pPr>
              <w:jc w:val="right"/>
              <w:ind w:right="61"/>
              <w:spacing w:after="0" w:line="121" w:lineRule="exact"/>
              <w:rPr>
                <w:sz w:val="20"/>
                <w:szCs w:val="20"/>
                <w:color w:val="auto"/>
              </w:rPr>
            </w:pPr>
            <w:r>
              <w:rPr>
                <w:rFonts w:ascii="MS PGothic" w:cs="MS PGothic" w:eastAsia="MS PGothic" w:hAnsi="MS PGothic"/>
                <w:sz w:val="12"/>
                <w:szCs w:val="12"/>
                <w:color w:val="auto"/>
              </w:rPr>
              <w:t>✔</w:t>
            </w:r>
          </w:p>
        </w:tc>
        <w:tc>
          <w:tcPr>
            <w:tcW w:w="300" w:type="dxa"/>
            <w:vAlign w:val="bottom"/>
            <w:tcBorders>
              <w:bottom w:val="single" w:sz="8" w:color="auto"/>
              <w:right w:val="single" w:sz="8" w:color="auto"/>
            </w:tcBorders>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320" w:type="dxa"/>
            <w:vAlign w:val="bottom"/>
            <w:tcBorders>
              <w:bottom w:val="single" w:sz="8" w:color="auto"/>
              <w:right w:val="single" w:sz="8" w:color="auto"/>
            </w:tcBorders>
          </w:tcPr>
          <w:p>
            <w:pPr>
              <w:jc w:val="right"/>
              <w:ind w:right="81"/>
              <w:spacing w:after="0" w:line="121" w:lineRule="exact"/>
              <w:rPr>
                <w:sz w:val="20"/>
                <w:szCs w:val="20"/>
                <w:color w:val="auto"/>
              </w:rPr>
            </w:pPr>
            <w:r>
              <w:rPr>
                <w:rFonts w:ascii="MS PGothic" w:cs="MS PGothic" w:eastAsia="MS PGothic" w:hAnsi="MS PGothic"/>
                <w:sz w:val="12"/>
                <w:szCs w:val="12"/>
                <w:color w:val="auto"/>
              </w:rPr>
              <w:t>✔</w:t>
            </w:r>
          </w:p>
        </w:tc>
        <w:tc>
          <w:tcPr>
            <w:tcW w:w="320" w:type="dxa"/>
            <w:vAlign w:val="bottom"/>
            <w:tcBorders>
              <w:bottom w:val="single" w:sz="8" w:color="auto"/>
              <w:right w:val="single" w:sz="8" w:color="auto"/>
            </w:tcBorders>
          </w:tcPr>
          <w:p>
            <w:pPr>
              <w:jc w:val="right"/>
              <w:ind w:right="81"/>
              <w:spacing w:after="0" w:line="121" w:lineRule="exact"/>
              <w:rPr>
                <w:sz w:val="20"/>
                <w:szCs w:val="20"/>
                <w:color w:val="auto"/>
              </w:rPr>
            </w:pPr>
            <w:r>
              <w:rPr>
                <w:rFonts w:ascii="MS PGothic" w:cs="MS PGothic" w:eastAsia="MS PGothic" w:hAnsi="MS PGothic"/>
                <w:sz w:val="12"/>
                <w:szCs w:val="12"/>
                <w:color w:val="auto"/>
              </w:rPr>
              <w:t>✔</w:t>
            </w:r>
          </w:p>
        </w:tc>
        <w:tc>
          <w:tcPr>
            <w:tcW w:w="320" w:type="dxa"/>
            <w:vAlign w:val="bottom"/>
            <w:tcBorders>
              <w:bottom w:val="single" w:sz="8" w:color="auto"/>
              <w:right w:val="single" w:sz="8" w:color="auto"/>
            </w:tcBorders>
          </w:tcPr>
          <w:p>
            <w:pPr>
              <w:jc w:val="right"/>
              <w:ind w:right="81"/>
              <w:spacing w:after="0" w:line="121" w:lineRule="exact"/>
              <w:rPr>
                <w:sz w:val="20"/>
                <w:szCs w:val="20"/>
                <w:color w:val="auto"/>
              </w:rPr>
            </w:pPr>
            <w:r>
              <w:rPr>
                <w:rFonts w:ascii="MS PGothic" w:cs="MS PGothic" w:eastAsia="MS PGothic" w:hAnsi="MS PGothic"/>
                <w:sz w:val="12"/>
                <w:szCs w:val="12"/>
                <w:color w:val="auto"/>
              </w:rPr>
              <w:t>✔</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9</w:t>
            </w:r>
          </w:p>
        </w:tc>
        <w:tc>
          <w:tcPr>
            <w:tcW w:w="0" w:type="dxa"/>
            <w:vAlign w:val="bottom"/>
          </w:tcPr>
          <w:p>
            <w:pPr>
              <w:spacing w:after="0"/>
              <w:rPr>
                <w:sz w:val="1"/>
                <w:szCs w:val="1"/>
                <w:color w:val="auto"/>
              </w:rPr>
            </w:pPr>
          </w:p>
        </w:tc>
      </w:tr>
      <w:tr>
        <w:trPr>
          <w:trHeight w:val="169"/>
        </w:trPr>
        <w:tc>
          <w:tcPr>
            <w:tcW w:w="60" w:type="dxa"/>
            <w:vAlign w:val="bottom"/>
            <w:tcBorders>
              <w:left w:val="single" w:sz="8" w:color="auto"/>
              <w:bottom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Communications and/or Enterprise Computing</w:t>
            </w:r>
          </w:p>
        </w:tc>
        <w:tc>
          <w:tcPr>
            <w:tcW w:w="32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right"/>
              <w:ind w:right="61"/>
              <w:spacing w:after="0" w:line="121" w:lineRule="exact"/>
              <w:rPr>
                <w:sz w:val="20"/>
                <w:szCs w:val="20"/>
                <w:color w:val="auto"/>
              </w:rPr>
            </w:pPr>
            <w:r>
              <w:rPr>
                <w:rFonts w:ascii="MS PGothic" w:cs="MS PGothic" w:eastAsia="MS PGothic" w:hAnsi="MS PGothic"/>
                <w:sz w:val="12"/>
                <w:szCs w:val="12"/>
                <w:color w:val="auto"/>
              </w:rPr>
              <w:t>✔</w:t>
            </w:r>
          </w:p>
        </w:tc>
        <w:tc>
          <w:tcPr>
            <w:tcW w:w="32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right"/>
              <w:ind w:right="61"/>
              <w:spacing w:after="0" w:line="121" w:lineRule="exact"/>
              <w:rPr>
                <w:sz w:val="20"/>
                <w:szCs w:val="20"/>
                <w:color w:val="auto"/>
              </w:rPr>
            </w:pPr>
            <w:r>
              <w:rPr>
                <w:rFonts w:ascii="MS PGothic" w:cs="MS PGothic" w:eastAsia="MS PGothic" w:hAnsi="MS PGothic"/>
                <w:sz w:val="12"/>
                <w:szCs w:val="12"/>
                <w:color w:val="auto"/>
              </w:rPr>
              <w:t>✔</w:t>
            </w:r>
          </w:p>
        </w:tc>
        <w:tc>
          <w:tcPr>
            <w:tcW w:w="30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2</w:t>
            </w:r>
          </w:p>
        </w:tc>
        <w:tc>
          <w:tcPr>
            <w:tcW w:w="0" w:type="dxa"/>
            <w:vAlign w:val="bottom"/>
          </w:tcPr>
          <w:p>
            <w:pPr>
              <w:spacing w:after="0"/>
              <w:rPr>
                <w:sz w:val="1"/>
                <w:szCs w:val="1"/>
                <w:color w:val="auto"/>
              </w:rPr>
            </w:pPr>
          </w:p>
        </w:tc>
      </w:tr>
      <w:tr>
        <w:trPr>
          <w:trHeight w:val="169"/>
        </w:trPr>
        <w:tc>
          <w:tcPr>
            <w:tcW w:w="60" w:type="dxa"/>
            <w:vAlign w:val="bottom"/>
            <w:tcBorders>
              <w:left w:val="single" w:sz="8" w:color="auto"/>
              <w:bottom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A&amp;D</w:t>
            </w:r>
          </w:p>
        </w:tc>
        <w:tc>
          <w:tcPr>
            <w:tcW w:w="32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320" w:type="dxa"/>
            <w:vAlign w:val="bottom"/>
            <w:tcBorders>
              <w:bottom w:val="single" w:sz="8" w:color="auto"/>
              <w:right w:val="single" w:sz="8" w:color="auto"/>
            </w:tcBorders>
          </w:tcPr>
          <w:p>
            <w:pPr>
              <w:jc w:val="right"/>
              <w:ind w:right="61"/>
              <w:spacing w:after="0" w:line="121" w:lineRule="exact"/>
              <w:rPr>
                <w:sz w:val="20"/>
                <w:szCs w:val="20"/>
                <w:color w:val="auto"/>
              </w:rPr>
            </w:pPr>
            <w:r>
              <w:rPr>
                <w:rFonts w:ascii="MS PGothic" w:cs="MS PGothic" w:eastAsia="MS PGothic" w:hAnsi="MS PGothic"/>
                <w:sz w:val="12"/>
                <w:szCs w:val="12"/>
                <w:color w:val="auto"/>
              </w:rPr>
              <w:t>✔</w:t>
            </w:r>
          </w:p>
        </w:tc>
        <w:tc>
          <w:tcPr>
            <w:tcW w:w="30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right"/>
              <w:ind w:right="81"/>
              <w:spacing w:after="0" w:line="121" w:lineRule="exact"/>
              <w:rPr>
                <w:sz w:val="20"/>
                <w:szCs w:val="20"/>
                <w:color w:val="auto"/>
              </w:rPr>
            </w:pPr>
            <w:r>
              <w:rPr>
                <w:rFonts w:ascii="MS PGothic" w:cs="MS PGothic" w:eastAsia="MS PGothic" w:hAnsi="MS PGothic"/>
                <w:sz w:val="12"/>
                <w:szCs w:val="12"/>
                <w:color w:val="auto"/>
              </w:rPr>
              <w:t>✔</w:t>
            </w:r>
          </w:p>
        </w:tc>
        <w:tc>
          <w:tcPr>
            <w:tcW w:w="32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3</w:t>
            </w:r>
          </w:p>
        </w:tc>
        <w:tc>
          <w:tcPr>
            <w:tcW w:w="0" w:type="dxa"/>
            <w:vAlign w:val="bottom"/>
          </w:tcPr>
          <w:p>
            <w:pPr>
              <w:spacing w:after="0"/>
              <w:rPr>
                <w:sz w:val="1"/>
                <w:szCs w:val="1"/>
                <w:color w:val="auto"/>
              </w:rPr>
            </w:pPr>
          </w:p>
        </w:tc>
      </w:tr>
      <w:tr>
        <w:trPr>
          <w:trHeight w:val="169"/>
        </w:trPr>
        <w:tc>
          <w:tcPr>
            <w:tcW w:w="60" w:type="dxa"/>
            <w:vAlign w:val="bottom"/>
            <w:tcBorders>
              <w:left w:val="single" w:sz="8" w:color="auto"/>
              <w:bottom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HealthTech</w:t>
            </w:r>
          </w:p>
        </w:tc>
        <w:tc>
          <w:tcPr>
            <w:tcW w:w="320" w:type="dxa"/>
            <w:vAlign w:val="bottom"/>
            <w:tcBorders>
              <w:bottom w:val="single" w:sz="8" w:color="auto"/>
              <w:right w:val="single" w:sz="8" w:color="auto"/>
            </w:tcBorders>
          </w:tcPr>
          <w:p>
            <w:pPr>
              <w:jc w:val="right"/>
              <w:ind w:right="61"/>
              <w:spacing w:after="0" w:line="121" w:lineRule="exact"/>
              <w:rPr>
                <w:sz w:val="20"/>
                <w:szCs w:val="20"/>
                <w:color w:val="auto"/>
              </w:rPr>
            </w:pPr>
            <w:r>
              <w:rPr>
                <w:rFonts w:ascii="MS PGothic" w:cs="MS PGothic" w:eastAsia="MS PGothic" w:hAnsi="MS PGothic"/>
                <w:sz w:val="12"/>
                <w:szCs w:val="12"/>
                <w:color w:val="auto"/>
              </w:rPr>
              <w:t>✔</w:t>
            </w:r>
          </w:p>
        </w:tc>
        <w:tc>
          <w:tcPr>
            <w:tcW w:w="32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1</w:t>
            </w:r>
          </w:p>
        </w:tc>
        <w:tc>
          <w:tcPr>
            <w:tcW w:w="0" w:type="dxa"/>
            <w:vAlign w:val="bottom"/>
          </w:tcPr>
          <w:p>
            <w:pPr>
              <w:spacing w:after="0"/>
              <w:rPr>
                <w:sz w:val="1"/>
                <w:szCs w:val="1"/>
                <w:color w:val="auto"/>
              </w:rPr>
            </w:pPr>
          </w:p>
        </w:tc>
      </w:tr>
      <w:tr>
        <w:trPr>
          <w:trHeight w:val="169"/>
        </w:trPr>
        <w:tc>
          <w:tcPr>
            <w:tcW w:w="60" w:type="dxa"/>
            <w:vAlign w:val="bottom"/>
            <w:tcBorders>
              <w:left w:val="single" w:sz="8" w:color="auto"/>
              <w:bottom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Capital Equipment</w:t>
            </w:r>
          </w:p>
        </w:tc>
        <w:tc>
          <w:tcPr>
            <w:tcW w:w="32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right"/>
              <w:ind w:right="61"/>
              <w:spacing w:after="0" w:line="121" w:lineRule="exact"/>
              <w:rPr>
                <w:sz w:val="20"/>
                <w:szCs w:val="20"/>
                <w:color w:val="auto"/>
              </w:rPr>
            </w:pPr>
            <w:r>
              <w:rPr>
                <w:rFonts w:ascii="MS PGothic" w:cs="MS PGothic" w:eastAsia="MS PGothic" w:hAnsi="MS PGothic"/>
                <w:sz w:val="12"/>
                <w:szCs w:val="12"/>
                <w:color w:val="auto"/>
              </w:rPr>
              <w:t>✔</w:t>
            </w:r>
          </w:p>
        </w:tc>
        <w:tc>
          <w:tcPr>
            <w:tcW w:w="30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1</w:t>
            </w:r>
          </w:p>
        </w:tc>
        <w:tc>
          <w:tcPr>
            <w:tcW w:w="0" w:type="dxa"/>
            <w:vAlign w:val="bottom"/>
          </w:tcPr>
          <w:p>
            <w:pPr>
              <w:spacing w:after="0"/>
              <w:rPr>
                <w:sz w:val="1"/>
                <w:szCs w:val="1"/>
                <w:color w:val="auto"/>
              </w:rPr>
            </w:pPr>
          </w:p>
        </w:tc>
      </w:tr>
      <w:tr>
        <w:trPr>
          <w:trHeight w:val="169"/>
        </w:trPr>
        <w:tc>
          <w:tcPr>
            <w:tcW w:w="60" w:type="dxa"/>
            <w:vAlign w:val="bottom"/>
            <w:tcBorders>
              <w:left w:val="single" w:sz="8" w:color="auto"/>
              <w:bottom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Industrial</w:t>
            </w:r>
          </w:p>
        </w:tc>
        <w:tc>
          <w:tcPr>
            <w:tcW w:w="32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right"/>
              <w:ind w:right="61"/>
              <w:spacing w:after="0" w:line="121" w:lineRule="exact"/>
              <w:rPr>
                <w:sz w:val="20"/>
                <w:szCs w:val="20"/>
                <w:color w:val="auto"/>
              </w:rPr>
            </w:pPr>
            <w:r>
              <w:rPr>
                <w:rFonts w:ascii="MS PGothic" w:cs="MS PGothic" w:eastAsia="MS PGothic" w:hAnsi="MS PGothic"/>
                <w:sz w:val="12"/>
                <w:szCs w:val="12"/>
                <w:color w:val="auto"/>
              </w:rPr>
              <w:t>✔</w:t>
            </w:r>
          </w:p>
        </w:tc>
        <w:tc>
          <w:tcPr>
            <w:tcW w:w="30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1</w:t>
            </w:r>
          </w:p>
        </w:tc>
        <w:tc>
          <w:tcPr>
            <w:tcW w:w="0" w:type="dxa"/>
            <w:vAlign w:val="bottom"/>
          </w:tcPr>
          <w:p>
            <w:pPr>
              <w:spacing w:after="0"/>
              <w:rPr>
                <w:sz w:val="1"/>
                <w:szCs w:val="1"/>
                <w:color w:val="auto"/>
              </w:rPr>
            </w:pPr>
          </w:p>
        </w:tc>
      </w:tr>
      <w:tr>
        <w:trPr>
          <w:trHeight w:val="169"/>
        </w:trPr>
        <w:tc>
          <w:tcPr>
            <w:tcW w:w="60" w:type="dxa"/>
            <w:vAlign w:val="bottom"/>
            <w:tcBorders>
              <w:left w:val="single" w:sz="8" w:color="auto"/>
              <w:bottom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Services (design, after market)</w:t>
            </w:r>
          </w:p>
        </w:tc>
        <w:tc>
          <w:tcPr>
            <w:tcW w:w="320" w:type="dxa"/>
            <w:vAlign w:val="bottom"/>
            <w:tcBorders>
              <w:bottom w:val="single" w:sz="8" w:color="auto"/>
              <w:right w:val="single" w:sz="8" w:color="auto"/>
            </w:tcBorders>
          </w:tcPr>
          <w:p>
            <w:pPr>
              <w:jc w:val="right"/>
              <w:ind w:right="61"/>
              <w:spacing w:after="0" w:line="121" w:lineRule="exact"/>
              <w:rPr>
                <w:sz w:val="20"/>
                <w:szCs w:val="20"/>
                <w:color w:val="auto"/>
              </w:rPr>
            </w:pPr>
            <w:r>
              <w:rPr>
                <w:rFonts w:ascii="MS PGothic" w:cs="MS PGothic" w:eastAsia="MS PGothic" w:hAnsi="MS PGothic"/>
                <w:sz w:val="12"/>
                <w:szCs w:val="12"/>
                <w:color w:val="auto"/>
              </w:rPr>
              <w:t>✔</w:t>
            </w:r>
          </w:p>
        </w:tc>
        <w:tc>
          <w:tcPr>
            <w:tcW w:w="32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right"/>
              <w:ind w:right="61"/>
              <w:spacing w:after="0" w:line="121" w:lineRule="exact"/>
              <w:rPr>
                <w:sz w:val="20"/>
                <w:szCs w:val="20"/>
                <w:color w:val="auto"/>
              </w:rPr>
            </w:pPr>
            <w:r>
              <w:rPr>
                <w:rFonts w:ascii="MS PGothic" w:cs="MS PGothic" w:eastAsia="MS PGothic" w:hAnsi="MS PGothic"/>
                <w:sz w:val="12"/>
                <w:szCs w:val="12"/>
                <w:color w:val="auto"/>
              </w:rPr>
              <w:t>✔</w:t>
            </w:r>
          </w:p>
        </w:tc>
        <w:tc>
          <w:tcPr>
            <w:tcW w:w="30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right"/>
              <w:ind w:right="61"/>
              <w:spacing w:after="0" w:line="121" w:lineRule="exact"/>
              <w:rPr>
                <w:sz w:val="20"/>
                <w:szCs w:val="20"/>
                <w:color w:val="auto"/>
              </w:rPr>
            </w:pPr>
            <w:r>
              <w:rPr>
                <w:rFonts w:ascii="MS PGothic" w:cs="MS PGothic" w:eastAsia="MS PGothic" w:hAnsi="MS PGothic"/>
                <w:sz w:val="12"/>
                <w:szCs w:val="12"/>
                <w:color w:val="auto"/>
              </w:rPr>
              <w:t>✔</w:t>
            </w:r>
          </w:p>
        </w:tc>
        <w:tc>
          <w:tcPr>
            <w:tcW w:w="30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3</w:t>
            </w:r>
          </w:p>
        </w:tc>
        <w:tc>
          <w:tcPr>
            <w:tcW w:w="0" w:type="dxa"/>
            <w:vAlign w:val="bottom"/>
          </w:tcPr>
          <w:p>
            <w:pPr>
              <w:spacing w:after="0"/>
              <w:rPr>
                <w:sz w:val="1"/>
                <w:szCs w:val="1"/>
                <w:color w:val="auto"/>
              </w:rPr>
            </w:pPr>
          </w:p>
        </w:tc>
      </w:tr>
      <w:tr>
        <w:trPr>
          <w:trHeight w:val="169"/>
        </w:trPr>
        <w:tc>
          <w:tcPr>
            <w:tcW w:w="60" w:type="dxa"/>
            <w:vAlign w:val="bottom"/>
            <w:tcBorders>
              <w:left w:val="single" w:sz="8" w:color="auto"/>
              <w:bottom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Europe and/or Asia Business Development</w:t>
            </w:r>
          </w:p>
        </w:tc>
        <w:tc>
          <w:tcPr>
            <w:tcW w:w="320" w:type="dxa"/>
            <w:vAlign w:val="bottom"/>
            <w:tcBorders>
              <w:bottom w:val="single" w:sz="8" w:color="auto"/>
              <w:right w:val="single" w:sz="8" w:color="auto"/>
            </w:tcBorders>
          </w:tcPr>
          <w:p>
            <w:pPr>
              <w:jc w:val="right"/>
              <w:ind w:right="61"/>
              <w:spacing w:after="0" w:line="121" w:lineRule="exact"/>
              <w:rPr>
                <w:sz w:val="20"/>
                <w:szCs w:val="20"/>
                <w:color w:val="auto"/>
              </w:rPr>
            </w:pPr>
            <w:r>
              <w:rPr>
                <w:rFonts w:ascii="MS PGothic" w:cs="MS PGothic" w:eastAsia="MS PGothic" w:hAnsi="MS PGothic"/>
                <w:sz w:val="12"/>
                <w:szCs w:val="12"/>
                <w:color w:val="auto"/>
              </w:rPr>
              <w:t>✔</w:t>
            </w:r>
          </w:p>
        </w:tc>
        <w:tc>
          <w:tcPr>
            <w:tcW w:w="320" w:type="dxa"/>
            <w:vAlign w:val="bottom"/>
            <w:tcBorders>
              <w:bottom w:val="single" w:sz="8" w:color="auto"/>
              <w:right w:val="single" w:sz="8" w:color="auto"/>
            </w:tcBorders>
          </w:tcPr>
          <w:p>
            <w:pPr>
              <w:jc w:val="right"/>
              <w:ind w:right="61"/>
              <w:spacing w:after="0" w:line="121" w:lineRule="exact"/>
              <w:rPr>
                <w:sz w:val="20"/>
                <w:szCs w:val="20"/>
                <w:color w:val="auto"/>
              </w:rPr>
            </w:pPr>
            <w:r>
              <w:rPr>
                <w:rFonts w:ascii="MS PGothic" w:cs="MS PGothic" w:eastAsia="MS PGothic" w:hAnsi="MS PGothic"/>
                <w:sz w:val="12"/>
                <w:szCs w:val="12"/>
                <w:color w:val="auto"/>
              </w:rPr>
              <w:t>✔</w:t>
            </w:r>
          </w:p>
        </w:tc>
        <w:tc>
          <w:tcPr>
            <w:tcW w:w="320" w:type="dxa"/>
            <w:vAlign w:val="bottom"/>
            <w:tcBorders>
              <w:bottom w:val="single" w:sz="8" w:color="auto"/>
              <w:right w:val="single" w:sz="8" w:color="auto"/>
            </w:tcBorders>
          </w:tcPr>
          <w:p>
            <w:pPr>
              <w:jc w:val="right"/>
              <w:ind w:right="61"/>
              <w:spacing w:after="0" w:line="121" w:lineRule="exact"/>
              <w:rPr>
                <w:sz w:val="20"/>
                <w:szCs w:val="20"/>
                <w:color w:val="auto"/>
              </w:rPr>
            </w:pPr>
            <w:r>
              <w:rPr>
                <w:rFonts w:ascii="MS PGothic" w:cs="MS PGothic" w:eastAsia="MS PGothic" w:hAnsi="MS PGothic"/>
                <w:sz w:val="12"/>
                <w:szCs w:val="12"/>
                <w:color w:val="auto"/>
              </w:rPr>
              <w:t>✔</w:t>
            </w:r>
          </w:p>
        </w:tc>
        <w:tc>
          <w:tcPr>
            <w:tcW w:w="300" w:type="dxa"/>
            <w:vAlign w:val="bottom"/>
            <w:tcBorders>
              <w:bottom w:val="single" w:sz="8" w:color="auto"/>
              <w:right w:val="single" w:sz="8" w:color="auto"/>
            </w:tcBorders>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320" w:type="dxa"/>
            <w:vAlign w:val="bottom"/>
            <w:tcBorders>
              <w:bottom w:val="single" w:sz="8" w:color="auto"/>
              <w:right w:val="single" w:sz="8" w:color="auto"/>
            </w:tcBorders>
          </w:tcPr>
          <w:p>
            <w:pPr>
              <w:jc w:val="right"/>
              <w:ind w:right="61"/>
              <w:spacing w:after="0" w:line="121" w:lineRule="exact"/>
              <w:rPr>
                <w:sz w:val="20"/>
                <w:szCs w:val="20"/>
                <w:color w:val="auto"/>
              </w:rPr>
            </w:pPr>
            <w:r>
              <w:rPr>
                <w:rFonts w:ascii="MS PGothic" w:cs="MS PGothic" w:eastAsia="MS PGothic" w:hAnsi="MS PGothic"/>
                <w:sz w:val="12"/>
                <w:szCs w:val="12"/>
                <w:color w:val="auto"/>
              </w:rPr>
              <w:t>✔</w:t>
            </w:r>
          </w:p>
        </w:tc>
        <w:tc>
          <w:tcPr>
            <w:tcW w:w="30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right"/>
              <w:ind w:right="81"/>
              <w:spacing w:after="0" w:line="121" w:lineRule="exact"/>
              <w:rPr>
                <w:sz w:val="20"/>
                <w:szCs w:val="20"/>
                <w:color w:val="auto"/>
              </w:rPr>
            </w:pPr>
            <w:r>
              <w:rPr>
                <w:rFonts w:ascii="MS PGothic" w:cs="MS PGothic" w:eastAsia="MS PGothic" w:hAnsi="MS PGothic"/>
                <w:sz w:val="12"/>
                <w:szCs w:val="12"/>
                <w:color w:val="auto"/>
              </w:rPr>
              <w:t>✔</w:t>
            </w:r>
          </w:p>
        </w:tc>
        <w:tc>
          <w:tcPr>
            <w:tcW w:w="320" w:type="dxa"/>
            <w:vAlign w:val="bottom"/>
            <w:tcBorders>
              <w:bottom w:val="single" w:sz="8" w:color="auto"/>
              <w:right w:val="single" w:sz="8" w:color="auto"/>
            </w:tcBorders>
          </w:tcPr>
          <w:p>
            <w:pPr>
              <w:jc w:val="right"/>
              <w:ind w:right="81"/>
              <w:spacing w:after="0" w:line="121" w:lineRule="exact"/>
              <w:rPr>
                <w:sz w:val="20"/>
                <w:szCs w:val="20"/>
                <w:color w:val="auto"/>
              </w:rPr>
            </w:pPr>
            <w:r>
              <w:rPr>
                <w:rFonts w:ascii="MS PGothic" w:cs="MS PGothic" w:eastAsia="MS PGothic" w:hAnsi="MS PGothic"/>
                <w:sz w:val="12"/>
                <w:szCs w:val="12"/>
                <w:color w:val="auto"/>
              </w:rPr>
              <w:t>✔</w:t>
            </w:r>
          </w:p>
        </w:tc>
        <w:tc>
          <w:tcPr>
            <w:tcW w:w="320" w:type="dxa"/>
            <w:vAlign w:val="bottom"/>
            <w:tcBorders>
              <w:bottom w:val="single" w:sz="8" w:color="auto"/>
              <w:right w:val="single" w:sz="8" w:color="auto"/>
            </w:tcBorders>
          </w:tcPr>
          <w:p>
            <w:pPr>
              <w:jc w:val="right"/>
              <w:ind w:right="81"/>
              <w:spacing w:after="0" w:line="121" w:lineRule="exact"/>
              <w:rPr>
                <w:sz w:val="20"/>
                <w:szCs w:val="20"/>
                <w:color w:val="auto"/>
              </w:rPr>
            </w:pPr>
            <w:r>
              <w:rPr>
                <w:rFonts w:ascii="MS PGothic" w:cs="MS PGothic" w:eastAsia="MS PGothic" w:hAnsi="MS PGothic"/>
                <w:sz w:val="12"/>
                <w:szCs w:val="12"/>
                <w:color w:val="auto"/>
              </w:rPr>
              <w:t>✔</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8</w:t>
            </w:r>
          </w:p>
        </w:tc>
        <w:tc>
          <w:tcPr>
            <w:tcW w:w="0" w:type="dxa"/>
            <w:vAlign w:val="bottom"/>
          </w:tcPr>
          <w:p>
            <w:pPr>
              <w:spacing w:after="0"/>
              <w:rPr>
                <w:sz w:val="1"/>
                <w:szCs w:val="1"/>
                <w:color w:val="auto"/>
              </w:rPr>
            </w:pPr>
          </w:p>
        </w:tc>
      </w:tr>
      <w:tr>
        <w:trPr>
          <w:trHeight w:val="142"/>
        </w:trPr>
        <w:tc>
          <w:tcPr>
            <w:tcW w:w="60" w:type="dxa"/>
            <w:vAlign w:val="bottom"/>
            <w:tcBorders>
              <w:left w:val="single" w:sz="8" w:color="auto"/>
            </w:tcBorders>
          </w:tcPr>
          <w:p>
            <w:pPr>
              <w:spacing w:after="0"/>
              <w:rPr>
                <w:sz w:val="12"/>
                <w:szCs w:val="12"/>
                <w:color w:val="auto"/>
              </w:rPr>
            </w:pPr>
          </w:p>
        </w:tc>
        <w:tc>
          <w:tcPr>
            <w:tcW w:w="28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Operations (supply chain management and</w:t>
            </w:r>
          </w:p>
        </w:tc>
        <w:tc>
          <w:tcPr>
            <w:tcW w:w="320" w:type="dxa"/>
            <w:vAlign w:val="bottom"/>
            <w:tcBorders>
              <w:right w:val="single" w:sz="8" w:color="auto"/>
            </w:tcBorders>
          </w:tcPr>
          <w:p>
            <w:pPr>
              <w:jc w:val="right"/>
              <w:ind w:right="61"/>
              <w:spacing w:after="0" w:line="121" w:lineRule="exact"/>
              <w:rPr>
                <w:sz w:val="20"/>
                <w:szCs w:val="20"/>
                <w:color w:val="auto"/>
              </w:rPr>
            </w:pPr>
            <w:r>
              <w:rPr>
                <w:rFonts w:ascii="MS PGothic" w:cs="MS PGothic" w:eastAsia="MS PGothic" w:hAnsi="MS PGothic"/>
                <w:sz w:val="12"/>
                <w:szCs w:val="12"/>
                <w:color w:val="auto"/>
              </w:rPr>
              <w:t>✔</w:t>
            </w:r>
          </w:p>
        </w:tc>
        <w:tc>
          <w:tcPr>
            <w:tcW w:w="320" w:type="dxa"/>
            <w:vAlign w:val="bottom"/>
            <w:tcBorders>
              <w:right w:val="single" w:sz="8" w:color="auto"/>
            </w:tcBorders>
          </w:tcPr>
          <w:p>
            <w:pPr>
              <w:jc w:val="right"/>
              <w:ind w:right="61"/>
              <w:spacing w:after="0" w:line="121" w:lineRule="exact"/>
              <w:rPr>
                <w:sz w:val="20"/>
                <w:szCs w:val="20"/>
                <w:color w:val="auto"/>
              </w:rPr>
            </w:pPr>
            <w:r>
              <w:rPr>
                <w:rFonts w:ascii="MS PGothic" w:cs="MS PGothic" w:eastAsia="MS PGothic" w:hAnsi="MS PGothic"/>
                <w:sz w:val="12"/>
                <w:szCs w:val="12"/>
                <w:color w:val="auto"/>
              </w:rPr>
              <w:t>✔</w:t>
            </w:r>
          </w:p>
        </w:tc>
        <w:tc>
          <w:tcPr>
            <w:tcW w:w="320" w:type="dxa"/>
            <w:vAlign w:val="bottom"/>
            <w:tcBorders>
              <w:right w:val="single" w:sz="8" w:color="auto"/>
            </w:tcBorders>
          </w:tcPr>
          <w:p>
            <w:pPr>
              <w:jc w:val="right"/>
              <w:ind w:right="61"/>
              <w:spacing w:after="0" w:line="121" w:lineRule="exact"/>
              <w:rPr>
                <w:sz w:val="20"/>
                <w:szCs w:val="20"/>
                <w:color w:val="auto"/>
              </w:rPr>
            </w:pPr>
            <w:r>
              <w:rPr>
                <w:rFonts w:ascii="MS PGothic" w:cs="MS PGothic" w:eastAsia="MS PGothic" w:hAnsi="MS PGothic"/>
                <w:sz w:val="12"/>
                <w:szCs w:val="12"/>
                <w:color w:val="auto"/>
              </w:rPr>
              <w:t>✔</w:t>
            </w:r>
          </w:p>
        </w:tc>
        <w:tc>
          <w:tcPr>
            <w:tcW w:w="300" w:type="dxa"/>
            <w:vAlign w:val="bottom"/>
            <w:tcBorders>
              <w:right w:val="single" w:sz="8" w:color="auto"/>
            </w:tcBorders>
          </w:tcPr>
          <w:p>
            <w:pPr>
              <w:spacing w:after="0"/>
              <w:rPr>
                <w:sz w:val="12"/>
                <w:szCs w:val="12"/>
                <w:color w:val="auto"/>
              </w:rPr>
            </w:pPr>
          </w:p>
        </w:tc>
        <w:tc>
          <w:tcPr>
            <w:tcW w:w="320" w:type="dxa"/>
            <w:vAlign w:val="bottom"/>
            <w:tcBorders>
              <w:right w:val="single" w:sz="8" w:color="auto"/>
            </w:tcBorders>
          </w:tcPr>
          <w:p>
            <w:pPr>
              <w:jc w:val="right"/>
              <w:ind w:right="61"/>
              <w:spacing w:after="0" w:line="121" w:lineRule="exact"/>
              <w:rPr>
                <w:sz w:val="20"/>
                <w:szCs w:val="20"/>
                <w:color w:val="auto"/>
              </w:rPr>
            </w:pPr>
            <w:r>
              <w:rPr>
                <w:rFonts w:ascii="MS PGothic" w:cs="MS PGothic" w:eastAsia="MS PGothic" w:hAnsi="MS PGothic"/>
                <w:sz w:val="12"/>
                <w:szCs w:val="12"/>
                <w:color w:val="auto"/>
              </w:rPr>
              <w:t>✔</w:t>
            </w:r>
          </w:p>
        </w:tc>
        <w:tc>
          <w:tcPr>
            <w:tcW w:w="300" w:type="dxa"/>
            <w:vAlign w:val="bottom"/>
            <w:tcBorders>
              <w:right w:val="single" w:sz="8" w:color="auto"/>
            </w:tcBorders>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320" w:type="dxa"/>
            <w:vAlign w:val="bottom"/>
            <w:tcBorders>
              <w:right w:val="single" w:sz="8" w:color="auto"/>
            </w:tcBorders>
          </w:tcPr>
          <w:p>
            <w:pPr>
              <w:jc w:val="right"/>
              <w:ind w:right="81"/>
              <w:spacing w:after="0" w:line="121" w:lineRule="exact"/>
              <w:rPr>
                <w:sz w:val="20"/>
                <w:szCs w:val="20"/>
                <w:color w:val="auto"/>
              </w:rPr>
            </w:pPr>
            <w:r>
              <w:rPr>
                <w:rFonts w:ascii="MS PGothic" w:cs="MS PGothic" w:eastAsia="MS PGothic" w:hAnsi="MS PGothic"/>
                <w:sz w:val="12"/>
                <w:szCs w:val="12"/>
                <w:color w:val="auto"/>
              </w:rPr>
              <w:t>✔</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5</w:t>
            </w:r>
          </w:p>
        </w:tc>
        <w:tc>
          <w:tcPr>
            <w:tcW w:w="0" w:type="dxa"/>
            <w:vAlign w:val="bottom"/>
          </w:tcPr>
          <w:p>
            <w:pPr>
              <w:spacing w:after="0"/>
              <w:rPr>
                <w:sz w:val="1"/>
                <w:szCs w:val="1"/>
                <w:color w:val="auto"/>
              </w:rPr>
            </w:pPr>
          </w:p>
        </w:tc>
      </w:tr>
      <w:tr>
        <w:trPr>
          <w:trHeight w:val="159"/>
        </w:trPr>
        <w:tc>
          <w:tcPr>
            <w:tcW w:w="60" w:type="dxa"/>
            <w:vAlign w:val="bottom"/>
            <w:tcBorders>
              <w:left w:val="single" w:sz="8" w:color="auto"/>
              <w:bottom w:val="single" w:sz="8" w:color="auto"/>
            </w:tcBorders>
          </w:tcPr>
          <w:p>
            <w:pPr>
              <w:spacing w:after="0"/>
              <w:rPr>
                <w:sz w:val="13"/>
                <w:szCs w:val="13"/>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manufacturing)</w:t>
            </w:r>
          </w:p>
        </w:tc>
        <w:tc>
          <w:tcPr>
            <w:tcW w:w="320" w:type="dxa"/>
            <w:vAlign w:val="bottom"/>
            <w:tcBorders>
              <w:bottom w:val="single" w:sz="8" w:color="auto"/>
              <w:right w:val="single" w:sz="8" w:color="auto"/>
            </w:tcBorders>
          </w:tcPr>
          <w:p>
            <w:pPr>
              <w:spacing w:after="0"/>
              <w:rPr>
                <w:sz w:val="13"/>
                <w:szCs w:val="13"/>
                <w:color w:val="auto"/>
              </w:rPr>
            </w:pPr>
          </w:p>
        </w:tc>
        <w:tc>
          <w:tcPr>
            <w:tcW w:w="320" w:type="dxa"/>
            <w:vAlign w:val="bottom"/>
            <w:tcBorders>
              <w:bottom w:val="single" w:sz="8" w:color="auto"/>
              <w:right w:val="single" w:sz="8" w:color="auto"/>
            </w:tcBorders>
          </w:tcPr>
          <w:p>
            <w:pPr>
              <w:spacing w:after="0"/>
              <w:rPr>
                <w:sz w:val="13"/>
                <w:szCs w:val="13"/>
                <w:color w:val="auto"/>
              </w:rPr>
            </w:pPr>
          </w:p>
        </w:tc>
        <w:tc>
          <w:tcPr>
            <w:tcW w:w="320" w:type="dxa"/>
            <w:vAlign w:val="bottom"/>
            <w:tcBorders>
              <w:bottom w:val="single" w:sz="8" w:color="auto"/>
              <w:right w:val="single" w:sz="8" w:color="auto"/>
            </w:tcBorders>
          </w:tcPr>
          <w:p>
            <w:pPr>
              <w:spacing w:after="0"/>
              <w:rPr>
                <w:sz w:val="13"/>
                <w:szCs w:val="13"/>
                <w:color w:val="auto"/>
              </w:rPr>
            </w:pPr>
          </w:p>
        </w:tc>
        <w:tc>
          <w:tcPr>
            <w:tcW w:w="300" w:type="dxa"/>
            <w:vAlign w:val="bottom"/>
            <w:tcBorders>
              <w:bottom w:val="single" w:sz="8" w:color="auto"/>
              <w:right w:val="single" w:sz="8" w:color="auto"/>
            </w:tcBorders>
          </w:tcPr>
          <w:p>
            <w:pPr>
              <w:spacing w:after="0"/>
              <w:rPr>
                <w:sz w:val="13"/>
                <w:szCs w:val="13"/>
                <w:color w:val="auto"/>
              </w:rPr>
            </w:pPr>
          </w:p>
        </w:tc>
        <w:tc>
          <w:tcPr>
            <w:tcW w:w="320" w:type="dxa"/>
            <w:vAlign w:val="bottom"/>
            <w:tcBorders>
              <w:bottom w:val="single" w:sz="8" w:color="auto"/>
              <w:right w:val="single" w:sz="8" w:color="auto"/>
            </w:tcBorders>
          </w:tcPr>
          <w:p>
            <w:pPr>
              <w:spacing w:after="0"/>
              <w:rPr>
                <w:sz w:val="13"/>
                <w:szCs w:val="13"/>
                <w:color w:val="auto"/>
              </w:rPr>
            </w:pPr>
          </w:p>
        </w:tc>
        <w:tc>
          <w:tcPr>
            <w:tcW w:w="300" w:type="dxa"/>
            <w:vAlign w:val="bottom"/>
            <w:tcBorders>
              <w:bottom w:val="single" w:sz="8" w:color="auto"/>
              <w:right w:val="single" w:sz="8" w:color="auto"/>
            </w:tcBorders>
          </w:tcPr>
          <w:p>
            <w:pPr>
              <w:spacing w:after="0"/>
              <w:rPr>
                <w:sz w:val="13"/>
                <w:szCs w:val="13"/>
                <w:color w:val="auto"/>
              </w:rPr>
            </w:pPr>
          </w:p>
        </w:tc>
        <w:tc>
          <w:tcPr>
            <w:tcW w:w="320" w:type="dxa"/>
            <w:vAlign w:val="bottom"/>
            <w:tcBorders>
              <w:bottom w:val="single" w:sz="8" w:color="auto"/>
              <w:right w:val="single" w:sz="8" w:color="auto"/>
            </w:tcBorders>
          </w:tcPr>
          <w:p>
            <w:pPr>
              <w:spacing w:after="0"/>
              <w:rPr>
                <w:sz w:val="13"/>
                <w:szCs w:val="13"/>
                <w:color w:val="auto"/>
              </w:rPr>
            </w:pPr>
          </w:p>
        </w:tc>
        <w:tc>
          <w:tcPr>
            <w:tcW w:w="320" w:type="dxa"/>
            <w:vAlign w:val="bottom"/>
            <w:tcBorders>
              <w:bottom w:val="single" w:sz="8" w:color="auto"/>
              <w:right w:val="single" w:sz="8" w:color="auto"/>
            </w:tcBorders>
          </w:tcPr>
          <w:p>
            <w:pPr>
              <w:spacing w:after="0"/>
              <w:rPr>
                <w:sz w:val="13"/>
                <w:szCs w:val="13"/>
                <w:color w:val="auto"/>
              </w:rPr>
            </w:pPr>
          </w:p>
        </w:tc>
        <w:tc>
          <w:tcPr>
            <w:tcW w:w="32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0" w:type="dxa"/>
            <w:vAlign w:val="bottom"/>
            <w:tcBorders>
              <w:left w:val="single" w:sz="8" w:color="auto"/>
              <w:bottom w:val="single" w:sz="8" w:color="auto"/>
            </w:tcBorders>
          </w:tcPr>
          <w:p>
            <w:pPr>
              <w:spacing w:after="0"/>
              <w:rPr>
                <w:sz w:val="15"/>
                <w:szCs w:val="15"/>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Marketing and Sales</w:t>
            </w:r>
          </w:p>
        </w:tc>
        <w:tc>
          <w:tcPr>
            <w:tcW w:w="320" w:type="dxa"/>
            <w:vAlign w:val="bottom"/>
            <w:tcBorders>
              <w:bottom w:val="single" w:sz="8" w:color="auto"/>
              <w:right w:val="single" w:sz="8" w:color="auto"/>
            </w:tcBorders>
          </w:tcPr>
          <w:p>
            <w:pPr>
              <w:jc w:val="right"/>
              <w:ind w:right="61"/>
              <w:spacing w:after="0" w:line="121" w:lineRule="exact"/>
              <w:rPr>
                <w:sz w:val="20"/>
                <w:szCs w:val="20"/>
                <w:color w:val="auto"/>
              </w:rPr>
            </w:pPr>
            <w:r>
              <w:rPr>
                <w:rFonts w:ascii="MS PGothic" w:cs="MS PGothic" w:eastAsia="MS PGothic" w:hAnsi="MS PGothic"/>
                <w:sz w:val="12"/>
                <w:szCs w:val="12"/>
                <w:color w:val="auto"/>
              </w:rPr>
              <w:t>✔</w:t>
            </w:r>
          </w:p>
        </w:tc>
        <w:tc>
          <w:tcPr>
            <w:tcW w:w="320" w:type="dxa"/>
            <w:vAlign w:val="bottom"/>
            <w:tcBorders>
              <w:bottom w:val="single" w:sz="8" w:color="auto"/>
              <w:right w:val="single" w:sz="8" w:color="auto"/>
            </w:tcBorders>
          </w:tcPr>
          <w:p>
            <w:pPr>
              <w:jc w:val="right"/>
              <w:ind w:right="61"/>
              <w:spacing w:after="0" w:line="121" w:lineRule="exact"/>
              <w:rPr>
                <w:sz w:val="20"/>
                <w:szCs w:val="20"/>
                <w:color w:val="auto"/>
              </w:rPr>
            </w:pPr>
            <w:r>
              <w:rPr>
                <w:rFonts w:ascii="MS PGothic" w:cs="MS PGothic" w:eastAsia="MS PGothic" w:hAnsi="MS PGothic"/>
                <w:sz w:val="12"/>
                <w:szCs w:val="12"/>
                <w:color w:val="auto"/>
              </w:rPr>
              <w:t>✔</w:t>
            </w:r>
          </w:p>
        </w:tc>
        <w:tc>
          <w:tcPr>
            <w:tcW w:w="320" w:type="dxa"/>
            <w:vAlign w:val="bottom"/>
            <w:tcBorders>
              <w:bottom w:val="single" w:sz="8" w:color="auto"/>
              <w:right w:val="single" w:sz="8" w:color="auto"/>
            </w:tcBorders>
          </w:tcPr>
          <w:p>
            <w:pPr>
              <w:jc w:val="right"/>
              <w:ind w:right="61"/>
              <w:spacing w:after="0" w:line="121" w:lineRule="exact"/>
              <w:rPr>
                <w:sz w:val="20"/>
                <w:szCs w:val="20"/>
                <w:color w:val="auto"/>
              </w:rPr>
            </w:pPr>
            <w:r>
              <w:rPr>
                <w:rFonts w:ascii="MS PGothic" w:cs="MS PGothic" w:eastAsia="MS PGothic" w:hAnsi="MS PGothic"/>
                <w:sz w:val="12"/>
                <w:szCs w:val="12"/>
                <w:color w:val="auto"/>
              </w:rPr>
              <w:t>✔</w:t>
            </w:r>
          </w:p>
        </w:tc>
        <w:tc>
          <w:tcPr>
            <w:tcW w:w="300" w:type="dxa"/>
            <w:vAlign w:val="bottom"/>
            <w:tcBorders>
              <w:bottom w:val="single" w:sz="8" w:color="auto"/>
              <w:right w:val="single" w:sz="8" w:color="auto"/>
            </w:tcBorders>
          </w:tcPr>
          <w:p>
            <w:pPr>
              <w:spacing w:after="0"/>
              <w:rPr>
                <w:sz w:val="15"/>
                <w:szCs w:val="15"/>
                <w:color w:val="auto"/>
              </w:rPr>
            </w:pPr>
          </w:p>
        </w:tc>
        <w:tc>
          <w:tcPr>
            <w:tcW w:w="320" w:type="dxa"/>
            <w:vAlign w:val="bottom"/>
            <w:tcBorders>
              <w:bottom w:val="single" w:sz="8" w:color="auto"/>
              <w:right w:val="single" w:sz="8" w:color="auto"/>
            </w:tcBorders>
          </w:tcPr>
          <w:p>
            <w:pPr>
              <w:jc w:val="right"/>
              <w:ind w:right="61"/>
              <w:spacing w:after="0" w:line="121" w:lineRule="exact"/>
              <w:rPr>
                <w:sz w:val="20"/>
                <w:szCs w:val="20"/>
                <w:color w:val="auto"/>
              </w:rPr>
            </w:pPr>
            <w:r>
              <w:rPr>
                <w:rFonts w:ascii="MS PGothic" w:cs="MS PGothic" w:eastAsia="MS PGothic" w:hAnsi="MS PGothic"/>
                <w:sz w:val="12"/>
                <w:szCs w:val="12"/>
                <w:color w:val="auto"/>
              </w:rPr>
              <w:t>✔</w:t>
            </w:r>
          </w:p>
        </w:tc>
        <w:tc>
          <w:tcPr>
            <w:tcW w:w="300" w:type="dxa"/>
            <w:vAlign w:val="bottom"/>
            <w:tcBorders>
              <w:bottom w:val="single" w:sz="8" w:color="auto"/>
              <w:right w:val="single" w:sz="8" w:color="auto"/>
            </w:tcBorders>
          </w:tcPr>
          <w:p>
            <w:pPr>
              <w:spacing w:after="0"/>
              <w:rPr>
                <w:sz w:val="15"/>
                <w:szCs w:val="15"/>
                <w:color w:val="auto"/>
              </w:rPr>
            </w:pPr>
          </w:p>
        </w:tc>
        <w:tc>
          <w:tcPr>
            <w:tcW w:w="320" w:type="dxa"/>
            <w:vAlign w:val="bottom"/>
            <w:tcBorders>
              <w:bottom w:val="single" w:sz="8" w:color="auto"/>
              <w:right w:val="single" w:sz="8" w:color="auto"/>
            </w:tcBorders>
          </w:tcPr>
          <w:p>
            <w:pPr>
              <w:jc w:val="right"/>
              <w:ind w:right="81"/>
              <w:spacing w:after="0" w:line="121" w:lineRule="exact"/>
              <w:rPr>
                <w:sz w:val="20"/>
                <w:szCs w:val="20"/>
                <w:color w:val="auto"/>
              </w:rPr>
            </w:pPr>
            <w:r>
              <w:rPr>
                <w:rFonts w:ascii="MS PGothic" w:cs="MS PGothic" w:eastAsia="MS PGothic" w:hAnsi="MS PGothic"/>
                <w:sz w:val="12"/>
                <w:szCs w:val="12"/>
                <w:color w:val="auto"/>
              </w:rPr>
              <w:t>✔</w:t>
            </w:r>
          </w:p>
        </w:tc>
        <w:tc>
          <w:tcPr>
            <w:tcW w:w="320" w:type="dxa"/>
            <w:vAlign w:val="bottom"/>
            <w:tcBorders>
              <w:bottom w:val="single" w:sz="8" w:color="auto"/>
              <w:right w:val="single" w:sz="8" w:color="auto"/>
            </w:tcBorders>
          </w:tcPr>
          <w:p>
            <w:pPr>
              <w:jc w:val="right"/>
              <w:ind w:right="81"/>
              <w:spacing w:after="0" w:line="121" w:lineRule="exact"/>
              <w:rPr>
                <w:sz w:val="20"/>
                <w:szCs w:val="20"/>
                <w:color w:val="auto"/>
              </w:rPr>
            </w:pPr>
            <w:r>
              <w:rPr>
                <w:rFonts w:ascii="MS PGothic" w:cs="MS PGothic" w:eastAsia="MS PGothic" w:hAnsi="MS PGothic"/>
                <w:sz w:val="12"/>
                <w:szCs w:val="12"/>
                <w:color w:val="auto"/>
              </w:rPr>
              <w:t>✔</w:t>
            </w:r>
          </w:p>
        </w:tc>
        <w:tc>
          <w:tcPr>
            <w:tcW w:w="320" w:type="dxa"/>
            <w:vAlign w:val="bottom"/>
            <w:tcBorders>
              <w:bottom w:val="single" w:sz="8" w:color="auto"/>
              <w:right w:val="single" w:sz="8" w:color="auto"/>
            </w:tcBorders>
          </w:tcPr>
          <w:p>
            <w:pPr>
              <w:jc w:val="right"/>
              <w:ind w:right="81"/>
              <w:spacing w:after="0" w:line="121" w:lineRule="exact"/>
              <w:rPr>
                <w:sz w:val="20"/>
                <w:szCs w:val="20"/>
                <w:color w:val="auto"/>
              </w:rPr>
            </w:pPr>
            <w:r>
              <w:rPr>
                <w:rFonts w:ascii="MS PGothic" w:cs="MS PGothic" w:eastAsia="MS PGothic" w:hAnsi="MS PGothic"/>
                <w:sz w:val="12"/>
                <w:szCs w:val="12"/>
                <w:color w:val="auto"/>
              </w:rPr>
              <w:t>✔</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7</w:t>
            </w:r>
          </w:p>
        </w:tc>
        <w:tc>
          <w:tcPr>
            <w:tcW w:w="0" w:type="dxa"/>
            <w:vAlign w:val="bottom"/>
          </w:tcPr>
          <w:p>
            <w:pPr>
              <w:spacing w:after="0"/>
              <w:rPr>
                <w:sz w:val="1"/>
                <w:szCs w:val="1"/>
                <w:color w:val="auto"/>
              </w:rPr>
            </w:pPr>
          </w:p>
        </w:tc>
      </w:tr>
      <w:tr>
        <w:trPr>
          <w:trHeight w:val="169"/>
        </w:trPr>
        <w:tc>
          <w:tcPr>
            <w:tcW w:w="60" w:type="dxa"/>
            <w:vAlign w:val="bottom"/>
            <w:tcBorders>
              <w:left w:val="single" w:sz="8" w:color="auto"/>
              <w:bottom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Strategy Deployment / M&amp;A</w:t>
            </w:r>
          </w:p>
        </w:tc>
        <w:tc>
          <w:tcPr>
            <w:tcW w:w="320" w:type="dxa"/>
            <w:vAlign w:val="bottom"/>
            <w:tcBorders>
              <w:bottom w:val="single" w:sz="8" w:color="auto"/>
              <w:right w:val="single" w:sz="8" w:color="auto"/>
            </w:tcBorders>
          </w:tcPr>
          <w:p>
            <w:pPr>
              <w:jc w:val="right"/>
              <w:ind w:right="61"/>
              <w:spacing w:after="0" w:line="121" w:lineRule="exact"/>
              <w:rPr>
                <w:sz w:val="20"/>
                <w:szCs w:val="20"/>
                <w:color w:val="auto"/>
              </w:rPr>
            </w:pPr>
            <w:r>
              <w:rPr>
                <w:rFonts w:ascii="MS PGothic" w:cs="MS PGothic" w:eastAsia="MS PGothic" w:hAnsi="MS PGothic"/>
                <w:sz w:val="12"/>
                <w:szCs w:val="12"/>
                <w:color w:val="auto"/>
              </w:rPr>
              <w:t>✔</w:t>
            </w:r>
          </w:p>
        </w:tc>
        <w:tc>
          <w:tcPr>
            <w:tcW w:w="320" w:type="dxa"/>
            <w:vAlign w:val="bottom"/>
            <w:tcBorders>
              <w:bottom w:val="single" w:sz="8" w:color="auto"/>
              <w:right w:val="single" w:sz="8" w:color="auto"/>
            </w:tcBorders>
          </w:tcPr>
          <w:p>
            <w:pPr>
              <w:jc w:val="right"/>
              <w:ind w:right="61"/>
              <w:spacing w:after="0" w:line="121" w:lineRule="exact"/>
              <w:rPr>
                <w:sz w:val="20"/>
                <w:szCs w:val="20"/>
                <w:color w:val="auto"/>
              </w:rPr>
            </w:pPr>
            <w:r>
              <w:rPr>
                <w:rFonts w:ascii="MS PGothic" w:cs="MS PGothic" w:eastAsia="MS PGothic" w:hAnsi="MS PGothic"/>
                <w:sz w:val="12"/>
                <w:szCs w:val="12"/>
                <w:color w:val="auto"/>
              </w:rPr>
              <w:t>✔</w:t>
            </w:r>
          </w:p>
        </w:tc>
        <w:tc>
          <w:tcPr>
            <w:tcW w:w="320" w:type="dxa"/>
            <w:vAlign w:val="bottom"/>
            <w:tcBorders>
              <w:bottom w:val="single" w:sz="8" w:color="auto"/>
              <w:right w:val="single" w:sz="8" w:color="auto"/>
            </w:tcBorders>
          </w:tcPr>
          <w:p>
            <w:pPr>
              <w:jc w:val="right"/>
              <w:ind w:right="61"/>
              <w:spacing w:after="0" w:line="121" w:lineRule="exact"/>
              <w:rPr>
                <w:sz w:val="20"/>
                <w:szCs w:val="20"/>
                <w:color w:val="auto"/>
              </w:rPr>
            </w:pPr>
            <w:r>
              <w:rPr>
                <w:rFonts w:ascii="MS PGothic" w:cs="MS PGothic" w:eastAsia="MS PGothic" w:hAnsi="MS PGothic"/>
                <w:sz w:val="12"/>
                <w:szCs w:val="12"/>
                <w:color w:val="auto"/>
              </w:rPr>
              <w:t>✔</w:t>
            </w:r>
          </w:p>
        </w:tc>
        <w:tc>
          <w:tcPr>
            <w:tcW w:w="300" w:type="dxa"/>
            <w:vAlign w:val="bottom"/>
            <w:tcBorders>
              <w:bottom w:val="single" w:sz="8" w:color="auto"/>
              <w:right w:val="single" w:sz="8" w:color="auto"/>
            </w:tcBorders>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320" w:type="dxa"/>
            <w:vAlign w:val="bottom"/>
            <w:tcBorders>
              <w:bottom w:val="single" w:sz="8" w:color="auto"/>
              <w:right w:val="single" w:sz="8" w:color="auto"/>
            </w:tcBorders>
          </w:tcPr>
          <w:p>
            <w:pPr>
              <w:jc w:val="right"/>
              <w:ind w:right="61"/>
              <w:spacing w:after="0" w:line="121" w:lineRule="exact"/>
              <w:rPr>
                <w:sz w:val="20"/>
                <w:szCs w:val="20"/>
                <w:color w:val="auto"/>
              </w:rPr>
            </w:pPr>
            <w:r>
              <w:rPr>
                <w:rFonts w:ascii="MS PGothic" w:cs="MS PGothic" w:eastAsia="MS PGothic" w:hAnsi="MS PGothic"/>
                <w:sz w:val="12"/>
                <w:szCs w:val="12"/>
                <w:color w:val="auto"/>
              </w:rPr>
              <w:t>✔</w:t>
            </w:r>
          </w:p>
        </w:tc>
        <w:tc>
          <w:tcPr>
            <w:tcW w:w="300" w:type="dxa"/>
            <w:vAlign w:val="bottom"/>
            <w:tcBorders>
              <w:bottom w:val="single" w:sz="8" w:color="auto"/>
              <w:right w:val="single" w:sz="8" w:color="auto"/>
            </w:tcBorders>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320" w:type="dxa"/>
            <w:vAlign w:val="bottom"/>
            <w:tcBorders>
              <w:bottom w:val="single" w:sz="8" w:color="auto"/>
              <w:right w:val="single" w:sz="8" w:color="auto"/>
            </w:tcBorders>
          </w:tcPr>
          <w:p>
            <w:pPr>
              <w:jc w:val="right"/>
              <w:ind w:right="81"/>
              <w:spacing w:after="0" w:line="121" w:lineRule="exact"/>
              <w:rPr>
                <w:sz w:val="20"/>
                <w:szCs w:val="20"/>
                <w:color w:val="auto"/>
              </w:rPr>
            </w:pPr>
            <w:r>
              <w:rPr>
                <w:rFonts w:ascii="MS PGothic" w:cs="MS PGothic" w:eastAsia="MS PGothic" w:hAnsi="MS PGothic"/>
                <w:sz w:val="12"/>
                <w:szCs w:val="12"/>
                <w:color w:val="auto"/>
              </w:rPr>
              <w:t>✔</w:t>
            </w:r>
          </w:p>
        </w:tc>
        <w:tc>
          <w:tcPr>
            <w:tcW w:w="320" w:type="dxa"/>
            <w:vAlign w:val="bottom"/>
            <w:tcBorders>
              <w:bottom w:val="single" w:sz="8" w:color="auto"/>
              <w:right w:val="single" w:sz="8" w:color="auto"/>
            </w:tcBorders>
          </w:tcPr>
          <w:p>
            <w:pPr>
              <w:jc w:val="right"/>
              <w:ind w:right="81"/>
              <w:spacing w:after="0" w:line="121" w:lineRule="exact"/>
              <w:rPr>
                <w:sz w:val="20"/>
                <w:szCs w:val="20"/>
                <w:color w:val="auto"/>
              </w:rPr>
            </w:pPr>
            <w:r>
              <w:rPr>
                <w:rFonts w:ascii="MS PGothic" w:cs="MS PGothic" w:eastAsia="MS PGothic" w:hAnsi="MS PGothic"/>
                <w:sz w:val="12"/>
                <w:szCs w:val="12"/>
                <w:color w:val="auto"/>
              </w:rPr>
              <w:t>✔</w:t>
            </w:r>
          </w:p>
        </w:tc>
        <w:tc>
          <w:tcPr>
            <w:tcW w:w="320" w:type="dxa"/>
            <w:vAlign w:val="bottom"/>
            <w:tcBorders>
              <w:bottom w:val="single" w:sz="8" w:color="auto"/>
              <w:right w:val="single" w:sz="8" w:color="auto"/>
            </w:tcBorders>
          </w:tcPr>
          <w:p>
            <w:pPr>
              <w:jc w:val="right"/>
              <w:ind w:right="81"/>
              <w:spacing w:after="0" w:line="121" w:lineRule="exact"/>
              <w:rPr>
                <w:sz w:val="20"/>
                <w:szCs w:val="20"/>
                <w:color w:val="auto"/>
              </w:rPr>
            </w:pPr>
            <w:r>
              <w:rPr>
                <w:rFonts w:ascii="MS PGothic" w:cs="MS PGothic" w:eastAsia="MS PGothic" w:hAnsi="MS PGothic"/>
                <w:sz w:val="12"/>
                <w:szCs w:val="12"/>
                <w:color w:val="auto"/>
              </w:rPr>
              <w:t>✔</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9</w:t>
            </w:r>
          </w:p>
        </w:tc>
        <w:tc>
          <w:tcPr>
            <w:tcW w:w="0" w:type="dxa"/>
            <w:vAlign w:val="bottom"/>
          </w:tcPr>
          <w:p>
            <w:pPr>
              <w:spacing w:after="0"/>
              <w:rPr>
                <w:sz w:val="1"/>
                <w:szCs w:val="1"/>
                <w:color w:val="auto"/>
              </w:rPr>
            </w:pPr>
          </w:p>
        </w:tc>
      </w:tr>
      <w:tr>
        <w:trPr>
          <w:trHeight w:val="169"/>
        </w:trPr>
        <w:tc>
          <w:tcPr>
            <w:tcW w:w="60" w:type="dxa"/>
            <w:vAlign w:val="bottom"/>
            <w:tcBorders>
              <w:left w:val="single" w:sz="8" w:color="auto"/>
              <w:bottom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Talent Development and Succession Planning</w:t>
            </w:r>
          </w:p>
        </w:tc>
        <w:tc>
          <w:tcPr>
            <w:tcW w:w="320" w:type="dxa"/>
            <w:vAlign w:val="bottom"/>
            <w:tcBorders>
              <w:bottom w:val="single" w:sz="8" w:color="auto"/>
              <w:right w:val="single" w:sz="8" w:color="auto"/>
            </w:tcBorders>
          </w:tcPr>
          <w:p>
            <w:pPr>
              <w:jc w:val="right"/>
              <w:ind w:right="61"/>
              <w:spacing w:after="0" w:line="121" w:lineRule="exact"/>
              <w:rPr>
                <w:sz w:val="20"/>
                <w:szCs w:val="20"/>
                <w:color w:val="auto"/>
              </w:rPr>
            </w:pPr>
            <w:r>
              <w:rPr>
                <w:rFonts w:ascii="MS PGothic" w:cs="MS PGothic" w:eastAsia="MS PGothic" w:hAnsi="MS PGothic"/>
                <w:sz w:val="12"/>
                <w:szCs w:val="12"/>
                <w:color w:val="auto"/>
              </w:rPr>
              <w:t>✔</w:t>
            </w:r>
          </w:p>
        </w:tc>
        <w:tc>
          <w:tcPr>
            <w:tcW w:w="320" w:type="dxa"/>
            <w:vAlign w:val="bottom"/>
            <w:tcBorders>
              <w:bottom w:val="single" w:sz="8" w:color="auto"/>
              <w:right w:val="single" w:sz="8" w:color="auto"/>
            </w:tcBorders>
          </w:tcPr>
          <w:p>
            <w:pPr>
              <w:jc w:val="right"/>
              <w:ind w:right="61"/>
              <w:spacing w:after="0" w:line="121" w:lineRule="exact"/>
              <w:rPr>
                <w:sz w:val="20"/>
                <w:szCs w:val="20"/>
                <w:color w:val="auto"/>
              </w:rPr>
            </w:pPr>
            <w:r>
              <w:rPr>
                <w:rFonts w:ascii="MS PGothic" w:cs="MS PGothic" w:eastAsia="MS PGothic" w:hAnsi="MS PGothic"/>
                <w:sz w:val="12"/>
                <w:szCs w:val="12"/>
                <w:color w:val="auto"/>
              </w:rPr>
              <w:t>✔</w:t>
            </w:r>
          </w:p>
        </w:tc>
        <w:tc>
          <w:tcPr>
            <w:tcW w:w="320" w:type="dxa"/>
            <w:vAlign w:val="bottom"/>
            <w:tcBorders>
              <w:bottom w:val="single" w:sz="8" w:color="auto"/>
              <w:right w:val="single" w:sz="8" w:color="auto"/>
            </w:tcBorders>
          </w:tcPr>
          <w:p>
            <w:pPr>
              <w:jc w:val="right"/>
              <w:ind w:right="61"/>
              <w:spacing w:after="0" w:line="121" w:lineRule="exact"/>
              <w:rPr>
                <w:sz w:val="20"/>
                <w:szCs w:val="20"/>
                <w:color w:val="auto"/>
              </w:rPr>
            </w:pPr>
            <w:r>
              <w:rPr>
                <w:rFonts w:ascii="MS PGothic" w:cs="MS PGothic" w:eastAsia="MS PGothic" w:hAnsi="MS PGothic"/>
                <w:sz w:val="12"/>
                <w:szCs w:val="12"/>
                <w:color w:val="auto"/>
              </w:rPr>
              <w:t>✔</w:t>
            </w:r>
          </w:p>
        </w:tc>
        <w:tc>
          <w:tcPr>
            <w:tcW w:w="300" w:type="dxa"/>
            <w:vAlign w:val="bottom"/>
            <w:tcBorders>
              <w:bottom w:val="single" w:sz="8" w:color="auto"/>
              <w:right w:val="single" w:sz="8" w:color="auto"/>
            </w:tcBorders>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320" w:type="dxa"/>
            <w:vAlign w:val="bottom"/>
            <w:tcBorders>
              <w:bottom w:val="single" w:sz="8" w:color="auto"/>
              <w:right w:val="single" w:sz="8" w:color="auto"/>
            </w:tcBorders>
          </w:tcPr>
          <w:p>
            <w:pPr>
              <w:jc w:val="right"/>
              <w:ind w:right="61"/>
              <w:spacing w:after="0" w:line="121" w:lineRule="exact"/>
              <w:rPr>
                <w:sz w:val="20"/>
                <w:szCs w:val="20"/>
                <w:color w:val="auto"/>
              </w:rPr>
            </w:pPr>
            <w:r>
              <w:rPr>
                <w:rFonts w:ascii="MS PGothic" w:cs="MS PGothic" w:eastAsia="MS PGothic" w:hAnsi="MS PGothic"/>
                <w:sz w:val="12"/>
                <w:szCs w:val="12"/>
                <w:color w:val="auto"/>
              </w:rPr>
              <w:t>✔</w:t>
            </w:r>
          </w:p>
        </w:tc>
        <w:tc>
          <w:tcPr>
            <w:tcW w:w="30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right"/>
              <w:ind w:right="81"/>
              <w:spacing w:after="0" w:line="121" w:lineRule="exact"/>
              <w:rPr>
                <w:sz w:val="20"/>
                <w:szCs w:val="20"/>
                <w:color w:val="auto"/>
              </w:rPr>
            </w:pPr>
            <w:r>
              <w:rPr>
                <w:rFonts w:ascii="MS PGothic" w:cs="MS PGothic" w:eastAsia="MS PGothic" w:hAnsi="MS PGothic"/>
                <w:sz w:val="12"/>
                <w:szCs w:val="12"/>
                <w:color w:val="auto"/>
              </w:rPr>
              <w:t>✔</w:t>
            </w:r>
          </w:p>
        </w:tc>
        <w:tc>
          <w:tcPr>
            <w:tcW w:w="32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right"/>
              <w:ind w:right="81"/>
              <w:spacing w:after="0" w:line="121" w:lineRule="exact"/>
              <w:rPr>
                <w:sz w:val="20"/>
                <w:szCs w:val="20"/>
                <w:color w:val="auto"/>
              </w:rPr>
            </w:pPr>
            <w:r>
              <w:rPr>
                <w:rFonts w:ascii="MS PGothic" w:cs="MS PGothic" w:eastAsia="MS PGothic" w:hAnsi="MS PGothic"/>
                <w:sz w:val="12"/>
                <w:szCs w:val="12"/>
                <w:color w:val="auto"/>
              </w:rPr>
              <w:t>✔</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7</w:t>
            </w:r>
          </w:p>
        </w:tc>
        <w:tc>
          <w:tcPr>
            <w:tcW w:w="0" w:type="dxa"/>
            <w:vAlign w:val="bottom"/>
          </w:tcPr>
          <w:p>
            <w:pPr>
              <w:spacing w:after="0"/>
              <w:rPr>
                <w:sz w:val="1"/>
                <w:szCs w:val="1"/>
                <w:color w:val="auto"/>
              </w:rPr>
            </w:pPr>
          </w:p>
        </w:tc>
      </w:tr>
      <w:tr>
        <w:trPr>
          <w:trHeight w:val="169"/>
        </w:trPr>
        <w:tc>
          <w:tcPr>
            <w:tcW w:w="60" w:type="dxa"/>
            <w:vAlign w:val="bottom"/>
            <w:tcBorders>
              <w:left w:val="single" w:sz="8" w:color="auto"/>
              <w:bottom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IT and Business Transformation</w:t>
            </w:r>
          </w:p>
        </w:tc>
        <w:tc>
          <w:tcPr>
            <w:tcW w:w="32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right"/>
              <w:ind w:right="61"/>
              <w:spacing w:after="0" w:line="121" w:lineRule="exact"/>
              <w:rPr>
                <w:sz w:val="20"/>
                <w:szCs w:val="20"/>
                <w:color w:val="auto"/>
              </w:rPr>
            </w:pPr>
            <w:r>
              <w:rPr>
                <w:rFonts w:ascii="MS PGothic" w:cs="MS PGothic" w:eastAsia="MS PGothic" w:hAnsi="MS PGothic"/>
                <w:sz w:val="12"/>
                <w:szCs w:val="12"/>
                <w:color w:val="auto"/>
              </w:rPr>
              <w:t>✔</w:t>
            </w:r>
          </w:p>
        </w:tc>
        <w:tc>
          <w:tcPr>
            <w:tcW w:w="32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320" w:type="dxa"/>
            <w:vAlign w:val="bottom"/>
            <w:tcBorders>
              <w:bottom w:val="single" w:sz="8" w:color="auto"/>
              <w:right w:val="single" w:sz="8" w:color="auto"/>
            </w:tcBorders>
          </w:tcPr>
          <w:p>
            <w:pPr>
              <w:jc w:val="right"/>
              <w:ind w:right="61"/>
              <w:spacing w:after="0" w:line="121" w:lineRule="exact"/>
              <w:rPr>
                <w:sz w:val="20"/>
                <w:szCs w:val="20"/>
                <w:color w:val="auto"/>
              </w:rPr>
            </w:pPr>
            <w:r>
              <w:rPr>
                <w:rFonts w:ascii="MS PGothic" w:cs="MS PGothic" w:eastAsia="MS PGothic" w:hAnsi="MS PGothic"/>
                <w:sz w:val="12"/>
                <w:szCs w:val="12"/>
                <w:color w:val="auto"/>
              </w:rPr>
              <w:t>✔</w:t>
            </w:r>
          </w:p>
        </w:tc>
        <w:tc>
          <w:tcPr>
            <w:tcW w:w="30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right"/>
              <w:ind w:right="81"/>
              <w:spacing w:after="0" w:line="121" w:lineRule="exact"/>
              <w:rPr>
                <w:sz w:val="20"/>
                <w:szCs w:val="20"/>
                <w:color w:val="auto"/>
              </w:rPr>
            </w:pPr>
            <w:r>
              <w:rPr>
                <w:rFonts w:ascii="MS PGothic" w:cs="MS PGothic" w:eastAsia="MS PGothic" w:hAnsi="MS PGothic"/>
                <w:sz w:val="12"/>
                <w:szCs w:val="12"/>
                <w:color w:val="auto"/>
              </w:rPr>
              <w:t>✔</w:t>
            </w:r>
          </w:p>
        </w:tc>
        <w:tc>
          <w:tcPr>
            <w:tcW w:w="320" w:type="dxa"/>
            <w:vAlign w:val="bottom"/>
            <w:tcBorders>
              <w:bottom w:val="single" w:sz="8" w:color="auto"/>
              <w:right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4</w:t>
            </w:r>
          </w:p>
        </w:tc>
        <w:tc>
          <w:tcPr>
            <w:tcW w:w="0" w:type="dxa"/>
            <w:vAlign w:val="bottom"/>
          </w:tcPr>
          <w:p>
            <w:pPr>
              <w:spacing w:after="0"/>
              <w:rPr>
                <w:sz w:val="1"/>
                <w:szCs w:val="1"/>
                <w:color w:val="auto"/>
              </w:rPr>
            </w:pPr>
          </w:p>
        </w:tc>
      </w:tr>
      <w:tr>
        <w:trPr>
          <w:trHeight w:val="169"/>
        </w:trPr>
        <w:tc>
          <w:tcPr>
            <w:tcW w:w="60" w:type="dxa"/>
            <w:vAlign w:val="bottom"/>
            <w:tcBorders>
              <w:left w:val="single" w:sz="8" w:color="auto"/>
              <w:bottom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Finance and Treasury</w:t>
            </w:r>
          </w:p>
        </w:tc>
        <w:tc>
          <w:tcPr>
            <w:tcW w:w="320" w:type="dxa"/>
            <w:vAlign w:val="bottom"/>
            <w:tcBorders>
              <w:bottom w:val="single" w:sz="8" w:color="auto"/>
              <w:right w:val="single" w:sz="8" w:color="auto"/>
            </w:tcBorders>
          </w:tcPr>
          <w:p>
            <w:pPr>
              <w:jc w:val="right"/>
              <w:ind w:right="61"/>
              <w:spacing w:after="0" w:line="121" w:lineRule="exact"/>
              <w:rPr>
                <w:sz w:val="20"/>
                <w:szCs w:val="20"/>
                <w:color w:val="auto"/>
              </w:rPr>
            </w:pPr>
            <w:r>
              <w:rPr>
                <w:rFonts w:ascii="MS PGothic" w:cs="MS PGothic" w:eastAsia="MS PGothic" w:hAnsi="MS PGothic"/>
                <w:sz w:val="12"/>
                <w:szCs w:val="12"/>
                <w:color w:val="auto"/>
              </w:rPr>
              <w:t>✔</w:t>
            </w:r>
          </w:p>
        </w:tc>
        <w:tc>
          <w:tcPr>
            <w:tcW w:w="320" w:type="dxa"/>
            <w:vAlign w:val="bottom"/>
            <w:tcBorders>
              <w:bottom w:val="single" w:sz="8" w:color="auto"/>
              <w:right w:val="single" w:sz="8" w:color="auto"/>
            </w:tcBorders>
          </w:tcPr>
          <w:p>
            <w:pPr>
              <w:jc w:val="right"/>
              <w:ind w:right="61"/>
              <w:spacing w:after="0" w:line="121" w:lineRule="exact"/>
              <w:rPr>
                <w:sz w:val="20"/>
                <w:szCs w:val="20"/>
                <w:color w:val="auto"/>
              </w:rPr>
            </w:pPr>
            <w:r>
              <w:rPr>
                <w:rFonts w:ascii="MS PGothic" w:cs="MS PGothic" w:eastAsia="MS PGothic" w:hAnsi="MS PGothic"/>
                <w:sz w:val="12"/>
                <w:szCs w:val="12"/>
                <w:color w:val="auto"/>
              </w:rPr>
              <w:t>✔</w:t>
            </w:r>
          </w:p>
        </w:tc>
        <w:tc>
          <w:tcPr>
            <w:tcW w:w="32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32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320" w:type="dxa"/>
            <w:vAlign w:val="bottom"/>
            <w:tcBorders>
              <w:bottom w:val="single" w:sz="8" w:color="auto"/>
              <w:right w:val="single" w:sz="8" w:color="auto"/>
            </w:tcBorders>
          </w:tcPr>
          <w:p>
            <w:pPr>
              <w:jc w:val="right"/>
              <w:ind w:right="81"/>
              <w:spacing w:after="0" w:line="121" w:lineRule="exact"/>
              <w:rPr>
                <w:sz w:val="20"/>
                <w:szCs w:val="20"/>
                <w:color w:val="auto"/>
              </w:rPr>
            </w:pPr>
            <w:r>
              <w:rPr>
                <w:rFonts w:ascii="MS PGothic" w:cs="MS PGothic" w:eastAsia="MS PGothic" w:hAnsi="MS PGothic"/>
                <w:sz w:val="12"/>
                <w:szCs w:val="12"/>
                <w:color w:val="auto"/>
              </w:rPr>
              <w:t>✔</w:t>
            </w:r>
          </w:p>
        </w:tc>
        <w:tc>
          <w:tcPr>
            <w:tcW w:w="32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5</w:t>
            </w:r>
          </w:p>
        </w:tc>
        <w:tc>
          <w:tcPr>
            <w:tcW w:w="0" w:type="dxa"/>
            <w:vAlign w:val="bottom"/>
          </w:tcPr>
          <w:p>
            <w:pPr>
              <w:spacing w:after="0"/>
              <w:rPr>
                <w:sz w:val="1"/>
                <w:szCs w:val="1"/>
                <w:color w:val="auto"/>
              </w:rPr>
            </w:pPr>
          </w:p>
        </w:tc>
      </w:tr>
      <w:tr>
        <w:trPr>
          <w:trHeight w:val="169"/>
        </w:trPr>
        <w:tc>
          <w:tcPr>
            <w:tcW w:w="60" w:type="dxa"/>
            <w:vAlign w:val="bottom"/>
            <w:tcBorders>
              <w:left w:val="single" w:sz="8" w:color="auto"/>
              <w:bottom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Governance</w:t>
            </w:r>
          </w:p>
        </w:tc>
        <w:tc>
          <w:tcPr>
            <w:tcW w:w="320" w:type="dxa"/>
            <w:vAlign w:val="bottom"/>
            <w:tcBorders>
              <w:bottom w:val="single" w:sz="8" w:color="auto"/>
              <w:right w:val="single" w:sz="8" w:color="auto"/>
            </w:tcBorders>
          </w:tcPr>
          <w:p>
            <w:pPr>
              <w:jc w:val="right"/>
              <w:ind w:right="61"/>
              <w:spacing w:after="0" w:line="121" w:lineRule="exact"/>
              <w:rPr>
                <w:sz w:val="20"/>
                <w:szCs w:val="20"/>
                <w:color w:val="auto"/>
              </w:rPr>
            </w:pPr>
            <w:r>
              <w:rPr>
                <w:rFonts w:ascii="MS PGothic" w:cs="MS PGothic" w:eastAsia="MS PGothic" w:hAnsi="MS PGothic"/>
                <w:sz w:val="12"/>
                <w:szCs w:val="12"/>
                <w:color w:val="auto"/>
              </w:rPr>
              <w:t>✔</w:t>
            </w:r>
          </w:p>
        </w:tc>
        <w:tc>
          <w:tcPr>
            <w:tcW w:w="320" w:type="dxa"/>
            <w:vAlign w:val="bottom"/>
            <w:tcBorders>
              <w:bottom w:val="single" w:sz="8" w:color="auto"/>
              <w:right w:val="single" w:sz="8" w:color="auto"/>
            </w:tcBorders>
          </w:tcPr>
          <w:p>
            <w:pPr>
              <w:jc w:val="right"/>
              <w:ind w:right="61"/>
              <w:spacing w:after="0" w:line="121" w:lineRule="exact"/>
              <w:rPr>
                <w:sz w:val="20"/>
                <w:szCs w:val="20"/>
                <w:color w:val="auto"/>
              </w:rPr>
            </w:pPr>
            <w:r>
              <w:rPr>
                <w:rFonts w:ascii="MS PGothic" w:cs="MS PGothic" w:eastAsia="MS PGothic" w:hAnsi="MS PGothic"/>
                <w:sz w:val="12"/>
                <w:szCs w:val="12"/>
                <w:color w:val="auto"/>
              </w:rPr>
              <w:t>✔</w:t>
            </w:r>
          </w:p>
        </w:tc>
        <w:tc>
          <w:tcPr>
            <w:tcW w:w="320" w:type="dxa"/>
            <w:vAlign w:val="bottom"/>
            <w:tcBorders>
              <w:bottom w:val="single" w:sz="8" w:color="auto"/>
              <w:right w:val="single" w:sz="8" w:color="auto"/>
            </w:tcBorders>
          </w:tcPr>
          <w:p>
            <w:pPr>
              <w:jc w:val="right"/>
              <w:ind w:right="61"/>
              <w:spacing w:after="0" w:line="121" w:lineRule="exact"/>
              <w:rPr>
                <w:sz w:val="20"/>
                <w:szCs w:val="20"/>
                <w:color w:val="auto"/>
              </w:rPr>
            </w:pPr>
            <w:r>
              <w:rPr>
                <w:rFonts w:ascii="MS PGothic" w:cs="MS PGothic" w:eastAsia="MS PGothic" w:hAnsi="MS PGothic"/>
                <w:sz w:val="12"/>
                <w:szCs w:val="12"/>
                <w:color w:val="auto"/>
              </w:rPr>
              <w:t>✔</w:t>
            </w:r>
          </w:p>
        </w:tc>
        <w:tc>
          <w:tcPr>
            <w:tcW w:w="300" w:type="dxa"/>
            <w:vAlign w:val="bottom"/>
            <w:tcBorders>
              <w:bottom w:val="single" w:sz="8" w:color="auto"/>
              <w:right w:val="single" w:sz="8" w:color="auto"/>
            </w:tcBorders>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320" w:type="dxa"/>
            <w:vAlign w:val="bottom"/>
            <w:tcBorders>
              <w:bottom w:val="single" w:sz="8" w:color="auto"/>
              <w:right w:val="single" w:sz="8" w:color="auto"/>
            </w:tcBorders>
          </w:tcPr>
          <w:p>
            <w:pPr>
              <w:jc w:val="right"/>
              <w:ind w:right="61"/>
              <w:spacing w:after="0" w:line="121" w:lineRule="exact"/>
              <w:rPr>
                <w:sz w:val="20"/>
                <w:szCs w:val="20"/>
                <w:color w:val="auto"/>
              </w:rPr>
            </w:pPr>
            <w:r>
              <w:rPr>
                <w:rFonts w:ascii="MS PGothic" w:cs="MS PGothic" w:eastAsia="MS PGothic" w:hAnsi="MS PGothic"/>
                <w:sz w:val="12"/>
                <w:szCs w:val="12"/>
                <w:color w:val="auto"/>
              </w:rPr>
              <w:t>✔</w:t>
            </w:r>
          </w:p>
        </w:tc>
        <w:tc>
          <w:tcPr>
            <w:tcW w:w="300" w:type="dxa"/>
            <w:vAlign w:val="bottom"/>
            <w:tcBorders>
              <w:bottom w:val="single" w:sz="8" w:color="auto"/>
              <w:right w:val="single" w:sz="8" w:color="auto"/>
            </w:tcBorders>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320" w:type="dxa"/>
            <w:vAlign w:val="bottom"/>
            <w:tcBorders>
              <w:bottom w:val="single" w:sz="8" w:color="auto"/>
              <w:right w:val="single" w:sz="8" w:color="auto"/>
            </w:tcBorders>
          </w:tcPr>
          <w:p>
            <w:pPr>
              <w:jc w:val="right"/>
              <w:ind w:right="81"/>
              <w:spacing w:after="0" w:line="121" w:lineRule="exact"/>
              <w:rPr>
                <w:sz w:val="20"/>
                <w:szCs w:val="20"/>
                <w:color w:val="auto"/>
              </w:rPr>
            </w:pPr>
            <w:r>
              <w:rPr>
                <w:rFonts w:ascii="MS PGothic" w:cs="MS PGothic" w:eastAsia="MS PGothic" w:hAnsi="MS PGothic"/>
                <w:sz w:val="12"/>
                <w:szCs w:val="12"/>
                <w:color w:val="auto"/>
              </w:rPr>
              <w:t>✔</w:t>
            </w:r>
          </w:p>
        </w:tc>
        <w:tc>
          <w:tcPr>
            <w:tcW w:w="320" w:type="dxa"/>
            <w:vAlign w:val="bottom"/>
            <w:tcBorders>
              <w:bottom w:val="single" w:sz="8" w:color="auto"/>
              <w:right w:val="single" w:sz="8" w:color="auto"/>
            </w:tcBorders>
          </w:tcPr>
          <w:p>
            <w:pPr>
              <w:jc w:val="right"/>
              <w:ind w:right="81"/>
              <w:spacing w:after="0" w:line="121" w:lineRule="exact"/>
              <w:rPr>
                <w:sz w:val="20"/>
                <w:szCs w:val="20"/>
                <w:color w:val="auto"/>
              </w:rPr>
            </w:pPr>
            <w:r>
              <w:rPr>
                <w:rFonts w:ascii="MS PGothic" w:cs="MS PGothic" w:eastAsia="MS PGothic" w:hAnsi="MS PGothic"/>
                <w:sz w:val="12"/>
                <w:szCs w:val="12"/>
                <w:color w:val="auto"/>
              </w:rPr>
              <w:t>✔</w:t>
            </w:r>
          </w:p>
        </w:tc>
        <w:tc>
          <w:tcPr>
            <w:tcW w:w="320" w:type="dxa"/>
            <w:vAlign w:val="bottom"/>
            <w:tcBorders>
              <w:bottom w:val="single" w:sz="8" w:color="auto"/>
              <w:right w:val="single" w:sz="8" w:color="auto"/>
            </w:tcBorders>
          </w:tcPr>
          <w:p>
            <w:pPr>
              <w:jc w:val="right"/>
              <w:ind w:right="81"/>
              <w:spacing w:after="0" w:line="121" w:lineRule="exact"/>
              <w:rPr>
                <w:sz w:val="20"/>
                <w:szCs w:val="20"/>
                <w:color w:val="auto"/>
              </w:rPr>
            </w:pPr>
            <w:r>
              <w:rPr>
                <w:rFonts w:ascii="MS PGothic" w:cs="MS PGothic" w:eastAsia="MS PGothic" w:hAnsi="MS PGothic"/>
                <w:sz w:val="12"/>
                <w:szCs w:val="12"/>
                <w:color w:val="auto"/>
              </w:rPr>
              <w:t>✔</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9</w:t>
            </w:r>
          </w:p>
        </w:tc>
        <w:tc>
          <w:tcPr>
            <w:tcW w:w="0" w:type="dxa"/>
            <w:vAlign w:val="bottom"/>
          </w:tcPr>
          <w:p>
            <w:pPr>
              <w:spacing w:after="0"/>
              <w:rPr>
                <w:sz w:val="1"/>
                <w:szCs w:val="1"/>
                <w:color w:val="auto"/>
              </w:rPr>
            </w:pPr>
          </w:p>
        </w:tc>
      </w:tr>
      <w:tr>
        <w:trPr>
          <w:trHeight w:val="169"/>
        </w:trPr>
        <w:tc>
          <w:tcPr>
            <w:tcW w:w="60" w:type="dxa"/>
            <w:vAlign w:val="bottom"/>
            <w:tcBorders>
              <w:left w:val="single" w:sz="8" w:color="auto"/>
              <w:bottom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Environment and Social</w:t>
            </w:r>
          </w:p>
        </w:tc>
        <w:tc>
          <w:tcPr>
            <w:tcW w:w="320" w:type="dxa"/>
            <w:vAlign w:val="bottom"/>
            <w:tcBorders>
              <w:bottom w:val="single" w:sz="8" w:color="auto"/>
              <w:right w:val="single" w:sz="8" w:color="auto"/>
            </w:tcBorders>
          </w:tcPr>
          <w:p>
            <w:pPr>
              <w:jc w:val="right"/>
              <w:ind w:right="61"/>
              <w:spacing w:after="0" w:line="121" w:lineRule="exact"/>
              <w:rPr>
                <w:sz w:val="20"/>
                <w:szCs w:val="20"/>
                <w:color w:val="auto"/>
              </w:rPr>
            </w:pPr>
            <w:r>
              <w:rPr>
                <w:rFonts w:ascii="MS PGothic" w:cs="MS PGothic" w:eastAsia="MS PGothic" w:hAnsi="MS PGothic"/>
                <w:sz w:val="12"/>
                <w:szCs w:val="12"/>
                <w:color w:val="auto"/>
              </w:rPr>
              <w:t>✔</w:t>
            </w:r>
          </w:p>
        </w:tc>
        <w:tc>
          <w:tcPr>
            <w:tcW w:w="320" w:type="dxa"/>
            <w:vAlign w:val="bottom"/>
            <w:tcBorders>
              <w:bottom w:val="single" w:sz="8" w:color="auto"/>
              <w:right w:val="single" w:sz="8" w:color="auto"/>
            </w:tcBorders>
          </w:tcPr>
          <w:p>
            <w:pPr>
              <w:jc w:val="right"/>
              <w:ind w:right="61"/>
              <w:spacing w:after="0" w:line="121" w:lineRule="exact"/>
              <w:rPr>
                <w:sz w:val="20"/>
                <w:szCs w:val="20"/>
                <w:color w:val="auto"/>
              </w:rPr>
            </w:pPr>
            <w:r>
              <w:rPr>
                <w:rFonts w:ascii="MS PGothic" w:cs="MS PGothic" w:eastAsia="MS PGothic" w:hAnsi="MS PGothic"/>
                <w:sz w:val="12"/>
                <w:szCs w:val="12"/>
                <w:color w:val="auto"/>
              </w:rPr>
              <w:t>✔</w:t>
            </w:r>
          </w:p>
        </w:tc>
        <w:tc>
          <w:tcPr>
            <w:tcW w:w="320" w:type="dxa"/>
            <w:vAlign w:val="bottom"/>
            <w:tcBorders>
              <w:bottom w:val="single" w:sz="8" w:color="auto"/>
              <w:right w:val="single" w:sz="8" w:color="auto"/>
            </w:tcBorders>
          </w:tcPr>
          <w:p>
            <w:pPr>
              <w:jc w:val="right"/>
              <w:ind w:right="61"/>
              <w:spacing w:after="0" w:line="121" w:lineRule="exact"/>
              <w:rPr>
                <w:sz w:val="20"/>
                <w:szCs w:val="20"/>
                <w:color w:val="auto"/>
              </w:rPr>
            </w:pPr>
            <w:r>
              <w:rPr>
                <w:rFonts w:ascii="MS PGothic" w:cs="MS PGothic" w:eastAsia="MS PGothic" w:hAnsi="MS PGothic"/>
                <w:sz w:val="12"/>
                <w:szCs w:val="12"/>
                <w:color w:val="auto"/>
              </w:rPr>
              <w:t>✔</w:t>
            </w:r>
          </w:p>
        </w:tc>
        <w:tc>
          <w:tcPr>
            <w:tcW w:w="30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right"/>
              <w:ind w:right="61"/>
              <w:spacing w:after="0" w:line="121" w:lineRule="exact"/>
              <w:rPr>
                <w:sz w:val="20"/>
                <w:szCs w:val="20"/>
                <w:color w:val="auto"/>
              </w:rPr>
            </w:pPr>
            <w:r>
              <w:rPr>
                <w:rFonts w:ascii="MS PGothic" w:cs="MS PGothic" w:eastAsia="MS PGothic" w:hAnsi="MS PGothic"/>
                <w:sz w:val="12"/>
                <w:szCs w:val="12"/>
                <w:color w:val="auto"/>
              </w:rPr>
              <w:t>✔</w:t>
            </w:r>
          </w:p>
        </w:tc>
        <w:tc>
          <w:tcPr>
            <w:tcW w:w="30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right"/>
              <w:ind w:right="81"/>
              <w:spacing w:after="0" w:line="121" w:lineRule="exact"/>
              <w:rPr>
                <w:sz w:val="20"/>
                <w:szCs w:val="20"/>
                <w:color w:val="auto"/>
              </w:rPr>
            </w:pPr>
            <w:r>
              <w:rPr>
                <w:rFonts w:ascii="MS PGothic" w:cs="MS PGothic" w:eastAsia="MS PGothic" w:hAnsi="MS PGothic"/>
                <w:sz w:val="12"/>
                <w:szCs w:val="12"/>
                <w:color w:val="auto"/>
              </w:rPr>
              <w:t>✔</w:t>
            </w:r>
          </w:p>
        </w:tc>
        <w:tc>
          <w:tcPr>
            <w:tcW w:w="32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right"/>
              <w:ind w:right="81"/>
              <w:spacing w:after="0" w:line="121" w:lineRule="exact"/>
              <w:rPr>
                <w:sz w:val="20"/>
                <w:szCs w:val="20"/>
                <w:color w:val="auto"/>
              </w:rPr>
            </w:pPr>
            <w:r>
              <w:rPr>
                <w:rFonts w:ascii="MS PGothic" w:cs="MS PGothic" w:eastAsia="MS PGothic" w:hAnsi="MS PGothic"/>
                <w:sz w:val="12"/>
                <w:szCs w:val="12"/>
                <w:color w:val="auto"/>
              </w:rPr>
              <w:t>✔</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6</w:t>
            </w:r>
          </w:p>
        </w:tc>
        <w:tc>
          <w:tcPr>
            <w:tcW w:w="0" w:type="dxa"/>
            <w:vAlign w:val="bottom"/>
          </w:tcPr>
          <w:p>
            <w:pPr>
              <w:spacing w:after="0"/>
              <w:rPr>
                <w:sz w:val="1"/>
                <w:szCs w:val="1"/>
                <w:color w:val="auto"/>
              </w:rPr>
            </w:pPr>
          </w:p>
        </w:tc>
      </w:tr>
      <w:tr>
        <w:trPr>
          <w:trHeight w:val="162"/>
        </w:trPr>
        <w:tc>
          <w:tcPr>
            <w:tcW w:w="60" w:type="dxa"/>
            <w:vAlign w:val="bottom"/>
            <w:tcBorders>
              <w:left w:val="single" w:sz="8" w:color="auto"/>
              <w:bottom w:val="single" w:sz="8" w:color="auto"/>
            </w:tcBorders>
            <w:shd w:val="clear" w:color="auto" w:fill="E5E5E5"/>
          </w:tcPr>
          <w:p>
            <w:pPr>
              <w:spacing w:after="0"/>
              <w:rPr>
                <w:sz w:val="14"/>
                <w:szCs w:val="14"/>
                <w:color w:val="auto"/>
              </w:rPr>
            </w:pPr>
          </w:p>
        </w:tc>
        <w:tc>
          <w:tcPr>
            <w:tcW w:w="2820" w:type="dxa"/>
            <w:vAlign w:val="bottom"/>
            <w:tcBorders>
              <w:bottom w:val="single" w:sz="8" w:color="auto"/>
              <w:right w:val="single" w:sz="8" w:color="auto"/>
            </w:tcBorders>
            <w:shd w:val="clear" w:color="auto" w:fill="E5E5E5"/>
          </w:tcPr>
          <w:p>
            <w:pPr>
              <w:spacing w:after="0"/>
              <w:rPr>
                <w:sz w:val="20"/>
                <w:szCs w:val="20"/>
                <w:color w:val="auto"/>
              </w:rPr>
            </w:pPr>
            <w:r>
              <w:rPr>
                <w:rFonts w:ascii="Arial" w:cs="Arial" w:eastAsia="Arial" w:hAnsi="Arial"/>
                <w:sz w:val="12"/>
                <w:szCs w:val="12"/>
                <w:b w:val="1"/>
                <w:bCs w:val="1"/>
                <w:color w:val="auto"/>
              </w:rPr>
              <w:t>Other Characteristics</w:t>
            </w:r>
          </w:p>
        </w:tc>
        <w:tc>
          <w:tcPr>
            <w:tcW w:w="320" w:type="dxa"/>
            <w:vAlign w:val="bottom"/>
            <w:tcBorders>
              <w:bottom w:val="single" w:sz="8" w:color="auto"/>
              <w:right w:val="single" w:sz="8" w:color="auto"/>
            </w:tcBorders>
            <w:shd w:val="clear" w:color="auto" w:fill="E5E5E5"/>
          </w:tcPr>
          <w:p>
            <w:pPr>
              <w:spacing w:after="0"/>
              <w:rPr>
                <w:sz w:val="14"/>
                <w:szCs w:val="14"/>
                <w:color w:val="auto"/>
              </w:rPr>
            </w:pPr>
          </w:p>
        </w:tc>
        <w:tc>
          <w:tcPr>
            <w:tcW w:w="320" w:type="dxa"/>
            <w:vAlign w:val="bottom"/>
            <w:tcBorders>
              <w:bottom w:val="single" w:sz="8" w:color="auto"/>
              <w:right w:val="single" w:sz="8" w:color="auto"/>
            </w:tcBorders>
            <w:shd w:val="clear" w:color="auto" w:fill="E5E5E5"/>
          </w:tcPr>
          <w:p>
            <w:pPr>
              <w:spacing w:after="0"/>
              <w:rPr>
                <w:sz w:val="14"/>
                <w:szCs w:val="14"/>
                <w:color w:val="auto"/>
              </w:rPr>
            </w:pPr>
          </w:p>
        </w:tc>
        <w:tc>
          <w:tcPr>
            <w:tcW w:w="320" w:type="dxa"/>
            <w:vAlign w:val="bottom"/>
            <w:tcBorders>
              <w:bottom w:val="single" w:sz="8" w:color="auto"/>
              <w:right w:val="single" w:sz="8" w:color="auto"/>
            </w:tcBorders>
            <w:shd w:val="clear" w:color="auto" w:fill="E5E5E5"/>
          </w:tcPr>
          <w:p>
            <w:pPr>
              <w:spacing w:after="0"/>
              <w:rPr>
                <w:sz w:val="14"/>
                <w:szCs w:val="14"/>
                <w:color w:val="auto"/>
              </w:rPr>
            </w:pPr>
          </w:p>
        </w:tc>
        <w:tc>
          <w:tcPr>
            <w:tcW w:w="300" w:type="dxa"/>
            <w:vAlign w:val="bottom"/>
            <w:tcBorders>
              <w:bottom w:val="single" w:sz="8" w:color="auto"/>
              <w:right w:val="single" w:sz="8" w:color="auto"/>
            </w:tcBorders>
            <w:shd w:val="clear" w:color="auto" w:fill="E5E5E5"/>
          </w:tcPr>
          <w:p>
            <w:pPr>
              <w:spacing w:after="0"/>
              <w:rPr>
                <w:sz w:val="14"/>
                <w:szCs w:val="14"/>
                <w:color w:val="auto"/>
              </w:rPr>
            </w:pPr>
          </w:p>
        </w:tc>
        <w:tc>
          <w:tcPr>
            <w:tcW w:w="320" w:type="dxa"/>
            <w:vAlign w:val="bottom"/>
            <w:tcBorders>
              <w:bottom w:val="single" w:sz="8" w:color="auto"/>
              <w:right w:val="single" w:sz="8" w:color="auto"/>
            </w:tcBorders>
            <w:shd w:val="clear" w:color="auto" w:fill="E5E5E5"/>
          </w:tcPr>
          <w:p>
            <w:pPr>
              <w:spacing w:after="0"/>
              <w:rPr>
                <w:sz w:val="14"/>
                <w:szCs w:val="14"/>
                <w:color w:val="auto"/>
              </w:rPr>
            </w:pPr>
          </w:p>
        </w:tc>
        <w:tc>
          <w:tcPr>
            <w:tcW w:w="300" w:type="dxa"/>
            <w:vAlign w:val="bottom"/>
            <w:tcBorders>
              <w:bottom w:val="single" w:sz="8" w:color="auto"/>
              <w:right w:val="single" w:sz="8" w:color="auto"/>
            </w:tcBorders>
            <w:shd w:val="clear" w:color="auto" w:fill="E5E5E5"/>
          </w:tcPr>
          <w:p>
            <w:pPr>
              <w:spacing w:after="0"/>
              <w:rPr>
                <w:sz w:val="14"/>
                <w:szCs w:val="14"/>
                <w:color w:val="auto"/>
              </w:rPr>
            </w:pPr>
          </w:p>
        </w:tc>
        <w:tc>
          <w:tcPr>
            <w:tcW w:w="320" w:type="dxa"/>
            <w:vAlign w:val="bottom"/>
            <w:tcBorders>
              <w:bottom w:val="single" w:sz="8" w:color="auto"/>
              <w:right w:val="single" w:sz="8" w:color="auto"/>
            </w:tcBorders>
            <w:shd w:val="clear" w:color="auto" w:fill="E5E5E5"/>
          </w:tcPr>
          <w:p>
            <w:pPr>
              <w:spacing w:after="0"/>
              <w:rPr>
                <w:sz w:val="14"/>
                <w:szCs w:val="14"/>
                <w:color w:val="auto"/>
              </w:rPr>
            </w:pPr>
          </w:p>
        </w:tc>
        <w:tc>
          <w:tcPr>
            <w:tcW w:w="320" w:type="dxa"/>
            <w:vAlign w:val="bottom"/>
            <w:tcBorders>
              <w:bottom w:val="single" w:sz="8" w:color="auto"/>
              <w:right w:val="single" w:sz="8" w:color="auto"/>
            </w:tcBorders>
            <w:shd w:val="clear" w:color="auto" w:fill="E5E5E5"/>
          </w:tcPr>
          <w:p>
            <w:pPr>
              <w:spacing w:after="0"/>
              <w:rPr>
                <w:sz w:val="14"/>
                <w:szCs w:val="14"/>
                <w:color w:val="auto"/>
              </w:rPr>
            </w:pPr>
          </w:p>
        </w:tc>
        <w:tc>
          <w:tcPr>
            <w:tcW w:w="320" w:type="dxa"/>
            <w:vAlign w:val="bottom"/>
            <w:tcBorders>
              <w:bottom w:val="single" w:sz="8" w:color="auto"/>
              <w:right w:val="single" w:sz="8" w:color="auto"/>
            </w:tcBorders>
            <w:shd w:val="clear" w:color="auto" w:fill="E5E5E5"/>
          </w:tcPr>
          <w:p>
            <w:pPr>
              <w:spacing w:after="0"/>
              <w:rPr>
                <w:sz w:val="14"/>
                <w:szCs w:val="14"/>
                <w:color w:val="auto"/>
              </w:rPr>
            </w:pPr>
          </w:p>
        </w:tc>
        <w:tc>
          <w:tcPr>
            <w:tcW w:w="580" w:type="dxa"/>
            <w:vAlign w:val="bottom"/>
            <w:tcBorders>
              <w:bottom w:val="single" w:sz="8" w:color="auto"/>
              <w:right w:val="single" w:sz="8" w:color="auto"/>
            </w:tcBorders>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 w:type="dxa"/>
            <w:vAlign w:val="bottom"/>
            <w:tcBorders>
              <w:left w:val="single" w:sz="8" w:color="auto"/>
              <w:bottom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Gender</w:t>
            </w:r>
          </w:p>
        </w:tc>
        <w:tc>
          <w:tcPr>
            <w:tcW w:w="320" w:type="dxa"/>
            <w:vAlign w:val="bottom"/>
            <w:tcBorders>
              <w:bottom w:val="single" w:sz="8" w:color="auto"/>
              <w:right w:val="single" w:sz="8" w:color="auto"/>
            </w:tcBorders>
          </w:tcPr>
          <w:p>
            <w:pPr>
              <w:jc w:val="right"/>
              <w:ind w:right="61"/>
              <w:spacing w:after="0"/>
              <w:rPr>
                <w:sz w:val="20"/>
                <w:szCs w:val="20"/>
                <w:color w:val="auto"/>
              </w:rPr>
            </w:pPr>
            <w:r>
              <w:rPr>
                <w:rFonts w:ascii="Arial" w:cs="Arial" w:eastAsia="Arial" w:hAnsi="Arial"/>
                <w:sz w:val="12"/>
                <w:szCs w:val="12"/>
                <w:color w:val="auto"/>
              </w:rPr>
              <w:t>M</w:t>
            </w:r>
          </w:p>
        </w:tc>
        <w:tc>
          <w:tcPr>
            <w:tcW w:w="320" w:type="dxa"/>
            <w:vAlign w:val="bottom"/>
            <w:tcBorders>
              <w:bottom w:val="single" w:sz="8" w:color="auto"/>
              <w:right w:val="single" w:sz="8" w:color="auto"/>
            </w:tcBorders>
          </w:tcPr>
          <w:p>
            <w:pPr>
              <w:jc w:val="right"/>
              <w:ind w:right="61"/>
              <w:spacing w:after="0"/>
              <w:rPr>
                <w:sz w:val="20"/>
                <w:szCs w:val="20"/>
                <w:color w:val="auto"/>
              </w:rPr>
            </w:pPr>
            <w:r>
              <w:rPr>
                <w:rFonts w:ascii="Arial" w:cs="Arial" w:eastAsia="Arial" w:hAnsi="Arial"/>
                <w:sz w:val="12"/>
                <w:szCs w:val="12"/>
                <w:color w:val="auto"/>
              </w:rPr>
              <w:t>M</w:t>
            </w:r>
          </w:p>
        </w:tc>
        <w:tc>
          <w:tcPr>
            <w:tcW w:w="320" w:type="dxa"/>
            <w:vAlign w:val="bottom"/>
            <w:tcBorders>
              <w:bottom w:val="single" w:sz="8" w:color="auto"/>
              <w:right w:val="single" w:sz="8" w:color="auto"/>
            </w:tcBorders>
          </w:tcPr>
          <w:p>
            <w:pPr>
              <w:jc w:val="right"/>
              <w:ind w:right="61"/>
              <w:spacing w:after="0"/>
              <w:rPr>
                <w:sz w:val="20"/>
                <w:szCs w:val="20"/>
                <w:color w:val="auto"/>
              </w:rPr>
            </w:pPr>
            <w:r>
              <w:rPr>
                <w:rFonts w:ascii="Arial" w:cs="Arial" w:eastAsia="Arial" w:hAnsi="Arial"/>
                <w:sz w:val="12"/>
                <w:szCs w:val="12"/>
                <w:color w:val="auto"/>
              </w:rPr>
              <w:t>M</w:t>
            </w:r>
          </w:p>
        </w:tc>
        <w:tc>
          <w:tcPr>
            <w:tcW w:w="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1"/>
              </w:rPr>
              <w:t>F</w:t>
            </w:r>
          </w:p>
        </w:tc>
        <w:tc>
          <w:tcPr>
            <w:tcW w:w="320" w:type="dxa"/>
            <w:vAlign w:val="bottom"/>
            <w:tcBorders>
              <w:bottom w:val="single" w:sz="8" w:color="auto"/>
              <w:right w:val="single" w:sz="8" w:color="auto"/>
            </w:tcBorders>
          </w:tcPr>
          <w:p>
            <w:pPr>
              <w:jc w:val="right"/>
              <w:ind w:right="61"/>
              <w:spacing w:after="0"/>
              <w:rPr>
                <w:sz w:val="20"/>
                <w:szCs w:val="20"/>
                <w:color w:val="auto"/>
              </w:rPr>
            </w:pPr>
            <w:r>
              <w:rPr>
                <w:rFonts w:ascii="Arial" w:cs="Arial" w:eastAsia="Arial" w:hAnsi="Arial"/>
                <w:sz w:val="12"/>
                <w:szCs w:val="12"/>
                <w:color w:val="auto"/>
              </w:rPr>
              <w:t>M</w:t>
            </w:r>
          </w:p>
        </w:tc>
        <w:tc>
          <w:tcPr>
            <w:tcW w:w="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1"/>
              </w:rPr>
              <w:t>F</w:t>
            </w:r>
          </w:p>
        </w:tc>
        <w:tc>
          <w:tcPr>
            <w:tcW w:w="320" w:type="dxa"/>
            <w:vAlign w:val="bottom"/>
            <w:tcBorders>
              <w:bottom w:val="single" w:sz="8" w:color="auto"/>
              <w:right w:val="single" w:sz="8" w:color="auto"/>
            </w:tcBorders>
          </w:tcPr>
          <w:p>
            <w:pPr>
              <w:jc w:val="right"/>
              <w:ind w:right="61"/>
              <w:spacing w:after="0"/>
              <w:rPr>
                <w:sz w:val="20"/>
                <w:szCs w:val="20"/>
                <w:color w:val="auto"/>
              </w:rPr>
            </w:pPr>
            <w:r>
              <w:rPr>
                <w:rFonts w:ascii="Arial" w:cs="Arial" w:eastAsia="Arial" w:hAnsi="Arial"/>
                <w:sz w:val="12"/>
                <w:szCs w:val="12"/>
                <w:color w:val="auto"/>
              </w:rPr>
              <w:t>M</w:t>
            </w:r>
          </w:p>
        </w:tc>
        <w:tc>
          <w:tcPr>
            <w:tcW w:w="320" w:type="dxa"/>
            <w:vAlign w:val="bottom"/>
            <w:tcBorders>
              <w:bottom w:val="single" w:sz="8" w:color="auto"/>
              <w:right w:val="single" w:sz="8" w:color="auto"/>
            </w:tcBorders>
          </w:tcPr>
          <w:p>
            <w:pPr>
              <w:jc w:val="right"/>
              <w:ind w:right="61"/>
              <w:spacing w:after="0"/>
              <w:rPr>
                <w:sz w:val="20"/>
                <w:szCs w:val="20"/>
                <w:color w:val="auto"/>
              </w:rPr>
            </w:pPr>
            <w:r>
              <w:rPr>
                <w:rFonts w:ascii="Arial" w:cs="Arial" w:eastAsia="Arial" w:hAnsi="Arial"/>
                <w:sz w:val="12"/>
                <w:szCs w:val="12"/>
                <w:color w:val="auto"/>
              </w:rPr>
              <w:t>M</w:t>
            </w:r>
          </w:p>
        </w:tc>
        <w:tc>
          <w:tcPr>
            <w:tcW w:w="320" w:type="dxa"/>
            <w:vAlign w:val="bottom"/>
            <w:tcBorders>
              <w:bottom w:val="single" w:sz="8" w:color="auto"/>
              <w:right w:val="single" w:sz="8" w:color="auto"/>
            </w:tcBorders>
          </w:tcPr>
          <w:p>
            <w:pPr>
              <w:jc w:val="right"/>
              <w:ind w:right="81"/>
              <w:spacing w:after="0"/>
              <w:rPr>
                <w:sz w:val="20"/>
                <w:szCs w:val="20"/>
                <w:color w:val="auto"/>
              </w:rPr>
            </w:pPr>
            <w:r>
              <w:rPr>
                <w:rFonts w:ascii="Arial" w:cs="Arial" w:eastAsia="Arial" w:hAnsi="Arial"/>
                <w:sz w:val="12"/>
                <w:szCs w:val="12"/>
                <w:color w:val="auto"/>
              </w:rPr>
              <w:t>M</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7M/2F</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Board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38100</wp:posOffset>
            </wp:positionV>
            <wp:extent cx="3843655"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43655" cy="635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50800</wp:posOffset>
            </wp:positionV>
            <wp:extent cx="3843655"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220" w:lineRule="exact"/>
        <w:rPr>
          <w:sz w:val="20"/>
          <w:szCs w:val="20"/>
          <w:color w:val="auto"/>
        </w:rPr>
      </w:pPr>
    </w:p>
    <w:p>
      <w:pPr>
        <w:jc w:val="both"/>
        <w:ind w:left="1480" w:right="1499"/>
        <w:spacing w:after="0" w:line="270" w:lineRule="auto"/>
        <w:rPr>
          <w:sz w:val="20"/>
          <w:szCs w:val="20"/>
          <w:color w:val="auto"/>
        </w:rPr>
      </w:pPr>
      <w:r>
        <w:rPr>
          <w:rFonts w:ascii="Arial" w:cs="Arial" w:eastAsia="Arial" w:hAnsi="Arial"/>
          <w:sz w:val="13"/>
          <w:szCs w:val="13"/>
          <w:color w:val="auto"/>
        </w:rPr>
        <w:t>When assessing its composition or identifying suitable candidates for appointment or re-election, the Board will consider candidates on merit against objective criteria having due regard to the benefits of diversity and the needs of the Board, free of conscious or unconscious bias and discrimination.</w:t>
      </w:r>
    </w:p>
    <w:p>
      <w:pPr>
        <w:spacing w:after="0" w:line="53" w:lineRule="exact"/>
        <w:rPr>
          <w:sz w:val="20"/>
          <w:szCs w:val="20"/>
          <w:color w:val="auto"/>
        </w:rPr>
      </w:pPr>
    </w:p>
    <w:p>
      <w:pPr>
        <w:jc w:val="both"/>
        <w:ind w:left="1480" w:right="1499"/>
        <w:spacing w:after="0" w:line="263" w:lineRule="auto"/>
        <w:rPr>
          <w:sz w:val="20"/>
          <w:szCs w:val="20"/>
          <w:color w:val="auto"/>
        </w:rPr>
      </w:pPr>
      <w:r>
        <w:rPr>
          <w:rFonts w:ascii="Arial" w:cs="Arial" w:eastAsia="Arial" w:hAnsi="Arial"/>
          <w:sz w:val="13"/>
          <w:szCs w:val="13"/>
          <w:color w:val="auto"/>
        </w:rPr>
        <w:t>In furtherance of Board diversity, the Board adopted a new Board Diversity Policy in January 2021. In accordance with the Board Diversity Policy, Celestica aspires to attain by its annual meeting in 2023, and thereafter maintain, a Board composition in which at least 30% of the Board are women. Further, when identifying candidates for election or appointment to the Board of Directors, including the director search which is currently underway, the Board and its NCGC will:</w:t>
      </w:r>
    </w:p>
    <w:p>
      <w:pPr>
        <w:spacing w:after="0" w:line="67" w:lineRule="exact"/>
        <w:rPr>
          <w:sz w:val="20"/>
          <w:szCs w:val="20"/>
          <w:color w:val="auto"/>
        </w:rPr>
      </w:pPr>
    </w:p>
    <w:p>
      <w:pPr>
        <w:ind w:left="1880" w:right="1499" w:hanging="137"/>
        <w:spacing w:after="0" w:line="285" w:lineRule="auto"/>
        <w:tabs>
          <w:tab w:leader="none" w:pos="1880" w:val="left"/>
        </w:tabs>
        <w:numPr>
          <w:ilvl w:val="0"/>
          <w:numId w:val="63"/>
        </w:numPr>
        <w:rPr>
          <w:rFonts w:ascii="Arial" w:cs="Arial" w:eastAsia="Arial" w:hAnsi="Arial"/>
          <w:sz w:val="13"/>
          <w:szCs w:val="13"/>
          <w:color w:val="auto"/>
        </w:rPr>
      </w:pPr>
      <w:r>
        <w:rPr>
          <w:rFonts w:ascii="Arial" w:cs="Arial" w:eastAsia="Arial" w:hAnsi="Arial"/>
          <w:sz w:val="13"/>
          <w:szCs w:val="13"/>
          <w:color w:val="auto"/>
        </w:rPr>
        <w:t>consider candidates who are qualified based on a balance of skills, background, experience and knowledge;</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5" w:name="page36"/>
    <w:bookmarkEnd w:id="35"/>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97" w:lineRule="exact"/>
        <w:rPr>
          <w:sz w:val="20"/>
          <w:szCs w:val="20"/>
          <w:color w:val="auto"/>
        </w:rPr>
      </w:pPr>
    </w:p>
    <w:p>
      <w:pPr>
        <w:jc w:val="both"/>
        <w:ind w:left="1880" w:right="1499" w:hanging="137"/>
        <w:spacing w:after="0" w:line="270" w:lineRule="auto"/>
        <w:tabs>
          <w:tab w:leader="none" w:pos="18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take into account diversity considerations such as age, geographical representation from the regions in which Celestica operates, cultural heritage (including Aboriginal peoples and members of visible minorities) and different abilities (including persons with disabilities);</w:t>
      </w:r>
    </w:p>
    <w:p>
      <w:pPr>
        <w:spacing w:after="0" w:line="52" w:lineRule="exact"/>
        <w:rPr>
          <w:rFonts w:ascii="Arial" w:cs="Arial" w:eastAsia="Arial" w:hAnsi="Arial"/>
          <w:sz w:val="13"/>
          <w:szCs w:val="13"/>
          <w:color w:val="auto"/>
        </w:rPr>
      </w:pPr>
    </w:p>
    <w:p>
      <w:pPr>
        <w:ind w:left="1880" w:right="1499" w:hanging="137"/>
        <w:spacing w:after="0" w:line="285" w:lineRule="auto"/>
        <w:tabs>
          <w:tab w:leader="none" w:pos="18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strive to use, to their fullest potential, the Board’s network of relationships, in addition to using third party organizations, that may help identify diverse candidates for joining the Board;</w:t>
      </w:r>
    </w:p>
    <w:p>
      <w:pPr>
        <w:spacing w:after="0" w:line="43" w:lineRule="exact"/>
        <w:rPr>
          <w:rFonts w:ascii="Arial" w:cs="Arial" w:eastAsia="Arial" w:hAnsi="Arial"/>
          <w:sz w:val="13"/>
          <w:szCs w:val="13"/>
          <w:color w:val="auto"/>
        </w:rPr>
      </w:pPr>
    </w:p>
    <w:p>
      <w:pPr>
        <w:ind w:left="1880" w:hanging="137"/>
        <w:spacing w:after="0"/>
        <w:tabs>
          <w:tab w:leader="none" w:pos="18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ensure that the initial candidate list is comprised of no less than 50% women; and</w:t>
      </w:r>
    </w:p>
    <w:p>
      <w:pPr>
        <w:spacing w:after="0" w:line="89" w:lineRule="exact"/>
        <w:rPr>
          <w:rFonts w:ascii="Arial" w:cs="Arial" w:eastAsia="Arial" w:hAnsi="Arial"/>
          <w:sz w:val="13"/>
          <w:szCs w:val="13"/>
          <w:color w:val="auto"/>
        </w:rPr>
      </w:pPr>
    </w:p>
    <w:p>
      <w:pPr>
        <w:ind w:left="1880" w:right="1499" w:hanging="137"/>
        <w:spacing w:after="0" w:line="285" w:lineRule="auto"/>
        <w:tabs>
          <w:tab w:leader="none" w:pos="18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periodically review recruitment and selection protocols to ensure diversity remains an important component of the Board.</w:t>
      </w:r>
    </w:p>
    <w:p>
      <w:pPr>
        <w:spacing w:after="0" w:line="43" w:lineRule="exact"/>
        <w:rPr>
          <w:sz w:val="20"/>
          <w:szCs w:val="20"/>
          <w:color w:val="auto"/>
        </w:rPr>
      </w:pPr>
    </w:p>
    <w:p>
      <w:pPr>
        <w:jc w:val="both"/>
        <w:ind w:left="1480" w:right="1499"/>
        <w:spacing w:after="0" w:line="285" w:lineRule="auto"/>
        <w:rPr>
          <w:sz w:val="20"/>
          <w:szCs w:val="20"/>
          <w:color w:val="auto"/>
        </w:rPr>
      </w:pPr>
      <w:r>
        <w:rPr>
          <w:rFonts w:ascii="Arial" w:cs="Arial" w:eastAsia="Arial" w:hAnsi="Arial"/>
          <w:sz w:val="13"/>
          <w:szCs w:val="13"/>
          <w:color w:val="auto"/>
        </w:rPr>
        <w:t>From time to time, the Board will review the Board Diversity Policy and assess its effectiveness in promoting a diverse Board.</w:t>
      </w:r>
    </w:p>
    <w:p>
      <w:pPr>
        <w:spacing w:after="0" w:line="43" w:lineRule="exact"/>
        <w:rPr>
          <w:sz w:val="20"/>
          <w:szCs w:val="20"/>
          <w:color w:val="auto"/>
        </w:rPr>
      </w:pPr>
    </w:p>
    <w:p>
      <w:pPr>
        <w:jc w:val="both"/>
        <w:ind w:left="1480" w:right="1499"/>
        <w:spacing w:after="0" w:line="260" w:lineRule="auto"/>
        <w:rPr>
          <w:sz w:val="20"/>
          <w:szCs w:val="20"/>
          <w:color w:val="auto"/>
        </w:rPr>
      </w:pPr>
      <w:r>
        <w:rPr>
          <w:rFonts w:ascii="Arial" w:cs="Arial" w:eastAsia="Arial" w:hAnsi="Arial"/>
          <w:sz w:val="13"/>
          <w:szCs w:val="13"/>
          <w:color w:val="auto"/>
        </w:rPr>
        <w:t>The complexity of our business has required us to maintain flexibility when selecting director nominees in the past as we have addressed board refreshment and succession planning. As a result, we have extended our prior gender diversity target (Board composition of at least 30% women by 2020) to 2023. Notwithstanding previous challenges in identifying women candidates for the Board, we are committed to the target of 30% women as well as the other diversity criteria outlined in the Board Diversity Policy. While the qualifications of each individual director are paramount, diversity criteria relating to the director’s gender, age, geographic location, education, cultural heritage and different abilities will also be given due consideration. We are factoring these objectives into our current search for a new director.</w:t>
      </w:r>
    </w:p>
    <w:p>
      <w:pPr>
        <w:spacing w:after="0" w:line="58" w:lineRule="exact"/>
        <w:rPr>
          <w:sz w:val="20"/>
          <w:szCs w:val="20"/>
          <w:color w:val="auto"/>
        </w:rPr>
      </w:pPr>
    </w:p>
    <w:p>
      <w:pPr>
        <w:jc w:val="both"/>
        <w:ind w:left="1480" w:right="1499"/>
        <w:spacing w:after="0" w:line="260" w:lineRule="auto"/>
        <w:rPr>
          <w:sz w:val="20"/>
          <w:szCs w:val="20"/>
          <w:color w:val="auto"/>
        </w:rPr>
      </w:pPr>
      <w:r>
        <w:rPr>
          <w:rFonts w:ascii="Arial" w:cs="Arial" w:eastAsia="Arial" w:hAnsi="Arial"/>
          <w:sz w:val="13"/>
          <w:szCs w:val="13"/>
          <w:color w:val="auto"/>
        </w:rPr>
        <w:t xml:space="preserve">The proposed Board has an average age of 64 and average tenure of seven years. Two of the proposed nine nominees are women (22%), including the current Chair of the Audit Committee. Two of the other nominees self-identify as members of visible minorities (22%) and none of the nominees self-identify as Aboriginal peoples or as persons with disabilities (each as defined under the </w:t>
      </w:r>
      <w:r>
        <w:rPr>
          <w:rFonts w:ascii="Arial" w:cs="Arial" w:eastAsia="Arial" w:hAnsi="Arial"/>
          <w:sz w:val="13"/>
          <w:szCs w:val="13"/>
          <w:i w:val="1"/>
          <w:iCs w:val="1"/>
          <w:color w:val="auto"/>
        </w:rPr>
        <w:t>Employment Equity Ac</w:t>
      </w:r>
      <w:r>
        <w:rPr>
          <w:rFonts w:ascii="Arial" w:cs="Arial" w:eastAsia="Arial" w:hAnsi="Arial"/>
          <w:sz w:val="13"/>
          <w:szCs w:val="13"/>
          <w:color w:val="auto"/>
        </w:rPr>
        <w:t>t (Canada)). The Board considers that the composition and number of the nominees for the position of director that it proposes will allow the Board to perform effectively and act in the best interests of the Corporation and its stakeholders.</w:t>
      </w:r>
    </w:p>
    <w:p>
      <w:pPr>
        <w:spacing w:after="0" w:line="144"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Nomination and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38100</wp:posOffset>
            </wp:positionV>
            <wp:extent cx="3843655"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843655" cy="635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50800</wp:posOffset>
            </wp:positionV>
            <wp:extent cx="3843655"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200" w:lineRule="exact"/>
        <w:rPr>
          <w:sz w:val="20"/>
          <w:szCs w:val="20"/>
          <w:color w:val="auto"/>
        </w:rPr>
      </w:pPr>
    </w:p>
    <w:p>
      <w:pPr>
        <w:jc w:val="both"/>
        <w:ind w:left="1480" w:right="1499"/>
        <w:spacing w:after="0" w:line="270" w:lineRule="auto"/>
        <w:rPr>
          <w:sz w:val="20"/>
          <w:szCs w:val="20"/>
          <w:color w:val="auto"/>
        </w:rPr>
      </w:pPr>
      <w:r>
        <w:rPr>
          <w:rFonts w:ascii="Arial" w:cs="Arial" w:eastAsia="Arial" w:hAnsi="Arial"/>
          <w:sz w:val="13"/>
          <w:szCs w:val="13"/>
          <w:color w:val="auto"/>
        </w:rPr>
        <w:t xml:space="preserve">Recognizing that new directors may be required from time to time, the NCGC maintains the skills matrix described above under </w:t>
      </w:r>
      <w:r>
        <w:rPr>
          <w:rFonts w:ascii="Arial" w:cs="Arial" w:eastAsia="Arial" w:hAnsi="Arial"/>
          <w:sz w:val="13"/>
          <w:szCs w:val="13"/>
          <w:i w:val="1"/>
          <w:iCs w:val="1"/>
          <w:color w:val="auto"/>
        </w:rPr>
        <w:t>Skills Matrix</w:t>
      </w:r>
      <w:r>
        <w:rPr>
          <w:rFonts w:ascii="Arial" w:cs="Arial" w:eastAsia="Arial" w:hAnsi="Arial"/>
          <w:sz w:val="13"/>
          <w:szCs w:val="13"/>
          <w:color w:val="auto"/>
        </w:rPr>
        <w:t xml:space="preserve"> for the purpose of identifying any gaps and determining the profiles for potential director nominees that would best serve the Corporation.</w:t>
      </w:r>
    </w:p>
    <w:p>
      <w:pPr>
        <w:spacing w:after="0" w:line="53" w:lineRule="exact"/>
        <w:rPr>
          <w:sz w:val="20"/>
          <w:szCs w:val="20"/>
          <w:color w:val="auto"/>
        </w:rPr>
      </w:pPr>
    </w:p>
    <w:p>
      <w:pPr>
        <w:jc w:val="both"/>
        <w:ind w:left="1480" w:right="1499"/>
        <w:spacing w:after="0" w:line="261" w:lineRule="auto"/>
        <w:rPr>
          <w:sz w:val="20"/>
          <w:szCs w:val="20"/>
          <w:color w:val="auto"/>
        </w:rPr>
      </w:pPr>
      <w:r>
        <w:rPr>
          <w:rFonts w:ascii="Arial" w:cs="Arial" w:eastAsia="Arial" w:hAnsi="Arial"/>
          <w:sz w:val="13"/>
          <w:szCs w:val="13"/>
          <w:color w:val="auto"/>
        </w:rPr>
        <w:t xml:space="preserve">The Board is committed to nominating highly qualified individuals to fulfill director roles, based on the needs of the Corporation at the relevant time. The Board believes that diversity is important to ensure that Board members provide the necessary range of complementary perspectives, experience and expertise required to achieve effective stewardship of the Corporation. To assist in meeting our diversity objectives and ensure there are no systemic barriers or biases in our policies or practices, the Board adopted the Board Diversity Policy described above under </w:t>
      </w:r>
      <w:r>
        <w:rPr>
          <w:rFonts w:ascii="Arial" w:cs="Arial" w:eastAsia="Arial" w:hAnsi="Arial"/>
          <w:sz w:val="13"/>
          <w:szCs w:val="13"/>
          <w:i w:val="1"/>
          <w:iCs w:val="1"/>
          <w:color w:val="auto"/>
        </w:rPr>
        <w:t>Board Diversity</w:t>
      </w:r>
      <w:r>
        <w:rPr>
          <w:rFonts w:ascii="Arial" w:cs="Arial" w:eastAsia="Arial" w:hAnsi="Arial"/>
          <w:sz w:val="13"/>
          <w:szCs w:val="13"/>
          <w:color w:val="auto"/>
        </w:rPr>
        <w:t>.</w:t>
      </w:r>
    </w:p>
    <w:p>
      <w:pPr>
        <w:spacing w:after="0" w:line="60" w:lineRule="exact"/>
        <w:rPr>
          <w:sz w:val="20"/>
          <w:szCs w:val="20"/>
          <w:color w:val="auto"/>
        </w:rPr>
      </w:pPr>
    </w:p>
    <w:p>
      <w:pPr>
        <w:jc w:val="both"/>
        <w:ind w:left="1480" w:right="1499"/>
        <w:spacing w:after="0" w:line="263" w:lineRule="auto"/>
        <w:rPr>
          <w:sz w:val="20"/>
          <w:szCs w:val="20"/>
          <w:color w:val="auto"/>
        </w:rPr>
      </w:pPr>
      <w:r>
        <w:rPr>
          <w:rFonts w:ascii="Arial" w:cs="Arial" w:eastAsia="Arial" w:hAnsi="Arial"/>
          <w:sz w:val="13"/>
          <w:szCs w:val="13"/>
          <w:color w:val="auto"/>
        </w:rPr>
        <w:t xml:space="preserve">During 2020, the NCGC began a comprehensive Board composition review process taking into account the composition of the Board, Board diversity and the Board’s retirement policy. In addition, an </w:t>
      </w:r>
      <w:r>
        <w:rPr>
          <w:rFonts w:ascii="Arial" w:cs="Arial" w:eastAsia="Arial" w:hAnsi="Arial"/>
          <w:sz w:val="13"/>
          <w:szCs w:val="13"/>
          <w:i w:val="1"/>
          <w:iCs w:val="1"/>
          <w:color w:val="auto"/>
        </w:rPr>
        <w:t>ad hoc</w:t>
      </w:r>
      <w:r>
        <w:rPr>
          <w:rFonts w:ascii="Arial" w:cs="Arial" w:eastAsia="Arial" w:hAnsi="Arial"/>
          <w:sz w:val="13"/>
          <w:szCs w:val="13"/>
          <w:color w:val="auto"/>
        </w:rPr>
        <w:t xml:space="preserve"> Director Search Committee comprised of Messrs. Cascella, Mionis, Popatia and Wilson was created for the purpose of identifying potential director nominees, and an external director search firm has been engaged to assist with such identification.</w:t>
      </w:r>
    </w:p>
    <w:p>
      <w:pPr>
        <w:spacing w:after="0" w:line="140"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Director 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38100</wp:posOffset>
            </wp:positionV>
            <wp:extent cx="3843655"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43655" cy="635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50800</wp:posOffset>
            </wp:positionV>
            <wp:extent cx="3843655"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210" w:lineRule="exact"/>
        <w:rPr>
          <w:sz w:val="20"/>
          <w:szCs w:val="20"/>
          <w:color w:val="auto"/>
        </w:rPr>
      </w:pPr>
    </w:p>
    <w:p>
      <w:pPr>
        <w:jc w:val="both"/>
        <w:ind w:left="1480" w:right="1499"/>
        <w:spacing w:after="0" w:line="260" w:lineRule="auto"/>
        <w:rPr>
          <w:sz w:val="20"/>
          <w:szCs w:val="20"/>
          <w:color w:val="auto"/>
        </w:rPr>
      </w:pPr>
      <w:r>
        <w:rPr>
          <w:rFonts w:ascii="Arial" w:cs="Arial" w:eastAsia="Arial" w:hAnsi="Arial"/>
          <w:sz w:val="13"/>
          <w:szCs w:val="13"/>
          <w:color w:val="auto"/>
        </w:rPr>
        <w:t>The Board Mandate requires the Board to evaluate and review its performance, its committees and its directors on an annual basis. Under Celestica’s Corporate Governance Guidelines, the NCGC is responsible for developing and recommending to the Board a process for annually assessing the performance of the Board as a whole, and the committees of the Board, and assessing the contribution of individual directors (including the Chair of the Board and chair of each standing committee of the Board), including through peer review, and management. The Board conducts a self-evaluation annually to determine whether it and its committees</w:t>
      </w: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6" w:name="page37"/>
    <w:bookmarkEnd w:id="36"/>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97" w:lineRule="exact"/>
        <w:rPr>
          <w:sz w:val="20"/>
          <w:szCs w:val="20"/>
          <w:color w:val="auto"/>
        </w:rPr>
      </w:pPr>
    </w:p>
    <w:p>
      <w:pPr>
        <w:jc w:val="both"/>
        <w:ind w:left="1480" w:right="1499"/>
        <w:spacing w:after="0" w:line="254" w:lineRule="auto"/>
        <w:rPr>
          <w:sz w:val="20"/>
          <w:szCs w:val="20"/>
          <w:color w:val="auto"/>
        </w:rPr>
      </w:pPr>
      <w:r>
        <w:rPr>
          <w:rFonts w:ascii="Arial" w:cs="Arial" w:eastAsia="Arial" w:hAnsi="Arial"/>
          <w:sz w:val="13"/>
          <w:szCs w:val="13"/>
          <w:color w:val="auto"/>
        </w:rPr>
        <w:t>are functioning effectively and every three years the Board evaluation must be conducted by an external advisor. The NCGC is responsible for overseeing the execution of the assessment process approved by the Board.</w:t>
      </w:r>
    </w:p>
    <w:p>
      <w:pPr>
        <w:spacing w:after="0" w:line="53" w:lineRule="exact"/>
        <w:rPr>
          <w:sz w:val="20"/>
          <w:szCs w:val="20"/>
          <w:color w:val="auto"/>
        </w:rPr>
      </w:pPr>
    </w:p>
    <w:p>
      <w:pPr>
        <w:jc w:val="both"/>
        <w:ind w:left="1480" w:right="1499"/>
        <w:spacing w:after="0" w:line="247" w:lineRule="auto"/>
        <w:rPr>
          <w:sz w:val="20"/>
          <w:szCs w:val="20"/>
          <w:color w:val="auto"/>
        </w:rPr>
      </w:pPr>
      <w:r>
        <w:rPr>
          <w:rFonts w:ascii="Arial" w:cs="Arial" w:eastAsia="Arial" w:hAnsi="Arial"/>
          <w:sz w:val="13"/>
          <w:szCs w:val="13"/>
          <w:color w:val="auto"/>
        </w:rPr>
        <w:t>The scope, focus and requirements of the evaluation and review will vary from year to year. The process may also involve soliciting feedback from senior executives as to the effectiveness of the working relationship with the Board and how to improve it. The results of the evaluation, and feedback on the evaluation process itself, are integrated into the next year’s Board evaluation cycle. The 2021 director evaluations will be conducted by an external advisor and will include peer review.</w:t>
      </w:r>
    </w:p>
    <w:p>
      <w:pPr>
        <w:spacing w:after="0" w:line="131"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Governance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38100</wp:posOffset>
            </wp:positionV>
            <wp:extent cx="3843655"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843655" cy="635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50800</wp:posOffset>
            </wp:positionV>
            <wp:extent cx="3843655"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373"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auto"/>
        </w:rPr>
        <w:t>Majority Voting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38100</wp:posOffset>
            </wp:positionV>
            <wp:extent cx="3502025"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502025" cy="6350"/>
                    </a:xfrm>
                    <a:prstGeom prst="rect">
                      <a:avLst/>
                    </a:prstGeom>
                    <a:noFill/>
                  </pic:spPr>
                </pic:pic>
              </a:graphicData>
            </a:graphic>
          </wp:anchor>
        </w:drawing>
      </w:r>
    </w:p>
    <w:p>
      <w:pPr>
        <w:spacing w:after="0" w:line="111" w:lineRule="exact"/>
        <w:rPr>
          <w:sz w:val="20"/>
          <w:szCs w:val="20"/>
          <w:color w:val="auto"/>
        </w:rPr>
      </w:pPr>
    </w:p>
    <w:p>
      <w:pPr>
        <w:jc w:val="both"/>
        <w:ind w:left="1480" w:right="1499"/>
        <w:spacing w:after="0" w:line="245" w:lineRule="auto"/>
        <w:rPr>
          <w:sz w:val="20"/>
          <w:szCs w:val="20"/>
          <w:color w:val="auto"/>
        </w:rPr>
      </w:pPr>
      <w:r>
        <w:rPr>
          <w:rFonts w:ascii="Arial" w:cs="Arial" w:eastAsia="Arial" w:hAnsi="Arial"/>
          <w:sz w:val="13"/>
          <w:szCs w:val="13"/>
          <w:color w:val="auto"/>
        </w:rPr>
        <w:t xml:space="preserve">The TSX requires listed issuers that are not majority controlled to adopt a majority voting policy for the election of directors or to otherwise satisfy the TSX’s majority voting requirements. Although the Corporation is exempt from the TSX’s majority voting policy requirements, the Corporation chose the policy described above under </w:t>
      </w:r>
      <w:r>
        <w:rPr>
          <w:rFonts w:ascii="Arial" w:cs="Arial" w:eastAsia="Arial" w:hAnsi="Arial"/>
          <w:sz w:val="13"/>
          <w:szCs w:val="13"/>
          <w:i w:val="1"/>
          <w:iCs w:val="1"/>
          <w:color w:val="auto"/>
        </w:rPr>
        <w:t>Majority Voting Policy</w:t>
      </w:r>
      <w:r>
        <w:rPr>
          <w:rFonts w:ascii="Arial" w:cs="Arial" w:eastAsia="Arial" w:hAnsi="Arial"/>
          <w:sz w:val="13"/>
          <w:szCs w:val="13"/>
          <w:color w:val="auto"/>
        </w:rPr>
        <w:t xml:space="preserve"> to appropriately and effectively reflect the application of majority voting policies to a majority controlled company, consistent with the rationale underlying the TSX majority voting requirements and good corporate governance.</w:t>
      </w:r>
    </w:p>
    <w:p>
      <w:pPr>
        <w:spacing w:after="0" w:line="143"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auto"/>
        </w:rPr>
        <w:t>Retirement Policy and Term Limits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38100</wp:posOffset>
            </wp:positionV>
            <wp:extent cx="3502025"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502025" cy="6350"/>
                    </a:xfrm>
                    <a:prstGeom prst="rect">
                      <a:avLst/>
                    </a:prstGeom>
                    <a:noFill/>
                  </pic:spPr>
                </pic:pic>
              </a:graphicData>
            </a:graphic>
          </wp:anchor>
        </w:drawing>
      </w:r>
    </w:p>
    <w:p>
      <w:pPr>
        <w:spacing w:after="0" w:line="111" w:lineRule="exact"/>
        <w:rPr>
          <w:sz w:val="20"/>
          <w:szCs w:val="20"/>
          <w:color w:val="auto"/>
        </w:rPr>
      </w:pPr>
    </w:p>
    <w:p>
      <w:pPr>
        <w:jc w:val="both"/>
        <w:ind w:left="1480" w:right="1499"/>
        <w:spacing w:after="0" w:line="312" w:lineRule="auto"/>
        <w:rPr>
          <w:sz w:val="20"/>
          <w:szCs w:val="20"/>
          <w:color w:val="auto"/>
        </w:rPr>
      </w:pPr>
      <w:r>
        <w:rPr>
          <w:rFonts w:ascii="Arial" w:cs="Arial" w:eastAsia="Arial" w:hAnsi="Arial"/>
          <w:sz w:val="12"/>
          <w:szCs w:val="12"/>
          <w:color w:val="auto"/>
        </w:rPr>
        <w:t>The Board strives to achieve a balance between the need to retain directors with valuable institutional experience and the benefits obtained from new perspectives and approaches that accompany Board turnover.</w:t>
      </w:r>
    </w:p>
    <w:p>
      <w:pPr>
        <w:spacing w:after="0" w:line="20" w:lineRule="exact"/>
        <w:rPr>
          <w:sz w:val="20"/>
          <w:szCs w:val="20"/>
          <w:color w:val="auto"/>
        </w:rPr>
      </w:pPr>
    </w:p>
    <w:p>
      <w:pPr>
        <w:jc w:val="both"/>
        <w:ind w:left="1480" w:right="1499"/>
        <w:spacing w:after="0" w:line="245" w:lineRule="auto"/>
        <w:rPr>
          <w:sz w:val="20"/>
          <w:szCs w:val="20"/>
          <w:color w:val="auto"/>
        </w:rPr>
      </w:pPr>
      <w:r>
        <w:rPr>
          <w:rFonts w:ascii="Arial" w:cs="Arial" w:eastAsia="Arial" w:hAnsi="Arial"/>
          <w:sz w:val="13"/>
          <w:szCs w:val="13"/>
          <w:color w:val="auto"/>
        </w:rPr>
        <w:t>Celestica’s Corporate Governance Guidelines provides that, unless the Board authorizes an exception, a director shall not stand for re -election after his or her 75th birthday (and the Corporation does not provide a director with any additional financial compensation upon retirement). In light of Mr. Ryan’s leadership, expertise and valuable contributions to the Board, the NCGC recommended, and the Board approved, an exception to such policy for Mr. Ryan for 2021. In accordance therewith, Mr. Ryan is standing for re-election at the Meeting.</w:t>
      </w:r>
    </w:p>
    <w:p>
      <w:pPr>
        <w:spacing w:after="0" w:line="60" w:lineRule="exact"/>
        <w:rPr>
          <w:sz w:val="20"/>
          <w:szCs w:val="20"/>
          <w:color w:val="auto"/>
        </w:rPr>
      </w:pPr>
    </w:p>
    <w:p>
      <w:pPr>
        <w:jc w:val="both"/>
        <w:ind w:left="1480" w:right="1499"/>
        <w:spacing w:after="0" w:line="272" w:lineRule="auto"/>
        <w:rPr>
          <w:sz w:val="20"/>
          <w:szCs w:val="20"/>
          <w:color w:val="auto"/>
        </w:rPr>
      </w:pPr>
      <w:r>
        <w:rPr>
          <w:rFonts w:ascii="Arial" w:cs="Arial" w:eastAsia="Arial" w:hAnsi="Arial"/>
          <w:sz w:val="12"/>
          <w:szCs w:val="12"/>
          <w:color w:val="auto"/>
        </w:rPr>
        <w:t>The Board has not adopted term limits to date, but continues to assess whether or not they are appropriate. It is currently satisfied that there is a suitable level of Board turnover to ensure the ongoing addition of fresh perspectives and experience to the Board. The Board considers that the imposition of term limits would discount the value of experience and continuity amongst directors, runs the risk of excluding experienced and valuable board members, and is therefore not in the best interests of the Corporation.</w:t>
      </w:r>
    </w:p>
    <w:p>
      <w:pPr>
        <w:spacing w:after="0" w:line="44" w:lineRule="exact"/>
        <w:rPr>
          <w:sz w:val="20"/>
          <w:szCs w:val="20"/>
          <w:color w:val="auto"/>
        </w:rPr>
      </w:pPr>
    </w:p>
    <w:p>
      <w:pPr>
        <w:jc w:val="both"/>
        <w:ind w:left="1480" w:right="1499"/>
        <w:spacing w:after="0" w:line="247" w:lineRule="auto"/>
        <w:rPr>
          <w:sz w:val="20"/>
          <w:szCs w:val="20"/>
          <w:color w:val="auto"/>
        </w:rPr>
      </w:pPr>
      <w:r>
        <w:rPr>
          <w:rFonts w:ascii="Arial" w:cs="Arial" w:eastAsia="Arial" w:hAnsi="Arial"/>
          <w:sz w:val="13"/>
          <w:szCs w:val="13"/>
          <w:color w:val="auto"/>
        </w:rPr>
        <w:t>To ensure adequate Board renewal, the Board relies on rigorous director assessments for evaluating directors, reviews the composition and effectiveness of the Board annually, including the tenure and performance of individual directors, and maintains the skills matrix disclosed above to ensure the Board possesses the requisite experience, expertise and business and operational insight for the effective stewardship of the Corporation.</w:t>
      </w:r>
    </w:p>
    <w:p>
      <w:pPr>
        <w:spacing w:after="0" w:line="141"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auto"/>
        </w:rPr>
        <w:t>BCG Policy and Promotion of Ethical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38100</wp:posOffset>
            </wp:positionV>
            <wp:extent cx="3502025"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502025" cy="6350"/>
                    </a:xfrm>
                    <a:prstGeom prst="rect">
                      <a:avLst/>
                    </a:prstGeom>
                    <a:noFill/>
                  </pic:spPr>
                </pic:pic>
              </a:graphicData>
            </a:graphic>
          </wp:anchor>
        </w:drawing>
      </w:r>
    </w:p>
    <w:p>
      <w:pPr>
        <w:spacing w:after="0" w:line="121" w:lineRule="exact"/>
        <w:rPr>
          <w:sz w:val="20"/>
          <w:szCs w:val="20"/>
          <w:color w:val="auto"/>
        </w:rPr>
      </w:pPr>
    </w:p>
    <w:p>
      <w:pPr>
        <w:jc w:val="both"/>
        <w:ind w:left="1480" w:right="1499"/>
        <w:spacing w:after="0" w:line="254" w:lineRule="auto"/>
        <w:rPr>
          <w:sz w:val="20"/>
          <w:szCs w:val="20"/>
          <w:color w:val="auto"/>
        </w:rPr>
      </w:pPr>
      <w:r>
        <w:rPr>
          <w:rFonts w:ascii="Arial" w:cs="Arial" w:eastAsia="Arial" w:hAnsi="Arial"/>
          <w:sz w:val="13"/>
          <w:szCs w:val="13"/>
          <w:color w:val="auto"/>
        </w:rPr>
        <w:t>The Corporation’s BCG Policy applies to all the Corporation’s directors, officers and employees. In addition, the Corporation’s CEO, senior finance officers and all personnel in the finance area are subject to the Corporation’s Finance Code of Professional Conduct.</w:t>
      </w:r>
    </w:p>
    <w:p>
      <w:pPr>
        <w:spacing w:after="0" w:line="53"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The Board reviews the BCG Policy and the process for administering the BCG Policy on an annual basis.</w:t>
      </w:r>
    </w:p>
    <w:p>
      <w:pPr>
        <w:spacing w:after="0" w:line="21"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Management provides regular reports to the Board with respect to compliance with the BCG Policy.</w:t>
      </w:r>
    </w:p>
    <w:p>
      <w:pPr>
        <w:spacing w:after="0" w:line="69" w:lineRule="exact"/>
        <w:rPr>
          <w:sz w:val="20"/>
          <w:szCs w:val="20"/>
          <w:color w:val="auto"/>
        </w:rPr>
      </w:pPr>
    </w:p>
    <w:p>
      <w:pPr>
        <w:jc w:val="both"/>
        <w:ind w:left="1480" w:right="1499"/>
        <w:spacing w:after="0" w:line="247" w:lineRule="auto"/>
        <w:rPr>
          <w:sz w:val="20"/>
          <w:szCs w:val="20"/>
          <w:color w:val="auto"/>
        </w:rPr>
      </w:pPr>
      <w:r>
        <w:rPr>
          <w:rFonts w:ascii="Arial" w:cs="Arial" w:eastAsia="Arial" w:hAnsi="Arial"/>
          <w:sz w:val="13"/>
          <w:szCs w:val="13"/>
          <w:color w:val="auto"/>
        </w:rPr>
        <w:t>All employees above a designated level are required to certify compliance with the BCG Policy annually. The Corporation also provides an on -line training program for the BCG Policy. The BCG Policy requires ethical conduct from employees and encourages employees to report breaches of the BCG Policy to their manager. The Corporation provides mechanisms whereby employees can report unethical behavior, including the</w:t>
      </w: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7" w:name="page38"/>
    <w:bookmarkEnd w:id="37"/>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97" w:lineRule="exact"/>
        <w:rPr>
          <w:sz w:val="20"/>
          <w:szCs w:val="20"/>
          <w:color w:val="auto"/>
        </w:rPr>
      </w:pPr>
    </w:p>
    <w:p>
      <w:pPr>
        <w:jc w:val="both"/>
        <w:ind w:left="1480" w:right="1499"/>
        <w:spacing w:after="0" w:line="285" w:lineRule="auto"/>
        <w:rPr>
          <w:sz w:val="20"/>
          <w:szCs w:val="20"/>
          <w:color w:val="auto"/>
        </w:rPr>
      </w:pPr>
      <w:r>
        <w:rPr>
          <w:rFonts w:ascii="Arial" w:cs="Arial" w:eastAsia="Arial" w:hAnsi="Arial"/>
          <w:sz w:val="13"/>
          <w:szCs w:val="13"/>
          <w:color w:val="auto"/>
        </w:rPr>
        <w:t>Celestica Ethics Hotline which provides a method for employees in every jurisdiction in the world to report unethical conduct, on an anonymous basis if they so choose.</w:t>
      </w:r>
    </w:p>
    <w:p>
      <w:pPr>
        <w:spacing w:after="0" w:line="43" w:lineRule="exact"/>
        <w:rPr>
          <w:sz w:val="20"/>
          <w:szCs w:val="20"/>
          <w:color w:val="auto"/>
        </w:rPr>
      </w:pPr>
    </w:p>
    <w:p>
      <w:pPr>
        <w:jc w:val="both"/>
        <w:ind w:left="1480" w:right="1499"/>
        <w:spacing w:after="0" w:line="265" w:lineRule="auto"/>
        <w:rPr>
          <w:sz w:val="20"/>
          <w:szCs w:val="20"/>
          <w:color w:val="auto"/>
        </w:rPr>
      </w:pPr>
      <w:r>
        <w:rPr>
          <w:rFonts w:ascii="Arial" w:cs="Arial" w:eastAsia="Arial" w:hAnsi="Arial"/>
          <w:sz w:val="13"/>
          <w:szCs w:val="13"/>
          <w:color w:val="auto"/>
        </w:rPr>
        <w:t>As part of the Board Mandate, the Board has adopted as a minimum standard that directors must demonstrate integrity and high ethical standards. The Board Mandate also requires the Board, to the extent feasible, to satisfy itself as to the integrity of the Corporation’s CEO and other executive officers and that the CEO and other executive officers create a culture of integrity throughout the organization.</w:t>
      </w:r>
    </w:p>
    <w:p>
      <w:pPr>
        <w:spacing w:after="0" w:line="56"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The Corporation’s Corporate Values underpin the Corporation’s commitment to strong business ethics.</w:t>
      </w:r>
    </w:p>
    <w:p>
      <w:pPr>
        <w:spacing w:after="0" w:line="163"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auto"/>
        </w:rPr>
        <w:t>Material Interests in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38100</wp:posOffset>
            </wp:positionV>
            <wp:extent cx="3502025"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502025" cy="6350"/>
                    </a:xfrm>
                    <a:prstGeom prst="rect">
                      <a:avLst/>
                    </a:prstGeom>
                    <a:noFill/>
                  </pic:spPr>
                </pic:pic>
              </a:graphicData>
            </a:graphic>
          </wp:anchor>
        </w:drawing>
      </w:r>
    </w:p>
    <w:p>
      <w:pPr>
        <w:spacing w:after="0" w:line="150" w:lineRule="exact"/>
        <w:rPr>
          <w:sz w:val="20"/>
          <w:szCs w:val="20"/>
          <w:color w:val="auto"/>
        </w:rPr>
      </w:pPr>
    </w:p>
    <w:p>
      <w:pPr>
        <w:jc w:val="both"/>
        <w:ind w:left="1480" w:right="1499"/>
        <w:spacing w:after="0" w:line="285" w:lineRule="auto"/>
        <w:rPr>
          <w:sz w:val="20"/>
          <w:szCs w:val="20"/>
          <w:color w:val="auto"/>
        </w:rPr>
      </w:pPr>
      <w:r>
        <w:rPr>
          <w:rFonts w:ascii="Arial" w:cs="Arial" w:eastAsia="Arial" w:hAnsi="Arial"/>
          <w:sz w:val="13"/>
          <w:szCs w:val="13"/>
          <w:color w:val="auto"/>
        </w:rPr>
        <w:t>The Corporation has no contracts or other arrangements in place in which any of its directors or officers has a material interest and does not anticipate entering into any such arrangement.</w:t>
      </w:r>
    </w:p>
    <w:p>
      <w:pPr>
        <w:spacing w:after="0" w:line="43" w:lineRule="exact"/>
        <w:rPr>
          <w:sz w:val="20"/>
          <w:szCs w:val="20"/>
          <w:color w:val="auto"/>
        </w:rPr>
      </w:pPr>
    </w:p>
    <w:p>
      <w:pPr>
        <w:jc w:val="both"/>
        <w:ind w:left="1480" w:right="1499"/>
        <w:spacing w:after="0" w:line="263" w:lineRule="auto"/>
        <w:rPr>
          <w:sz w:val="20"/>
          <w:szCs w:val="20"/>
          <w:color w:val="auto"/>
        </w:rPr>
      </w:pPr>
      <w:r>
        <w:rPr>
          <w:rFonts w:ascii="Arial" w:cs="Arial" w:eastAsia="Arial" w:hAnsi="Arial"/>
          <w:sz w:val="13"/>
          <w:szCs w:val="13"/>
          <w:color w:val="auto"/>
        </w:rPr>
        <w:t>Celestica’s Corporate Governance Guidelines provide that, if and when required or otherwise viewed by the Board as being prudent in the circumstances, the Board will form a special committee of disinterested directors to review and evaluate any material related party or other significant conflict of interest transactions involving the Corporation (except for material transactions solely involving the Corporation and one or more wholly-owned subsidiaries of the Corporation).</w:t>
      </w:r>
    </w:p>
    <w:p>
      <w:pPr>
        <w:spacing w:after="0" w:line="140"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auto"/>
        </w:rPr>
        <w:t>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38100</wp:posOffset>
            </wp:positionV>
            <wp:extent cx="3502025"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502025" cy="6350"/>
                    </a:xfrm>
                    <a:prstGeom prst="rect">
                      <a:avLst/>
                    </a:prstGeom>
                    <a:noFill/>
                  </pic:spPr>
                </pic:pic>
              </a:graphicData>
            </a:graphic>
          </wp:anchor>
        </w:drawing>
      </w:r>
    </w:p>
    <w:p>
      <w:pPr>
        <w:spacing w:after="0" w:line="141" w:lineRule="exact"/>
        <w:rPr>
          <w:sz w:val="20"/>
          <w:szCs w:val="20"/>
          <w:color w:val="auto"/>
        </w:rPr>
      </w:pPr>
    </w:p>
    <w:p>
      <w:pPr>
        <w:jc w:val="both"/>
        <w:ind w:left="1480" w:right="1499"/>
        <w:spacing w:after="0" w:line="290" w:lineRule="auto"/>
        <w:rPr>
          <w:sz w:val="20"/>
          <w:szCs w:val="20"/>
          <w:color w:val="auto"/>
        </w:rPr>
      </w:pPr>
      <w:r>
        <w:rPr>
          <w:rFonts w:ascii="Arial" w:cs="Arial" w:eastAsia="Arial" w:hAnsi="Arial"/>
          <w:sz w:val="12"/>
          <w:szCs w:val="12"/>
          <w:color w:val="auto"/>
        </w:rPr>
        <w:t>In accordance with its mandate, the HRCC, from time to time as it considers appropriate, maintains and reviews succession planning for the CEO, all positions that report to the CEO, and certain other positions. The HRCC regularly conducts a formal, in-depth review of each of these succession plans with the CEO in order to satisfy itself that the succession plans meet the needs of the Corporation. During 2020, the HRCC reviewed a COVID-19-related emergency succession plan as well as an in-depth talent and succession plan.</w:t>
      </w:r>
    </w:p>
    <w:p>
      <w:pPr>
        <w:spacing w:after="0" w:line="126"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38100</wp:posOffset>
            </wp:positionV>
            <wp:extent cx="3502025"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502025" cy="6350"/>
                    </a:xfrm>
                    <a:prstGeom prst="rect">
                      <a:avLst/>
                    </a:prstGeom>
                    <a:noFill/>
                  </pic:spPr>
                </pic:pic>
              </a:graphicData>
            </a:graphic>
          </wp:anchor>
        </w:drawing>
      </w:r>
    </w:p>
    <w:p>
      <w:pPr>
        <w:spacing w:after="0" w:line="150" w:lineRule="exact"/>
        <w:rPr>
          <w:sz w:val="20"/>
          <w:szCs w:val="20"/>
          <w:color w:val="auto"/>
        </w:rPr>
      </w:pPr>
    </w:p>
    <w:p>
      <w:pPr>
        <w:jc w:val="both"/>
        <w:ind w:left="1480" w:right="1499"/>
        <w:spacing w:after="0" w:line="265" w:lineRule="auto"/>
        <w:rPr>
          <w:sz w:val="20"/>
          <w:szCs w:val="20"/>
          <w:color w:val="auto"/>
        </w:rPr>
      </w:pPr>
      <w:r>
        <w:rPr>
          <w:rFonts w:ascii="Arial" w:cs="Arial" w:eastAsia="Arial" w:hAnsi="Arial"/>
          <w:sz w:val="13"/>
          <w:szCs w:val="13"/>
          <w:color w:val="auto"/>
        </w:rPr>
        <w:t xml:space="preserve">Director compensation is set by the Board on the recommendation of the HRCC and in accordance with director compensation guidelines and principles established by the NCGC. The HRCC retains an independent compensation consultant to provide it with market advice. See </w:t>
      </w:r>
      <w:r>
        <w:rPr>
          <w:rFonts w:ascii="Arial" w:cs="Arial" w:eastAsia="Arial" w:hAnsi="Arial"/>
          <w:sz w:val="13"/>
          <w:szCs w:val="13"/>
          <w:i w:val="1"/>
          <w:iCs w:val="1"/>
          <w:color w:val="auto"/>
        </w:rPr>
        <w:t>Election of Directors — Director</w:t>
      </w:r>
      <w:r>
        <w:rPr>
          <w:rFonts w:ascii="Arial" w:cs="Arial" w:eastAsia="Arial" w:hAnsi="Arial"/>
          <w:sz w:val="13"/>
          <w:szCs w:val="13"/>
          <w:color w:val="auto"/>
        </w:rPr>
        <w:t xml:space="preserve"> </w:t>
      </w:r>
      <w:r>
        <w:rPr>
          <w:rFonts w:ascii="Arial" w:cs="Arial" w:eastAsia="Arial" w:hAnsi="Arial"/>
          <w:sz w:val="13"/>
          <w:szCs w:val="13"/>
          <w:i w:val="1"/>
          <w:iCs w:val="1"/>
          <w:color w:val="auto"/>
        </w:rPr>
        <w:t>Compensation</w:t>
      </w:r>
      <w:r>
        <w:rPr>
          <w:rFonts w:ascii="Arial" w:cs="Arial" w:eastAsia="Arial" w:hAnsi="Arial"/>
          <w:sz w:val="13"/>
          <w:szCs w:val="13"/>
          <w:color w:val="auto"/>
        </w:rPr>
        <w:t>.</w:t>
      </w:r>
    </w:p>
    <w:p>
      <w:pPr>
        <w:spacing w:after="0" w:line="130"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auto"/>
        </w:rPr>
        <w:t>Cybersecurity and Information Security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38100</wp:posOffset>
            </wp:positionV>
            <wp:extent cx="3502025"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502025" cy="6350"/>
                    </a:xfrm>
                    <a:prstGeom prst="rect">
                      <a:avLst/>
                    </a:prstGeom>
                    <a:noFill/>
                  </pic:spPr>
                </pic:pic>
              </a:graphicData>
            </a:graphic>
          </wp:anchor>
        </w:drawing>
      </w:r>
    </w:p>
    <w:p>
      <w:pPr>
        <w:spacing w:after="0" w:line="150" w:lineRule="exact"/>
        <w:rPr>
          <w:sz w:val="20"/>
          <w:szCs w:val="20"/>
          <w:color w:val="auto"/>
        </w:rPr>
      </w:pPr>
    </w:p>
    <w:p>
      <w:pPr>
        <w:jc w:val="both"/>
        <w:ind w:left="1480" w:right="1499"/>
        <w:spacing w:after="0" w:line="260" w:lineRule="auto"/>
        <w:rPr>
          <w:sz w:val="20"/>
          <w:szCs w:val="20"/>
          <w:color w:val="auto"/>
        </w:rPr>
      </w:pPr>
      <w:r>
        <w:rPr>
          <w:rFonts w:ascii="Arial" w:cs="Arial" w:eastAsia="Arial" w:hAnsi="Arial"/>
          <w:sz w:val="13"/>
          <w:szCs w:val="13"/>
          <w:color w:val="auto"/>
        </w:rPr>
        <w:t>As part of its oversight responsibilities, which include the identification of the principal risks of the business and ensuring the implementation of appropriate systems to manage such risks, the Board devotes significant time and attention to information security and risk management, including cybersecurity, data privacy, and regulatory compliance. Celestica’s Chief Information Officer provides regular reports to the Board on security posture, active threats, incident response, and progress towards internal goals. These reports address a range of topics, including industry trends, benchmark and assessment reports, technology modernization, policies and practices, and specific and ongoing efforts to prevent, detect, and respond to internal and external critical threats.</w:t>
      </w:r>
    </w:p>
    <w:p>
      <w:pPr>
        <w:spacing w:after="0" w:line="142"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auto"/>
        </w:rPr>
        <w:t>Indebtedness of Directors and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38100</wp:posOffset>
            </wp:positionV>
            <wp:extent cx="3502025"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502025" cy="6350"/>
                    </a:xfrm>
                    <a:prstGeom prst="rect">
                      <a:avLst/>
                    </a:prstGeom>
                    <a:noFill/>
                  </pic:spPr>
                </pic:pic>
              </a:graphicData>
            </a:graphic>
          </wp:anchor>
        </w:drawing>
      </w:r>
    </w:p>
    <w:p>
      <w:pPr>
        <w:spacing w:after="0" w:line="141" w:lineRule="exact"/>
        <w:rPr>
          <w:sz w:val="20"/>
          <w:szCs w:val="20"/>
          <w:color w:val="auto"/>
        </w:rPr>
      </w:pPr>
    </w:p>
    <w:p>
      <w:pPr>
        <w:jc w:val="both"/>
        <w:ind w:left="1480" w:right="1499"/>
        <w:spacing w:after="0" w:line="263" w:lineRule="auto"/>
        <w:rPr>
          <w:sz w:val="20"/>
          <w:szCs w:val="20"/>
          <w:color w:val="auto"/>
        </w:rPr>
      </w:pPr>
      <w:r>
        <w:rPr>
          <w:rFonts w:ascii="Arial" w:cs="Arial" w:eastAsia="Arial" w:hAnsi="Arial"/>
          <w:sz w:val="13"/>
          <w:szCs w:val="13"/>
          <w:color w:val="auto"/>
        </w:rPr>
        <w:t>As at February 22, 2021, no current or former executive officers or members of the Board of the Corporation or its subsidiaries and none of their respective associates were indebted to the Corporation or any of its subsidiaries (or had indebtedness that was the subject of a guarantee, support agreement, letter of credit or similar arrangement or understanding provided by the Corporation or any of its subsidiaries) in connection with the purchase of SVS or in connection with any other transaction.</w:t>
      </w: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201295</wp:posOffset>
            </wp:positionV>
            <wp:extent cx="5019040" cy="127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8" w:name="page39"/>
    <w:bookmarkEnd w:id="38"/>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71"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auto"/>
        </w:rPr>
        <w:t>Directors, Officers and Corporation Liability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38100</wp:posOffset>
            </wp:positionV>
            <wp:extent cx="3502025"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502025" cy="6350"/>
                    </a:xfrm>
                    <a:prstGeom prst="rect">
                      <a:avLst/>
                    </a:prstGeom>
                    <a:noFill/>
                  </pic:spPr>
                </pic:pic>
              </a:graphicData>
            </a:graphic>
          </wp:anchor>
        </w:drawing>
      </w:r>
    </w:p>
    <w:p>
      <w:pPr>
        <w:spacing w:after="0" w:line="121" w:lineRule="exact"/>
        <w:rPr>
          <w:sz w:val="20"/>
          <w:szCs w:val="20"/>
          <w:color w:val="auto"/>
        </w:rPr>
      </w:pPr>
    </w:p>
    <w:p>
      <w:pPr>
        <w:jc w:val="both"/>
        <w:ind w:left="1480" w:right="1499"/>
        <w:spacing w:after="0" w:line="284" w:lineRule="auto"/>
        <w:rPr>
          <w:sz w:val="20"/>
          <w:szCs w:val="20"/>
          <w:color w:val="auto"/>
        </w:rPr>
      </w:pPr>
      <w:r>
        <w:rPr>
          <w:rFonts w:ascii="Arial" w:cs="Arial" w:eastAsia="Arial" w:hAnsi="Arial"/>
          <w:sz w:val="12"/>
          <w:szCs w:val="12"/>
          <w:color w:val="auto"/>
        </w:rPr>
        <w:t>The Corporation and certain of its subsidiaries have entered into indemnification agreements with certain of the directors and officers of the Corporation and its subsidiaries. These agreements generally provide that the Corporation or the subsidiary of the Corporation which is a party to the agreement, as applicable, will indemnify the director or officer in question (including his or her heirs and legal representatives) against all costs, charges and expenses incurred by him or her in respect of any civil, criminal, administrative, investigative or other proceeding in which the individual is involved by reason of being or having been a director or officer of the Corporation or a subsidiary thereof, provided that he or she has acted honestly and in good faith with a view to the best interests of the Corporation or a subsidiary thereof.</w:t>
      </w:r>
    </w:p>
    <w:p>
      <w:pPr>
        <w:spacing w:after="0" w:line="48" w:lineRule="exact"/>
        <w:rPr>
          <w:sz w:val="20"/>
          <w:szCs w:val="20"/>
          <w:color w:val="auto"/>
        </w:rPr>
      </w:pPr>
    </w:p>
    <w:p>
      <w:pPr>
        <w:jc w:val="both"/>
        <w:ind w:left="1480" w:right="1499"/>
        <w:spacing w:after="0" w:line="261" w:lineRule="auto"/>
        <w:rPr>
          <w:sz w:val="20"/>
          <w:szCs w:val="20"/>
          <w:color w:val="auto"/>
        </w:rPr>
      </w:pPr>
      <w:r>
        <w:rPr>
          <w:rFonts w:ascii="Arial" w:cs="Arial" w:eastAsia="Arial" w:hAnsi="Arial"/>
          <w:sz w:val="13"/>
          <w:szCs w:val="13"/>
          <w:color w:val="auto"/>
        </w:rPr>
        <w:t>The Corporation’s current directors’ and officers’ insurance policies provide for aggregate coverage of $110 million. The policies protect directors and officers against liability incurred by them while acting in their capacities as directors and officers of the Corporation and its subsidiaries. Included in the $110 million of aggregate coverage is coverage dedicated solely to individual directors and officers. The Corporation’s cost for this policy is approximately $1.6 million annually. Limits available under the policies are in excess of a self-retention of $2.5 million for each loss or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106680</wp:posOffset>
            </wp:positionV>
            <wp:extent cx="3843655" cy="1898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843655" cy="189865"/>
                    </a:xfrm>
                    <a:prstGeom prst="rect">
                      <a:avLst/>
                    </a:prstGeom>
                    <a:noFill/>
                  </pic:spPr>
                </pic:pic>
              </a:graphicData>
            </a:graphic>
          </wp:anchor>
        </w:drawing>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ESG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41910</wp:posOffset>
            </wp:positionV>
            <wp:extent cx="3843655"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122" w:lineRule="exact"/>
        <w:rPr>
          <w:sz w:val="20"/>
          <w:szCs w:val="20"/>
          <w:color w:val="auto"/>
        </w:rPr>
      </w:pPr>
    </w:p>
    <w:p>
      <w:pPr>
        <w:jc w:val="both"/>
        <w:ind w:left="1480" w:right="1499"/>
        <w:spacing w:after="0" w:line="286" w:lineRule="auto"/>
        <w:rPr>
          <w:sz w:val="20"/>
          <w:szCs w:val="20"/>
          <w:color w:val="auto"/>
        </w:rPr>
      </w:pPr>
      <w:r>
        <w:rPr>
          <w:rFonts w:ascii="Arial" w:cs="Arial" w:eastAsia="Arial" w:hAnsi="Arial"/>
          <w:sz w:val="12"/>
          <w:szCs w:val="12"/>
          <w:color w:val="auto"/>
        </w:rPr>
        <w:t>Environmental, social and governance (“</w:t>
      </w:r>
      <w:r>
        <w:rPr>
          <w:rFonts w:ascii="Arial" w:cs="Arial" w:eastAsia="Arial" w:hAnsi="Arial"/>
          <w:sz w:val="12"/>
          <w:szCs w:val="12"/>
          <w:b w:val="1"/>
          <w:bCs w:val="1"/>
          <w:color w:val="auto"/>
        </w:rPr>
        <w:t>ESG</w:t>
      </w:r>
      <w:r>
        <w:rPr>
          <w:rFonts w:ascii="Arial" w:cs="Arial" w:eastAsia="Arial" w:hAnsi="Arial"/>
          <w:sz w:val="12"/>
          <w:szCs w:val="12"/>
          <w:color w:val="auto"/>
        </w:rPr>
        <w:t>”) matters are important to Celestica and we believe that responsiveness to ESG issues is an inherent component of sound corporate citizenship. As a result, we are committed to: operating our business with integrity; focusing on ESG issues that impact our customers, the industries we serve, our employees and our shareholders; contributing to the local communities in which we operate; developing our employees and workforce; and being considerate environmental and fiscal stewards. Our commitment to social responsibility extends to the environment, anti-corruption and trade compliance, responsible sourcing, human rights, labor practices and worker health and safety.</w:t>
      </w:r>
    </w:p>
    <w:p>
      <w:pPr>
        <w:spacing w:after="0" w:line="48" w:lineRule="exact"/>
        <w:rPr>
          <w:sz w:val="20"/>
          <w:szCs w:val="20"/>
          <w:color w:val="auto"/>
        </w:rPr>
      </w:pPr>
    </w:p>
    <w:p>
      <w:pPr>
        <w:jc w:val="both"/>
        <w:ind w:left="1480" w:right="1499"/>
        <w:spacing w:after="0" w:line="265" w:lineRule="auto"/>
        <w:rPr>
          <w:sz w:val="20"/>
          <w:szCs w:val="20"/>
          <w:color w:val="auto"/>
        </w:rPr>
      </w:pPr>
      <w:r>
        <w:rPr>
          <w:rFonts w:ascii="Arial" w:cs="Arial" w:eastAsia="Arial" w:hAnsi="Arial"/>
          <w:sz w:val="13"/>
          <w:szCs w:val="13"/>
          <w:color w:val="auto"/>
        </w:rPr>
        <w:t>In January 2021, the Board Mandate and the NCGC Mandate were updated to expressly add oversight for Celestica’s strategy, policies and initiatives relating to ESG matters, including sustainability. As part of our enterprise-wide approach to risk management, the Board and management monitor long term risks that may be impacted by ESG events.</w:t>
      </w:r>
    </w:p>
    <w:p>
      <w:pPr>
        <w:spacing w:after="0" w:line="56" w:lineRule="exact"/>
        <w:rPr>
          <w:sz w:val="20"/>
          <w:szCs w:val="20"/>
          <w:color w:val="auto"/>
        </w:rPr>
      </w:pPr>
    </w:p>
    <w:p>
      <w:pPr>
        <w:jc w:val="both"/>
        <w:ind w:left="1480" w:right="1499"/>
        <w:spacing w:after="0" w:line="260" w:lineRule="auto"/>
        <w:rPr>
          <w:sz w:val="20"/>
          <w:szCs w:val="20"/>
          <w:color w:val="auto"/>
        </w:rPr>
      </w:pPr>
      <w:r>
        <w:rPr>
          <w:rFonts w:ascii="Arial" w:cs="Arial" w:eastAsia="Arial" w:hAnsi="Arial"/>
          <w:sz w:val="13"/>
          <w:szCs w:val="13"/>
          <w:color w:val="auto"/>
        </w:rPr>
        <w:t xml:space="preserve">Throughout this Circular, including in the </w:t>
      </w:r>
      <w:r>
        <w:rPr>
          <w:rFonts w:ascii="Arial" w:cs="Arial" w:eastAsia="Arial" w:hAnsi="Arial"/>
          <w:sz w:val="13"/>
          <w:szCs w:val="13"/>
          <w:i w:val="1"/>
          <w:iCs w:val="1"/>
          <w:color w:val="auto"/>
        </w:rPr>
        <w:t>Corporate Governance</w:t>
      </w:r>
      <w:r>
        <w:rPr>
          <w:rFonts w:ascii="Arial" w:cs="Arial" w:eastAsia="Arial" w:hAnsi="Arial"/>
          <w:sz w:val="13"/>
          <w:szCs w:val="13"/>
          <w:color w:val="auto"/>
        </w:rPr>
        <w:t xml:space="preserve"> section above and the </w:t>
      </w:r>
      <w:r>
        <w:rPr>
          <w:rFonts w:ascii="Arial" w:cs="Arial" w:eastAsia="Arial" w:hAnsi="Arial"/>
          <w:sz w:val="13"/>
          <w:szCs w:val="13"/>
          <w:i w:val="1"/>
          <w:iCs w:val="1"/>
          <w:color w:val="auto"/>
        </w:rPr>
        <w:t>Compensation</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Discussion and Analysis </w:t>
      </w:r>
      <w:r>
        <w:rPr>
          <w:rFonts w:ascii="Arial" w:cs="Arial" w:eastAsia="Arial" w:hAnsi="Arial"/>
          <w:sz w:val="13"/>
          <w:szCs w:val="13"/>
          <w:color w:val="auto"/>
        </w:rPr>
        <w:t>section below, we outline our governance practices, including those relating to</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board renewal and diversity, shareholder engagement and compensation matters. Detailed information regarding many of our ESG efforts is available in our Sustainability Report, which can be found on our website: </w:t>
      </w:r>
      <w:r>
        <w:rPr>
          <w:rFonts w:ascii="Arial" w:cs="Arial" w:eastAsia="Arial" w:hAnsi="Arial"/>
          <w:sz w:val="13"/>
          <w:szCs w:val="13"/>
          <w:u w:val="single" w:color="auto"/>
          <w:color w:val="auto"/>
        </w:rPr>
        <w:t>www.celestica.com</w:t>
      </w:r>
      <w:r>
        <w:rPr>
          <w:rFonts w:ascii="Arial" w:cs="Arial" w:eastAsia="Arial" w:hAnsi="Arial"/>
          <w:sz w:val="13"/>
          <w:szCs w:val="13"/>
          <w:color w:val="auto"/>
        </w:rPr>
        <w:t>, under the “Sustainability” section of the “About Us” tab (information on our website is not incorporated by reference into this Circular). Highlights of our approach and commitment to ESG matters are described below.</w:t>
      </w:r>
    </w:p>
    <w:p>
      <w:pPr>
        <w:spacing w:after="0" w:line="135"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COVID-19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38100</wp:posOffset>
            </wp:positionV>
            <wp:extent cx="3843655"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843655" cy="635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50800</wp:posOffset>
            </wp:positionV>
            <wp:extent cx="3843655"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210" w:lineRule="exact"/>
        <w:rPr>
          <w:sz w:val="20"/>
          <w:szCs w:val="20"/>
          <w:color w:val="auto"/>
        </w:rPr>
      </w:pPr>
    </w:p>
    <w:p>
      <w:pPr>
        <w:jc w:val="both"/>
        <w:ind w:left="1480" w:right="1499"/>
        <w:spacing w:after="0" w:line="259" w:lineRule="auto"/>
        <w:rPr>
          <w:sz w:val="20"/>
          <w:szCs w:val="20"/>
          <w:color w:val="auto"/>
        </w:rPr>
      </w:pPr>
      <w:r>
        <w:rPr>
          <w:rFonts w:ascii="Arial" w:cs="Arial" w:eastAsia="Arial" w:hAnsi="Arial"/>
          <w:sz w:val="13"/>
          <w:szCs w:val="13"/>
          <w:color w:val="auto"/>
        </w:rPr>
        <w:t>Celestica swiftly established a COVID-19 response committee in early 2020, which included members of our regional human resources, health and safety, IT and operations teams. Our first priority was (and continues to be) the health and safety of our employees, while continuing to serve our global customers, and in connection therewith we provide cleaning supplies, personal protective equipment (“</w:t>
      </w:r>
      <w:r>
        <w:rPr>
          <w:rFonts w:ascii="Arial" w:cs="Arial" w:eastAsia="Arial" w:hAnsi="Arial"/>
          <w:sz w:val="13"/>
          <w:szCs w:val="13"/>
          <w:b w:val="1"/>
          <w:bCs w:val="1"/>
          <w:color w:val="auto"/>
        </w:rPr>
        <w:t>PPE</w:t>
      </w:r>
      <w:r>
        <w:rPr>
          <w:rFonts w:ascii="Arial" w:cs="Arial" w:eastAsia="Arial" w:hAnsi="Arial"/>
          <w:sz w:val="13"/>
          <w:szCs w:val="13"/>
          <w:color w:val="auto"/>
        </w:rPr>
        <w:t>”), and IT-related services to support work-from-home arrangements. We continue to follow the requirements of governmental authorities and are taking preventative and protective measures to prioritize the safety of our employees, including a range of health and safety protocols such as a cessation of employee travel (other than very limited essential inter-regional travel), a global work-from-home policy for applicable employees, and for all other employees: physical distancing, enhanced screening, mandatory mask and use of other PPE, and shift splitting.</w:t>
      </w: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9" w:name="page40"/>
    <w:bookmarkEnd w:id="39"/>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71"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Environmental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38100</wp:posOffset>
            </wp:positionV>
            <wp:extent cx="3843655"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843655" cy="635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50800</wp:posOffset>
            </wp:positionV>
            <wp:extent cx="3843655"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200" w:lineRule="exact"/>
        <w:rPr>
          <w:sz w:val="20"/>
          <w:szCs w:val="20"/>
          <w:color w:val="auto"/>
        </w:rPr>
      </w:pPr>
    </w:p>
    <w:p>
      <w:pPr>
        <w:jc w:val="both"/>
        <w:ind w:left="1480" w:right="1499"/>
        <w:spacing w:after="0" w:line="247" w:lineRule="auto"/>
        <w:rPr>
          <w:sz w:val="20"/>
          <w:szCs w:val="20"/>
          <w:color w:val="auto"/>
        </w:rPr>
      </w:pPr>
      <w:r>
        <w:rPr>
          <w:rFonts w:ascii="Arial" w:cs="Arial" w:eastAsia="Arial" w:hAnsi="Arial"/>
          <w:sz w:val="13"/>
          <w:szCs w:val="13"/>
          <w:color w:val="auto"/>
        </w:rPr>
        <w:t>We are committed to driving sustainability initiatives through collaboration with our employees, customers, suppliers and local communities. Our Sustainability Report, which is published annually, outlines our sustainability strategy, the progress we have made as a socially responsible organization, and the key activities and milestones we are working to achieve for each of our focus areas: our planet, our products and services, our people, and our communities.</w:t>
      </w:r>
    </w:p>
    <w:p>
      <w:pPr>
        <w:spacing w:after="0" w:line="57" w:lineRule="exact"/>
        <w:rPr>
          <w:sz w:val="20"/>
          <w:szCs w:val="20"/>
          <w:color w:val="auto"/>
        </w:rPr>
      </w:pPr>
    </w:p>
    <w:p>
      <w:pPr>
        <w:jc w:val="both"/>
        <w:ind w:left="1480" w:right="1499"/>
        <w:spacing w:after="0" w:line="269" w:lineRule="auto"/>
        <w:rPr>
          <w:sz w:val="20"/>
          <w:szCs w:val="20"/>
          <w:color w:val="auto"/>
        </w:rPr>
      </w:pPr>
      <w:r>
        <w:rPr>
          <w:rFonts w:ascii="Arial" w:cs="Arial" w:eastAsia="Arial" w:hAnsi="Arial"/>
          <w:sz w:val="13"/>
          <w:szCs w:val="13"/>
          <w:color w:val="auto"/>
        </w:rPr>
        <w:t>At Celestica, we strive to minimize the impact of our operations on the environment by working to make our infrastructure sustainable and by reducing our greenhouse gas (“</w:t>
      </w:r>
      <w:r>
        <w:rPr>
          <w:rFonts w:ascii="Arial" w:cs="Arial" w:eastAsia="Arial" w:hAnsi="Arial"/>
          <w:sz w:val="13"/>
          <w:szCs w:val="13"/>
          <w:b w:val="1"/>
          <w:bCs w:val="1"/>
          <w:color w:val="auto"/>
        </w:rPr>
        <w:t>GHG</w:t>
      </w:r>
      <w:r>
        <w:rPr>
          <w:rFonts w:ascii="Arial" w:cs="Arial" w:eastAsia="Arial" w:hAnsi="Arial"/>
          <w:sz w:val="13"/>
          <w:szCs w:val="13"/>
          <w:color w:val="auto"/>
        </w:rPr>
        <w:t>”) emissions.</w:t>
      </w:r>
    </w:p>
    <w:p>
      <w:pPr>
        <w:spacing w:after="0" w:line="43" w:lineRule="exact"/>
        <w:rPr>
          <w:sz w:val="20"/>
          <w:szCs w:val="20"/>
          <w:color w:val="auto"/>
        </w:rPr>
      </w:pPr>
    </w:p>
    <w:p>
      <w:pPr>
        <w:jc w:val="both"/>
        <w:ind w:left="1480" w:right="1499"/>
        <w:spacing w:after="0" w:line="247" w:lineRule="auto"/>
        <w:rPr>
          <w:sz w:val="20"/>
          <w:szCs w:val="20"/>
          <w:color w:val="auto"/>
        </w:rPr>
      </w:pPr>
      <w:r>
        <w:rPr>
          <w:rFonts w:ascii="Arial" w:cs="Arial" w:eastAsia="Arial" w:hAnsi="Arial"/>
          <w:sz w:val="13"/>
          <w:szCs w:val="13"/>
          <w:color w:val="auto"/>
        </w:rPr>
        <w:t>Since 2009, Celestica has published annual reports documenting our corporate social responsibility programs and environmental sustainability initiatives. We currently report in accordance with the guidance of the Global Reporting Initiative (GRI), and plan to also issue future reports in accordance with additional standards such as those of the Sustainability Accounting Standards Board (SASB) and the Task Force on Climate-related Financial Disclosures (TCFD).</w:t>
      </w:r>
    </w:p>
    <w:p>
      <w:pPr>
        <w:spacing w:after="0" w:line="57" w:lineRule="exact"/>
        <w:rPr>
          <w:sz w:val="20"/>
          <w:szCs w:val="20"/>
          <w:color w:val="auto"/>
        </w:rPr>
      </w:pPr>
    </w:p>
    <w:p>
      <w:pPr>
        <w:jc w:val="both"/>
        <w:ind w:left="1480" w:right="1499"/>
        <w:spacing w:after="0" w:line="245" w:lineRule="auto"/>
        <w:rPr>
          <w:sz w:val="20"/>
          <w:szCs w:val="20"/>
          <w:color w:val="auto"/>
        </w:rPr>
      </w:pPr>
      <w:r>
        <w:rPr>
          <w:rFonts w:ascii="Arial" w:cs="Arial" w:eastAsia="Arial" w:hAnsi="Arial"/>
          <w:sz w:val="13"/>
          <w:szCs w:val="13"/>
          <w:color w:val="auto"/>
        </w:rPr>
        <w:t>We are committed to reporting our GHG emissions annually and have included third -party assurance of our GHG emissions in our annual report since 2013. Since 2010, we have responded to the CDP (formerly the Carbon Disclosure Project) climate change questionnaire which enables engagement on environmental issues worldwide. Additionally in 2020, Celestica set a new GHG emissions reduction target through the Science Based Targets initiative (SBTi), which drives ambitious climate action by enabling companies to set science-based emissions reduction targets.</w:t>
      </w:r>
    </w:p>
    <w:p>
      <w:pPr>
        <w:spacing w:after="0" w:line="60" w:lineRule="exact"/>
        <w:rPr>
          <w:sz w:val="20"/>
          <w:szCs w:val="20"/>
          <w:color w:val="auto"/>
        </w:rPr>
      </w:pPr>
    </w:p>
    <w:p>
      <w:pPr>
        <w:jc w:val="both"/>
        <w:ind w:left="1480" w:right="1499"/>
        <w:spacing w:after="0" w:line="247" w:lineRule="auto"/>
        <w:rPr>
          <w:sz w:val="20"/>
          <w:szCs w:val="20"/>
          <w:color w:val="auto"/>
        </w:rPr>
      </w:pPr>
      <w:r>
        <w:rPr>
          <w:rFonts w:ascii="Arial" w:cs="Arial" w:eastAsia="Arial" w:hAnsi="Arial"/>
          <w:sz w:val="13"/>
          <w:szCs w:val="13"/>
          <w:color w:val="auto"/>
        </w:rPr>
        <w:t>We have adopted the United Nations Sustainable Development Goals as part of our sustainability strategy as well as a Conflict Minerals Policy in accordance with the Dodd-Frank Wall Street Reform and Consumer Protection Act. We fully support the objectives of the conflict minerals legislation, which aims to minimize violence in the Democratic Republic of Congo and adjoining countries, and expect our suppliers to provide all necessary declarations.</w:t>
      </w:r>
    </w:p>
    <w:p>
      <w:pPr>
        <w:spacing w:after="0" w:line="141"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Diversity and Inclusion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38100</wp:posOffset>
            </wp:positionV>
            <wp:extent cx="3843655"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43655" cy="635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50800</wp:posOffset>
            </wp:positionV>
            <wp:extent cx="3843655"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200" w:lineRule="exact"/>
        <w:rPr>
          <w:sz w:val="20"/>
          <w:szCs w:val="20"/>
          <w:color w:val="auto"/>
        </w:rPr>
      </w:pPr>
    </w:p>
    <w:p>
      <w:pPr>
        <w:jc w:val="both"/>
        <w:ind w:left="1480" w:right="1499"/>
        <w:spacing w:after="0" w:line="257" w:lineRule="auto"/>
        <w:rPr>
          <w:sz w:val="20"/>
          <w:szCs w:val="20"/>
          <w:color w:val="auto"/>
        </w:rPr>
      </w:pPr>
      <w:r>
        <w:rPr>
          <w:rFonts w:ascii="Arial" w:cs="Arial" w:eastAsia="Arial" w:hAnsi="Arial"/>
          <w:sz w:val="13"/>
          <w:szCs w:val="13"/>
          <w:color w:val="auto"/>
        </w:rPr>
        <w:t>We believe in building an inclusive culture that encourages diversity of thought and attributes while allowing employees to thrive, be valued and celebrated. This includes but is not limited to gender, race, age, ethnicity, religious or cultural background, disability, marital or family status, sexual orientation, gender identity, education, experiences, perspectives, language and other areas of potential difference. In furtherance of these beliefs, the Corporation has adopted a Diversity and Inclusion Policy under which we are committed to providing a work environment in which everyone feels accepted and valued, by being treated fairly and with respect across the enterprise. The Corporation’s Diversity and Inclusion Steering Committee (“</w:t>
      </w:r>
      <w:r>
        <w:rPr>
          <w:rFonts w:ascii="Arial" w:cs="Arial" w:eastAsia="Arial" w:hAnsi="Arial"/>
          <w:sz w:val="13"/>
          <w:szCs w:val="13"/>
          <w:b w:val="1"/>
          <w:bCs w:val="1"/>
          <w:color w:val="auto"/>
        </w:rPr>
        <w:t>D&amp;I Steering Committee</w:t>
      </w:r>
      <w:r>
        <w:rPr>
          <w:rFonts w:ascii="Arial" w:cs="Arial" w:eastAsia="Arial" w:hAnsi="Arial"/>
          <w:sz w:val="13"/>
          <w:szCs w:val="13"/>
          <w:color w:val="auto"/>
        </w:rPr>
        <w:t>”) is comprised of five members of senior management and is co-chaired by the CEO and Chief Human Resources Officer. The D&amp;I Steering Committee oversees diversity and inclusion at Celestica and ensures that diversity and inclusion are incorporated into Celestica’s culture, workplace and talent practices. The D&amp;I Steering Committee has designated a Diversity and Inclusion Committee (“</w:t>
      </w:r>
      <w:r>
        <w:rPr>
          <w:rFonts w:ascii="Arial" w:cs="Arial" w:eastAsia="Arial" w:hAnsi="Arial"/>
          <w:sz w:val="13"/>
          <w:szCs w:val="13"/>
          <w:b w:val="1"/>
          <w:bCs w:val="1"/>
          <w:color w:val="auto"/>
        </w:rPr>
        <w:t>D&amp;I Committee</w:t>
      </w:r>
      <w:r>
        <w:rPr>
          <w:rFonts w:ascii="Arial" w:cs="Arial" w:eastAsia="Arial" w:hAnsi="Arial"/>
          <w:sz w:val="13"/>
          <w:szCs w:val="13"/>
          <w:color w:val="auto"/>
        </w:rPr>
        <w:t>”) for the purpose of developing and promoting diversity. The D&amp;I Committee is comprised of members designated by the D&amp;I Steering Committee taking into account the diversity attributes, representation from various levels of roles and responsibilities within Celestica and other factors they determine to be relevant for purposes of ensuring diverse and inclusive representation on the D&amp;I Committee.</w:t>
      </w:r>
    </w:p>
    <w:p>
      <w:pPr>
        <w:spacing w:after="0" w:line="67"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During 2020, the following actions were taken with respect to diversity and inclusion at Celestica:</w:t>
      </w:r>
    </w:p>
    <w:p>
      <w:pPr>
        <w:spacing w:after="0" w:line="89" w:lineRule="exact"/>
        <w:rPr>
          <w:sz w:val="20"/>
          <w:szCs w:val="20"/>
          <w:color w:val="auto"/>
        </w:rPr>
      </w:pPr>
    </w:p>
    <w:p>
      <w:pPr>
        <w:ind w:left="1880" w:right="1499" w:hanging="137"/>
        <w:spacing w:after="0" w:line="285" w:lineRule="auto"/>
        <w:tabs>
          <w:tab w:leader="none" w:pos="18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Appointed a Diversity and Inclusion Leader to drive the Corporation’s diversity and inclusion strategy.</w:t>
      </w:r>
    </w:p>
    <w:p>
      <w:pPr>
        <w:spacing w:after="0" w:line="39" w:lineRule="exact"/>
        <w:rPr>
          <w:rFonts w:ascii="Arial" w:cs="Arial" w:eastAsia="Arial" w:hAnsi="Arial"/>
          <w:sz w:val="13"/>
          <w:szCs w:val="13"/>
          <w:color w:val="auto"/>
        </w:rPr>
      </w:pPr>
    </w:p>
    <w:p>
      <w:pPr>
        <w:jc w:val="both"/>
        <w:ind w:left="1880" w:right="1499" w:hanging="137"/>
        <w:spacing w:after="0" w:line="263" w:lineRule="auto"/>
        <w:tabs>
          <w:tab w:leader="none" w:pos="18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Launched a global Diversity and Inclusion survey (“</w:t>
      </w:r>
      <w:r>
        <w:rPr>
          <w:rFonts w:ascii="Arial" w:cs="Arial" w:eastAsia="Arial" w:hAnsi="Arial"/>
          <w:sz w:val="13"/>
          <w:szCs w:val="13"/>
          <w:b w:val="1"/>
          <w:bCs w:val="1"/>
          <w:color w:val="auto"/>
        </w:rPr>
        <w:t>D&amp;I Survey</w:t>
      </w:r>
      <w:r>
        <w:rPr>
          <w:rFonts w:ascii="Arial" w:cs="Arial" w:eastAsia="Arial" w:hAnsi="Arial"/>
          <w:sz w:val="13"/>
          <w:szCs w:val="13"/>
          <w:color w:val="auto"/>
        </w:rPr>
        <w:t>”) which provided employees with the opportunity to anonymously provide their perspectives on diversity and inclusion at Celestica, and provided a baseline to measure future progress. The D&amp;I Survey had a strong response rate with 83% of our employees participating. We have reviewed the survey data and identified 10 key focus areas. We are currently in the process of developing action plans in order to implement enhancements in our diversity policies and practices.</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0" w:name="page41"/>
    <w:bookmarkEnd w:id="40"/>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97" w:lineRule="exact"/>
        <w:rPr>
          <w:sz w:val="20"/>
          <w:szCs w:val="20"/>
          <w:color w:val="auto"/>
        </w:rPr>
      </w:pPr>
    </w:p>
    <w:p>
      <w:pPr>
        <w:jc w:val="both"/>
        <w:ind w:left="1880" w:right="1499" w:hanging="137"/>
        <w:spacing w:after="0" w:line="280" w:lineRule="auto"/>
        <w:tabs>
          <w:tab w:leader="none" w:pos="1880" w:val="left"/>
        </w:tabs>
        <w:numPr>
          <w:ilvl w:val="0"/>
          <w:numId w:val="66"/>
        </w:numPr>
        <w:rPr>
          <w:rFonts w:ascii="Arial" w:cs="Arial" w:eastAsia="Arial" w:hAnsi="Arial"/>
          <w:sz w:val="12"/>
          <w:szCs w:val="12"/>
          <w:color w:val="auto"/>
        </w:rPr>
      </w:pPr>
      <w:r>
        <w:rPr>
          <w:rFonts w:ascii="Arial" w:cs="Arial" w:eastAsia="Arial" w:hAnsi="Arial"/>
          <w:sz w:val="12"/>
          <w:szCs w:val="12"/>
          <w:color w:val="auto"/>
        </w:rPr>
        <w:t>Our CEO signed the CEO Action for Diversity &amp; Inclusion Pledge, the largest CEO-driven business initiative for advancing diversity and inclusion within all organizations. Through this pledge, Mr. Mionis has committed to: (1) creating a workplace that supports complex, and sometimes difficult, conversations about diversity and inclusion; (2) implementing unconscious bias education to help us to begin recognizing, acknowledging, and therefore minimizing any potential blind spots;</w:t>
      </w:r>
    </w:p>
    <w:p>
      <w:pPr>
        <w:jc w:val="both"/>
        <w:ind w:left="1880" w:right="1499" w:hanging="4"/>
        <w:spacing w:after="0" w:line="263" w:lineRule="auto"/>
        <w:tabs>
          <w:tab w:leader="none" w:pos="2085" w:val="left"/>
        </w:tabs>
        <w:numPr>
          <w:ilvl w:val="1"/>
          <w:numId w:val="66"/>
        </w:numPr>
        <w:rPr>
          <w:rFonts w:ascii="Arial" w:cs="Arial" w:eastAsia="Arial" w:hAnsi="Arial"/>
          <w:sz w:val="13"/>
          <w:szCs w:val="13"/>
          <w:color w:val="auto"/>
        </w:rPr>
      </w:pPr>
      <w:r>
        <w:rPr>
          <w:rFonts w:ascii="Arial" w:cs="Arial" w:eastAsia="Arial" w:hAnsi="Arial"/>
          <w:sz w:val="13"/>
          <w:szCs w:val="13"/>
          <w:color w:val="auto"/>
        </w:rPr>
        <w:t>sharing what works and what does not work with leaders at other companies who are committed to diversity and inclusion; and (4) creating and sharing strategic diversity and inclusion plans with our Board of Directors to drive accountability.</w:t>
      </w:r>
    </w:p>
    <w:p>
      <w:pPr>
        <w:spacing w:after="0" w:line="57" w:lineRule="exact"/>
        <w:rPr>
          <w:sz w:val="20"/>
          <w:szCs w:val="20"/>
          <w:color w:val="auto"/>
        </w:rPr>
      </w:pPr>
    </w:p>
    <w:p>
      <w:pPr>
        <w:jc w:val="both"/>
        <w:ind w:left="1480" w:right="1499"/>
        <w:spacing w:after="0" w:line="269" w:lineRule="auto"/>
        <w:rPr>
          <w:sz w:val="20"/>
          <w:szCs w:val="20"/>
          <w:color w:val="auto"/>
        </w:rPr>
      </w:pPr>
      <w:r>
        <w:rPr>
          <w:rFonts w:ascii="Arial" w:cs="Arial" w:eastAsia="Arial" w:hAnsi="Arial"/>
          <w:sz w:val="13"/>
          <w:szCs w:val="13"/>
          <w:color w:val="auto"/>
        </w:rPr>
        <w:t xml:space="preserve">Further, the Board adopted the Board Diversity Policy which is described above under </w:t>
      </w:r>
      <w:r>
        <w:rPr>
          <w:rFonts w:ascii="Arial" w:cs="Arial" w:eastAsia="Arial" w:hAnsi="Arial"/>
          <w:sz w:val="13"/>
          <w:szCs w:val="13"/>
          <w:i w:val="1"/>
          <w:iCs w:val="1"/>
          <w:color w:val="auto"/>
        </w:rPr>
        <w:t>Corporate</w:t>
      </w:r>
      <w:r>
        <w:rPr>
          <w:rFonts w:ascii="Arial" w:cs="Arial" w:eastAsia="Arial" w:hAnsi="Arial"/>
          <w:sz w:val="13"/>
          <w:szCs w:val="13"/>
          <w:color w:val="auto"/>
        </w:rPr>
        <w:t xml:space="preserve"> </w:t>
      </w:r>
      <w:r>
        <w:rPr>
          <w:rFonts w:ascii="Arial" w:cs="Arial" w:eastAsia="Arial" w:hAnsi="Arial"/>
          <w:sz w:val="13"/>
          <w:szCs w:val="13"/>
          <w:i w:val="1"/>
          <w:iCs w:val="1"/>
          <w:color w:val="auto"/>
        </w:rPr>
        <w:t>Governance — Board Diversity.</w:t>
      </w:r>
    </w:p>
    <w:p>
      <w:pPr>
        <w:spacing w:after="0" w:line="43" w:lineRule="exact"/>
        <w:rPr>
          <w:sz w:val="20"/>
          <w:szCs w:val="20"/>
          <w:color w:val="auto"/>
        </w:rPr>
      </w:pPr>
    </w:p>
    <w:p>
      <w:pPr>
        <w:jc w:val="both"/>
        <w:ind w:left="1480" w:right="1499"/>
        <w:spacing w:after="0" w:line="263" w:lineRule="auto"/>
        <w:rPr>
          <w:sz w:val="20"/>
          <w:szCs w:val="20"/>
          <w:color w:val="auto"/>
        </w:rPr>
      </w:pPr>
      <w:r>
        <w:rPr>
          <w:rFonts w:ascii="Arial" w:cs="Arial" w:eastAsia="Arial" w:hAnsi="Arial"/>
          <w:sz w:val="12"/>
          <w:szCs w:val="12"/>
          <w:color w:val="auto"/>
        </w:rPr>
        <w:t>The Board and management believe the presence of qualified and diverse individuals in executive positions within the Corporation and its subsidiaries is important to ensure that the profiles of senior management provide the necessary range of perspectives, experience and expertise required to achieve effective management. The Board recognizes the significant role that women with appropriate and relevant skills and experience play in contributing to diversity of perspective in senior management roles. The Corporation has initiatives to raise awareness and support the advancement of women, including the Women’s Collaboration Forum and Women in Action Forum. The mission of the Women’s Collaboration Forum is to develop and enable women, engage men, and create an organization that promotes an inclusive and diverse environment. The Women In Action Forum is a learning solution grounded in research and developed to enrich leadership traits and skills in women. The Corporation has adopted an equal opportunity policy which prohibits employment related decisions based on or affected by prohibited factors, including an employee’s gender. Accordingly, the Corporation does not specifically consider the level of representation of women in executive officer positions when making executive officer appointments and has not established a target regarding the number of women in senior executive positions.</w:t>
      </w:r>
    </w:p>
    <w:p>
      <w:pPr>
        <w:spacing w:after="0" w:line="204" w:lineRule="exact"/>
        <w:rPr>
          <w:sz w:val="20"/>
          <w:szCs w:val="20"/>
          <w:color w:val="auto"/>
        </w:rPr>
      </w:pPr>
    </w:p>
    <w:p>
      <w:pPr>
        <w:jc w:val="both"/>
        <w:ind w:left="1480" w:right="1499"/>
        <w:spacing w:after="0" w:line="259" w:lineRule="auto"/>
        <w:rPr>
          <w:sz w:val="20"/>
          <w:szCs w:val="20"/>
          <w:color w:val="auto"/>
        </w:rPr>
      </w:pPr>
      <w:r>
        <w:rPr>
          <w:rFonts w:ascii="Arial" w:cs="Arial" w:eastAsia="Arial" w:hAnsi="Arial"/>
          <w:sz w:val="13"/>
          <w:szCs w:val="13"/>
          <w:color w:val="auto"/>
        </w:rPr>
        <w:t xml:space="preserve">Celestica’s executive leadership team is comprised of seven individuals, one of whom is a woman (however, none of the executive officers of the Corporation, including its major subsidiaries, are currently women). Three members of the executive leadership team self-identify as members of visible minorities and none self-identify as Aboriginal peoples or as persons with disabilities (each as defined under the </w:t>
      </w:r>
      <w:r>
        <w:rPr>
          <w:rFonts w:ascii="Arial" w:cs="Arial" w:eastAsia="Arial" w:hAnsi="Arial"/>
          <w:sz w:val="13"/>
          <w:szCs w:val="13"/>
          <w:i w:val="1"/>
          <w:iCs w:val="1"/>
          <w:color w:val="auto"/>
        </w:rPr>
        <w:t>Employment</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Equity Act </w:t>
      </w:r>
      <w:r>
        <w:rPr>
          <w:rFonts w:ascii="Arial" w:cs="Arial" w:eastAsia="Arial" w:hAnsi="Arial"/>
          <w:sz w:val="13"/>
          <w:szCs w:val="13"/>
          <w:color w:val="auto"/>
        </w:rPr>
        <w:t>(Canada)). We do not establish specific diversity targets at the executive level due to the need to</w:t>
      </w:r>
      <w:r>
        <w:rPr>
          <w:rFonts w:ascii="Arial" w:cs="Arial" w:eastAsia="Arial" w:hAnsi="Arial"/>
          <w:sz w:val="13"/>
          <w:szCs w:val="13"/>
          <w:i w:val="1"/>
          <w:iCs w:val="1"/>
          <w:color w:val="auto"/>
        </w:rPr>
        <w:t xml:space="preserve"> </w:t>
      </w:r>
      <w:r>
        <w:rPr>
          <w:rFonts w:ascii="Arial" w:cs="Arial" w:eastAsia="Arial" w:hAnsi="Arial"/>
          <w:sz w:val="13"/>
          <w:szCs w:val="13"/>
          <w:color w:val="auto"/>
        </w:rPr>
        <w:t>carefully consider a broad range of criteria, most importantly, the appropriate matching of business needs to drive long-term value for our stakeholders and the proven skills and capabilities of new appointees. However, the level of representation from diverse groups is a criteria that will be given due consideration when identifying candidates for the executive leadership team.</w:t>
      </w:r>
    </w:p>
    <w:p>
      <w:pPr>
        <w:spacing w:after="0" w:line="135"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Shareholder and Stakeholder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38100</wp:posOffset>
            </wp:positionV>
            <wp:extent cx="3843655"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43655" cy="635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50800</wp:posOffset>
            </wp:positionV>
            <wp:extent cx="3843655"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210" w:lineRule="exact"/>
        <w:rPr>
          <w:sz w:val="20"/>
          <w:szCs w:val="20"/>
          <w:color w:val="auto"/>
        </w:rPr>
      </w:pPr>
    </w:p>
    <w:p>
      <w:pPr>
        <w:jc w:val="both"/>
        <w:ind w:left="1480" w:right="1499"/>
        <w:spacing w:after="0" w:line="263" w:lineRule="auto"/>
        <w:rPr>
          <w:sz w:val="20"/>
          <w:szCs w:val="20"/>
          <w:color w:val="auto"/>
        </w:rPr>
      </w:pPr>
      <w:r>
        <w:rPr>
          <w:rFonts w:ascii="Arial" w:cs="Arial" w:eastAsia="Arial" w:hAnsi="Arial"/>
          <w:sz w:val="13"/>
          <w:szCs w:val="13"/>
          <w:color w:val="auto"/>
        </w:rPr>
        <w:t>Celestica’s shareholder engagement program has evolved over the last three years during which time our Investor Relations team has identified new approaches for engaging with shareholders and stakeholders. We actively engage with the broad investment community, including shareholders, sell-side analysts and shareholder advocacy groups. Over the last year, we have engaged in the following initiatives, among others:</w:t>
      </w:r>
    </w:p>
    <w:p>
      <w:pPr>
        <w:spacing w:after="0" w:line="31" w:lineRule="exact"/>
        <w:rPr>
          <w:sz w:val="20"/>
          <w:szCs w:val="20"/>
          <w:color w:val="auto"/>
        </w:rPr>
      </w:pPr>
    </w:p>
    <w:tbl>
      <w:tblPr>
        <w:tblLayout w:type="fixed"/>
        <w:tblInd w:w="1490" w:type="dxa"/>
        <w:tblCellMar>
          <w:top w:w="0" w:type="dxa"/>
          <w:left w:w="0" w:type="dxa"/>
          <w:bottom w:w="0" w:type="dxa"/>
          <w:right w:w="0" w:type="dxa"/>
        </w:tblCellMar>
      </w:tblPr>
      <w:tr>
        <w:trPr>
          <w:trHeight w:val="45"/>
        </w:trPr>
        <w:tc>
          <w:tcPr>
            <w:tcW w:w="180" w:type="dxa"/>
            <w:vAlign w:val="bottom"/>
            <w:tcBorders>
              <w:top w:val="single" w:sz="8" w:color="auto"/>
              <w:bottom w:val="single" w:sz="8" w:color="auto"/>
            </w:tcBorders>
          </w:tcPr>
          <w:p>
            <w:pPr>
              <w:spacing w:after="0"/>
              <w:rPr>
                <w:sz w:val="3"/>
                <w:szCs w:val="3"/>
                <w:color w:val="auto"/>
              </w:rPr>
            </w:pPr>
          </w:p>
        </w:tc>
        <w:tc>
          <w:tcPr>
            <w:tcW w:w="2820" w:type="dxa"/>
            <w:vAlign w:val="bottom"/>
            <w:tcBorders>
              <w:top w:val="single" w:sz="8" w:color="auto"/>
              <w:bottom w:val="single" w:sz="8" w:color="auto"/>
            </w:tcBorders>
          </w:tcPr>
          <w:p>
            <w:pPr>
              <w:spacing w:after="0"/>
              <w:rPr>
                <w:sz w:val="3"/>
                <w:szCs w:val="3"/>
                <w:color w:val="auto"/>
              </w:rPr>
            </w:pPr>
          </w:p>
        </w:tc>
        <w:tc>
          <w:tcPr>
            <w:tcW w:w="302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3000" w:type="dxa"/>
            <w:vAlign w:val="bottom"/>
            <w:tcBorders>
              <w:left w:val="single" w:sz="8" w:color="auto"/>
            </w:tcBorders>
            <w:gridSpan w:val="2"/>
          </w:tcPr>
          <w:p>
            <w:pPr>
              <w:ind w:left="100"/>
              <w:spacing w:after="0"/>
              <w:rPr>
                <w:sz w:val="20"/>
                <w:szCs w:val="20"/>
                <w:color w:val="auto"/>
              </w:rPr>
            </w:pPr>
            <w:r>
              <w:rPr>
                <w:rFonts w:ascii="Arial" w:cs="Arial" w:eastAsia="Arial" w:hAnsi="Arial"/>
                <w:sz w:val="13"/>
                <w:szCs w:val="13"/>
                <w:color w:val="auto"/>
              </w:rPr>
              <w:t>•  management regularly engaged in meaningful</w:t>
            </w:r>
          </w:p>
        </w:tc>
        <w:tc>
          <w:tcPr>
            <w:tcW w:w="30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w w:val="97"/>
              </w:rPr>
              <w:t>•  management hosted a virtual analyst and investor</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180" w:type="dxa"/>
            <w:vAlign w:val="bottom"/>
            <w:tcBorders>
              <w:left w:val="single" w:sz="8" w:color="auto"/>
            </w:tcBorders>
          </w:tcPr>
          <w:p>
            <w:pPr>
              <w:spacing w:after="0"/>
              <w:rPr>
                <w:sz w:val="12"/>
                <w:szCs w:val="12"/>
                <w:color w:val="auto"/>
              </w:rPr>
            </w:pPr>
          </w:p>
        </w:tc>
        <w:tc>
          <w:tcPr>
            <w:tcW w:w="2820" w:type="dxa"/>
            <w:vAlign w:val="bottom"/>
          </w:tcPr>
          <w:p>
            <w:pPr>
              <w:ind w:left="40"/>
              <w:spacing w:after="0" w:line="146" w:lineRule="exact"/>
              <w:rPr>
                <w:sz w:val="20"/>
                <w:szCs w:val="20"/>
                <w:color w:val="auto"/>
              </w:rPr>
            </w:pPr>
            <w:r>
              <w:rPr>
                <w:rFonts w:ascii="Arial" w:cs="Arial" w:eastAsia="Arial" w:hAnsi="Arial"/>
                <w:sz w:val="13"/>
                <w:szCs w:val="13"/>
                <w:color w:val="auto"/>
              </w:rPr>
              <w:t>dialogue with shareholders through quarterly</w:t>
            </w:r>
          </w:p>
        </w:tc>
        <w:tc>
          <w:tcPr>
            <w:tcW w:w="3020" w:type="dxa"/>
            <w:vAlign w:val="bottom"/>
            <w:tcBorders>
              <w:right w:val="single" w:sz="8" w:color="auto"/>
            </w:tcBorders>
          </w:tcPr>
          <w:p>
            <w:pPr>
              <w:ind w:left="220"/>
              <w:spacing w:after="0" w:line="146" w:lineRule="exact"/>
              <w:rPr>
                <w:sz w:val="20"/>
                <w:szCs w:val="20"/>
                <w:color w:val="auto"/>
              </w:rPr>
            </w:pPr>
            <w:r>
              <w:rPr>
                <w:rFonts w:ascii="Arial" w:cs="Arial" w:eastAsia="Arial" w:hAnsi="Arial"/>
                <w:sz w:val="13"/>
                <w:szCs w:val="13"/>
                <w:color w:val="auto"/>
              </w:rPr>
              <w:t>meeting to provide an update on Celestica’s</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80" w:type="dxa"/>
            <w:vAlign w:val="bottom"/>
            <w:tcBorders>
              <w:left w:val="single" w:sz="8" w:color="auto"/>
            </w:tcBorders>
          </w:tcPr>
          <w:p>
            <w:pPr>
              <w:spacing w:after="0"/>
              <w:rPr>
                <w:sz w:val="13"/>
                <w:szCs w:val="13"/>
                <w:color w:val="auto"/>
              </w:rPr>
            </w:pPr>
          </w:p>
        </w:tc>
        <w:tc>
          <w:tcPr>
            <w:tcW w:w="2820" w:type="dxa"/>
            <w:vAlign w:val="bottom"/>
          </w:tcPr>
          <w:p>
            <w:pPr>
              <w:ind w:left="40"/>
              <w:spacing w:after="0"/>
              <w:rPr>
                <w:sz w:val="20"/>
                <w:szCs w:val="20"/>
                <w:color w:val="auto"/>
              </w:rPr>
            </w:pPr>
            <w:r>
              <w:rPr>
                <w:rFonts w:ascii="Arial" w:cs="Arial" w:eastAsia="Arial" w:hAnsi="Arial"/>
                <w:sz w:val="13"/>
                <w:szCs w:val="13"/>
                <w:color w:val="auto"/>
              </w:rPr>
              <w:t>earnings calls in order to review our quarterly</w:t>
            </w:r>
          </w:p>
        </w:tc>
        <w:tc>
          <w:tcPr>
            <w:tcW w:w="3020" w:type="dxa"/>
            <w:vAlign w:val="bottom"/>
            <w:tcBorders>
              <w:right w:val="single" w:sz="8" w:color="auto"/>
            </w:tcBorders>
          </w:tcPr>
          <w:p>
            <w:pPr>
              <w:ind w:left="220"/>
              <w:spacing w:after="0"/>
              <w:rPr>
                <w:sz w:val="20"/>
                <w:szCs w:val="20"/>
                <w:color w:val="auto"/>
              </w:rPr>
            </w:pPr>
            <w:r>
              <w:rPr>
                <w:rFonts w:ascii="Arial" w:cs="Arial" w:eastAsia="Arial" w:hAnsi="Arial"/>
                <w:sz w:val="13"/>
                <w:szCs w:val="13"/>
                <w:color w:val="auto"/>
              </w:rPr>
              <w:t>Hardware Platform Solutions (“</w:t>
            </w:r>
            <w:r>
              <w:rPr>
                <w:rFonts w:ascii="Arial" w:cs="Arial" w:eastAsia="Arial" w:hAnsi="Arial"/>
                <w:sz w:val="13"/>
                <w:szCs w:val="13"/>
                <w:b w:val="1"/>
                <w:bCs w:val="1"/>
                <w:color w:val="auto"/>
              </w:rPr>
              <w:t>HPS</w:t>
            </w:r>
            <w:r>
              <w:rPr>
                <w:rFonts w:ascii="Arial" w:cs="Arial" w:eastAsia="Arial" w:hAnsi="Arial"/>
                <w:sz w:val="13"/>
                <w:szCs w:val="13"/>
                <w:color w:val="auto"/>
              </w:rPr>
              <w:t>”) business</w:t>
            </w: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0" w:type="dxa"/>
            <w:vAlign w:val="bottom"/>
            <w:tcBorders>
              <w:left w:val="single" w:sz="8" w:color="auto"/>
            </w:tcBorders>
          </w:tcPr>
          <w:p>
            <w:pPr>
              <w:spacing w:after="0"/>
              <w:rPr>
                <w:sz w:val="12"/>
                <w:szCs w:val="12"/>
                <w:color w:val="auto"/>
              </w:rPr>
            </w:pPr>
          </w:p>
        </w:tc>
        <w:tc>
          <w:tcPr>
            <w:tcW w:w="2820" w:type="dxa"/>
            <w:vAlign w:val="bottom"/>
          </w:tcPr>
          <w:p>
            <w:pPr>
              <w:ind w:left="40"/>
              <w:spacing w:after="0"/>
              <w:rPr>
                <w:sz w:val="20"/>
                <w:szCs w:val="20"/>
                <w:color w:val="auto"/>
              </w:rPr>
            </w:pPr>
            <w:r>
              <w:rPr>
                <w:rFonts w:ascii="Arial" w:cs="Arial" w:eastAsia="Arial" w:hAnsi="Arial"/>
                <w:sz w:val="13"/>
                <w:szCs w:val="13"/>
                <w:color w:val="auto"/>
              </w:rPr>
              <w:t>financial and operating results</w:t>
            </w:r>
          </w:p>
        </w:tc>
        <w:tc>
          <w:tcPr>
            <w:tcW w:w="3020" w:type="dxa"/>
            <w:vAlign w:val="bottom"/>
            <w:tcBorders>
              <w:right w:val="single" w:sz="8" w:color="auto"/>
            </w:tcBorders>
          </w:tcPr>
          <w:p>
            <w:pPr>
              <w:ind w:left="220"/>
              <w:spacing w:after="0"/>
              <w:rPr>
                <w:sz w:val="20"/>
                <w:szCs w:val="20"/>
                <w:color w:val="auto"/>
              </w:rPr>
            </w:pPr>
            <w:r>
              <w:rPr>
                <w:rFonts w:ascii="Arial" w:cs="Arial" w:eastAsia="Arial" w:hAnsi="Arial"/>
                <w:sz w:val="13"/>
                <w:szCs w:val="13"/>
                <w:color w:val="auto"/>
              </w:rPr>
              <w:t>(previously referred to as Joint Design and</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80" w:type="dxa"/>
            <w:vAlign w:val="bottom"/>
            <w:tcBorders>
              <w:left w:val="single" w:sz="8" w:color="auto"/>
            </w:tcBorders>
            <w:vMerge w:val="restart"/>
          </w:tcPr>
          <w:p>
            <w:pPr>
              <w:ind w:left="100"/>
              <w:spacing w:after="0"/>
              <w:rPr>
                <w:sz w:val="20"/>
                <w:szCs w:val="20"/>
                <w:color w:val="auto"/>
              </w:rPr>
            </w:pPr>
            <w:r>
              <w:rPr>
                <w:rFonts w:ascii="Arial" w:cs="Arial" w:eastAsia="Arial" w:hAnsi="Arial"/>
                <w:sz w:val="13"/>
                <w:szCs w:val="13"/>
                <w:color w:val="auto"/>
              </w:rPr>
              <w:t>•</w:t>
            </w:r>
          </w:p>
        </w:tc>
        <w:tc>
          <w:tcPr>
            <w:tcW w:w="2820" w:type="dxa"/>
            <w:vAlign w:val="bottom"/>
            <w:vMerge w:val="restart"/>
          </w:tcPr>
          <w:p>
            <w:pPr>
              <w:ind w:left="40"/>
              <w:spacing w:after="0"/>
              <w:rPr>
                <w:sz w:val="20"/>
                <w:szCs w:val="20"/>
                <w:color w:val="auto"/>
              </w:rPr>
            </w:pPr>
            <w:r>
              <w:rPr>
                <w:rFonts w:ascii="Arial" w:cs="Arial" w:eastAsia="Arial" w:hAnsi="Arial"/>
                <w:sz w:val="13"/>
                <w:szCs w:val="13"/>
                <w:color w:val="auto"/>
              </w:rPr>
              <w:t>participated in five non-deal roadshows</w:t>
            </w:r>
          </w:p>
        </w:tc>
        <w:tc>
          <w:tcPr>
            <w:tcW w:w="3020" w:type="dxa"/>
            <w:vAlign w:val="bottom"/>
            <w:tcBorders>
              <w:right w:val="single" w:sz="8" w:color="auto"/>
            </w:tcBorders>
          </w:tcPr>
          <w:p>
            <w:pPr>
              <w:ind w:left="220"/>
              <w:spacing w:after="0"/>
              <w:rPr>
                <w:sz w:val="20"/>
                <w:szCs w:val="20"/>
                <w:color w:val="auto"/>
              </w:rPr>
            </w:pPr>
            <w:r>
              <w:rPr>
                <w:rFonts w:ascii="Arial" w:cs="Arial" w:eastAsia="Arial" w:hAnsi="Arial"/>
                <w:sz w:val="13"/>
                <w:szCs w:val="13"/>
                <w:color w:val="auto"/>
              </w:rPr>
              <w:t>Manufacturing)</w:t>
            </w: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180" w:type="dxa"/>
            <w:vAlign w:val="bottom"/>
            <w:tcBorders>
              <w:left w:val="single" w:sz="8" w:color="auto"/>
            </w:tcBorders>
            <w:vMerge w:val="continue"/>
          </w:tcPr>
          <w:p>
            <w:pPr>
              <w:spacing w:after="0"/>
              <w:rPr>
                <w:sz w:val="4"/>
                <w:szCs w:val="4"/>
                <w:color w:val="auto"/>
              </w:rPr>
            </w:pPr>
          </w:p>
        </w:tc>
        <w:tc>
          <w:tcPr>
            <w:tcW w:w="2820" w:type="dxa"/>
            <w:vAlign w:val="bottom"/>
            <w:vMerge w:val="continue"/>
          </w:tcPr>
          <w:p>
            <w:pPr>
              <w:spacing w:after="0"/>
              <w:rPr>
                <w:sz w:val="4"/>
                <w:szCs w:val="4"/>
                <w:color w:val="auto"/>
              </w:rPr>
            </w:pPr>
          </w:p>
        </w:tc>
        <w:tc>
          <w:tcPr>
            <w:tcW w:w="3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  participated in approximately 80 meetings with</w:t>
            </w:r>
          </w:p>
        </w:tc>
        <w:tc>
          <w:tcPr>
            <w:tcW w:w="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1"/>
        </w:trPr>
        <w:tc>
          <w:tcPr>
            <w:tcW w:w="180" w:type="dxa"/>
            <w:vAlign w:val="bottom"/>
            <w:tcBorders>
              <w:left w:val="single" w:sz="8" w:color="auto"/>
            </w:tcBorders>
          </w:tcPr>
          <w:p>
            <w:pPr>
              <w:ind w:left="100"/>
              <w:spacing w:after="0"/>
              <w:rPr>
                <w:sz w:val="20"/>
                <w:szCs w:val="20"/>
                <w:color w:val="auto"/>
              </w:rPr>
            </w:pPr>
            <w:r>
              <w:rPr>
                <w:rFonts w:ascii="Arial" w:cs="Arial" w:eastAsia="Arial" w:hAnsi="Arial"/>
                <w:sz w:val="13"/>
                <w:szCs w:val="13"/>
                <w:color w:val="auto"/>
              </w:rPr>
              <w:t>•</w:t>
            </w:r>
          </w:p>
        </w:tc>
        <w:tc>
          <w:tcPr>
            <w:tcW w:w="2820" w:type="dxa"/>
            <w:vAlign w:val="bottom"/>
          </w:tcPr>
          <w:p>
            <w:pPr>
              <w:ind w:left="40"/>
              <w:spacing w:after="0"/>
              <w:rPr>
                <w:sz w:val="20"/>
                <w:szCs w:val="20"/>
                <w:color w:val="auto"/>
              </w:rPr>
            </w:pPr>
            <w:r>
              <w:rPr>
                <w:rFonts w:ascii="Arial" w:cs="Arial" w:eastAsia="Arial" w:hAnsi="Arial"/>
                <w:sz w:val="13"/>
                <w:szCs w:val="13"/>
                <w:color w:val="auto"/>
                <w:w w:val="91"/>
              </w:rPr>
              <w:t>management presented at four investor conferences</w:t>
            </w:r>
          </w:p>
        </w:tc>
        <w:tc>
          <w:tcPr>
            <w:tcW w:w="3020" w:type="dxa"/>
            <w:vAlign w:val="bottom"/>
            <w:tcBorders>
              <w:right w:val="single" w:sz="8" w:color="auto"/>
            </w:tcBorders>
            <w:vMerge w:val="continue"/>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80" w:type="dxa"/>
            <w:vAlign w:val="bottom"/>
            <w:tcBorders>
              <w:left w:val="single" w:sz="8" w:color="auto"/>
              <w:bottom w:val="single" w:sz="8" w:color="auto"/>
            </w:tcBorders>
          </w:tcPr>
          <w:p>
            <w:pPr>
              <w:spacing w:after="0"/>
              <w:rPr>
                <w:sz w:val="16"/>
                <w:szCs w:val="16"/>
                <w:color w:val="auto"/>
              </w:rPr>
            </w:pPr>
          </w:p>
        </w:tc>
        <w:tc>
          <w:tcPr>
            <w:tcW w:w="2820" w:type="dxa"/>
            <w:vAlign w:val="bottom"/>
            <w:tcBorders>
              <w:bottom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3"/>
                <w:szCs w:val="13"/>
                <w:color w:val="auto"/>
              </w:rPr>
              <w:t>shareholders</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jc w:val="both"/>
        <w:ind w:left="1480" w:right="1499"/>
        <w:spacing w:after="0" w:line="270" w:lineRule="auto"/>
        <w:rPr>
          <w:sz w:val="20"/>
          <w:szCs w:val="20"/>
          <w:color w:val="auto"/>
        </w:rPr>
      </w:pPr>
      <w:r>
        <w:rPr>
          <w:rFonts w:ascii="Arial" w:cs="Arial" w:eastAsia="Arial" w:hAnsi="Arial"/>
          <w:sz w:val="13"/>
          <w:szCs w:val="13"/>
          <w:color w:val="auto"/>
        </w:rPr>
        <w:t>In January 2021, management provided a comprehensive update on our Investor Relations program to the Board. The Corporation also regularly engages with proxy advisory firms in order to identify executive compensation and governance topics of most interest to shareholders.</w:t>
      </w:r>
    </w:p>
    <w:p>
      <w:pPr>
        <w:spacing w:after="0" w:line="53" w:lineRule="exact"/>
        <w:rPr>
          <w:sz w:val="20"/>
          <w:szCs w:val="20"/>
          <w:color w:val="auto"/>
        </w:rPr>
      </w:pPr>
    </w:p>
    <w:p>
      <w:pPr>
        <w:jc w:val="both"/>
        <w:ind w:left="1480" w:right="1499"/>
        <w:spacing w:after="0" w:line="270" w:lineRule="auto"/>
        <w:rPr>
          <w:sz w:val="20"/>
          <w:szCs w:val="20"/>
          <w:color w:val="auto"/>
        </w:rPr>
      </w:pPr>
      <w:r>
        <w:rPr>
          <w:rFonts w:ascii="Arial" w:cs="Arial" w:eastAsia="Arial" w:hAnsi="Arial"/>
          <w:sz w:val="13"/>
          <w:szCs w:val="13"/>
          <w:color w:val="auto"/>
        </w:rPr>
        <w:t>Celestica is committed to providing a variety of avenues for shareholder engagement. Each year, we facilitate various channels of communication through the Corporation’s various public disclosures, including our annual</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1" w:name="page42"/>
    <w:bookmarkEnd w:id="41"/>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97" w:lineRule="exact"/>
        <w:rPr>
          <w:sz w:val="20"/>
          <w:szCs w:val="20"/>
          <w:color w:val="auto"/>
        </w:rPr>
      </w:pPr>
    </w:p>
    <w:p>
      <w:pPr>
        <w:jc w:val="both"/>
        <w:ind w:left="1480" w:right="1499"/>
        <w:spacing w:after="0" w:line="244" w:lineRule="auto"/>
        <w:rPr>
          <w:sz w:val="20"/>
          <w:szCs w:val="20"/>
          <w:color w:val="auto"/>
        </w:rPr>
      </w:pPr>
      <w:r>
        <w:rPr>
          <w:rFonts w:ascii="Arial" w:cs="Arial" w:eastAsia="Arial" w:hAnsi="Arial"/>
          <w:sz w:val="13"/>
          <w:szCs w:val="13"/>
          <w:color w:val="auto"/>
        </w:rPr>
        <w:t xml:space="preserve">report on Form 20 F, management information circular, financial statements, news releases and regular updates to our website at </w:t>
      </w:r>
      <w:r>
        <w:rPr>
          <w:rFonts w:ascii="Arial" w:cs="Arial" w:eastAsia="Arial" w:hAnsi="Arial"/>
          <w:sz w:val="13"/>
          <w:szCs w:val="13"/>
          <w:u w:val="single" w:color="auto"/>
          <w:color w:val="auto"/>
        </w:rPr>
        <w:t>www.celestica.com</w:t>
      </w:r>
      <w:r>
        <w:rPr>
          <w:rFonts w:ascii="Arial" w:cs="Arial" w:eastAsia="Arial" w:hAnsi="Arial"/>
          <w:sz w:val="13"/>
          <w:szCs w:val="13"/>
          <w:color w:val="auto"/>
        </w:rPr>
        <w:t xml:space="preserve"> (information on our website is not incorporated by reference into this Circular). The Corporation encourages shareholders to participate in our governance by facilitating votes on shareholder proposals submitted in compliance with applicable laws and holding annual say-on-pay votes for executive compensation. The results of such votes are given the appropriate consideration in developing the Corporation’s governance policies and compensation philosophy. Our Investor Relations team can be contacted directly at </w:t>
      </w:r>
      <w:r>
        <w:rPr>
          <w:rFonts w:ascii="Arial" w:cs="Arial" w:eastAsia="Arial" w:hAnsi="Arial"/>
          <w:sz w:val="13"/>
          <w:szCs w:val="13"/>
          <w:u w:val="single" w:color="auto"/>
          <w:color w:val="auto"/>
        </w:rPr>
        <w:t>clsir@celestica.com</w:t>
      </w:r>
      <w:r>
        <w:rPr>
          <w:rFonts w:ascii="Arial" w:cs="Arial" w:eastAsia="Arial" w:hAnsi="Arial"/>
          <w:sz w:val="13"/>
          <w:szCs w:val="13"/>
          <w:color w:val="auto"/>
        </w:rPr>
        <w:t>.</w:t>
      </w:r>
    </w:p>
    <w:p>
      <w:pPr>
        <w:spacing w:after="0" w:line="61" w:lineRule="exact"/>
        <w:rPr>
          <w:sz w:val="20"/>
          <w:szCs w:val="20"/>
          <w:color w:val="auto"/>
        </w:rPr>
      </w:pPr>
    </w:p>
    <w:p>
      <w:pPr>
        <w:jc w:val="both"/>
        <w:ind w:left="1480" w:right="1499"/>
        <w:spacing w:after="0" w:line="245" w:lineRule="auto"/>
        <w:rPr>
          <w:sz w:val="20"/>
          <w:szCs w:val="20"/>
          <w:color w:val="auto"/>
        </w:rPr>
      </w:pPr>
      <w:r>
        <w:rPr>
          <w:rFonts w:ascii="Arial" w:cs="Arial" w:eastAsia="Arial" w:hAnsi="Arial"/>
          <w:sz w:val="13"/>
          <w:szCs w:val="13"/>
          <w:color w:val="auto"/>
        </w:rPr>
        <w:t xml:space="preserve">Shareholders and other interested parties may also confidentially contact the Chair of the Board, the non-management directors or the independent directors by writing to them individually or as a group at the Corporation’s head office. On receipt of shareholders letters addressed to the Chair of the Board or independent directors, we will forward such letters unopened to the Chair of the Board or to the appropriate addressee(s). See </w:t>
      </w:r>
      <w:r>
        <w:rPr>
          <w:rFonts w:ascii="Arial" w:cs="Arial" w:eastAsia="Arial" w:hAnsi="Arial"/>
          <w:sz w:val="13"/>
          <w:szCs w:val="13"/>
          <w:i w:val="1"/>
          <w:iCs w:val="1"/>
          <w:color w:val="auto"/>
        </w:rPr>
        <w:t>Questions and Answers on Proxies and Voting — How Can I Contact the Independent</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Directors and the Chair </w:t>
      </w:r>
      <w:r>
        <w:rPr>
          <w:rFonts w:ascii="Arial" w:cs="Arial" w:eastAsia="Arial" w:hAnsi="Arial"/>
          <w:sz w:val="13"/>
          <w:szCs w:val="13"/>
          <w:color w:val="auto"/>
        </w:rPr>
        <w:t>above.</w:t>
      </w:r>
    </w:p>
    <w:p>
      <w:pPr>
        <w:spacing w:after="0" w:line="134"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Employee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38100</wp:posOffset>
            </wp:positionV>
            <wp:extent cx="3843655"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843655" cy="635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50800</wp:posOffset>
            </wp:positionV>
            <wp:extent cx="3843655" cy="6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210" w:lineRule="exact"/>
        <w:rPr>
          <w:sz w:val="20"/>
          <w:szCs w:val="20"/>
          <w:color w:val="auto"/>
        </w:rPr>
      </w:pPr>
    </w:p>
    <w:p>
      <w:pPr>
        <w:jc w:val="both"/>
        <w:ind w:left="1480" w:right="1499"/>
        <w:spacing w:after="0" w:line="243" w:lineRule="auto"/>
        <w:rPr>
          <w:sz w:val="20"/>
          <w:szCs w:val="20"/>
          <w:color w:val="auto"/>
        </w:rPr>
      </w:pPr>
      <w:r>
        <w:rPr>
          <w:rFonts w:ascii="Arial" w:cs="Arial" w:eastAsia="Arial" w:hAnsi="Arial"/>
          <w:sz w:val="13"/>
          <w:szCs w:val="13"/>
          <w:color w:val="auto"/>
        </w:rPr>
        <w:t>At Celestica, we know our success depends on our talented people and their commitment to excellence. We believe employee engagement is crucial for employee retention, performance and productivity, as well as strong business outcomes, and therefore we continually strive to enhance employee engagement. In support of our efforts to foster a high-performing and engaged workforce, we launched a global employee engagement survey in February 2021 in order to measure overall engagement and identify our strengths and areas for improvement. The results of this engagement survey will be compared against the last survey, which was conducted in 2018. The HRCC and management will review the results of the survey and, based on the feedback received, senior leadership will develop plans intended to create a sustainable competitive advantage for Celestica through superior employee performance, building on our talent strategy and improving leadership.</w:t>
      </w:r>
    </w:p>
    <w:p>
      <w:pPr>
        <w:spacing w:after="0" w:line="59" w:lineRule="exact"/>
        <w:rPr>
          <w:sz w:val="20"/>
          <w:szCs w:val="20"/>
          <w:color w:val="auto"/>
        </w:rPr>
      </w:pPr>
    </w:p>
    <w:p>
      <w:pPr>
        <w:jc w:val="both"/>
        <w:ind w:left="1480" w:right="1499"/>
        <w:spacing w:after="0" w:line="244" w:lineRule="auto"/>
        <w:rPr>
          <w:sz w:val="20"/>
          <w:szCs w:val="20"/>
          <w:color w:val="auto"/>
        </w:rPr>
      </w:pPr>
      <w:r>
        <w:rPr>
          <w:rFonts w:ascii="Arial" w:cs="Arial" w:eastAsia="Arial" w:hAnsi="Arial"/>
          <w:sz w:val="13"/>
          <w:szCs w:val="13"/>
          <w:color w:val="auto"/>
        </w:rPr>
        <w:t xml:space="preserve">We believe that employee engagement and well-being is strengthened through healthy, supportive and safe workplaces. Celestica fosters a positive and engaged workforce that drives innovation and empowers people to make a difference, and we leverage our collective expertise to drive positive change in the communities in which we operate. Globally, we have established a framework whereby all sites are required to measure and report on their environmental, health and safety (“ </w:t>
      </w:r>
      <w:r>
        <w:rPr>
          <w:rFonts w:ascii="Arial" w:cs="Arial" w:eastAsia="Arial" w:hAnsi="Arial"/>
          <w:sz w:val="13"/>
          <w:szCs w:val="13"/>
          <w:b w:val="1"/>
          <w:bCs w:val="1"/>
          <w:color w:val="auto"/>
        </w:rPr>
        <w:t>EH&amp;S</w:t>
      </w:r>
      <w:r>
        <w:rPr>
          <w:rFonts w:ascii="Arial" w:cs="Arial" w:eastAsia="Arial" w:hAnsi="Arial"/>
          <w:sz w:val="13"/>
          <w:szCs w:val="13"/>
          <w:color w:val="auto"/>
        </w:rPr>
        <w:t>”) performance regularly. Our EH&amp;S team is responsible for building and executing robust internal and external audit programs, identifying risks and conducting proactive risk management, developing and communicating safety training materials, and harmonizing key process indicators globally.</w:t>
      </w:r>
    </w:p>
    <w:p>
      <w:pPr>
        <w:spacing w:after="0" w:line="58" w:lineRule="exact"/>
        <w:rPr>
          <w:sz w:val="20"/>
          <w:szCs w:val="20"/>
          <w:color w:val="auto"/>
        </w:rPr>
      </w:pPr>
    </w:p>
    <w:p>
      <w:pPr>
        <w:jc w:val="both"/>
        <w:ind w:left="1480" w:right="1499"/>
        <w:spacing w:after="0" w:line="249" w:lineRule="auto"/>
        <w:rPr>
          <w:sz w:val="20"/>
          <w:szCs w:val="20"/>
          <w:color w:val="auto"/>
        </w:rPr>
      </w:pPr>
      <w:r>
        <w:rPr>
          <w:rFonts w:ascii="Arial" w:cs="Arial" w:eastAsia="Arial" w:hAnsi="Arial"/>
          <w:sz w:val="13"/>
          <w:szCs w:val="13"/>
          <w:color w:val="auto"/>
        </w:rPr>
        <w:t>To enable employees to share best practices and ideas on reducing waste, saving energy and making healthier lifestyle choices at work and at home, we launched a Sustainable Workspace program, which is available in all of our operating languages. The program is tailored to reflect the diverse cultures of our employees around the globe.</w:t>
      </w:r>
    </w:p>
    <w:p>
      <w:pPr>
        <w:spacing w:after="0" w:line="130"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Ethical Labour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38100</wp:posOffset>
            </wp:positionV>
            <wp:extent cx="3843655"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843655" cy="635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50800</wp:posOffset>
            </wp:positionV>
            <wp:extent cx="3843655" cy="6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210" w:lineRule="exact"/>
        <w:rPr>
          <w:sz w:val="20"/>
          <w:szCs w:val="20"/>
          <w:color w:val="auto"/>
        </w:rPr>
      </w:pPr>
    </w:p>
    <w:p>
      <w:pPr>
        <w:jc w:val="both"/>
        <w:ind w:left="1480" w:right="1499"/>
        <w:spacing w:after="0" w:line="286" w:lineRule="auto"/>
        <w:rPr>
          <w:sz w:val="20"/>
          <w:szCs w:val="20"/>
          <w:color w:val="auto"/>
        </w:rPr>
      </w:pPr>
      <w:r>
        <w:rPr>
          <w:rFonts w:ascii="Arial" w:cs="Arial" w:eastAsia="Arial" w:hAnsi="Arial"/>
          <w:sz w:val="12"/>
          <w:szCs w:val="12"/>
          <w:color w:val="auto"/>
        </w:rPr>
        <w:t>Our BCG Policy outlines the ethics and practices we consider necessary for a positive working environment, as well as the high legal and ethical standards to which our employees are held accountable. 100% of our employees have completed BCG Policy training and we conduct annual re-certifications.</w:t>
      </w:r>
    </w:p>
    <w:p>
      <w:pPr>
        <w:spacing w:after="0" w:line="34" w:lineRule="exact"/>
        <w:rPr>
          <w:sz w:val="20"/>
          <w:szCs w:val="20"/>
          <w:color w:val="auto"/>
        </w:rPr>
      </w:pPr>
    </w:p>
    <w:p>
      <w:pPr>
        <w:jc w:val="both"/>
        <w:ind w:left="1480" w:right="1499"/>
        <w:spacing w:after="0" w:line="268" w:lineRule="auto"/>
        <w:rPr>
          <w:sz w:val="20"/>
          <w:szCs w:val="20"/>
          <w:color w:val="auto"/>
        </w:rPr>
      </w:pPr>
      <w:r>
        <w:rPr>
          <w:rFonts w:ascii="Arial" w:cs="Arial" w:eastAsia="Arial" w:hAnsi="Arial"/>
          <w:sz w:val="12"/>
          <w:szCs w:val="12"/>
          <w:color w:val="auto"/>
        </w:rPr>
        <w:t>In addition, Celestica has well-established policies regarding fair labour practices and guidelines that create a respectful, safe and healthy work environment for our employees globally. We are a founding (and remain</w:t>
      </w:r>
    </w:p>
    <w:p>
      <w:pPr>
        <w:jc w:val="both"/>
        <w:ind w:left="1480" w:right="1499" w:hanging="2"/>
        <w:spacing w:after="0" w:line="242" w:lineRule="auto"/>
        <w:tabs>
          <w:tab w:leader="none" w:pos="1635" w:val="left"/>
        </w:tabs>
        <w:numPr>
          <w:ilvl w:val="0"/>
          <w:numId w:val="67"/>
        </w:numPr>
        <w:rPr>
          <w:rFonts w:ascii="Arial" w:cs="Arial" w:eastAsia="Arial" w:hAnsi="Arial"/>
          <w:sz w:val="13"/>
          <w:szCs w:val="13"/>
          <w:color w:val="auto"/>
        </w:rPr>
      </w:pPr>
      <w:r>
        <w:rPr>
          <w:rFonts w:ascii="Arial" w:cs="Arial" w:eastAsia="Arial" w:hAnsi="Arial"/>
          <w:sz w:val="13"/>
          <w:szCs w:val="13"/>
          <w:color w:val="auto"/>
        </w:rPr>
        <w:t>member of the Responsible Business Alliance (“</w:t>
      </w:r>
      <w:r>
        <w:rPr>
          <w:rFonts w:ascii="Arial" w:cs="Arial" w:eastAsia="Arial" w:hAnsi="Arial"/>
          <w:sz w:val="13"/>
          <w:szCs w:val="13"/>
          <w:b w:val="1"/>
          <w:bCs w:val="1"/>
          <w:color w:val="auto"/>
        </w:rPr>
        <w:t>RBA</w:t>
      </w:r>
      <w:r>
        <w:rPr>
          <w:rFonts w:ascii="Arial" w:cs="Arial" w:eastAsia="Arial" w:hAnsi="Arial"/>
          <w:sz w:val="13"/>
          <w:szCs w:val="13"/>
          <w:color w:val="auto"/>
        </w:rPr>
        <w:t>”), a non-profit coalition of electronics companies that, among other things, establishes standards for its members in responsible and ethical practices in the areas of labor, environmental compliance, employee health and safety, ethics and social responsibility. The RBA Code of Conduct outlines industry standards intended to ensure that working conditions in the supply chain are safe, workers are treated with respect and dignity, and manufacturing processes are environmentally responsible. We continually work to implement, manage and audit our compliance with the RBA Code of Conduct.</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2" w:name="page43"/>
    <w:bookmarkEnd w:id="42"/>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97" w:lineRule="exact"/>
        <w:rPr>
          <w:sz w:val="20"/>
          <w:szCs w:val="20"/>
          <w:color w:val="auto"/>
        </w:rPr>
      </w:pPr>
    </w:p>
    <w:p>
      <w:pPr>
        <w:jc w:val="both"/>
        <w:ind w:left="1480" w:right="1499"/>
        <w:spacing w:after="0" w:line="270" w:lineRule="auto"/>
        <w:rPr>
          <w:sz w:val="20"/>
          <w:szCs w:val="20"/>
          <w:color w:val="auto"/>
        </w:rPr>
      </w:pPr>
      <w:r>
        <w:rPr>
          <w:rFonts w:ascii="Arial" w:cs="Arial" w:eastAsia="Arial" w:hAnsi="Arial"/>
          <w:sz w:val="13"/>
          <w:szCs w:val="13"/>
          <w:color w:val="auto"/>
        </w:rPr>
        <w:t>We are committed to the development and fair treatment of our global workforce, including promotion of a diverse workforce, an inclusive work environment, equal employment opportunity hiring practices and policies, and anti-harassment, workforce safety and anti-reprisal policies.</w:t>
      </w:r>
    </w:p>
    <w:p>
      <w:pPr>
        <w:spacing w:after="0" w:line="127"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Community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38100</wp:posOffset>
            </wp:positionV>
            <wp:extent cx="3843655"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843655" cy="635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50800</wp:posOffset>
            </wp:positionV>
            <wp:extent cx="3843655"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210" w:lineRule="exact"/>
        <w:rPr>
          <w:sz w:val="20"/>
          <w:szCs w:val="20"/>
          <w:color w:val="auto"/>
        </w:rPr>
      </w:pPr>
    </w:p>
    <w:p>
      <w:pPr>
        <w:jc w:val="both"/>
        <w:ind w:left="1480" w:right="1499"/>
        <w:spacing w:after="0" w:line="265" w:lineRule="auto"/>
        <w:rPr>
          <w:sz w:val="20"/>
          <w:szCs w:val="20"/>
          <w:color w:val="auto"/>
        </w:rPr>
      </w:pPr>
      <w:r>
        <w:rPr>
          <w:rFonts w:ascii="Arial" w:cs="Arial" w:eastAsia="Arial" w:hAnsi="Arial"/>
          <w:sz w:val="13"/>
          <w:szCs w:val="13"/>
          <w:color w:val="auto"/>
        </w:rPr>
        <w:t>We strive to support the local communities in which we live and work. We encourage all full-time employees to take up to 16 hours of paid time off per year to volunteer through our Time Off to Volunteer program. This program gives employees the opportunity to become involved in their communities in a meaningful way and to help those in need.</w:t>
      </w:r>
    </w:p>
    <w:p>
      <w:pPr>
        <w:spacing w:after="0" w:line="56" w:lineRule="exact"/>
        <w:rPr>
          <w:sz w:val="20"/>
          <w:szCs w:val="20"/>
          <w:color w:val="auto"/>
        </w:rPr>
      </w:pPr>
    </w:p>
    <w:p>
      <w:pPr>
        <w:jc w:val="both"/>
        <w:ind w:left="1480" w:right="1499"/>
        <w:spacing w:after="0" w:line="263" w:lineRule="auto"/>
        <w:rPr>
          <w:sz w:val="20"/>
          <w:szCs w:val="20"/>
          <w:color w:val="auto"/>
        </w:rPr>
      </w:pPr>
      <w:r>
        <w:rPr>
          <w:rFonts w:ascii="Arial" w:cs="Arial" w:eastAsia="Arial" w:hAnsi="Arial"/>
          <w:sz w:val="13"/>
          <w:szCs w:val="13"/>
          <w:color w:val="auto"/>
        </w:rPr>
        <w:t>United Way is a federated network of 77 local United Way Centraide offices serving more than 5,000 communities across Canada, each registered as its own non-profit organization. The goal is to create opportunities for a better life for everyone in our communities. In 2020, Celestica’s annual United Way fundraising campaign raised C$250,000 plus a match of $125,000 for a total of $375,000, which brings Celestica’s lifetime fundraising amount to C$11.9 million.</w:t>
      </w:r>
    </w:p>
    <w:p>
      <w:pPr>
        <w:spacing w:after="0" w:line="57" w:lineRule="exact"/>
        <w:rPr>
          <w:sz w:val="20"/>
          <w:szCs w:val="20"/>
          <w:color w:val="auto"/>
        </w:rPr>
      </w:pPr>
    </w:p>
    <w:p>
      <w:pPr>
        <w:jc w:val="both"/>
        <w:ind w:left="1480" w:right="1499"/>
        <w:spacing w:after="0" w:line="265" w:lineRule="auto"/>
        <w:rPr>
          <w:sz w:val="20"/>
          <w:szCs w:val="20"/>
          <w:color w:val="auto"/>
        </w:rPr>
      </w:pPr>
      <w:r>
        <w:rPr>
          <w:rFonts w:ascii="Arial" w:cs="Arial" w:eastAsia="Arial" w:hAnsi="Arial"/>
          <w:sz w:val="13"/>
          <w:szCs w:val="13"/>
          <w:color w:val="auto"/>
        </w:rPr>
        <w:t>In addition, we launched the “Celestica Cares” program in 2020, which was a donations matching campaign to support COVID-19 relief efforts. Employee donations were matched dollar-for-dollar by the Corporation. Donations were directed to various organizations responding to COVID-19 and were used to support employee-led COVID-19 initiatives.</w:t>
      </w:r>
    </w:p>
    <w:p>
      <w:pPr>
        <w:spacing w:after="0" w:line="140"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External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38100</wp:posOffset>
            </wp:positionV>
            <wp:extent cx="3843655"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843655" cy="635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50800</wp:posOffset>
            </wp:positionV>
            <wp:extent cx="3843655"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200" w:lineRule="exact"/>
        <w:rPr>
          <w:sz w:val="20"/>
          <w:szCs w:val="20"/>
          <w:color w:val="auto"/>
        </w:rPr>
      </w:pPr>
    </w:p>
    <w:p>
      <w:pPr>
        <w:jc w:val="both"/>
        <w:ind w:left="1480" w:right="1499"/>
        <w:spacing w:after="0" w:line="285" w:lineRule="auto"/>
        <w:rPr>
          <w:sz w:val="20"/>
          <w:szCs w:val="20"/>
          <w:color w:val="auto"/>
        </w:rPr>
      </w:pPr>
      <w:r>
        <w:rPr>
          <w:rFonts w:ascii="Arial" w:cs="Arial" w:eastAsia="Arial" w:hAnsi="Arial"/>
          <w:sz w:val="13"/>
          <w:szCs w:val="13"/>
          <w:color w:val="auto"/>
        </w:rPr>
        <w:t>Our commitment to corporate social responsibility continues to earn us external recognition. Below is a selection of the awards and recognition received by Celestica over the past year:</w:t>
      </w:r>
    </w:p>
    <w:p>
      <w:pPr>
        <w:spacing w:after="0" w:line="43" w:lineRule="exact"/>
        <w:rPr>
          <w:sz w:val="20"/>
          <w:szCs w:val="20"/>
          <w:color w:val="auto"/>
        </w:rPr>
      </w:pPr>
    </w:p>
    <w:p>
      <w:pPr>
        <w:ind w:left="1880" w:hanging="137"/>
        <w:spacing w:after="0"/>
        <w:tabs>
          <w:tab w:leader="none" w:pos="1880" w:val="left"/>
        </w:tabs>
        <w:numPr>
          <w:ilvl w:val="0"/>
          <w:numId w:val="68"/>
        </w:numPr>
        <w:rPr>
          <w:rFonts w:ascii="Arial" w:cs="Arial" w:eastAsia="Arial" w:hAnsi="Arial"/>
          <w:sz w:val="13"/>
          <w:szCs w:val="13"/>
          <w:color w:val="auto"/>
        </w:rPr>
      </w:pPr>
      <w:r>
        <w:rPr>
          <w:rFonts w:ascii="Arial" w:cs="Arial" w:eastAsia="Arial" w:hAnsi="Arial"/>
          <w:sz w:val="13"/>
          <w:szCs w:val="13"/>
          <w:color w:val="auto"/>
        </w:rPr>
        <w:t>EcoVadis assessment platinum rating</w:t>
      </w:r>
    </w:p>
    <w:p>
      <w:pPr>
        <w:spacing w:after="0" w:line="89" w:lineRule="exact"/>
        <w:rPr>
          <w:rFonts w:ascii="Arial" w:cs="Arial" w:eastAsia="Arial" w:hAnsi="Arial"/>
          <w:sz w:val="13"/>
          <w:szCs w:val="13"/>
          <w:color w:val="auto"/>
        </w:rPr>
      </w:pPr>
    </w:p>
    <w:p>
      <w:pPr>
        <w:ind w:left="1880" w:hanging="137"/>
        <w:spacing w:after="0"/>
        <w:tabs>
          <w:tab w:leader="none" w:pos="1880" w:val="left"/>
        </w:tabs>
        <w:numPr>
          <w:ilvl w:val="0"/>
          <w:numId w:val="68"/>
        </w:numPr>
        <w:rPr>
          <w:rFonts w:ascii="Arial" w:cs="Arial" w:eastAsia="Arial" w:hAnsi="Arial"/>
          <w:sz w:val="13"/>
          <w:szCs w:val="13"/>
          <w:color w:val="auto"/>
        </w:rPr>
      </w:pPr>
      <w:r>
        <w:rPr>
          <w:rFonts w:ascii="Arial" w:cs="Arial" w:eastAsia="Arial" w:hAnsi="Arial"/>
          <w:sz w:val="13"/>
          <w:szCs w:val="13"/>
          <w:color w:val="auto"/>
        </w:rPr>
        <w:t>Supplier of the Year Award, Corporate Social Responsibility, Lam Research</w:t>
      </w:r>
    </w:p>
    <w:p>
      <w:pPr>
        <w:spacing w:after="0" w:line="89" w:lineRule="exact"/>
        <w:rPr>
          <w:rFonts w:ascii="Arial" w:cs="Arial" w:eastAsia="Arial" w:hAnsi="Arial"/>
          <w:sz w:val="13"/>
          <w:szCs w:val="13"/>
          <w:color w:val="auto"/>
        </w:rPr>
      </w:pPr>
    </w:p>
    <w:p>
      <w:pPr>
        <w:ind w:left="1880" w:right="1499" w:hanging="137"/>
        <w:spacing w:after="0" w:line="285" w:lineRule="auto"/>
        <w:tabs>
          <w:tab w:leader="none" w:pos="1880" w:val="left"/>
        </w:tabs>
        <w:numPr>
          <w:ilvl w:val="0"/>
          <w:numId w:val="68"/>
        </w:numPr>
        <w:rPr>
          <w:rFonts w:ascii="Arial" w:cs="Arial" w:eastAsia="Arial" w:hAnsi="Arial"/>
          <w:sz w:val="13"/>
          <w:szCs w:val="13"/>
          <w:color w:val="auto"/>
        </w:rPr>
      </w:pPr>
      <w:r>
        <w:rPr>
          <w:rFonts w:ascii="Arial" w:cs="Arial" w:eastAsia="Arial" w:hAnsi="Arial"/>
          <w:sz w:val="13"/>
          <w:szCs w:val="13"/>
          <w:color w:val="auto"/>
        </w:rPr>
        <w:t>Transport Canada awarded Celestica’s Mississauga site with the Aircraft Maintenance Organization (AMO) Certificate 4800-16</w:t>
      </w:r>
    </w:p>
    <w:p>
      <w:pPr>
        <w:spacing w:after="0" w:line="43" w:lineRule="exact"/>
        <w:rPr>
          <w:rFonts w:ascii="Arial" w:cs="Arial" w:eastAsia="Arial" w:hAnsi="Arial"/>
          <w:sz w:val="13"/>
          <w:szCs w:val="13"/>
          <w:color w:val="auto"/>
        </w:rPr>
      </w:pPr>
    </w:p>
    <w:p>
      <w:pPr>
        <w:ind w:left="1880" w:right="1499" w:hanging="137"/>
        <w:spacing w:after="0" w:line="285" w:lineRule="auto"/>
        <w:tabs>
          <w:tab w:leader="none" w:pos="1880" w:val="left"/>
        </w:tabs>
        <w:numPr>
          <w:ilvl w:val="0"/>
          <w:numId w:val="68"/>
        </w:numPr>
        <w:rPr>
          <w:rFonts w:ascii="Arial" w:cs="Arial" w:eastAsia="Arial" w:hAnsi="Arial"/>
          <w:sz w:val="13"/>
          <w:szCs w:val="13"/>
          <w:color w:val="auto"/>
        </w:rPr>
      </w:pPr>
      <w:r>
        <w:rPr>
          <w:rFonts w:ascii="Arial" w:cs="Arial" w:eastAsia="Arial" w:hAnsi="Arial"/>
          <w:sz w:val="13"/>
          <w:szCs w:val="13"/>
          <w:color w:val="auto"/>
        </w:rPr>
        <w:t>The Greater Suzhou Best Employer Committee awarded Celestica’s Global Business Services (“</w:t>
      </w:r>
      <w:r>
        <w:rPr>
          <w:rFonts w:ascii="Arial" w:cs="Arial" w:eastAsia="Arial" w:hAnsi="Arial"/>
          <w:sz w:val="13"/>
          <w:szCs w:val="13"/>
          <w:b w:val="1"/>
          <w:bCs w:val="1"/>
          <w:color w:val="auto"/>
        </w:rPr>
        <w:t>GBS</w:t>
      </w:r>
      <w:r>
        <w:rPr>
          <w:rFonts w:ascii="Arial" w:cs="Arial" w:eastAsia="Arial" w:hAnsi="Arial"/>
          <w:sz w:val="13"/>
          <w:szCs w:val="13"/>
          <w:color w:val="auto"/>
        </w:rPr>
        <w:t>”) Suzhou team with the Best Work Environment Employer Award</w:t>
      </w:r>
    </w:p>
    <w:p>
      <w:pPr>
        <w:spacing w:after="0" w:line="43" w:lineRule="exact"/>
        <w:rPr>
          <w:rFonts w:ascii="Arial" w:cs="Arial" w:eastAsia="Arial" w:hAnsi="Arial"/>
          <w:sz w:val="13"/>
          <w:szCs w:val="13"/>
          <w:color w:val="auto"/>
        </w:rPr>
      </w:pPr>
    </w:p>
    <w:p>
      <w:pPr>
        <w:ind w:left="1880" w:right="1499" w:hanging="137"/>
        <w:spacing w:after="0" w:line="285" w:lineRule="auto"/>
        <w:tabs>
          <w:tab w:leader="none" w:pos="1880" w:val="left"/>
        </w:tabs>
        <w:numPr>
          <w:ilvl w:val="0"/>
          <w:numId w:val="68"/>
        </w:numPr>
        <w:rPr>
          <w:rFonts w:ascii="Arial" w:cs="Arial" w:eastAsia="Arial" w:hAnsi="Arial"/>
          <w:sz w:val="13"/>
          <w:szCs w:val="13"/>
          <w:color w:val="auto"/>
        </w:rPr>
      </w:pPr>
      <w:r>
        <w:rPr>
          <w:rFonts w:ascii="Arial" w:cs="Arial" w:eastAsia="Arial" w:hAnsi="Arial"/>
          <w:sz w:val="13"/>
          <w:szCs w:val="13"/>
          <w:color w:val="auto"/>
        </w:rPr>
        <w:t>SSON Analytics named Celestica’s GBS organization one of the Most Admired Shared Services Organizations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3" w:name="page44"/>
    <w:bookmarkEnd w:id="43"/>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296545</wp:posOffset>
            </wp:positionV>
            <wp:extent cx="3843655" cy="1898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843655" cy="18986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060"/>
        <w:spacing w:after="0"/>
        <w:rPr>
          <w:sz w:val="20"/>
          <w:szCs w:val="20"/>
          <w:color w:val="auto"/>
        </w:rPr>
      </w:pPr>
      <w:r>
        <w:rPr>
          <w:rFonts w:ascii="Arial" w:cs="Arial" w:eastAsia="Arial" w:hAnsi="Arial"/>
          <w:sz w:val="16"/>
          <w:szCs w:val="16"/>
          <w:b w:val="1"/>
          <w:bCs w:val="1"/>
          <w:color w:val="auto"/>
        </w:rPr>
        <w:t>INFORMATION ABOUT OUR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41910</wp:posOffset>
            </wp:positionV>
            <wp:extent cx="3843655"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180"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auto"/>
        </w:rPr>
        <w:t>Appointment of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38100</wp:posOffset>
            </wp:positionV>
            <wp:extent cx="3502025"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502025" cy="6350"/>
                    </a:xfrm>
                    <a:prstGeom prst="rect">
                      <a:avLst/>
                    </a:prstGeom>
                    <a:noFill/>
                  </pic:spPr>
                </pic:pic>
              </a:graphicData>
            </a:graphic>
          </wp:anchor>
        </w:drawing>
      </w:r>
    </w:p>
    <w:p>
      <w:pPr>
        <w:spacing w:after="0" w:line="117" w:lineRule="exact"/>
        <w:rPr>
          <w:sz w:val="20"/>
          <w:szCs w:val="20"/>
          <w:color w:val="auto"/>
        </w:rPr>
      </w:pPr>
    </w:p>
    <w:p>
      <w:pPr>
        <w:jc w:val="both"/>
        <w:ind w:left="1480" w:right="1499"/>
        <w:spacing w:after="0" w:line="273" w:lineRule="auto"/>
        <w:rPr>
          <w:sz w:val="20"/>
          <w:szCs w:val="20"/>
          <w:color w:val="auto"/>
        </w:rPr>
      </w:pPr>
      <w:r>
        <w:rPr>
          <w:rFonts w:ascii="Arial" w:cs="Arial" w:eastAsia="Arial" w:hAnsi="Arial"/>
          <w:sz w:val="13"/>
          <w:szCs w:val="13"/>
          <w:color w:val="auto"/>
        </w:rPr>
        <w:t>It is proposed that KPMG LLP (“</w:t>
      </w:r>
      <w:r>
        <w:rPr>
          <w:rFonts w:ascii="Arial" w:cs="Arial" w:eastAsia="Arial" w:hAnsi="Arial"/>
          <w:sz w:val="13"/>
          <w:szCs w:val="13"/>
          <w:b w:val="1"/>
          <w:bCs w:val="1"/>
          <w:color w:val="auto"/>
        </w:rPr>
        <w:t>KPMG</w:t>
      </w:r>
      <w:r>
        <w:rPr>
          <w:rFonts w:ascii="Arial" w:cs="Arial" w:eastAsia="Arial" w:hAnsi="Arial"/>
          <w:sz w:val="13"/>
          <w:szCs w:val="13"/>
          <w:color w:val="auto"/>
        </w:rPr>
        <w:t>”) be appointed as the auditor of the Corporation to hold office until the close of the next annual meeting of shareholders. KPMG is the current auditor of the Corporation and was first appointed as auditor of the Corporation on October 14, 1997.</w:t>
      </w:r>
    </w:p>
    <w:p>
      <w:pPr>
        <w:spacing w:after="0" w:line="51" w:lineRule="exact"/>
        <w:rPr>
          <w:sz w:val="20"/>
          <w:szCs w:val="20"/>
          <w:color w:val="auto"/>
        </w:rPr>
      </w:pPr>
    </w:p>
    <w:p>
      <w:pPr>
        <w:jc w:val="both"/>
        <w:ind w:left="1480" w:right="1499"/>
        <w:spacing w:after="0" w:line="265" w:lineRule="auto"/>
        <w:rPr>
          <w:sz w:val="20"/>
          <w:szCs w:val="20"/>
          <w:color w:val="auto"/>
        </w:rPr>
      </w:pPr>
      <w:r>
        <w:rPr>
          <w:rFonts w:ascii="Arial" w:cs="Arial" w:eastAsia="Arial" w:hAnsi="Arial"/>
          <w:sz w:val="13"/>
          <w:szCs w:val="13"/>
          <w:color w:val="auto"/>
        </w:rPr>
        <w:t>It is intended that, on any ballot relating to the appointment of the auditor, the shares represented by proxies in favour of the Proxy Nominees will be voted in favour of the appointment of KPMG as auditor of the Corporation to hold office until the next annual meeting of shareholders, unless authority to do so is withheld.</w:t>
      </w:r>
    </w:p>
    <w:p>
      <w:pPr>
        <w:spacing w:after="0" w:line="140"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auto"/>
        </w:rPr>
        <w:t>Fees Paid to KPMG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38100</wp:posOffset>
            </wp:positionV>
            <wp:extent cx="3502025"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502025" cy="6350"/>
                    </a:xfrm>
                    <a:prstGeom prst="rect">
                      <a:avLst/>
                    </a:prstGeom>
                    <a:noFill/>
                  </pic:spPr>
                </pic:pic>
              </a:graphicData>
            </a:graphic>
          </wp:anchor>
        </w:drawing>
      </w:r>
    </w:p>
    <w:p>
      <w:pPr>
        <w:spacing w:after="0" w:line="121" w:lineRule="exact"/>
        <w:rPr>
          <w:sz w:val="20"/>
          <w:szCs w:val="20"/>
          <w:color w:val="auto"/>
        </w:rPr>
      </w:pPr>
    </w:p>
    <w:p>
      <w:pPr>
        <w:jc w:val="both"/>
        <w:ind w:left="1480" w:right="1499"/>
        <w:spacing w:after="0" w:line="265" w:lineRule="auto"/>
        <w:rPr>
          <w:sz w:val="20"/>
          <w:szCs w:val="20"/>
          <w:color w:val="auto"/>
        </w:rPr>
      </w:pPr>
      <w:r>
        <w:rPr>
          <w:rFonts w:ascii="Arial" w:cs="Arial" w:eastAsia="Arial" w:hAnsi="Arial"/>
          <w:sz w:val="13"/>
          <w:szCs w:val="13"/>
          <w:color w:val="auto"/>
        </w:rPr>
        <w:t>The Audit Committee of the Board of Directors negotiates with the auditor of the Corporation on an arm’s-length basis in determining the fees to be paid to the auditor. Such fees have been based upon the complexity of the matters dealt with and the time expended by the auditor in providing services to the Corporation. The following table sets out the fees paid to KPMG in 2019 and 2020.</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Table 8: Fees Paid to KPMG</w:t>
      </w:r>
    </w:p>
    <w:p>
      <w:pPr>
        <w:spacing w:after="0" w:line="67" w:lineRule="exact"/>
        <w:rPr>
          <w:sz w:val="20"/>
          <w:szCs w:val="20"/>
          <w:color w:val="auto"/>
        </w:rPr>
      </w:pPr>
    </w:p>
    <w:tbl>
      <w:tblPr>
        <w:tblLayout w:type="fixed"/>
        <w:tblInd w:w="2230" w:type="dxa"/>
        <w:tblCellMar>
          <w:top w:w="0" w:type="dxa"/>
          <w:left w:w="0" w:type="dxa"/>
          <w:bottom w:w="0" w:type="dxa"/>
          <w:right w:w="0" w:type="dxa"/>
        </w:tblCellMar>
      </w:tblPr>
      <w:tr>
        <w:trPr>
          <w:trHeight w:val="45"/>
        </w:trPr>
        <w:tc>
          <w:tcPr>
            <w:tcW w:w="2620" w:type="dxa"/>
            <w:vAlign w:val="bottom"/>
            <w:tcBorders>
              <w:top w:val="single" w:sz="8" w:color="auto"/>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960" w:type="dxa"/>
            <w:vAlign w:val="bottom"/>
            <w:tcBorders>
              <w:top w:val="single" w:sz="8" w:color="auto"/>
              <w:bottom w:val="single" w:sz="8" w:color="auto"/>
              <w:right w:val="single" w:sz="8" w:color="auto"/>
            </w:tcBorders>
          </w:tcPr>
          <w:p>
            <w:pPr>
              <w:spacing w:after="0"/>
              <w:rPr>
                <w:sz w:val="3"/>
                <w:szCs w:val="3"/>
                <w:color w:val="auto"/>
              </w:rPr>
            </w:pPr>
          </w:p>
        </w:tc>
      </w:tr>
      <w:tr>
        <w:trPr>
          <w:trHeight w:val="152"/>
        </w:trPr>
        <w:tc>
          <w:tcPr>
            <w:tcW w:w="2620" w:type="dxa"/>
            <w:vAlign w:val="bottom"/>
            <w:tcBorders>
              <w:left w:val="single" w:sz="8" w:color="auto"/>
              <w:right w:val="single" w:sz="8" w:color="auto"/>
            </w:tcBorders>
          </w:tcPr>
          <w:p>
            <w:pPr>
              <w:spacing w:after="0"/>
              <w:rPr>
                <w:sz w:val="13"/>
                <w:szCs w:val="13"/>
                <w:color w:val="auto"/>
              </w:rPr>
            </w:pPr>
          </w:p>
        </w:tc>
        <w:tc>
          <w:tcPr>
            <w:tcW w:w="1900" w:type="dxa"/>
            <w:vAlign w:val="bottom"/>
            <w:tcBorders>
              <w:right w:val="single" w:sz="8" w:color="auto"/>
            </w:tcBorders>
            <w:gridSpan w:val="3"/>
          </w:tcPr>
          <w:p>
            <w:pPr>
              <w:jc w:val="right"/>
              <w:ind w:right="356"/>
              <w:spacing w:after="0"/>
              <w:rPr>
                <w:sz w:val="20"/>
                <w:szCs w:val="20"/>
                <w:color w:val="auto"/>
              </w:rPr>
            </w:pPr>
            <w:r>
              <w:rPr>
                <w:rFonts w:ascii="Arial" w:cs="Arial" w:eastAsia="Arial" w:hAnsi="Arial"/>
                <w:sz w:val="11"/>
                <w:szCs w:val="11"/>
                <w:b w:val="1"/>
                <w:bCs w:val="1"/>
                <w:color w:val="auto"/>
              </w:rPr>
              <w:t>Year Ended December 31</w:t>
            </w:r>
          </w:p>
        </w:tc>
      </w:tr>
      <w:tr>
        <w:trPr>
          <w:trHeight w:val="147"/>
        </w:trPr>
        <w:tc>
          <w:tcPr>
            <w:tcW w:w="2620" w:type="dxa"/>
            <w:vAlign w:val="bottom"/>
            <w:tcBorders>
              <w:left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80" w:type="dxa"/>
            <w:vAlign w:val="bottom"/>
            <w:tcBorders>
              <w:bottom w:val="single" w:sz="8" w:color="auto"/>
              <w:right w:val="single" w:sz="8" w:color="auto"/>
            </w:tcBorders>
            <w:gridSpan w:val="2"/>
          </w:tcPr>
          <w:p>
            <w:pPr>
              <w:jc w:val="right"/>
              <w:ind w:right="636"/>
              <w:spacing w:after="0"/>
              <w:rPr>
                <w:sz w:val="20"/>
                <w:szCs w:val="20"/>
                <w:color w:val="auto"/>
              </w:rPr>
            </w:pPr>
            <w:r>
              <w:rPr>
                <w:rFonts w:ascii="Arial" w:cs="Arial" w:eastAsia="Arial" w:hAnsi="Arial"/>
                <w:sz w:val="11"/>
                <w:szCs w:val="11"/>
                <w:b w:val="1"/>
                <w:bCs w:val="1"/>
                <w:color w:val="auto"/>
                <w:w w:val="90"/>
              </w:rPr>
              <w:t>(in millions)</w:t>
            </w:r>
          </w:p>
        </w:tc>
      </w:tr>
      <w:tr>
        <w:trPr>
          <w:trHeight w:val="179"/>
        </w:trPr>
        <w:tc>
          <w:tcPr>
            <w:tcW w:w="2620" w:type="dxa"/>
            <w:vAlign w:val="bottom"/>
            <w:tcBorders>
              <w:left w:val="single" w:sz="8" w:color="auto"/>
              <w:bottom w:val="single" w:sz="8" w:color="auto"/>
              <w:right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32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jc w:val="right"/>
              <w:ind w:right="316"/>
              <w:spacing w:after="0"/>
              <w:rPr>
                <w:sz w:val="20"/>
                <w:szCs w:val="20"/>
                <w:color w:val="auto"/>
              </w:rPr>
            </w:pPr>
            <w:r>
              <w:rPr>
                <w:rFonts w:ascii="Arial" w:cs="Arial" w:eastAsia="Arial" w:hAnsi="Arial"/>
                <w:sz w:val="11"/>
                <w:szCs w:val="11"/>
                <w:b w:val="1"/>
                <w:bCs w:val="1"/>
                <w:color w:val="auto"/>
              </w:rPr>
              <w:t>2019</w:t>
            </w:r>
          </w:p>
        </w:tc>
      </w:tr>
      <w:tr>
        <w:trPr>
          <w:trHeight w:val="213"/>
        </w:trPr>
        <w:tc>
          <w:tcPr>
            <w:tcW w:w="26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Audit Services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w:t>
            </w:r>
          </w:p>
        </w:tc>
        <w:tc>
          <w:tcPr>
            <w:tcW w:w="3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ind w:right="316"/>
              <w:spacing w:after="0"/>
              <w:rPr>
                <w:sz w:val="20"/>
                <w:szCs w:val="20"/>
                <w:color w:val="auto"/>
              </w:rPr>
            </w:pPr>
            <w:r>
              <w:rPr>
                <w:rFonts w:ascii="Arial" w:cs="Arial" w:eastAsia="Arial" w:hAnsi="Arial"/>
                <w:sz w:val="13"/>
                <w:szCs w:val="13"/>
                <w:color w:val="auto"/>
              </w:rPr>
              <w:t>$3.0</w:t>
            </w:r>
          </w:p>
        </w:tc>
      </w:tr>
      <w:tr>
        <w:trPr>
          <w:trHeight w:val="209"/>
        </w:trPr>
        <w:tc>
          <w:tcPr>
            <w:tcW w:w="26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Audit Related Services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ind w:right="316"/>
              <w:spacing w:after="0"/>
              <w:rPr>
                <w:sz w:val="20"/>
                <w:szCs w:val="20"/>
                <w:color w:val="auto"/>
              </w:rPr>
            </w:pPr>
            <w:r>
              <w:rPr>
                <w:rFonts w:ascii="Arial" w:cs="Arial" w:eastAsia="Arial" w:hAnsi="Arial"/>
                <w:sz w:val="13"/>
                <w:szCs w:val="13"/>
                <w:color w:val="auto"/>
              </w:rPr>
              <w:t>$—</w:t>
            </w:r>
          </w:p>
        </w:tc>
      </w:tr>
      <w:tr>
        <w:trPr>
          <w:trHeight w:val="224"/>
        </w:trPr>
        <w:tc>
          <w:tcPr>
            <w:tcW w:w="26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Tax Services</w:t>
            </w:r>
            <w:r>
              <w:rPr>
                <w:rFonts w:ascii="Arial" w:cs="Arial" w:eastAsia="Arial" w:hAnsi="Arial"/>
                <w:sz w:val="19"/>
                <w:szCs w:val="19"/>
                <w:color w:val="auto"/>
                <w:vertAlign w:val="superscript"/>
              </w:rPr>
              <w:t>(1)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32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ind w:right="316"/>
              <w:spacing w:after="0"/>
              <w:rPr>
                <w:sz w:val="20"/>
                <w:szCs w:val="20"/>
                <w:color w:val="auto"/>
              </w:rPr>
            </w:pPr>
            <w:r>
              <w:rPr>
                <w:rFonts w:ascii="Arial" w:cs="Arial" w:eastAsia="Arial" w:hAnsi="Arial"/>
                <w:sz w:val="13"/>
                <w:szCs w:val="13"/>
                <w:color w:val="auto"/>
              </w:rPr>
              <w:t>$0.1</w:t>
            </w:r>
          </w:p>
        </w:tc>
      </w:tr>
      <w:tr>
        <w:trPr>
          <w:trHeight w:val="204"/>
        </w:trPr>
        <w:tc>
          <w:tcPr>
            <w:tcW w:w="26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Other</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jc w:val="right"/>
              <w:ind w:right="316"/>
              <w:spacing w:after="0"/>
              <w:rPr>
                <w:sz w:val="20"/>
                <w:szCs w:val="20"/>
                <w:color w:val="auto"/>
              </w:rPr>
            </w:pPr>
            <w:r>
              <w:rPr>
                <w:rFonts w:ascii="Arial" w:cs="Arial" w:eastAsia="Arial" w:hAnsi="Arial"/>
                <w:sz w:val="13"/>
                <w:szCs w:val="13"/>
                <w:color w:val="auto"/>
              </w:rPr>
              <w:t>$—</w:t>
            </w:r>
          </w:p>
        </w:tc>
      </w:tr>
      <w:tr>
        <w:trPr>
          <w:trHeight w:val="209"/>
        </w:trPr>
        <w:tc>
          <w:tcPr>
            <w:tcW w:w="26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Total</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w:t>
            </w:r>
          </w:p>
        </w:tc>
        <w:tc>
          <w:tcPr>
            <w:tcW w:w="3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ind w:right="316"/>
              <w:spacing w:after="0"/>
              <w:rPr>
                <w:sz w:val="20"/>
                <w:szCs w:val="20"/>
                <w:color w:val="auto"/>
              </w:rPr>
            </w:pPr>
            <w:r>
              <w:rPr>
                <w:rFonts w:ascii="Arial" w:cs="Arial" w:eastAsia="Arial" w:hAnsi="Arial"/>
                <w:sz w:val="13"/>
                <w:szCs w:val="13"/>
                <w:color w:val="auto"/>
              </w:rPr>
              <w:t>$3.1</w:t>
            </w:r>
          </w:p>
        </w:tc>
      </w:tr>
      <w:tr>
        <w:trPr>
          <w:trHeight w:val="20"/>
        </w:trPr>
        <w:tc>
          <w:tcPr>
            <w:tcW w:w="2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1437640</wp:posOffset>
            </wp:positionH>
            <wp:positionV relativeFrom="paragraph">
              <wp:posOffset>-887730</wp:posOffset>
            </wp:positionV>
            <wp:extent cx="1624330"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624330" cy="6350"/>
                    </a:xfrm>
                    <a:prstGeom prst="rect">
                      <a:avLst/>
                    </a:prstGeom>
                    <a:noFill/>
                  </pic:spPr>
                </pic:pic>
              </a:graphicData>
            </a:graphic>
          </wp:anchor>
        </w:drawing>
      </w:r>
    </w:p>
    <w:p>
      <w:pPr>
        <w:spacing w:after="0" w:line="32" w:lineRule="exact"/>
        <w:rPr>
          <w:sz w:val="20"/>
          <w:szCs w:val="20"/>
          <w:color w:val="auto"/>
        </w:rPr>
      </w:pPr>
    </w:p>
    <w:p>
      <w:pPr>
        <w:ind w:left="1740" w:hanging="262"/>
        <w:spacing w:after="0"/>
        <w:tabs>
          <w:tab w:leader="none" w:pos="1740" w:val="left"/>
        </w:tabs>
        <w:numPr>
          <w:ilvl w:val="0"/>
          <w:numId w:val="69"/>
        </w:numPr>
        <w:rPr>
          <w:rFonts w:ascii="Arial" w:cs="Arial" w:eastAsia="Arial" w:hAnsi="Arial"/>
          <w:sz w:val="16"/>
          <w:szCs w:val="16"/>
          <w:color w:val="auto"/>
          <w:vertAlign w:val="superscript"/>
        </w:rPr>
      </w:pPr>
      <w:r>
        <w:rPr>
          <w:rFonts w:ascii="Arial" w:cs="Arial" w:eastAsia="Arial" w:hAnsi="Arial"/>
          <w:sz w:val="11"/>
          <w:szCs w:val="11"/>
          <w:color w:val="auto"/>
        </w:rPr>
        <w:t>Tax services were mainly comprised of tax advisory and compliance services during each of 2019 and 2020.</w:t>
      </w:r>
    </w:p>
    <w:p>
      <w:pPr>
        <w:spacing w:after="0" w:line="79" w:lineRule="exact"/>
        <w:rPr>
          <w:sz w:val="20"/>
          <w:szCs w:val="20"/>
          <w:color w:val="auto"/>
        </w:rPr>
      </w:pPr>
    </w:p>
    <w:p>
      <w:pPr>
        <w:jc w:val="both"/>
        <w:ind w:left="1480" w:right="1499"/>
        <w:spacing w:after="0" w:line="270" w:lineRule="auto"/>
        <w:rPr>
          <w:sz w:val="20"/>
          <w:szCs w:val="20"/>
          <w:color w:val="auto"/>
        </w:rPr>
      </w:pPr>
      <w:r>
        <w:rPr>
          <w:rFonts w:ascii="Arial" w:cs="Arial" w:eastAsia="Arial" w:hAnsi="Arial"/>
          <w:sz w:val="13"/>
          <w:szCs w:val="13"/>
          <w:color w:val="auto"/>
        </w:rPr>
        <w:t>It is intended that, on any ballot relating to the remuneration of the auditor, the shares represented by proxies in favour of the Proxy Nominees will be voted in favour of the authorization of the Board of Directors to fix the remuneration to be paid to the auditor, unless authority to do so is withheld.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4" w:name="page45"/>
    <w:bookmarkEnd w:id="44"/>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384810</wp:posOffset>
            </wp:positionV>
            <wp:extent cx="3843655" cy="1898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843655" cy="189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60"/>
        <w:spacing w:after="0"/>
        <w:rPr>
          <w:sz w:val="20"/>
          <w:szCs w:val="20"/>
          <w:color w:val="auto"/>
        </w:rPr>
      </w:pPr>
      <w:r>
        <w:rPr>
          <w:rFonts w:ascii="Arial" w:cs="Arial" w:eastAsia="Arial" w:hAnsi="Arial"/>
          <w:sz w:val="16"/>
          <w:szCs w:val="16"/>
          <w:b w:val="1"/>
          <w:bCs w:val="1"/>
          <w:color w:val="auto"/>
        </w:rPr>
        <w:t>SAY-ON-PAY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41910</wp:posOffset>
            </wp:positionV>
            <wp:extent cx="3843655"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180"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auto"/>
        </w:rPr>
        <w:t>Advisory Say-On-Pay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38100</wp:posOffset>
            </wp:positionV>
            <wp:extent cx="3502025"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502025" cy="6350"/>
                    </a:xfrm>
                    <a:prstGeom prst="rect">
                      <a:avLst/>
                    </a:prstGeom>
                    <a:noFill/>
                  </pic:spPr>
                </pic:pic>
              </a:graphicData>
            </a:graphic>
          </wp:anchor>
        </w:drawing>
      </w:r>
    </w:p>
    <w:p>
      <w:pPr>
        <w:spacing w:after="0" w:line="121" w:lineRule="exact"/>
        <w:rPr>
          <w:sz w:val="20"/>
          <w:szCs w:val="20"/>
          <w:color w:val="auto"/>
        </w:rPr>
      </w:pPr>
    </w:p>
    <w:p>
      <w:pPr>
        <w:jc w:val="both"/>
        <w:ind w:left="1480" w:right="1499"/>
        <w:spacing w:after="0" w:line="303" w:lineRule="auto"/>
        <w:rPr>
          <w:sz w:val="20"/>
          <w:szCs w:val="20"/>
          <w:color w:val="auto"/>
        </w:rPr>
      </w:pPr>
      <w:r>
        <w:rPr>
          <w:rFonts w:ascii="Arial" w:cs="Arial" w:eastAsia="Arial" w:hAnsi="Arial"/>
          <w:sz w:val="12"/>
          <w:szCs w:val="12"/>
          <w:i w:val="1"/>
          <w:iCs w:val="1"/>
          <w:color w:val="auto"/>
        </w:rPr>
        <w:t>The Corporation has held an advisory vote on executive compensation annually since 2012. While this vote is non-binding, it gives shareholders an opportunity to provide important input to the Board. Shareholders will be asked at the Meeting to consider, and, if deemed advisable, adopt the following resolution:</w:t>
      </w:r>
    </w:p>
    <w:p>
      <w:pPr>
        <w:spacing w:after="0" w:line="35" w:lineRule="exact"/>
        <w:rPr>
          <w:sz w:val="20"/>
          <w:szCs w:val="20"/>
          <w:color w:val="auto"/>
        </w:rPr>
      </w:pPr>
    </w:p>
    <w:p>
      <w:pPr>
        <w:jc w:val="both"/>
        <w:ind w:left="1480" w:right="1499"/>
        <w:spacing w:after="0" w:line="270" w:lineRule="auto"/>
        <w:rPr>
          <w:sz w:val="20"/>
          <w:szCs w:val="20"/>
          <w:color w:val="auto"/>
        </w:rPr>
      </w:pPr>
      <w:r>
        <w:rPr>
          <w:rFonts w:ascii="Arial" w:cs="Arial" w:eastAsia="Arial" w:hAnsi="Arial"/>
          <w:sz w:val="13"/>
          <w:szCs w:val="13"/>
          <w:color w:val="auto"/>
        </w:rPr>
        <w:t>Resolved, on an advisory basis and not to diminish the role and responsibilities of the Board of Directors, that the shareholders accept the approach to executive compensation disclosed in the Corporation’s management information circular delivered in advance of the 2021 annual meeting of shareholders.</w:t>
      </w:r>
    </w:p>
    <w:p>
      <w:pPr>
        <w:spacing w:after="0" w:line="53" w:lineRule="exact"/>
        <w:rPr>
          <w:sz w:val="20"/>
          <w:szCs w:val="20"/>
          <w:color w:val="auto"/>
        </w:rPr>
      </w:pPr>
    </w:p>
    <w:p>
      <w:pPr>
        <w:jc w:val="both"/>
        <w:ind w:left="1480" w:right="1499"/>
        <w:spacing w:after="0" w:line="270" w:lineRule="auto"/>
        <w:rPr>
          <w:sz w:val="20"/>
          <w:szCs w:val="20"/>
          <w:color w:val="auto"/>
        </w:rPr>
      </w:pPr>
      <w:r>
        <w:rPr>
          <w:rFonts w:ascii="Arial" w:cs="Arial" w:eastAsia="Arial" w:hAnsi="Arial"/>
          <w:sz w:val="13"/>
          <w:szCs w:val="13"/>
          <w:color w:val="auto"/>
        </w:rPr>
        <w:t>It is intended that, on any ballot relating to the advisory vote on executive compensation, the shares represented by proxies in favour of the Proxy Nominees will be voted in favour of the resolution, unless a vote “against” is indicated.</w:t>
      </w:r>
    </w:p>
    <w:p>
      <w:pPr>
        <w:spacing w:after="0" w:line="53" w:lineRule="exact"/>
        <w:rPr>
          <w:sz w:val="20"/>
          <w:szCs w:val="20"/>
          <w:color w:val="auto"/>
        </w:rPr>
      </w:pPr>
    </w:p>
    <w:p>
      <w:pPr>
        <w:jc w:val="both"/>
        <w:ind w:left="1480" w:right="1499"/>
        <w:spacing w:after="0" w:line="263" w:lineRule="auto"/>
        <w:rPr>
          <w:sz w:val="20"/>
          <w:szCs w:val="20"/>
          <w:color w:val="auto"/>
        </w:rPr>
      </w:pPr>
      <w:r>
        <w:rPr>
          <w:rFonts w:ascii="Arial" w:cs="Arial" w:eastAsia="Arial" w:hAnsi="Arial"/>
          <w:sz w:val="13"/>
          <w:szCs w:val="13"/>
          <w:color w:val="auto"/>
        </w:rPr>
        <w:t>The Board of Directors will take the results of the vote into account, as it deems appropriate, when considering future compensation policies, practices and decisions and in determining whether to significantly increase engagement with shareholders on compensation and related matters. The Corporation will disclose the results of the shareholder advisory vote as part of its report of voting results for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104775</wp:posOffset>
            </wp:positionV>
            <wp:extent cx="3843655" cy="1898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843655" cy="189865"/>
                    </a:xfrm>
                    <a:prstGeom prst="rect">
                      <a:avLst/>
                    </a:prstGeom>
                    <a:noFill/>
                  </pic:spPr>
                </pic:pic>
              </a:graphicData>
            </a:graphic>
          </wp:anchor>
        </w:drawing>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2020 VOTING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41910</wp:posOffset>
            </wp:positionV>
            <wp:extent cx="3843655"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180"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auto"/>
        </w:rPr>
        <w:t>2020 Voting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38100</wp:posOffset>
            </wp:positionV>
            <wp:extent cx="3502025"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502025" cy="6350"/>
                    </a:xfrm>
                    <a:prstGeom prst="rect">
                      <a:avLst/>
                    </a:prstGeom>
                    <a:noFill/>
                  </pic:spPr>
                </pic:pic>
              </a:graphicData>
            </a:graphic>
          </wp:anchor>
        </w:drawing>
      </w:r>
    </w:p>
    <w:p>
      <w:pPr>
        <w:spacing w:after="0" w:line="121" w:lineRule="exact"/>
        <w:rPr>
          <w:sz w:val="20"/>
          <w:szCs w:val="20"/>
          <w:color w:val="auto"/>
        </w:rPr>
      </w:pPr>
    </w:p>
    <w:p>
      <w:pPr>
        <w:jc w:val="both"/>
        <w:ind w:left="1480" w:right="1499"/>
        <w:spacing w:after="0" w:line="270" w:lineRule="auto"/>
        <w:rPr>
          <w:sz w:val="20"/>
          <w:szCs w:val="20"/>
          <w:color w:val="auto"/>
        </w:rPr>
      </w:pPr>
      <w:r>
        <w:rPr>
          <w:rFonts w:ascii="Arial" w:cs="Arial" w:eastAsia="Arial" w:hAnsi="Arial"/>
          <w:sz w:val="13"/>
          <w:szCs w:val="13"/>
          <w:color w:val="auto"/>
        </w:rPr>
        <w:t xml:space="preserve">The voting results of the Meeting will be filed on SEDAR at </w:t>
      </w:r>
      <w:r>
        <w:rPr>
          <w:rFonts w:ascii="Arial" w:cs="Arial" w:eastAsia="Arial" w:hAnsi="Arial"/>
          <w:sz w:val="13"/>
          <w:szCs w:val="13"/>
          <w:u w:val="single" w:color="auto"/>
          <w:color w:val="auto"/>
        </w:rPr>
        <w:t>www.sedar.com</w:t>
      </w:r>
      <w:r>
        <w:rPr>
          <w:rFonts w:ascii="Arial" w:cs="Arial" w:eastAsia="Arial" w:hAnsi="Arial"/>
          <w:sz w:val="13"/>
          <w:szCs w:val="13"/>
          <w:color w:val="auto"/>
        </w:rPr>
        <w:t xml:space="preserve"> and EDGAR at </w:t>
      </w:r>
      <w:r>
        <w:rPr>
          <w:rFonts w:ascii="Arial" w:cs="Arial" w:eastAsia="Arial" w:hAnsi="Arial"/>
          <w:sz w:val="13"/>
          <w:szCs w:val="13"/>
          <w:u w:val="single" w:color="auto"/>
          <w:color w:val="auto"/>
        </w:rPr>
        <w:t>www.sec.gov</w:t>
      </w:r>
      <w:r>
        <w:rPr>
          <w:rFonts w:ascii="Arial" w:cs="Arial" w:eastAsia="Arial" w:hAnsi="Arial"/>
          <w:sz w:val="13"/>
          <w:szCs w:val="13"/>
          <w:color w:val="auto"/>
        </w:rPr>
        <w:t xml:space="preserve"> following the Meeting. The voting results from the Corporation’s Annual Meeting of Shareholders held on April 29, 2020 were as follows: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Table 9: 2020 Voting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83820</wp:posOffset>
            </wp:positionV>
            <wp:extent cx="3502025" cy="1009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502025" cy="100965"/>
                    </a:xfrm>
                    <a:prstGeom prst="rect">
                      <a:avLst/>
                    </a:prstGeom>
                    <a:noFill/>
                  </pic:spPr>
                </pic:pic>
              </a:graphicData>
            </a:graphic>
          </wp:anchor>
        </w:drawing>
      </w:r>
    </w:p>
    <w:p>
      <w:pPr>
        <w:spacing w:after="0" w:line="112" w:lineRule="exact"/>
        <w:rPr>
          <w:sz w:val="20"/>
          <w:szCs w:val="20"/>
          <w:color w:val="auto"/>
        </w:rPr>
      </w:pPr>
    </w:p>
    <w:tbl>
      <w:tblPr>
        <w:tblLayout w:type="fixed"/>
        <w:tblInd w:w="1740" w:type="dxa"/>
        <w:tblCellMar>
          <w:top w:w="0" w:type="dxa"/>
          <w:left w:w="0" w:type="dxa"/>
          <w:bottom w:w="0" w:type="dxa"/>
          <w:right w:w="0" w:type="dxa"/>
        </w:tblCellMar>
      </w:tblPr>
      <w:tr>
        <w:trPr>
          <w:trHeight w:val="139"/>
        </w:trPr>
        <w:tc>
          <w:tcPr>
            <w:tcW w:w="80" w:type="dxa"/>
            <w:vAlign w:val="bottom"/>
            <w:shd w:val="clear" w:color="auto" w:fill="E5E5E5"/>
          </w:tcPr>
          <w:p>
            <w:pPr>
              <w:spacing w:after="0"/>
              <w:rPr>
                <w:sz w:val="12"/>
                <w:szCs w:val="12"/>
                <w:color w:val="auto"/>
              </w:rPr>
            </w:pPr>
          </w:p>
        </w:tc>
        <w:tc>
          <w:tcPr>
            <w:tcW w:w="3740" w:type="dxa"/>
            <w:vAlign w:val="bottom"/>
          </w:tcPr>
          <w:p>
            <w:pPr>
              <w:spacing w:after="0"/>
              <w:rPr>
                <w:sz w:val="20"/>
                <w:szCs w:val="20"/>
                <w:color w:val="auto"/>
              </w:rPr>
            </w:pPr>
            <w:r>
              <w:rPr>
                <w:rFonts w:ascii="Arial" w:cs="Arial" w:eastAsia="Arial" w:hAnsi="Arial"/>
                <w:sz w:val="12"/>
                <w:szCs w:val="12"/>
                <w:b w:val="1"/>
                <w:bCs w:val="1"/>
                <w:color w:val="auto"/>
              </w:rPr>
              <w:t>Brief Description of Voting Matters</w:t>
            </w:r>
          </w:p>
        </w:tc>
        <w:tc>
          <w:tcPr>
            <w:tcW w:w="1700" w:type="dxa"/>
            <w:vAlign w:val="bottom"/>
            <w:gridSpan w:val="2"/>
          </w:tcPr>
          <w:p>
            <w:pPr>
              <w:ind w:left="400"/>
              <w:spacing w:after="0"/>
              <w:rPr>
                <w:sz w:val="20"/>
                <w:szCs w:val="20"/>
                <w:color w:val="auto"/>
              </w:rPr>
            </w:pPr>
            <w:r>
              <w:rPr>
                <w:rFonts w:ascii="Arial" w:cs="Arial" w:eastAsia="Arial" w:hAnsi="Arial"/>
                <w:sz w:val="12"/>
                <w:szCs w:val="12"/>
                <w:b w:val="1"/>
                <w:bCs w:val="1"/>
                <w:color w:val="auto"/>
              </w:rPr>
              <w:t>Outcome of the Vote</w:t>
            </w:r>
          </w:p>
        </w:tc>
      </w:tr>
      <w:tr>
        <w:trPr>
          <w:trHeight w:val="139"/>
        </w:trPr>
        <w:tc>
          <w:tcPr>
            <w:tcW w:w="80" w:type="dxa"/>
            <w:vAlign w:val="bottom"/>
            <w:shd w:val="clear" w:color="auto" w:fill="E5E5E5"/>
          </w:tcPr>
          <w:p>
            <w:pPr>
              <w:spacing w:after="0"/>
              <w:rPr>
                <w:sz w:val="12"/>
                <w:szCs w:val="12"/>
                <w:color w:val="auto"/>
              </w:rPr>
            </w:pPr>
          </w:p>
        </w:tc>
        <w:tc>
          <w:tcPr>
            <w:tcW w:w="3740" w:type="dxa"/>
            <w:vAlign w:val="bottom"/>
          </w:tcPr>
          <w:p>
            <w:pPr>
              <w:spacing w:after="0"/>
              <w:rPr>
                <w:sz w:val="12"/>
                <w:szCs w:val="12"/>
                <w:color w:val="auto"/>
              </w:rPr>
            </w:pPr>
          </w:p>
        </w:tc>
        <w:tc>
          <w:tcPr>
            <w:tcW w:w="580" w:type="dxa"/>
            <w:vAlign w:val="bottom"/>
          </w:tcPr>
          <w:p>
            <w:pPr>
              <w:jc w:val="center"/>
              <w:ind w:left="20"/>
              <w:spacing w:after="0"/>
              <w:rPr>
                <w:sz w:val="20"/>
                <w:szCs w:val="20"/>
                <w:color w:val="auto"/>
              </w:rPr>
            </w:pPr>
            <w:r>
              <w:rPr>
                <w:rFonts w:ascii="Arial" w:cs="Arial" w:eastAsia="Arial" w:hAnsi="Arial"/>
                <w:sz w:val="12"/>
                <w:szCs w:val="12"/>
                <w:b w:val="1"/>
                <w:bCs w:val="1"/>
                <w:color w:val="auto"/>
                <w:w w:val="89"/>
              </w:rPr>
              <w:t>Approved</w:t>
            </w:r>
          </w:p>
        </w:tc>
        <w:tc>
          <w:tcPr>
            <w:tcW w:w="1120" w:type="dxa"/>
            <w:vAlign w:val="bottom"/>
          </w:tcPr>
          <w:p>
            <w:pPr>
              <w:jc w:val="center"/>
              <w:ind w:left="120"/>
              <w:spacing w:after="0"/>
              <w:rPr>
                <w:sz w:val="20"/>
                <w:szCs w:val="20"/>
                <w:color w:val="auto"/>
              </w:rPr>
            </w:pPr>
            <w:r>
              <w:rPr>
                <w:rFonts w:ascii="Arial" w:cs="Arial" w:eastAsia="Arial" w:hAnsi="Arial"/>
                <w:sz w:val="12"/>
                <w:szCs w:val="12"/>
                <w:b w:val="1"/>
                <w:bCs w:val="1"/>
                <w:color w:val="auto"/>
                <w:w w:val="92"/>
              </w:rPr>
              <w:t>For</w:t>
            </w:r>
          </w:p>
        </w:tc>
      </w:tr>
      <w:tr>
        <w:trPr>
          <w:trHeight w:val="152"/>
        </w:trPr>
        <w:tc>
          <w:tcPr>
            <w:tcW w:w="3820" w:type="dxa"/>
            <w:vAlign w:val="bottom"/>
            <w:gridSpan w:val="2"/>
          </w:tcPr>
          <w:p>
            <w:pPr>
              <w:ind w:left="80"/>
              <w:spacing w:after="0"/>
              <w:rPr>
                <w:sz w:val="20"/>
                <w:szCs w:val="20"/>
                <w:color w:val="auto"/>
              </w:rPr>
            </w:pPr>
            <w:r>
              <w:rPr>
                <w:rFonts w:ascii="Arial" w:cs="Arial" w:eastAsia="Arial" w:hAnsi="Arial"/>
                <w:sz w:val="12"/>
                <w:szCs w:val="12"/>
                <w:color w:val="auto"/>
              </w:rPr>
              <w:t>In respect of the election of the following proposed nominees as</w:t>
            </w:r>
          </w:p>
        </w:tc>
        <w:tc>
          <w:tcPr>
            <w:tcW w:w="580" w:type="dxa"/>
            <w:vAlign w:val="bottom"/>
            <w:shd w:val="clear" w:color="auto" w:fill="B2B2B2"/>
          </w:tcPr>
          <w:p>
            <w:pPr>
              <w:spacing w:after="0"/>
              <w:rPr>
                <w:sz w:val="13"/>
                <w:szCs w:val="13"/>
                <w:color w:val="auto"/>
              </w:rPr>
            </w:pPr>
          </w:p>
        </w:tc>
        <w:tc>
          <w:tcPr>
            <w:tcW w:w="1120" w:type="dxa"/>
            <w:vAlign w:val="bottom"/>
            <w:shd w:val="clear" w:color="auto" w:fill="B2B2B2"/>
          </w:tcPr>
          <w:p>
            <w:pPr>
              <w:spacing w:after="0"/>
              <w:rPr>
                <w:sz w:val="13"/>
                <w:szCs w:val="13"/>
                <w:color w:val="auto"/>
              </w:rPr>
            </w:pPr>
          </w:p>
        </w:tc>
      </w:tr>
      <w:tr>
        <w:trPr>
          <w:trHeight w:val="152"/>
        </w:trPr>
        <w:tc>
          <w:tcPr>
            <w:tcW w:w="3820" w:type="dxa"/>
            <w:vAlign w:val="bottom"/>
            <w:gridSpan w:val="2"/>
          </w:tcPr>
          <w:p>
            <w:pPr>
              <w:ind w:left="80"/>
              <w:spacing w:after="0"/>
              <w:rPr>
                <w:sz w:val="20"/>
                <w:szCs w:val="20"/>
                <w:color w:val="auto"/>
              </w:rPr>
            </w:pPr>
            <w:r>
              <w:rPr>
                <w:rFonts w:ascii="Arial" w:cs="Arial" w:eastAsia="Arial" w:hAnsi="Arial"/>
                <w:sz w:val="12"/>
                <w:szCs w:val="12"/>
                <w:color w:val="auto"/>
              </w:rPr>
              <w:t>members of the Board of Directors of the Corporation</w:t>
            </w:r>
          </w:p>
        </w:tc>
        <w:tc>
          <w:tcPr>
            <w:tcW w:w="580" w:type="dxa"/>
            <w:vAlign w:val="bottom"/>
            <w:shd w:val="clear" w:color="auto" w:fill="B2B2B2"/>
          </w:tcPr>
          <w:p>
            <w:pPr>
              <w:spacing w:after="0"/>
              <w:rPr>
                <w:sz w:val="13"/>
                <w:szCs w:val="13"/>
                <w:color w:val="auto"/>
              </w:rPr>
            </w:pPr>
          </w:p>
        </w:tc>
        <w:tc>
          <w:tcPr>
            <w:tcW w:w="1120" w:type="dxa"/>
            <w:vAlign w:val="bottom"/>
            <w:shd w:val="clear" w:color="auto" w:fill="B2B2B2"/>
          </w:tcPr>
          <w:p>
            <w:pPr>
              <w:spacing w:after="0"/>
              <w:rPr>
                <w:sz w:val="13"/>
                <w:szCs w:val="13"/>
                <w:color w:val="auto"/>
              </w:rPr>
            </w:pPr>
          </w:p>
        </w:tc>
      </w:tr>
      <w:tr>
        <w:trPr>
          <w:trHeight w:val="191"/>
        </w:trPr>
        <w:tc>
          <w:tcPr>
            <w:tcW w:w="80" w:type="dxa"/>
            <w:vAlign w:val="bottom"/>
          </w:tcPr>
          <w:p>
            <w:pPr>
              <w:spacing w:after="0"/>
              <w:rPr>
                <w:sz w:val="16"/>
                <w:szCs w:val="16"/>
                <w:color w:val="auto"/>
              </w:rPr>
            </w:pPr>
          </w:p>
        </w:tc>
        <w:tc>
          <w:tcPr>
            <w:tcW w:w="3740" w:type="dxa"/>
            <w:vAlign w:val="bottom"/>
          </w:tcPr>
          <w:p>
            <w:pPr>
              <w:ind w:left="360"/>
              <w:spacing w:after="0"/>
              <w:rPr>
                <w:sz w:val="20"/>
                <w:szCs w:val="20"/>
                <w:color w:val="auto"/>
              </w:rPr>
            </w:pPr>
            <w:r>
              <w:rPr>
                <w:rFonts w:ascii="Arial" w:cs="Arial" w:eastAsia="Arial" w:hAnsi="Arial"/>
                <w:sz w:val="12"/>
                <w:szCs w:val="12"/>
                <w:color w:val="auto"/>
              </w:rPr>
              <w:t>Robert A. Cascella</w:t>
            </w:r>
          </w:p>
        </w:tc>
        <w:tc>
          <w:tcPr>
            <w:tcW w:w="580" w:type="dxa"/>
            <w:vAlign w:val="bottom"/>
            <w:shd w:val="clear" w:color="auto" w:fill="B2B2B2"/>
          </w:tcPr>
          <w:p>
            <w:pPr>
              <w:jc w:val="center"/>
              <w:ind w:left="20"/>
              <w:spacing w:after="0" w:line="121" w:lineRule="exact"/>
              <w:rPr>
                <w:sz w:val="20"/>
                <w:szCs w:val="20"/>
                <w:color w:val="auto"/>
              </w:rPr>
            </w:pPr>
            <w:r>
              <w:rPr>
                <w:rFonts w:ascii="MS PGothic" w:cs="MS PGothic" w:eastAsia="MS PGothic" w:hAnsi="MS PGothic"/>
                <w:sz w:val="12"/>
                <w:szCs w:val="12"/>
                <w:color w:val="auto"/>
                <w:w w:val="82"/>
              </w:rPr>
              <w:t>✓</w:t>
            </w:r>
          </w:p>
        </w:tc>
        <w:tc>
          <w:tcPr>
            <w:tcW w:w="1120" w:type="dxa"/>
            <w:vAlign w:val="bottom"/>
            <w:shd w:val="clear" w:color="auto" w:fill="B2B2B2"/>
          </w:tcPr>
          <w:p>
            <w:pPr>
              <w:jc w:val="center"/>
              <w:ind w:left="80"/>
              <w:spacing w:after="0"/>
              <w:rPr>
                <w:sz w:val="20"/>
                <w:szCs w:val="20"/>
                <w:color w:val="auto"/>
              </w:rPr>
            </w:pPr>
            <w:r>
              <w:rPr>
                <w:rFonts w:ascii="Arial" w:cs="Arial" w:eastAsia="Arial" w:hAnsi="Arial"/>
                <w:sz w:val="12"/>
                <w:szCs w:val="12"/>
                <w:color w:val="auto"/>
                <w:w w:val="93"/>
              </w:rPr>
              <w:t>98.99%</w:t>
            </w:r>
          </w:p>
        </w:tc>
      </w:tr>
      <w:tr>
        <w:trPr>
          <w:trHeight w:val="181"/>
        </w:trPr>
        <w:tc>
          <w:tcPr>
            <w:tcW w:w="80" w:type="dxa"/>
            <w:vAlign w:val="bottom"/>
          </w:tcPr>
          <w:p>
            <w:pPr>
              <w:spacing w:after="0"/>
              <w:rPr>
                <w:sz w:val="15"/>
                <w:szCs w:val="15"/>
                <w:color w:val="auto"/>
              </w:rPr>
            </w:pPr>
          </w:p>
        </w:tc>
        <w:tc>
          <w:tcPr>
            <w:tcW w:w="3740" w:type="dxa"/>
            <w:vAlign w:val="bottom"/>
          </w:tcPr>
          <w:p>
            <w:pPr>
              <w:ind w:left="360"/>
              <w:spacing w:after="0"/>
              <w:rPr>
                <w:sz w:val="20"/>
                <w:szCs w:val="20"/>
                <w:color w:val="auto"/>
              </w:rPr>
            </w:pPr>
            <w:r>
              <w:rPr>
                <w:rFonts w:ascii="Arial" w:cs="Arial" w:eastAsia="Arial" w:hAnsi="Arial"/>
                <w:sz w:val="12"/>
                <w:szCs w:val="12"/>
                <w:color w:val="auto"/>
              </w:rPr>
              <w:t>Deepak Chopra</w:t>
            </w:r>
          </w:p>
        </w:tc>
        <w:tc>
          <w:tcPr>
            <w:tcW w:w="580" w:type="dxa"/>
            <w:vAlign w:val="bottom"/>
            <w:shd w:val="clear" w:color="auto" w:fill="B2B2B2"/>
          </w:tcPr>
          <w:p>
            <w:pPr>
              <w:jc w:val="center"/>
              <w:ind w:left="20"/>
              <w:spacing w:after="0" w:line="121" w:lineRule="exact"/>
              <w:rPr>
                <w:sz w:val="20"/>
                <w:szCs w:val="20"/>
                <w:color w:val="auto"/>
              </w:rPr>
            </w:pPr>
            <w:r>
              <w:rPr>
                <w:rFonts w:ascii="MS PGothic" w:cs="MS PGothic" w:eastAsia="MS PGothic" w:hAnsi="MS PGothic"/>
                <w:sz w:val="12"/>
                <w:szCs w:val="12"/>
                <w:color w:val="auto"/>
                <w:w w:val="82"/>
              </w:rPr>
              <w:t>✓</w:t>
            </w:r>
          </w:p>
        </w:tc>
        <w:tc>
          <w:tcPr>
            <w:tcW w:w="1120" w:type="dxa"/>
            <w:vAlign w:val="bottom"/>
            <w:shd w:val="clear" w:color="auto" w:fill="B2B2B2"/>
          </w:tcPr>
          <w:p>
            <w:pPr>
              <w:jc w:val="center"/>
              <w:ind w:left="80"/>
              <w:spacing w:after="0"/>
              <w:rPr>
                <w:sz w:val="20"/>
                <w:szCs w:val="20"/>
                <w:color w:val="auto"/>
              </w:rPr>
            </w:pPr>
            <w:r>
              <w:rPr>
                <w:rFonts w:ascii="Arial" w:cs="Arial" w:eastAsia="Arial" w:hAnsi="Arial"/>
                <w:sz w:val="12"/>
                <w:szCs w:val="12"/>
                <w:color w:val="auto"/>
                <w:w w:val="93"/>
              </w:rPr>
              <w:t>99.05%</w:t>
            </w:r>
          </w:p>
        </w:tc>
      </w:tr>
      <w:tr>
        <w:trPr>
          <w:trHeight w:val="179"/>
        </w:trPr>
        <w:tc>
          <w:tcPr>
            <w:tcW w:w="80" w:type="dxa"/>
            <w:vAlign w:val="bottom"/>
          </w:tcPr>
          <w:p>
            <w:pPr>
              <w:spacing w:after="0"/>
              <w:rPr>
                <w:sz w:val="15"/>
                <w:szCs w:val="15"/>
                <w:color w:val="auto"/>
              </w:rPr>
            </w:pPr>
          </w:p>
        </w:tc>
        <w:tc>
          <w:tcPr>
            <w:tcW w:w="3740" w:type="dxa"/>
            <w:vAlign w:val="bottom"/>
          </w:tcPr>
          <w:p>
            <w:pPr>
              <w:ind w:left="360"/>
              <w:spacing w:after="0"/>
              <w:rPr>
                <w:sz w:val="20"/>
                <w:szCs w:val="20"/>
                <w:color w:val="auto"/>
              </w:rPr>
            </w:pPr>
            <w:r>
              <w:rPr>
                <w:rFonts w:ascii="Arial" w:cs="Arial" w:eastAsia="Arial" w:hAnsi="Arial"/>
                <w:sz w:val="12"/>
                <w:szCs w:val="12"/>
                <w:color w:val="auto"/>
              </w:rPr>
              <w:t>Daniel P. DiMaggio</w:t>
            </w:r>
          </w:p>
        </w:tc>
        <w:tc>
          <w:tcPr>
            <w:tcW w:w="580" w:type="dxa"/>
            <w:vAlign w:val="bottom"/>
            <w:shd w:val="clear" w:color="auto" w:fill="B2B2B2"/>
          </w:tcPr>
          <w:p>
            <w:pPr>
              <w:jc w:val="center"/>
              <w:ind w:left="20"/>
              <w:spacing w:after="0" w:line="121" w:lineRule="exact"/>
              <w:rPr>
                <w:sz w:val="20"/>
                <w:szCs w:val="20"/>
                <w:color w:val="auto"/>
              </w:rPr>
            </w:pPr>
            <w:r>
              <w:rPr>
                <w:rFonts w:ascii="MS PGothic" w:cs="MS PGothic" w:eastAsia="MS PGothic" w:hAnsi="MS PGothic"/>
                <w:sz w:val="12"/>
                <w:szCs w:val="12"/>
                <w:color w:val="auto"/>
                <w:w w:val="82"/>
              </w:rPr>
              <w:t>✓</w:t>
            </w:r>
          </w:p>
        </w:tc>
        <w:tc>
          <w:tcPr>
            <w:tcW w:w="1120" w:type="dxa"/>
            <w:vAlign w:val="bottom"/>
            <w:shd w:val="clear" w:color="auto" w:fill="B2B2B2"/>
          </w:tcPr>
          <w:p>
            <w:pPr>
              <w:jc w:val="center"/>
              <w:ind w:left="80"/>
              <w:spacing w:after="0"/>
              <w:rPr>
                <w:sz w:val="20"/>
                <w:szCs w:val="20"/>
                <w:color w:val="auto"/>
              </w:rPr>
            </w:pPr>
            <w:r>
              <w:rPr>
                <w:rFonts w:ascii="Arial" w:cs="Arial" w:eastAsia="Arial" w:hAnsi="Arial"/>
                <w:sz w:val="12"/>
                <w:szCs w:val="12"/>
                <w:color w:val="auto"/>
                <w:w w:val="93"/>
              </w:rPr>
              <w:t>98.94%</w:t>
            </w:r>
          </w:p>
        </w:tc>
      </w:tr>
      <w:tr>
        <w:trPr>
          <w:trHeight w:val="170"/>
        </w:trPr>
        <w:tc>
          <w:tcPr>
            <w:tcW w:w="80" w:type="dxa"/>
            <w:vAlign w:val="bottom"/>
          </w:tcPr>
          <w:p>
            <w:pPr>
              <w:spacing w:after="0"/>
              <w:rPr>
                <w:sz w:val="14"/>
                <w:szCs w:val="14"/>
                <w:color w:val="auto"/>
              </w:rPr>
            </w:pPr>
          </w:p>
        </w:tc>
        <w:tc>
          <w:tcPr>
            <w:tcW w:w="3740" w:type="dxa"/>
            <w:vAlign w:val="bottom"/>
          </w:tcPr>
          <w:p>
            <w:pPr>
              <w:ind w:left="360"/>
              <w:spacing w:after="0"/>
              <w:rPr>
                <w:sz w:val="20"/>
                <w:szCs w:val="20"/>
                <w:color w:val="auto"/>
              </w:rPr>
            </w:pPr>
            <w:r>
              <w:rPr>
                <w:rFonts w:ascii="Arial" w:cs="Arial" w:eastAsia="Arial" w:hAnsi="Arial"/>
                <w:sz w:val="12"/>
                <w:szCs w:val="12"/>
                <w:color w:val="auto"/>
              </w:rPr>
              <w:t>Laurette T. Koellner</w:t>
            </w:r>
          </w:p>
        </w:tc>
        <w:tc>
          <w:tcPr>
            <w:tcW w:w="580" w:type="dxa"/>
            <w:vAlign w:val="bottom"/>
            <w:shd w:val="clear" w:color="auto" w:fill="B2B2B2"/>
          </w:tcPr>
          <w:p>
            <w:pPr>
              <w:jc w:val="center"/>
              <w:ind w:left="20"/>
              <w:spacing w:after="0" w:line="121" w:lineRule="exact"/>
              <w:rPr>
                <w:sz w:val="20"/>
                <w:szCs w:val="20"/>
                <w:color w:val="auto"/>
              </w:rPr>
            </w:pPr>
            <w:r>
              <w:rPr>
                <w:rFonts w:ascii="MS PGothic" w:cs="MS PGothic" w:eastAsia="MS PGothic" w:hAnsi="MS PGothic"/>
                <w:sz w:val="12"/>
                <w:szCs w:val="12"/>
                <w:color w:val="auto"/>
                <w:w w:val="82"/>
              </w:rPr>
              <w:t>✓</w:t>
            </w:r>
          </w:p>
        </w:tc>
        <w:tc>
          <w:tcPr>
            <w:tcW w:w="1120" w:type="dxa"/>
            <w:vAlign w:val="bottom"/>
            <w:shd w:val="clear" w:color="auto" w:fill="B2B2B2"/>
          </w:tcPr>
          <w:p>
            <w:pPr>
              <w:jc w:val="center"/>
              <w:ind w:left="80"/>
              <w:spacing w:after="0"/>
              <w:rPr>
                <w:sz w:val="20"/>
                <w:szCs w:val="20"/>
                <w:color w:val="auto"/>
              </w:rPr>
            </w:pPr>
            <w:r>
              <w:rPr>
                <w:rFonts w:ascii="Arial" w:cs="Arial" w:eastAsia="Arial" w:hAnsi="Arial"/>
                <w:sz w:val="12"/>
                <w:szCs w:val="12"/>
                <w:color w:val="auto"/>
                <w:w w:val="93"/>
              </w:rPr>
              <w:t>98.15%</w:t>
            </w:r>
          </w:p>
        </w:tc>
      </w:tr>
      <w:tr>
        <w:trPr>
          <w:trHeight w:val="187"/>
        </w:trPr>
        <w:tc>
          <w:tcPr>
            <w:tcW w:w="80" w:type="dxa"/>
            <w:vAlign w:val="bottom"/>
          </w:tcPr>
          <w:p>
            <w:pPr>
              <w:spacing w:after="0"/>
              <w:rPr>
                <w:sz w:val="16"/>
                <w:szCs w:val="16"/>
                <w:color w:val="auto"/>
              </w:rPr>
            </w:pPr>
          </w:p>
        </w:tc>
        <w:tc>
          <w:tcPr>
            <w:tcW w:w="3740" w:type="dxa"/>
            <w:vAlign w:val="bottom"/>
          </w:tcPr>
          <w:p>
            <w:pPr>
              <w:ind w:left="360"/>
              <w:spacing w:after="0"/>
              <w:rPr>
                <w:sz w:val="20"/>
                <w:szCs w:val="20"/>
                <w:color w:val="auto"/>
              </w:rPr>
            </w:pPr>
            <w:r>
              <w:rPr>
                <w:rFonts w:ascii="Arial" w:cs="Arial" w:eastAsia="Arial" w:hAnsi="Arial"/>
                <w:sz w:val="12"/>
                <w:szCs w:val="12"/>
                <w:color w:val="auto"/>
              </w:rPr>
              <w:t>Robert A. Mionis</w:t>
            </w:r>
          </w:p>
        </w:tc>
        <w:tc>
          <w:tcPr>
            <w:tcW w:w="580" w:type="dxa"/>
            <w:vAlign w:val="bottom"/>
            <w:shd w:val="clear" w:color="auto" w:fill="B2B2B2"/>
          </w:tcPr>
          <w:p>
            <w:pPr>
              <w:jc w:val="center"/>
              <w:ind w:left="20"/>
              <w:spacing w:after="0" w:line="121" w:lineRule="exact"/>
              <w:rPr>
                <w:sz w:val="20"/>
                <w:szCs w:val="20"/>
                <w:color w:val="auto"/>
              </w:rPr>
            </w:pPr>
            <w:r>
              <w:rPr>
                <w:rFonts w:ascii="MS PGothic" w:cs="MS PGothic" w:eastAsia="MS PGothic" w:hAnsi="MS PGothic"/>
                <w:sz w:val="12"/>
                <w:szCs w:val="12"/>
                <w:color w:val="auto"/>
                <w:w w:val="82"/>
              </w:rPr>
              <w:t>✓</w:t>
            </w:r>
          </w:p>
        </w:tc>
        <w:tc>
          <w:tcPr>
            <w:tcW w:w="1120" w:type="dxa"/>
            <w:vAlign w:val="bottom"/>
            <w:shd w:val="clear" w:color="auto" w:fill="B2B2B2"/>
          </w:tcPr>
          <w:p>
            <w:pPr>
              <w:jc w:val="center"/>
              <w:ind w:left="80"/>
              <w:spacing w:after="0"/>
              <w:rPr>
                <w:sz w:val="20"/>
                <w:szCs w:val="20"/>
                <w:color w:val="auto"/>
              </w:rPr>
            </w:pPr>
            <w:r>
              <w:rPr>
                <w:rFonts w:ascii="Arial" w:cs="Arial" w:eastAsia="Arial" w:hAnsi="Arial"/>
                <w:sz w:val="12"/>
                <w:szCs w:val="12"/>
                <w:color w:val="auto"/>
                <w:w w:val="93"/>
              </w:rPr>
              <w:t>98.98%</w:t>
            </w:r>
          </w:p>
        </w:tc>
      </w:tr>
      <w:tr>
        <w:trPr>
          <w:trHeight w:val="189"/>
        </w:trPr>
        <w:tc>
          <w:tcPr>
            <w:tcW w:w="80" w:type="dxa"/>
            <w:vAlign w:val="bottom"/>
          </w:tcPr>
          <w:p>
            <w:pPr>
              <w:spacing w:after="0"/>
              <w:rPr>
                <w:sz w:val="16"/>
                <w:szCs w:val="16"/>
                <w:color w:val="auto"/>
              </w:rPr>
            </w:pPr>
          </w:p>
        </w:tc>
        <w:tc>
          <w:tcPr>
            <w:tcW w:w="3740" w:type="dxa"/>
            <w:vAlign w:val="bottom"/>
          </w:tcPr>
          <w:p>
            <w:pPr>
              <w:ind w:left="360"/>
              <w:spacing w:after="0"/>
              <w:rPr>
                <w:sz w:val="20"/>
                <w:szCs w:val="20"/>
                <w:color w:val="auto"/>
              </w:rPr>
            </w:pPr>
            <w:r>
              <w:rPr>
                <w:rFonts w:ascii="Arial" w:cs="Arial" w:eastAsia="Arial" w:hAnsi="Arial"/>
                <w:sz w:val="12"/>
                <w:szCs w:val="12"/>
                <w:color w:val="auto"/>
              </w:rPr>
              <w:t>Carol S. Perry</w:t>
            </w:r>
          </w:p>
        </w:tc>
        <w:tc>
          <w:tcPr>
            <w:tcW w:w="580" w:type="dxa"/>
            <w:vAlign w:val="bottom"/>
            <w:shd w:val="clear" w:color="auto" w:fill="B2B2B2"/>
          </w:tcPr>
          <w:p>
            <w:pPr>
              <w:jc w:val="center"/>
              <w:ind w:left="20"/>
              <w:spacing w:after="0" w:line="121" w:lineRule="exact"/>
              <w:rPr>
                <w:sz w:val="20"/>
                <w:szCs w:val="20"/>
                <w:color w:val="auto"/>
              </w:rPr>
            </w:pPr>
            <w:r>
              <w:rPr>
                <w:rFonts w:ascii="MS PGothic" w:cs="MS PGothic" w:eastAsia="MS PGothic" w:hAnsi="MS PGothic"/>
                <w:sz w:val="12"/>
                <w:szCs w:val="12"/>
                <w:color w:val="auto"/>
                <w:w w:val="82"/>
              </w:rPr>
              <w:t>✓</w:t>
            </w:r>
          </w:p>
        </w:tc>
        <w:tc>
          <w:tcPr>
            <w:tcW w:w="1120" w:type="dxa"/>
            <w:vAlign w:val="bottom"/>
            <w:shd w:val="clear" w:color="auto" w:fill="B2B2B2"/>
          </w:tcPr>
          <w:p>
            <w:pPr>
              <w:jc w:val="center"/>
              <w:ind w:left="80"/>
              <w:spacing w:after="0"/>
              <w:rPr>
                <w:sz w:val="20"/>
                <w:szCs w:val="20"/>
                <w:color w:val="auto"/>
              </w:rPr>
            </w:pPr>
            <w:r>
              <w:rPr>
                <w:rFonts w:ascii="Arial" w:cs="Arial" w:eastAsia="Arial" w:hAnsi="Arial"/>
                <w:sz w:val="12"/>
                <w:szCs w:val="12"/>
                <w:color w:val="auto"/>
                <w:w w:val="93"/>
              </w:rPr>
              <w:t>99.25%</w:t>
            </w:r>
          </w:p>
        </w:tc>
      </w:tr>
      <w:tr>
        <w:trPr>
          <w:trHeight w:val="189"/>
        </w:trPr>
        <w:tc>
          <w:tcPr>
            <w:tcW w:w="80" w:type="dxa"/>
            <w:vAlign w:val="bottom"/>
          </w:tcPr>
          <w:p>
            <w:pPr>
              <w:spacing w:after="0"/>
              <w:rPr>
                <w:sz w:val="16"/>
                <w:szCs w:val="16"/>
                <w:color w:val="auto"/>
              </w:rPr>
            </w:pPr>
          </w:p>
        </w:tc>
        <w:tc>
          <w:tcPr>
            <w:tcW w:w="3740" w:type="dxa"/>
            <w:vAlign w:val="bottom"/>
          </w:tcPr>
          <w:p>
            <w:pPr>
              <w:ind w:left="360"/>
              <w:spacing w:after="0"/>
              <w:rPr>
                <w:sz w:val="20"/>
                <w:szCs w:val="20"/>
                <w:color w:val="auto"/>
              </w:rPr>
            </w:pPr>
            <w:r>
              <w:rPr>
                <w:rFonts w:ascii="Arial" w:cs="Arial" w:eastAsia="Arial" w:hAnsi="Arial"/>
                <w:sz w:val="12"/>
                <w:szCs w:val="12"/>
                <w:color w:val="auto"/>
              </w:rPr>
              <w:t>Tawfiq Popatia</w:t>
            </w:r>
          </w:p>
        </w:tc>
        <w:tc>
          <w:tcPr>
            <w:tcW w:w="580" w:type="dxa"/>
            <w:vAlign w:val="bottom"/>
            <w:shd w:val="clear" w:color="auto" w:fill="B2B2B2"/>
          </w:tcPr>
          <w:p>
            <w:pPr>
              <w:jc w:val="center"/>
              <w:ind w:left="20"/>
              <w:spacing w:after="0" w:line="121" w:lineRule="exact"/>
              <w:rPr>
                <w:sz w:val="20"/>
                <w:szCs w:val="20"/>
                <w:color w:val="auto"/>
              </w:rPr>
            </w:pPr>
            <w:r>
              <w:rPr>
                <w:rFonts w:ascii="MS PGothic" w:cs="MS PGothic" w:eastAsia="MS PGothic" w:hAnsi="MS PGothic"/>
                <w:sz w:val="12"/>
                <w:szCs w:val="12"/>
                <w:color w:val="auto"/>
                <w:w w:val="82"/>
              </w:rPr>
              <w:t>✓</w:t>
            </w:r>
          </w:p>
        </w:tc>
        <w:tc>
          <w:tcPr>
            <w:tcW w:w="1120" w:type="dxa"/>
            <w:vAlign w:val="bottom"/>
            <w:shd w:val="clear" w:color="auto" w:fill="B2B2B2"/>
          </w:tcPr>
          <w:p>
            <w:pPr>
              <w:jc w:val="center"/>
              <w:ind w:left="80"/>
              <w:spacing w:after="0"/>
              <w:rPr>
                <w:sz w:val="20"/>
                <w:szCs w:val="20"/>
                <w:color w:val="auto"/>
              </w:rPr>
            </w:pPr>
            <w:r>
              <w:rPr>
                <w:rFonts w:ascii="Arial" w:cs="Arial" w:eastAsia="Arial" w:hAnsi="Arial"/>
                <w:sz w:val="12"/>
                <w:szCs w:val="12"/>
                <w:color w:val="auto"/>
                <w:w w:val="93"/>
              </w:rPr>
              <w:t>98.82%</w:t>
            </w:r>
          </w:p>
        </w:tc>
      </w:tr>
      <w:tr>
        <w:trPr>
          <w:trHeight w:val="189"/>
        </w:trPr>
        <w:tc>
          <w:tcPr>
            <w:tcW w:w="80" w:type="dxa"/>
            <w:vAlign w:val="bottom"/>
          </w:tcPr>
          <w:p>
            <w:pPr>
              <w:spacing w:after="0"/>
              <w:rPr>
                <w:sz w:val="16"/>
                <w:szCs w:val="16"/>
                <w:color w:val="auto"/>
              </w:rPr>
            </w:pPr>
          </w:p>
        </w:tc>
        <w:tc>
          <w:tcPr>
            <w:tcW w:w="3740" w:type="dxa"/>
            <w:vAlign w:val="bottom"/>
          </w:tcPr>
          <w:p>
            <w:pPr>
              <w:ind w:left="360"/>
              <w:spacing w:after="0"/>
              <w:rPr>
                <w:sz w:val="20"/>
                <w:szCs w:val="20"/>
                <w:color w:val="auto"/>
              </w:rPr>
            </w:pPr>
            <w:r>
              <w:rPr>
                <w:rFonts w:ascii="Arial" w:cs="Arial" w:eastAsia="Arial" w:hAnsi="Arial"/>
                <w:sz w:val="12"/>
                <w:szCs w:val="12"/>
                <w:color w:val="auto"/>
              </w:rPr>
              <w:t>Eamon J. Ryan</w:t>
            </w:r>
          </w:p>
        </w:tc>
        <w:tc>
          <w:tcPr>
            <w:tcW w:w="580" w:type="dxa"/>
            <w:vAlign w:val="bottom"/>
            <w:shd w:val="clear" w:color="auto" w:fill="B2B2B2"/>
          </w:tcPr>
          <w:p>
            <w:pPr>
              <w:jc w:val="center"/>
              <w:ind w:left="20"/>
              <w:spacing w:after="0" w:line="121" w:lineRule="exact"/>
              <w:rPr>
                <w:sz w:val="20"/>
                <w:szCs w:val="20"/>
                <w:color w:val="auto"/>
              </w:rPr>
            </w:pPr>
            <w:r>
              <w:rPr>
                <w:rFonts w:ascii="MS PGothic" w:cs="MS PGothic" w:eastAsia="MS PGothic" w:hAnsi="MS PGothic"/>
                <w:sz w:val="12"/>
                <w:szCs w:val="12"/>
                <w:color w:val="auto"/>
                <w:w w:val="82"/>
              </w:rPr>
              <w:t>✓</w:t>
            </w:r>
          </w:p>
        </w:tc>
        <w:tc>
          <w:tcPr>
            <w:tcW w:w="1120" w:type="dxa"/>
            <w:vAlign w:val="bottom"/>
            <w:shd w:val="clear" w:color="auto" w:fill="B2B2B2"/>
          </w:tcPr>
          <w:p>
            <w:pPr>
              <w:jc w:val="center"/>
              <w:ind w:left="80"/>
              <w:spacing w:after="0"/>
              <w:rPr>
                <w:sz w:val="20"/>
                <w:szCs w:val="20"/>
                <w:color w:val="auto"/>
              </w:rPr>
            </w:pPr>
            <w:r>
              <w:rPr>
                <w:rFonts w:ascii="Arial" w:cs="Arial" w:eastAsia="Arial" w:hAnsi="Arial"/>
                <w:sz w:val="12"/>
                <w:szCs w:val="12"/>
                <w:color w:val="auto"/>
                <w:w w:val="93"/>
              </w:rPr>
              <w:t>98.85%</w:t>
            </w:r>
          </w:p>
        </w:tc>
      </w:tr>
      <w:tr>
        <w:trPr>
          <w:trHeight w:val="189"/>
        </w:trPr>
        <w:tc>
          <w:tcPr>
            <w:tcW w:w="80" w:type="dxa"/>
            <w:vAlign w:val="bottom"/>
          </w:tcPr>
          <w:p>
            <w:pPr>
              <w:spacing w:after="0"/>
              <w:rPr>
                <w:sz w:val="16"/>
                <w:szCs w:val="16"/>
                <w:color w:val="auto"/>
              </w:rPr>
            </w:pPr>
          </w:p>
        </w:tc>
        <w:tc>
          <w:tcPr>
            <w:tcW w:w="3740" w:type="dxa"/>
            <w:vAlign w:val="bottom"/>
          </w:tcPr>
          <w:p>
            <w:pPr>
              <w:ind w:left="360"/>
              <w:spacing w:after="0"/>
              <w:rPr>
                <w:sz w:val="20"/>
                <w:szCs w:val="20"/>
                <w:color w:val="auto"/>
              </w:rPr>
            </w:pPr>
            <w:r>
              <w:rPr>
                <w:rFonts w:ascii="Arial" w:cs="Arial" w:eastAsia="Arial" w:hAnsi="Arial"/>
                <w:sz w:val="12"/>
                <w:szCs w:val="12"/>
                <w:color w:val="auto"/>
              </w:rPr>
              <w:t>Michael M. Wilson</w:t>
            </w:r>
          </w:p>
        </w:tc>
        <w:tc>
          <w:tcPr>
            <w:tcW w:w="580" w:type="dxa"/>
            <w:vAlign w:val="bottom"/>
            <w:shd w:val="clear" w:color="auto" w:fill="B2B2B2"/>
          </w:tcPr>
          <w:p>
            <w:pPr>
              <w:jc w:val="center"/>
              <w:ind w:left="20"/>
              <w:spacing w:after="0" w:line="121" w:lineRule="exact"/>
              <w:rPr>
                <w:sz w:val="20"/>
                <w:szCs w:val="20"/>
                <w:color w:val="auto"/>
              </w:rPr>
            </w:pPr>
            <w:r>
              <w:rPr>
                <w:rFonts w:ascii="MS PGothic" w:cs="MS PGothic" w:eastAsia="MS PGothic" w:hAnsi="MS PGothic"/>
                <w:sz w:val="12"/>
                <w:szCs w:val="12"/>
                <w:color w:val="auto"/>
                <w:w w:val="82"/>
              </w:rPr>
              <w:t>✓</w:t>
            </w:r>
          </w:p>
        </w:tc>
        <w:tc>
          <w:tcPr>
            <w:tcW w:w="1120" w:type="dxa"/>
            <w:vAlign w:val="bottom"/>
            <w:shd w:val="clear" w:color="auto" w:fill="B2B2B2"/>
          </w:tcPr>
          <w:p>
            <w:pPr>
              <w:jc w:val="center"/>
              <w:ind w:left="80"/>
              <w:spacing w:after="0"/>
              <w:rPr>
                <w:sz w:val="20"/>
                <w:szCs w:val="20"/>
                <w:color w:val="auto"/>
              </w:rPr>
            </w:pPr>
            <w:r>
              <w:rPr>
                <w:rFonts w:ascii="Arial" w:cs="Arial" w:eastAsia="Arial" w:hAnsi="Arial"/>
                <w:sz w:val="12"/>
                <w:szCs w:val="12"/>
                <w:color w:val="auto"/>
                <w:w w:val="93"/>
              </w:rPr>
              <w:t>98.40%</w:t>
            </w:r>
          </w:p>
        </w:tc>
      </w:tr>
      <w:tr>
        <w:trPr>
          <w:trHeight w:val="174"/>
        </w:trPr>
        <w:tc>
          <w:tcPr>
            <w:tcW w:w="3820" w:type="dxa"/>
            <w:vAlign w:val="bottom"/>
            <w:gridSpan w:val="2"/>
          </w:tcPr>
          <w:p>
            <w:pPr>
              <w:ind w:left="80"/>
              <w:spacing w:after="0"/>
              <w:rPr>
                <w:sz w:val="20"/>
                <w:szCs w:val="20"/>
                <w:color w:val="auto"/>
              </w:rPr>
            </w:pPr>
            <w:r>
              <w:rPr>
                <w:rFonts w:ascii="Arial" w:cs="Arial" w:eastAsia="Arial" w:hAnsi="Arial"/>
                <w:sz w:val="12"/>
                <w:szCs w:val="12"/>
                <w:color w:val="auto"/>
                <w:w w:val="97"/>
              </w:rPr>
              <w:t>In respect of the appointment of KPMG as the auditor of the Corporation</w:t>
            </w:r>
          </w:p>
        </w:tc>
        <w:tc>
          <w:tcPr>
            <w:tcW w:w="580" w:type="dxa"/>
            <w:vAlign w:val="bottom"/>
            <w:shd w:val="clear" w:color="auto" w:fill="B2B2B2"/>
          </w:tcPr>
          <w:p>
            <w:pPr>
              <w:jc w:val="center"/>
              <w:ind w:left="20"/>
              <w:spacing w:after="0" w:line="121" w:lineRule="exact"/>
              <w:rPr>
                <w:sz w:val="20"/>
                <w:szCs w:val="20"/>
                <w:color w:val="auto"/>
              </w:rPr>
            </w:pPr>
            <w:r>
              <w:rPr>
                <w:rFonts w:ascii="MS PGothic" w:cs="MS PGothic" w:eastAsia="MS PGothic" w:hAnsi="MS PGothic"/>
                <w:sz w:val="12"/>
                <w:szCs w:val="12"/>
                <w:color w:val="auto"/>
                <w:w w:val="82"/>
              </w:rPr>
              <w:t>✓</w:t>
            </w:r>
          </w:p>
        </w:tc>
        <w:tc>
          <w:tcPr>
            <w:tcW w:w="1120" w:type="dxa"/>
            <w:vAlign w:val="bottom"/>
            <w:shd w:val="clear" w:color="auto" w:fill="B2B2B2"/>
          </w:tcPr>
          <w:p>
            <w:pPr>
              <w:jc w:val="center"/>
              <w:ind w:left="80"/>
              <w:spacing w:after="0"/>
              <w:rPr>
                <w:sz w:val="20"/>
                <w:szCs w:val="20"/>
                <w:color w:val="auto"/>
              </w:rPr>
            </w:pPr>
            <w:r>
              <w:rPr>
                <w:rFonts w:ascii="Arial" w:cs="Arial" w:eastAsia="Arial" w:hAnsi="Arial"/>
                <w:sz w:val="12"/>
                <w:szCs w:val="12"/>
                <w:color w:val="auto"/>
                <w:w w:val="93"/>
              </w:rPr>
              <w:t>99.27%</w:t>
            </w:r>
          </w:p>
        </w:tc>
      </w:tr>
      <w:tr>
        <w:trPr>
          <w:trHeight w:val="152"/>
        </w:trPr>
        <w:tc>
          <w:tcPr>
            <w:tcW w:w="3820" w:type="dxa"/>
            <w:vAlign w:val="bottom"/>
            <w:gridSpan w:val="2"/>
          </w:tcPr>
          <w:p>
            <w:pPr>
              <w:ind w:left="80"/>
              <w:spacing w:after="0"/>
              <w:rPr>
                <w:sz w:val="20"/>
                <w:szCs w:val="20"/>
                <w:color w:val="auto"/>
              </w:rPr>
            </w:pPr>
            <w:r>
              <w:rPr>
                <w:rFonts w:ascii="Arial" w:cs="Arial" w:eastAsia="Arial" w:hAnsi="Arial"/>
                <w:sz w:val="12"/>
                <w:szCs w:val="12"/>
                <w:color w:val="auto"/>
              </w:rPr>
              <w:t>for the ensuing year</w:t>
            </w:r>
          </w:p>
        </w:tc>
        <w:tc>
          <w:tcPr>
            <w:tcW w:w="580" w:type="dxa"/>
            <w:vAlign w:val="bottom"/>
            <w:shd w:val="clear" w:color="auto" w:fill="B2B2B2"/>
          </w:tcPr>
          <w:p>
            <w:pPr>
              <w:spacing w:after="0"/>
              <w:rPr>
                <w:sz w:val="13"/>
                <w:szCs w:val="13"/>
                <w:color w:val="auto"/>
              </w:rPr>
            </w:pPr>
          </w:p>
        </w:tc>
        <w:tc>
          <w:tcPr>
            <w:tcW w:w="1120" w:type="dxa"/>
            <w:vAlign w:val="bottom"/>
            <w:shd w:val="clear" w:color="auto" w:fill="B2B2B2"/>
          </w:tcPr>
          <w:p>
            <w:pPr>
              <w:spacing w:after="0"/>
              <w:rPr>
                <w:sz w:val="13"/>
                <w:szCs w:val="13"/>
                <w:color w:val="auto"/>
              </w:rPr>
            </w:pPr>
          </w:p>
        </w:tc>
      </w:tr>
      <w:tr>
        <w:trPr>
          <w:trHeight w:val="186"/>
        </w:trPr>
        <w:tc>
          <w:tcPr>
            <w:tcW w:w="3820" w:type="dxa"/>
            <w:vAlign w:val="bottom"/>
            <w:gridSpan w:val="2"/>
          </w:tcPr>
          <w:p>
            <w:pPr>
              <w:ind w:left="80"/>
              <w:spacing w:after="0"/>
              <w:rPr>
                <w:sz w:val="20"/>
                <w:szCs w:val="20"/>
                <w:color w:val="auto"/>
              </w:rPr>
            </w:pPr>
            <w:r>
              <w:rPr>
                <w:rFonts w:ascii="Arial" w:cs="Arial" w:eastAsia="Arial" w:hAnsi="Arial"/>
                <w:sz w:val="12"/>
                <w:szCs w:val="12"/>
                <w:color w:val="auto"/>
              </w:rPr>
              <w:t>In respect of the authorization of the Board of Directors of the</w:t>
            </w:r>
          </w:p>
        </w:tc>
        <w:tc>
          <w:tcPr>
            <w:tcW w:w="580" w:type="dxa"/>
            <w:vAlign w:val="bottom"/>
            <w:shd w:val="clear" w:color="auto" w:fill="B2B2B2"/>
          </w:tcPr>
          <w:p>
            <w:pPr>
              <w:jc w:val="center"/>
              <w:ind w:left="20"/>
              <w:spacing w:after="0" w:line="121" w:lineRule="exact"/>
              <w:rPr>
                <w:sz w:val="20"/>
                <w:szCs w:val="20"/>
                <w:color w:val="auto"/>
              </w:rPr>
            </w:pPr>
            <w:r>
              <w:rPr>
                <w:rFonts w:ascii="MS PGothic" w:cs="MS PGothic" w:eastAsia="MS PGothic" w:hAnsi="MS PGothic"/>
                <w:sz w:val="12"/>
                <w:szCs w:val="12"/>
                <w:color w:val="auto"/>
                <w:w w:val="82"/>
              </w:rPr>
              <w:t>✓</w:t>
            </w:r>
          </w:p>
        </w:tc>
        <w:tc>
          <w:tcPr>
            <w:tcW w:w="1120" w:type="dxa"/>
            <w:vAlign w:val="bottom"/>
            <w:shd w:val="clear" w:color="auto" w:fill="B2B2B2"/>
          </w:tcPr>
          <w:p>
            <w:pPr>
              <w:jc w:val="center"/>
              <w:ind w:left="80"/>
              <w:spacing w:after="0"/>
              <w:rPr>
                <w:sz w:val="20"/>
                <w:szCs w:val="20"/>
                <w:color w:val="auto"/>
              </w:rPr>
            </w:pPr>
            <w:r>
              <w:rPr>
                <w:rFonts w:ascii="Arial" w:cs="Arial" w:eastAsia="Arial" w:hAnsi="Arial"/>
                <w:sz w:val="12"/>
                <w:szCs w:val="12"/>
                <w:color w:val="auto"/>
                <w:w w:val="93"/>
              </w:rPr>
              <w:t>99.78%</w:t>
            </w:r>
          </w:p>
        </w:tc>
      </w:tr>
      <w:tr>
        <w:trPr>
          <w:trHeight w:val="152"/>
        </w:trPr>
        <w:tc>
          <w:tcPr>
            <w:tcW w:w="3820" w:type="dxa"/>
            <w:vAlign w:val="bottom"/>
            <w:gridSpan w:val="2"/>
          </w:tcPr>
          <w:p>
            <w:pPr>
              <w:ind w:left="80"/>
              <w:spacing w:after="0"/>
              <w:rPr>
                <w:sz w:val="20"/>
                <w:szCs w:val="20"/>
                <w:color w:val="auto"/>
              </w:rPr>
            </w:pPr>
            <w:r>
              <w:rPr>
                <w:rFonts w:ascii="Arial" w:cs="Arial" w:eastAsia="Arial" w:hAnsi="Arial"/>
                <w:sz w:val="12"/>
                <w:szCs w:val="12"/>
                <w:color w:val="auto"/>
              </w:rPr>
              <w:t>Corporation to fix the remuneration of the auditors</w:t>
            </w:r>
          </w:p>
        </w:tc>
        <w:tc>
          <w:tcPr>
            <w:tcW w:w="580" w:type="dxa"/>
            <w:vAlign w:val="bottom"/>
            <w:shd w:val="clear" w:color="auto" w:fill="B2B2B2"/>
          </w:tcPr>
          <w:p>
            <w:pPr>
              <w:spacing w:after="0"/>
              <w:rPr>
                <w:sz w:val="13"/>
                <w:szCs w:val="13"/>
                <w:color w:val="auto"/>
              </w:rPr>
            </w:pPr>
          </w:p>
        </w:tc>
        <w:tc>
          <w:tcPr>
            <w:tcW w:w="1120" w:type="dxa"/>
            <w:vAlign w:val="bottom"/>
            <w:shd w:val="clear" w:color="auto" w:fill="B2B2B2"/>
          </w:tcPr>
          <w:p>
            <w:pPr>
              <w:spacing w:after="0"/>
              <w:rPr>
                <w:sz w:val="13"/>
                <w:szCs w:val="13"/>
                <w:color w:val="auto"/>
              </w:rPr>
            </w:pPr>
          </w:p>
        </w:tc>
      </w:tr>
      <w:tr>
        <w:trPr>
          <w:trHeight w:val="186"/>
        </w:trPr>
        <w:tc>
          <w:tcPr>
            <w:tcW w:w="3820" w:type="dxa"/>
            <w:vAlign w:val="bottom"/>
            <w:gridSpan w:val="2"/>
          </w:tcPr>
          <w:p>
            <w:pPr>
              <w:ind w:left="80"/>
              <w:spacing w:after="0"/>
              <w:rPr>
                <w:sz w:val="20"/>
                <w:szCs w:val="20"/>
                <w:color w:val="auto"/>
              </w:rPr>
            </w:pPr>
            <w:r>
              <w:rPr>
                <w:rFonts w:ascii="Arial" w:cs="Arial" w:eastAsia="Arial" w:hAnsi="Arial"/>
                <w:sz w:val="12"/>
                <w:szCs w:val="12"/>
                <w:color w:val="auto"/>
              </w:rPr>
              <w:t>In respect of the advisory resolution on the Corporation’s approach to</w:t>
            </w:r>
          </w:p>
        </w:tc>
        <w:tc>
          <w:tcPr>
            <w:tcW w:w="580" w:type="dxa"/>
            <w:vAlign w:val="bottom"/>
            <w:shd w:val="clear" w:color="auto" w:fill="B2B2B2"/>
          </w:tcPr>
          <w:p>
            <w:pPr>
              <w:jc w:val="center"/>
              <w:ind w:left="20"/>
              <w:spacing w:after="0" w:line="121" w:lineRule="exact"/>
              <w:rPr>
                <w:sz w:val="20"/>
                <w:szCs w:val="20"/>
                <w:color w:val="auto"/>
              </w:rPr>
            </w:pPr>
            <w:r>
              <w:rPr>
                <w:rFonts w:ascii="MS PGothic" w:cs="MS PGothic" w:eastAsia="MS PGothic" w:hAnsi="MS PGothic"/>
                <w:sz w:val="12"/>
                <w:szCs w:val="12"/>
                <w:color w:val="auto"/>
                <w:w w:val="82"/>
              </w:rPr>
              <w:t>✓</w:t>
            </w:r>
          </w:p>
        </w:tc>
        <w:tc>
          <w:tcPr>
            <w:tcW w:w="1120" w:type="dxa"/>
            <w:vAlign w:val="bottom"/>
            <w:shd w:val="clear" w:color="auto" w:fill="B2B2B2"/>
          </w:tcPr>
          <w:p>
            <w:pPr>
              <w:jc w:val="center"/>
              <w:ind w:left="80"/>
              <w:spacing w:after="0"/>
              <w:rPr>
                <w:sz w:val="20"/>
                <w:szCs w:val="20"/>
                <w:color w:val="auto"/>
              </w:rPr>
            </w:pPr>
            <w:r>
              <w:rPr>
                <w:rFonts w:ascii="Arial" w:cs="Arial" w:eastAsia="Arial" w:hAnsi="Arial"/>
                <w:sz w:val="12"/>
                <w:szCs w:val="12"/>
                <w:color w:val="auto"/>
                <w:w w:val="93"/>
              </w:rPr>
              <w:t>96.05%</w:t>
            </w:r>
          </w:p>
        </w:tc>
      </w:tr>
      <w:tr>
        <w:trPr>
          <w:trHeight w:val="152"/>
        </w:trPr>
        <w:tc>
          <w:tcPr>
            <w:tcW w:w="3820" w:type="dxa"/>
            <w:vAlign w:val="bottom"/>
            <w:gridSpan w:val="2"/>
          </w:tcPr>
          <w:p>
            <w:pPr>
              <w:ind w:left="80"/>
              <w:spacing w:after="0"/>
              <w:rPr>
                <w:sz w:val="20"/>
                <w:szCs w:val="20"/>
                <w:color w:val="auto"/>
              </w:rPr>
            </w:pPr>
            <w:r>
              <w:rPr>
                <w:rFonts w:ascii="Arial" w:cs="Arial" w:eastAsia="Arial" w:hAnsi="Arial"/>
                <w:sz w:val="12"/>
                <w:szCs w:val="12"/>
                <w:color w:val="auto"/>
              </w:rPr>
              <w:t>executive compensation</w:t>
            </w:r>
          </w:p>
        </w:tc>
        <w:tc>
          <w:tcPr>
            <w:tcW w:w="580" w:type="dxa"/>
            <w:vAlign w:val="bottom"/>
            <w:shd w:val="clear" w:color="auto" w:fill="B2B2B2"/>
          </w:tcPr>
          <w:p>
            <w:pPr>
              <w:spacing w:after="0"/>
              <w:rPr>
                <w:sz w:val="13"/>
                <w:szCs w:val="13"/>
                <w:color w:val="auto"/>
              </w:rPr>
            </w:pPr>
          </w:p>
        </w:tc>
        <w:tc>
          <w:tcPr>
            <w:tcW w:w="1120" w:type="dxa"/>
            <w:vAlign w:val="bottom"/>
            <w:shd w:val="clear" w:color="auto" w:fill="B2B2B2"/>
          </w:tcPr>
          <w:p>
            <w:pPr>
              <w:spacing w:after="0"/>
              <w:rPr>
                <w:sz w:val="13"/>
                <w:szCs w:val="13"/>
                <w:color w:val="auto"/>
              </w:rPr>
            </w:pPr>
          </w:p>
        </w:tc>
      </w:tr>
      <w:tr>
        <w:trPr>
          <w:trHeight w:val="24"/>
        </w:trPr>
        <w:tc>
          <w:tcPr>
            <w:tcW w:w="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580" w:type="dxa"/>
            <w:vAlign w:val="bottom"/>
            <w:shd w:val="clear" w:color="auto" w:fill="B2B2B2"/>
          </w:tcPr>
          <w:p>
            <w:pPr>
              <w:spacing w:after="0"/>
              <w:rPr>
                <w:sz w:val="2"/>
                <w:szCs w:val="2"/>
                <w:color w:val="auto"/>
              </w:rPr>
            </w:pPr>
          </w:p>
        </w:tc>
        <w:tc>
          <w:tcPr>
            <w:tcW w:w="1120" w:type="dxa"/>
            <w:vAlign w:val="bottom"/>
            <w:shd w:val="clear" w:color="auto" w:fill="B2B2B2"/>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1153160</wp:posOffset>
            </wp:positionH>
            <wp:positionV relativeFrom="paragraph">
              <wp:posOffset>-1978025</wp:posOffset>
            </wp:positionV>
            <wp:extent cx="3457575" cy="755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57575" cy="75565"/>
                    </a:xfrm>
                    <a:prstGeom prst="rect">
                      <a:avLst/>
                    </a:prstGeom>
                    <a:noFill/>
                  </pic:spPr>
                </pic:pic>
              </a:graphicData>
            </a:graphic>
          </wp:anchor>
        </w:drawing>
      </w: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5" w:name="page46"/>
    <w:bookmarkEnd w:id="45"/>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384810</wp:posOffset>
            </wp:positionV>
            <wp:extent cx="3843655" cy="3536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843655" cy="353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HUMAN RESOURCES AND COMPENSATION COMMITTEE LETTER TO</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53975</wp:posOffset>
            </wp:positionV>
            <wp:extent cx="3843655"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216"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Dear Shareholders,</w:t>
      </w:r>
    </w:p>
    <w:p>
      <w:pPr>
        <w:spacing w:after="0" w:line="89" w:lineRule="exact"/>
        <w:rPr>
          <w:sz w:val="20"/>
          <w:szCs w:val="20"/>
          <w:color w:val="auto"/>
        </w:rPr>
      </w:pPr>
    </w:p>
    <w:p>
      <w:pPr>
        <w:jc w:val="both"/>
        <w:ind w:left="1480" w:right="1499"/>
        <w:spacing w:after="0" w:line="270" w:lineRule="auto"/>
        <w:rPr>
          <w:sz w:val="20"/>
          <w:szCs w:val="20"/>
          <w:color w:val="auto"/>
        </w:rPr>
      </w:pPr>
      <w:r>
        <w:rPr>
          <w:rFonts w:ascii="Arial" w:cs="Arial" w:eastAsia="Arial" w:hAnsi="Arial"/>
          <w:sz w:val="13"/>
          <w:szCs w:val="13"/>
          <w:color w:val="auto"/>
        </w:rPr>
        <w:t>On behalf of the HRCC, I welcome this opportunity to share with you our approach to executive compensation, including the framework we used to make our compensation decisions for the CEO and certain other executive officers for 2020.</w:t>
      </w:r>
    </w:p>
    <w:p>
      <w:pPr>
        <w:spacing w:after="0" w:line="136"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Our Approach to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38100</wp:posOffset>
            </wp:positionV>
            <wp:extent cx="3843655"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843655" cy="635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50800</wp:posOffset>
            </wp:positionV>
            <wp:extent cx="3843655"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200" w:lineRule="exact"/>
        <w:rPr>
          <w:sz w:val="20"/>
          <w:szCs w:val="20"/>
          <w:color w:val="auto"/>
        </w:rPr>
      </w:pPr>
    </w:p>
    <w:p>
      <w:pPr>
        <w:jc w:val="both"/>
        <w:ind w:left="1480" w:right="1499"/>
        <w:spacing w:after="0" w:line="260" w:lineRule="auto"/>
        <w:rPr>
          <w:sz w:val="20"/>
          <w:szCs w:val="20"/>
          <w:color w:val="auto"/>
        </w:rPr>
      </w:pPr>
      <w:r>
        <w:rPr>
          <w:rFonts w:ascii="Arial" w:cs="Arial" w:eastAsia="Arial" w:hAnsi="Arial"/>
          <w:sz w:val="13"/>
          <w:szCs w:val="13"/>
          <w:color w:val="auto"/>
        </w:rPr>
        <w:t>Celestica’s executive compensation program is designed to pay for performance, adhere to the risk profile of the Corporation, align the interests of executives and shareholders, incentivize executives to work as a team to achieve our strategic objectives, ensure direct accountability for annual operating results and the Corporation’s long-term financial performance and to reflect both business strategy and market norms. Total compensation for each executive varies with the Corporation’s achievement of financial and non-financial objectives, as well as individual performance. Further, the HRCC has endeavoured to ensure that the executive compensation program is aligned with appropriate governance, risk management and regulatory principles.</w:t>
      </w:r>
    </w:p>
    <w:p>
      <w:pPr>
        <w:spacing w:after="0" w:line="58" w:lineRule="exact"/>
        <w:rPr>
          <w:sz w:val="20"/>
          <w:szCs w:val="20"/>
          <w:color w:val="auto"/>
        </w:rPr>
      </w:pPr>
    </w:p>
    <w:p>
      <w:pPr>
        <w:jc w:val="both"/>
        <w:ind w:left="1480" w:right="1499"/>
        <w:spacing w:after="0" w:line="265" w:lineRule="auto"/>
        <w:rPr>
          <w:sz w:val="20"/>
          <w:szCs w:val="20"/>
          <w:color w:val="auto"/>
        </w:rPr>
      </w:pPr>
      <w:r>
        <w:rPr>
          <w:rFonts w:ascii="Arial" w:cs="Arial" w:eastAsia="Arial" w:hAnsi="Arial"/>
          <w:sz w:val="13"/>
          <w:szCs w:val="13"/>
          <w:color w:val="auto"/>
        </w:rPr>
        <w:t>Over the course of 2020, the HRCC executed on its full mandate. The HRCC reviewed the Corporation’s executive pay-for-performance alignment in consultation with an independent compensation consultant and concluded that our 2020 executive pay levels were well-aligned with Celestica’s performance. There were no key executive compensation design changes in 2020.</w:t>
      </w:r>
    </w:p>
    <w:p>
      <w:pPr>
        <w:spacing w:after="0" w:line="140"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2020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38100</wp:posOffset>
            </wp:positionV>
            <wp:extent cx="3843655" cy="6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843655" cy="635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50800</wp:posOffset>
            </wp:positionV>
            <wp:extent cx="3843655"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843655" cy="635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158115</wp:posOffset>
            </wp:positionV>
            <wp:extent cx="3843655" cy="1581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843655" cy="158115"/>
                    </a:xfrm>
                    <a:prstGeom prst="rect">
                      <a:avLst/>
                    </a:prstGeom>
                    <a:noFill/>
                  </pic:spPr>
                </pic:pic>
              </a:graphicData>
            </a:graphic>
          </wp:anchor>
        </w:drawing>
      </w:r>
    </w:p>
    <w:p>
      <w:pPr>
        <w:spacing w:after="0" w:line="280" w:lineRule="exact"/>
        <w:rPr>
          <w:sz w:val="20"/>
          <w:szCs w:val="20"/>
          <w:color w:val="auto"/>
        </w:rPr>
      </w:pPr>
    </w:p>
    <w:p>
      <w:pPr>
        <w:ind w:left="1480"/>
        <w:spacing w:after="0"/>
        <w:rPr>
          <w:sz w:val="20"/>
          <w:szCs w:val="20"/>
          <w:color w:val="auto"/>
        </w:rPr>
      </w:pPr>
      <w:r>
        <w:rPr>
          <w:rFonts w:ascii="Arial" w:cs="Arial" w:eastAsia="Arial" w:hAnsi="Arial"/>
          <w:sz w:val="13"/>
          <w:szCs w:val="13"/>
          <w:b w:val="1"/>
          <w:bCs w:val="1"/>
          <w:i w:val="1"/>
          <w:iCs w:val="1"/>
          <w:color w:val="auto"/>
        </w:rPr>
        <w:t>Diversity and Inclusion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30480</wp:posOffset>
            </wp:positionV>
            <wp:extent cx="3843655"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99" w:lineRule="exact"/>
        <w:rPr>
          <w:sz w:val="20"/>
          <w:szCs w:val="20"/>
          <w:color w:val="auto"/>
        </w:rPr>
      </w:pPr>
    </w:p>
    <w:p>
      <w:pPr>
        <w:jc w:val="both"/>
        <w:ind w:left="1480" w:right="1499"/>
        <w:spacing w:after="0" w:line="259" w:lineRule="auto"/>
        <w:rPr>
          <w:sz w:val="20"/>
          <w:szCs w:val="20"/>
          <w:color w:val="auto"/>
        </w:rPr>
      </w:pPr>
      <w:r>
        <w:rPr>
          <w:rFonts w:ascii="Arial" w:cs="Arial" w:eastAsia="Arial" w:hAnsi="Arial"/>
          <w:sz w:val="13"/>
          <w:szCs w:val="13"/>
          <w:color w:val="auto"/>
        </w:rPr>
        <w:t>Diversity and inclusion was a focus of the HRCC during 2020. The HRCC reviewed Celestica’s Diversity and Inclusion Policy which was adopted by Celestica to reflect its commitment to providing a work environment in which everyone feels accepted and valued, by being treated fairly and with respect across the enterprise. Upon reviewing Celestica’s talent and succession plans, the HRCC reviewed certain diversity metrics across various levels of the organization. It was recognized that Celestica’s workforce, including executive leadership, would benefit from positive actions to enhance diversity and inclusion within the organization. The HRCC reviewed management’s plan to promote diversity and inclusion initiatives in 2020 and in 2021 will evaluate the results of Celestica’s D&amp;I Survey together with management’s action plan in response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113665</wp:posOffset>
            </wp:positionV>
            <wp:extent cx="3843655" cy="1581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843655" cy="158115"/>
                    </a:xfrm>
                    <a:prstGeom prst="rect">
                      <a:avLst/>
                    </a:prstGeom>
                    <a:noFill/>
                  </pic:spPr>
                </pic:pic>
              </a:graphicData>
            </a:graphic>
          </wp:anchor>
        </w:drawing>
      </w:r>
    </w:p>
    <w:p>
      <w:pPr>
        <w:spacing w:after="0" w:line="210" w:lineRule="exact"/>
        <w:rPr>
          <w:sz w:val="20"/>
          <w:szCs w:val="20"/>
          <w:color w:val="auto"/>
        </w:rPr>
      </w:pPr>
    </w:p>
    <w:p>
      <w:pPr>
        <w:ind w:left="1480"/>
        <w:spacing w:after="0"/>
        <w:rPr>
          <w:sz w:val="20"/>
          <w:szCs w:val="20"/>
          <w:color w:val="auto"/>
        </w:rPr>
      </w:pPr>
      <w:r>
        <w:rPr>
          <w:rFonts w:ascii="Arial" w:cs="Arial" w:eastAsia="Arial" w:hAnsi="Arial"/>
          <w:sz w:val="13"/>
          <w:szCs w:val="13"/>
          <w:b w:val="1"/>
          <w:bCs w:val="1"/>
          <w:i w:val="1"/>
          <w:iCs w:val="1"/>
          <w:color w:val="auto"/>
        </w:rPr>
        <w:t>Comparator Group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30480</wp:posOffset>
            </wp:positionV>
            <wp:extent cx="3843655"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99" w:lineRule="exact"/>
        <w:rPr>
          <w:sz w:val="20"/>
          <w:szCs w:val="20"/>
          <w:color w:val="auto"/>
        </w:rPr>
      </w:pPr>
    </w:p>
    <w:p>
      <w:pPr>
        <w:jc w:val="both"/>
        <w:ind w:left="1480" w:right="1499"/>
        <w:spacing w:after="0" w:line="294" w:lineRule="auto"/>
        <w:rPr>
          <w:sz w:val="20"/>
          <w:szCs w:val="20"/>
          <w:color w:val="auto"/>
        </w:rPr>
      </w:pPr>
      <w:r>
        <w:rPr>
          <w:rFonts w:ascii="Arial" w:cs="Arial" w:eastAsia="Arial" w:hAnsi="Arial"/>
          <w:sz w:val="12"/>
          <w:szCs w:val="12"/>
          <w:color w:val="auto"/>
        </w:rPr>
        <w:t>Celestica undertook a comprehensive review of the comparator group that is used to benchmark compensation (the “</w:t>
      </w:r>
      <w:r>
        <w:rPr>
          <w:rFonts w:ascii="Arial" w:cs="Arial" w:eastAsia="Arial" w:hAnsi="Arial"/>
          <w:sz w:val="12"/>
          <w:szCs w:val="12"/>
          <w:b w:val="1"/>
          <w:bCs w:val="1"/>
          <w:color w:val="auto"/>
        </w:rPr>
        <w:t>Comparator Group</w:t>
      </w:r>
      <w:r>
        <w:rPr>
          <w:rFonts w:ascii="Arial" w:cs="Arial" w:eastAsia="Arial" w:hAnsi="Arial"/>
          <w:sz w:val="12"/>
          <w:szCs w:val="12"/>
          <w:color w:val="auto"/>
        </w:rPr>
        <w:t>”) and the HRCC subsequently approved an updated Comparator Group to be used for 2021 compensation planning purposes which we believe best reflects the market for executive talent in which Celestica competes, as well as appropriate financial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100965</wp:posOffset>
            </wp:positionV>
            <wp:extent cx="3843655" cy="1581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843655" cy="158115"/>
                    </a:xfrm>
                    <a:prstGeom prst="rect">
                      <a:avLst/>
                    </a:prstGeom>
                    <a:noFill/>
                  </pic:spPr>
                </pic:pic>
              </a:graphicData>
            </a:graphic>
          </wp:anchor>
        </w:drawing>
      </w:r>
    </w:p>
    <w:p>
      <w:pPr>
        <w:spacing w:after="0" w:line="190" w:lineRule="exact"/>
        <w:rPr>
          <w:sz w:val="20"/>
          <w:szCs w:val="20"/>
          <w:color w:val="auto"/>
        </w:rPr>
      </w:pPr>
    </w:p>
    <w:p>
      <w:pPr>
        <w:ind w:left="1480"/>
        <w:spacing w:after="0"/>
        <w:rPr>
          <w:sz w:val="20"/>
          <w:szCs w:val="20"/>
          <w:color w:val="auto"/>
        </w:rPr>
      </w:pPr>
      <w:r>
        <w:rPr>
          <w:rFonts w:ascii="Arial" w:cs="Arial" w:eastAsia="Arial" w:hAnsi="Arial"/>
          <w:sz w:val="13"/>
          <w:szCs w:val="13"/>
          <w:b w:val="1"/>
          <w:bCs w:val="1"/>
          <w:i w:val="1"/>
          <w:iCs w:val="1"/>
          <w:color w:val="auto"/>
        </w:rPr>
        <w:t>Celestica’s Response to COVID-19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30480</wp:posOffset>
            </wp:positionV>
            <wp:extent cx="3843655"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99" w:lineRule="exact"/>
        <w:rPr>
          <w:sz w:val="20"/>
          <w:szCs w:val="20"/>
          <w:color w:val="auto"/>
        </w:rPr>
      </w:pPr>
    </w:p>
    <w:p>
      <w:pPr>
        <w:jc w:val="both"/>
        <w:ind w:left="1480" w:right="1499"/>
        <w:spacing w:after="0" w:line="270" w:lineRule="auto"/>
        <w:rPr>
          <w:sz w:val="20"/>
          <w:szCs w:val="20"/>
          <w:color w:val="auto"/>
        </w:rPr>
      </w:pPr>
      <w:r>
        <w:rPr>
          <w:rFonts w:ascii="Arial" w:cs="Arial" w:eastAsia="Arial" w:hAnsi="Arial"/>
          <w:sz w:val="13"/>
          <w:szCs w:val="13"/>
          <w:color w:val="auto"/>
        </w:rPr>
        <w:t>During 2020, the HRCC regularly reviewed Celestica’s business continuity plan in response to the COVID-19 pandemic, including emergency leadership continuity measures, preventative and protective measures implemented to prioritize the health and safety of employees, and employee communications.</w:t>
      </w: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6" w:name="page47"/>
    <w:bookmarkEnd w:id="46"/>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384810</wp:posOffset>
            </wp:positionV>
            <wp:extent cx="3843655" cy="1581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843655" cy="158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480"/>
        <w:spacing w:after="0"/>
        <w:rPr>
          <w:sz w:val="20"/>
          <w:szCs w:val="20"/>
          <w:color w:val="auto"/>
        </w:rPr>
      </w:pPr>
      <w:r>
        <w:rPr>
          <w:rFonts w:ascii="Arial" w:cs="Arial" w:eastAsia="Arial" w:hAnsi="Arial"/>
          <w:sz w:val="13"/>
          <w:szCs w:val="13"/>
          <w:b w:val="1"/>
          <w:bCs w:val="1"/>
          <w:i w:val="1"/>
          <w:iCs w:val="1"/>
          <w:color w:val="auto"/>
        </w:rPr>
        <w:t>2020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30480</wp:posOffset>
            </wp:positionV>
            <wp:extent cx="3843655"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99" w:lineRule="exact"/>
        <w:rPr>
          <w:sz w:val="20"/>
          <w:szCs w:val="20"/>
          <w:color w:val="auto"/>
        </w:rPr>
      </w:pPr>
    </w:p>
    <w:p>
      <w:pPr>
        <w:ind w:left="1480" w:right="1499"/>
        <w:spacing w:after="0" w:line="285" w:lineRule="auto"/>
        <w:rPr>
          <w:sz w:val="20"/>
          <w:szCs w:val="20"/>
          <w:color w:val="auto"/>
        </w:rPr>
      </w:pPr>
      <w:r>
        <w:rPr>
          <w:rFonts w:ascii="Arial" w:cs="Arial" w:eastAsia="Arial" w:hAnsi="Arial"/>
          <w:sz w:val="13"/>
          <w:szCs w:val="13"/>
          <w:color w:val="auto"/>
        </w:rPr>
        <w:t>Celestica executed on its strategic transformation and portfolio reshaping initiatives in 2020, and delivered solid financial results to end a year of unprecedented challenges due to COVID-19:</w:t>
      </w:r>
    </w:p>
    <w:p>
      <w:pPr>
        <w:spacing w:after="0" w:line="43" w:lineRule="exact"/>
        <w:rPr>
          <w:sz w:val="20"/>
          <w:szCs w:val="20"/>
          <w:color w:val="auto"/>
        </w:rPr>
      </w:pPr>
    </w:p>
    <w:p>
      <w:pPr>
        <w:ind w:left="1880" w:right="1499" w:hanging="137"/>
        <w:spacing w:after="0" w:line="285" w:lineRule="auto"/>
        <w:tabs>
          <w:tab w:leader="none" w:pos="1880" w:val="left"/>
        </w:tabs>
        <w:numPr>
          <w:ilvl w:val="0"/>
          <w:numId w:val="70"/>
        </w:numPr>
        <w:rPr>
          <w:rFonts w:ascii="Arial" w:cs="Arial" w:eastAsia="Arial" w:hAnsi="Arial"/>
          <w:sz w:val="13"/>
          <w:szCs w:val="13"/>
          <w:color w:val="auto"/>
        </w:rPr>
      </w:pPr>
      <w:r>
        <w:rPr>
          <w:rFonts w:ascii="Arial" w:cs="Arial" w:eastAsia="Arial" w:hAnsi="Arial"/>
          <w:sz w:val="13"/>
          <w:szCs w:val="13"/>
          <w:color w:val="auto"/>
        </w:rPr>
        <w:t>Revenue of $5.75 billion decreased 2% compared to 2019. HPS revenue grew 80% in 2020 compared to 2019.</w:t>
      </w:r>
    </w:p>
    <w:p>
      <w:pPr>
        <w:spacing w:after="0" w:line="39" w:lineRule="exact"/>
        <w:rPr>
          <w:rFonts w:ascii="Arial" w:cs="Arial" w:eastAsia="Arial" w:hAnsi="Arial"/>
          <w:sz w:val="13"/>
          <w:szCs w:val="13"/>
          <w:color w:val="auto"/>
        </w:rPr>
      </w:pPr>
    </w:p>
    <w:p>
      <w:pPr>
        <w:ind w:left="1880" w:right="1499" w:hanging="137"/>
        <w:spacing w:after="0" w:line="292" w:lineRule="auto"/>
        <w:tabs>
          <w:tab w:leader="none" w:pos="1880" w:val="left"/>
        </w:tabs>
        <w:numPr>
          <w:ilvl w:val="0"/>
          <w:numId w:val="70"/>
        </w:numPr>
        <w:rPr>
          <w:rFonts w:ascii="Arial" w:cs="Arial" w:eastAsia="Arial" w:hAnsi="Arial"/>
          <w:sz w:val="13"/>
          <w:szCs w:val="13"/>
          <w:color w:val="auto"/>
        </w:rPr>
      </w:pPr>
      <w:r>
        <w:rPr>
          <w:rFonts w:ascii="Arial" w:cs="Arial" w:eastAsia="Arial" w:hAnsi="Arial"/>
          <w:sz w:val="13"/>
          <w:szCs w:val="13"/>
          <w:color w:val="auto"/>
        </w:rPr>
        <w:t>Non-IFRS adjusted return on invested capital (“</w:t>
      </w:r>
      <w:r>
        <w:rPr>
          <w:rFonts w:ascii="Arial" w:cs="Arial" w:eastAsia="Arial" w:hAnsi="Arial"/>
          <w:sz w:val="13"/>
          <w:szCs w:val="13"/>
          <w:b w:val="1"/>
          <w:bCs w:val="1"/>
          <w:color w:val="auto"/>
        </w:rPr>
        <w:t>ROIC</w:t>
      </w:r>
      <w:r>
        <w:rPr>
          <w:rFonts w:ascii="Arial" w:cs="Arial" w:eastAsia="Arial" w:hAnsi="Arial"/>
          <w:sz w:val="13"/>
          <w:szCs w:val="13"/>
          <w:color w:val="auto"/>
        </w:rPr>
        <w:t>”)* for 2020 was 12.4%, up 3.2% compared to 2019.</w:t>
      </w:r>
    </w:p>
    <w:p>
      <w:pPr>
        <w:spacing w:after="0" w:line="38" w:lineRule="exact"/>
        <w:rPr>
          <w:rFonts w:ascii="Arial" w:cs="Arial" w:eastAsia="Arial" w:hAnsi="Arial"/>
          <w:sz w:val="13"/>
          <w:szCs w:val="13"/>
          <w:color w:val="auto"/>
        </w:rPr>
      </w:pPr>
    </w:p>
    <w:p>
      <w:pPr>
        <w:ind w:left="1880" w:hanging="137"/>
        <w:spacing w:after="0"/>
        <w:tabs>
          <w:tab w:leader="none" w:pos="1880" w:val="left"/>
        </w:tabs>
        <w:numPr>
          <w:ilvl w:val="0"/>
          <w:numId w:val="70"/>
        </w:numPr>
        <w:rPr>
          <w:rFonts w:ascii="Arial" w:cs="Arial" w:eastAsia="Arial" w:hAnsi="Arial"/>
          <w:sz w:val="13"/>
          <w:szCs w:val="13"/>
          <w:color w:val="auto"/>
        </w:rPr>
      </w:pPr>
      <w:r>
        <w:rPr>
          <w:rFonts w:ascii="Arial" w:cs="Arial" w:eastAsia="Arial" w:hAnsi="Arial"/>
          <w:sz w:val="13"/>
          <w:szCs w:val="13"/>
          <w:color w:val="auto"/>
        </w:rPr>
        <w:t>Non-IFRS operating margin* of 3.5% improved 80 basis points in 2020 compared to 2019.</w:t>
      </w:r>
    </w:p>
    <w:p>
      <w:pPr>
        <w:spacing w:after="0" w:line="85" w:lineRule="exact"/>
        <w:rPr>
          <w:rFonts w:ascii="Arial" w:cs="Arial" w:eastAsia="Arial" w:hAnsi="Arial"/>
          <w:sz w:val="13"/>
          <w:szCs w:val="13"/>
          <w:color w:val="auto"/>
        </w:rPr>
      </w:pPr>
    </w:p>
    <w:p>
      <w:pPr>
        <w:ind w:left="1880" w:hanging="137"/>
        <w:spacing w:after="0"/>
        <w:tabs>
          <w:tab w:leader="none" w:pos="1880" w:val="left"/>
        </w:tabs>
        <w:numPr>
          <w:ilvl w:val="0"/>
          <w:numId w:val="70"/>
        </w:numPr>
        <w:rPr>
          <w:rFonts w:ascii="Arial" w:cs="Arial" w:eastAsia="Arial" w:hAnsi="Arial"/>
          <w:sz w:val="12"/>
          <w:szCs w:val="12"/>
          <w:color w:val="auto"/>
        </w:rPr>
      </w:pPr>
      <w:r>
        <w:rPr>
          <w:rFonts w:ascii="Arial" w:cs="Arial" w:eastAsia="Arial" w:hAnsi="Arial"/>
          <w:sz w:val="12"/>
          <w:szCs w:val="12"/>
          <w:color w:val="auto"/>
        </w:rPr>
        <w:t>Non-IFRS adjusted earnings per share (“</w:t>
      </w:r>
      <w:r>
        <w:rPr>
          <w:rFonts w:ascii="Arial" w:cs="Arial" w:eastAsia="Arial" w:hAnsi="Arial"/>
          <w:sz w:val="12"/>
          <w:szCs w:val="12"/>
          <w:b w:val="1"/>
          <w:bCs w:val="1"/>
          <w:color w:val="auto"/>
        </w:rPr>
        <w:t>EPS</w:t>
      </w:r>
      <w:r>
        <w:rPr>
          <w:rFonts w:ascii="Arial" w:cs="Arial" w:eastAsia="Arial" w:hAnsi="Arial"/>
          <w:sz w:val="12"/>
          <w:szCs w:val="12"/>
          <w:color w:val="auto"/>
        </w:rPr>
        <w:t>”)* grew approximately 80% in 2020 compared to 2019.</w:t>
      </w:r>
    </w:p>
    <w:p>
      <w:pPr>
        <w:spacing w:after="0" w:line="104" w:lineRule="exact"/>
        <w:rPr>
          <w:rFonts w:ascii="Arial" w:cs="Arial" w:eastAsia="Arial" w:hAnsi="Arial"/>
          <w:sz w:val="12"/>
          <w:szCs w:val="12"/>
          <w:color w:val="auto"/>
        </w:rPr>
      </w:pPr>
    </w:p>
    <w:p>
      <w:pPr>
        <w:ind w:left="1880" w:hanging="137"/>
        <w:spacing w:after="0"/>
        <w:tabs>
          <w:tab w:leader="none" w:pos="1880" w:val="left"/>
        </w:tabs>
        <w:numPr>
          <w:ilvl w:val="0"/>
          <w:numId w:val="70"/>
        </w:numPr>
        <w:rPr>
          <w:rFonts w:ascii="Arial" w:cs="Arial" w:eastAsia="Arial" w:hAnsi="Arial"/>
          <w:sz w:val="13"/>
          <w:szCs w:val="13"/>
          <w:color w:val="auto"/>
        </w:rPr>
      </w:pPr>
      <w:r>
        <w:rPr>
          <w:rFonts w:ascii="Arial" w:cs="Arial" w:eastAsia="Arial" w:hAnsi="Arial"/>
          <w:sz w:val="13"/>
          <w:szCs w:val="13"/>
          <w:color w:val="auto"/>
        </w:rPr>
        <w:t>Celestica generated $126 million of non-IFRS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132080</wp:posOffset>
            </wp:positionV>
            <wp:extent cx="3843655" cy="1581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843655" cy="158115"/>
                    </a:xfrm>
                    <a:prstGeom prst="rect">
                      <a:avLst/>
                    </a:prstGeom>
                    <a:noFill/>
                  </pic:spPr>
                </pic:pic>
              </a:graphicData>
            </a:graphic>
          </wp:anchor>
        </w:drawing>
      </w:r>
    </w:p>
    <w:p>
      <w:pPr>
        <w:spacing w:after="0" w:line="239" w:lineRule="exact"/>
        <w:rPr>
          <w:sz w:val="20"/>
          <w:szCs w:val="20"/>
          <w:color w:val="auto"/>
        </w:rPr>
      </w:pPr>
    </w:p>
    <w:p>
      <w:pPr>
        <w:ind w:left="1480"/>
        <w:spacing w:after="0"/>
        <w:rPr>
          <w:sz w:val="20"/>
          <w:szCs w:val="20"/>
          <w:color w:val="auto"/>
        </w:rPr>
      </w:pPr>
      <w:r>
        <w:rPr>
          <w:rFonts w:ascii="Arial" w:cs="Arial" w:eastAsia="Arial" w:hAnsi="Arial"/>
          <w:sz w:val="13"/>
          <w:szCs w:val="13"/>
          <w:b w:val="1"/>
          <w:bCs w:val="1"/>
          <w:i w:val="1"/>
          <w:iCs w:val="1"/>
          <w:color w:val="auto"/>
        </w:rPr>
        <w:t>Pay for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30480</wp:posOffset>
            </wp:positionV>
            <wp:extent cx="3843655" cy="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99"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In consideration of Celestica’s performance, the HRCC approved the following compensation decisions:</w:t>
      </w:r>
    </w:p>
    <w:p>
      <w:pPr>
        <w:spacing w:after="0" w:line="89" w:lineRule="exact"/>
        <w:rPr>
          <w:sz w:val="20"/>
          <w:szCs w:val="20"/>
          <w:color w:val="auto"/>
        </w:rPr>
      </w:pPr>
    </w:p>
    <w:p>
      <w:pPr>
        <w:ind w:left="1880" w:right="1499" w:hanging="137"/>
        <w:spacing w:after="0" w:line="285" w:lineRule="auto"/>
        <w:tabs>
          <w:tab w:leader="none" w:pos="1880"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The 2020 salaries of four of our five named executive officers (including the CEO) were maintained at the same levels as 2019;</w:t>
      </w:r>
    </w:p>
    <w:p>
      <w:pPr>
        <w:spacing w:after="0" w:line="43" w:lineRule="exact"/>
        <w:rPr>
          <w:rFonts w:ascii="Arial" w:cs="Arial" w:eastAsia="Arial" w:hAnsi="Arial"/>
          <w:sz w:val="13"/>
          <w:szCs w:val="13"/>
          <w:color w:val="auto"/>
        </w:rPr>
      </w:pPr>
    </w:p>
    <w:p>
      <w:pPr>
        <w:jc w:val="both"/>
        <w:ind w:left="1880" w:right="1499" w:hanging="137"/>
        <w:spacing w:after="0" w:line="270" w:lineRule="auto"/>
        <w:tabs>
          <w:tab w:leader="none" w:pos="1880" w:val="left"/>
        </w:tabs>
        <w:numPr>
          <w:ilvl w:val="0"/>
          <w:numId w:val="71"/>
        </w:numPr>
        <w:rPr>
          <w:rFonts w:ascii="Arial" w:cs="Arial" w:eastAsia="Arial" w:hAnsi="Arial"/>
          <w:sz w:val="13"/>
          <w:szCs w:val="13"/>
          <w:color w:val="auto"/>
        </w:rPr>
      </w:pPr>
      <w:r>
        <w:rPr>
          <w:rFonts w:ascii="Arial" w:cs="Arial" w:eastAsia="Arial" w:hAnsi="Arial"/>
          <w:sz w:val="13"/>
          <w:szCs w:val="13"/>
          <w:color w:val="auto"/>
        </w:rPr>
        <w:t>A 2020 corporate performance factor under Celestica’s Team Incentive Plan of 182% of target, which was reflective of the Corporation’s strong revenue and non-IFRS operating margin* performance in 2020 relative to the financial targets established at the beginning of the year; and</w:t>
      </w:r>
    </w:p>
    <w:p>
      <w:pPr>
        <w:spacing w:after="0" w:line="52" w:lineRule="exact"/>
        <w:rPr>
          <w:rFonts w:ascii="Arial" w:cs="Arial" w:eastAsia="Arial" w:hAnsi="Arial"/>
          <w:sz w:val="13"/>
          <w:szCs w:val="13"/>
          <w:color w:val="auto"/>
        </w:rPr>
      </w:pPr>
    </w:p>
    <w:p>
      <w:pPr>
        <w:jc w:val="both"/>
        <w:ind w:left="1880" w:right="1499" w:hanging="137"/>
        <w:spacing w:after="0" w:line="260" w:lineRule="auto"/>
        <w:tabs>
          <w:tab w:leader="none" w:pos="1880" w:val="left"/>
        </w:tabs>
        <w:numPr>
          <w:ilvl w:val="0"/>
          <w:numId w:val="71"/>
        </w:numPr>
        <w:rPr>
          <w:rFonts w:ascii="Arial" w:cs="Arial" w:eastAsia="Arial" w:hAnsi="Arial"/>
          <w:sz w:val="13"/>
          <w:szCs w:val="13"/>
          <w:color w:val="auto"/>
        </w:rPr>
      </w:pPr>
      <w:r>
        <w:rPr>
          <w:rFonts w:ascii="Arial" w:cs="Arial" w:eastAsia="Arial" w:hAnsi="Arial"/>
          <w:sz w:val="13"/>
          <w:szCs w:val="13"/>
          <w:color w:val="auto"/>
        </w:rPr>
        <w:t>In January 2021, PSUs vested at 26% of the target amount granted. Such PSUs were granted in 2018, with a performance period from January 1, 2018 to December 31, 2020. The vesting percentage of such PSUs reflected, in accordance with their terms, the Corporation’s 2020 non-IFRS operating margin* result, modified by each of the Corporation’s average annual non-IFRS adjusted ROIC* achievement and relative total shareholder return (“</w:t>
      </w:r>
      <w:r>
        <w:rPr>
          <w:rFonts w:ascii="Arial" w:cs="Arial" w:eastAsia="Arial" w:hAnsi="Arial"/>
          <w:sz w:val="13"/>
          <w:szCs w:val="13"/>
          <w:b w:val="1"/>
          <w:bCs w:val="1"/>
          <w:color w:val="auto"/>
        </w:rPr>
        <w:t>TSR</w:t>
      </w:r>
      <w:r>
        <w:rPr>
          <w:rFonts w:ascii="Arial" w:cs="Arial" w:eastAsia="Arial" w:hAnsi="Arial"/>
          <w:sz w:val="13"/>
          <w:szCs w:val="13"/>
          <w:color w:val="auto"/>
        </w:rPr>
        <w:t>”) over the performance period. The performance targets for such PSUs were partially met for non-IFRS operating margin*, but were not met for either non-IFRS adjusted ROIC* or TSR performance, which resulted in the overall vesting level of 26%.</w:t>
      </w:r>
    </w:p>
    <w:p>
      <w:pPr>
        <w:spacing w:after="0" w:line="58" w:lineRule="exact"/>
        <w:rPr>
          <w:sz w:val="20"/>
          <w:szCs w:val="20"/>
          <w:color w:val="auto"/>
        </w:rPr>
      </w:pPr>
    </w:p>
    <w:p>
      <w:pPr>
        <w:ind w:left="1480" w:right="1499"/>
        <w:spacing w:after="0" w:line="285" w:lineRule="auto"/>
        <w:rPr>
          <w:sz w:val="20"/>
          <w:szCs w:val="20"/>
          <w:color w:val="auto"/>
        </w:rPr>
      </w:pPr>
      <w:r>
        <w:rPr>
          <w:rFonts w:ascii="Arial" w:cs="Arial" w:eastAsia="Arial" w:hAnsi="Arial"/>
          <w:sz w:val="13"/>
          <w:szCs w:val="13"/>
          <w:color w:val="auto"/>
        </w:rPr>
        <w:t>The HRCC believes that the Corporation’s executive compensation program for 2020 demonstrated an appropriate pay-for-performance relationship.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7" w:name="page48"/>
    <w:bookmarkEnd w:id="47"/>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71"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Checklist of Compensation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38100</wp:posOffset>
            </wp:positionV>
            <wp:extent cx="3843655" cy="63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843655" cy="635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50800</wp:posOffset>
            </wp:positionV>
            <wp:extent cx="3843655" cy="63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200" w:lineRule="exact"/>
        <w:rPr>
          <w:sz w:val="20"/>
          <w:szCs w:val="20"/>
          <w:color w:val="auto"/>
        </w:rPr>
      </w:pPr>
    </w:p>
    <w:p>
      <w:pPr>
        <w:jc w:val="both"/>
        <w:ind w:left="1480" w:right="1499"/>
        <w:spacing w:after="0" w:line="269" w:lineRule="auto"/>
        <w:rPr>
          <w:sz w:val="20"/>
          <w:szCs w:val="20"/>
          <w:color w:val="auto"/>
        </w:rPr>
      </w:pPr>
      <w:r>
        <w:rPr>
          <w:rFonts w:ascii="Arial" w:cs="Arial" w:eastAsia="Arial" w:hAnsi="Arial"/>
          <w:sz w:val="13"/>
          <w:szCs w:val="13"/>
          <w:color w:val="auto"/>
        </w:rPr>
        <w:t>We remain committed to developing executive compensation policies designed to serve the long-term interests of our shareholders.</w:t>
      </w:r>
    </w:p>
    <w:p>
      <w:pPr>
        <w:spacing w:after="0" w:line="22" w:lineRule="exact"/>
        <w:rPr>
          <w:sz w:val="20"/>
          <w:szCs w:val="20"/>
          <w:color w:val="auto"/>
        </w:rPr>
      </w:pPr>
    </w:p>
    <w:tbl>
      <w:tblPr>
        <w:tblLayout w:type="fixed"/>
        <w:tblInd w:w="1490" w:type="dxa"/>
        <w:tblCellMar>
          <w:top w:w="0" w:type="dxa"/>
          <w:left w:w="0" w:type="dxa"/>
          <w:bottom w:w="0" w:type="dxa"/>
          <w:right w:w="0" w:type="dxa"/>
        </w:tblCellMar>
      </w:tblPr>
      <w:tr>
        <w:trPr>
          <w:trHeight w:val="185"/>
        </w:trPr>
        <w:tc>
          <w:tcPr>
            <w:tcW w:w="2680" w:type="dxa"/>
            <w:vAlign w:val="bottom"/>
            <w:tcBorders>
              <w:top w:val="single" w:sz="8" w:color="auto"/>
              <w:left w:val="single" w:sz="8" w:color="auto"/>
              <w:bottom w:val="single" w:sz="8" w:color="auto"/>
            </w:tcBorders>
            <w:shd w:val="clear" w:color="auto" w:fill="CCCCCC"/>
          </w:tcPr>
          <w:p>
            <w:pPr>
              <w:ind w:left="1280"/>
              <w:spacing w:after="0"/>
              <w:rPr>
                <w:sz w:val="20"/>
                <w:szCs w:val="20"/>
                <w:color w:val="auto"/>
              </w:rPr>
            </w:pPr>
            <w:r>
              <w:rPr>
                <w:rFonts w:ascii="Arial" w:cs="Arial" w:eastAsia="Arial" w:hAnsi="Arial"/>
                <w:sz w:val="11"/>
                <w:szCs w:val="11"/>
                <w:b w:val="1"/>
                <w:bCs w:val="1"/>
                <w:color w:val="auto"/>
              </w:rPr>
              <w:t>What We Do</w:t>
            </w:r>
          </w:p>
        </w:tc>
        <w:tc>
          <w:tcPr>
            <w:tcW w:w="480" w:type="dxa"/>
            <w:vAlign w:val="bottom"/>
            <w:tcBorders>
              <w:top w:val="single" w:sz="8" w:color="auto"/>
              <w:bottom w:val="single" w:sz="8" w:color="auto"/>
              <w:right w:val="single" w:sz="8" w:color="auto"/>
            </w:tcBorders>
            <w:shd w:val="clear" w:color="auto" w:fill="CCCCCC"/>
          </w:tcPr>
          <w:p>
            <w:pPr>
              <w:spacing w:after="0"/>
              <w:rPr>
                <w:sz w:val="16"/>
                <w:szCs w:val="16"/>
                <w:color w:val="auto"/>
              </w:rPr>
            </w:pPr>
          </w:p>
        </w:tc>
        <w:tc>
          <w:tcPr>
            <w:tcW w:w="2540" w:type="dxa"/>
            <w:vAlign w:val="bottom"/>
            <w:tcBorders>
              <w:top w:val="single" w:sz="8" w:color="auto"/>
              <w:bottom w:val="single" w:sz="8" w:color="auto"/>
            </w:tcBorders>
            <w:shd w:val="clear" w:color="auto" w:fill="CCCCCC"/>
          </w:tcPr>
          <w:p>
            <w:pPr>
              <w:ind w:left="1020"/>
              <w:spacing w:after="0"/>
              <w:rPr>
                <w:sz w:val="20"/>
                <w:szCs w:val="20"/>
                <w:color w:val="auto"/>
              </w:rPr>
            </w:pPr>
            <w:r>
              <w:rPr>
                <w:rFonts w:ascii="Arial" w:cs="Arial" w:eastAsia="Arial" w:hAnsi="Arial"/>
                <w:sz w:val="11"/>
                <w:szCs w:val="11"/>
                <w:b w:val="1"/>
                <w:bCs w:val="1"/>
                <w:color w:val="auto"/>
              </w:rPr>
              <w:t>What We Don’t Do</w:t>
            </w:r>
          </w:p>
        </w:tc>
        <w:tc>
          <w:tcPr>
            <w:tcW w:w="360" w:type="dxa"/>
            <w:vAlign w:val="bottom"/>
            <w:tcBorders>
              <w:top w:val="single" w:sz="8" w:color="auto"/>
              <w:bottom w:val="single" w:sz="8" w:color="auto"/>
              <w:right w:val="single" w:sz="8" w:color="auto"/>
            </w:tcBorders>
            <w:shd w:val="clear" w:color="auto" w:fill="CCCCCC"/>
          </w:tcPr>
          <w:p>
            <w:pPr>
              <w:spacing w:after="0"/>
              <w:rPr>
                <w:sz w:val="16"/>
                <w:szCs w:val="16"/>
                <w:color w:val="auto"/>
              </w:rPr>
            </w:pPr>
          </w:p>
        </w:tc>
      </w:tr>
      <w:tr>
        <w:trPr>
          <w:trHeight w:val="133"/>
        </w:trPr>
        <w:tc>
          <w:tcPr>
            <w:tcW w:w="268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1"/>
                <w:szCs w:val="11"/>
                <w:color w:val="auto"/>
                <w:w w:val="92"/>
              </w:rPr>
              <w:t>Pay for performance</w:t>
            </w:r>
          </w:p>
        </w:tc>
        <w:tc>
          <w:tcPr>
            <w:tcW w:w="480" w:type="dxa"/>
            <w:vAlign w:val="bottom"/>
            <w:tcBorders>
              <w:bottom w:val="single" w:sz="8" w:color="auto"/>
              <w:right w:val="single" w:sz="8" w:color="auto"/>
            </w:tcBorders>
          </w:tcPr>
          <w:p>
            <w:pPr>
              <w:ind w:left="180"/>
              <w:spacing w:after="0" w:line="111" w:lineRule="exact"/>
              <w:rPr>
                <w:sz w:val="20"/>
                <w:szCs w:val="20"/>
                <w:color w:val="auto"/>
              </w:rPr>
            </w:pPr>
            <w:r>
              <w:rPr>
                <w:rFonts w:ascii="MS PGothic" w:cs="MS PGothic" w:eastAsia="MS PGothic" w:hAnsi="MS PGothic"/>
                <w:sz w:val="11"/>
                <w:szCs w:val="11"/>
                <w:color w:val="auto"/>
              </w:rPr>
              <w:t>✓</w:t>
            </w:r>
          </w:p>
        </w:tc>
        <w:tc>
          <w:tcPr>
            <w:tcW w:w="2540" w:type="dxa"/>
            <w:vAlign w:val="bottom"/>
            <w:tcBorders>
              <w:bottom w:val="single" w:sz="8" w:color="auto"/>
            </w:tcBorders>
          </w:tcPr>
          <w:p>
            <w:pPr>
              <w:jc w:val="center"/>
              <w:ind w:left="47"/>
              <w:spacing w:after="0"/>
              <w:rPr>
                <w:sz w:val="20"/>
                <w:szCs w:val="20"/>
                <w:color w:val="auto"/>
              </w:rPr>
            </w:pPr>
            <w:r>
              <w:rPr>
                <w:rFonts w:ascii="Arial" w:cs="Arial" w:eastAsia="Arial" w:hAnsi="Arial"/>
                <w:sz w:val="11"/>
                <w:szCs w:val="11"/>
                <w:color w:val="auto"/>
                <w:w w:val="94"/>
              </w:rPr>
              <w:t>No repricing of options</w:t>
            </w:r>
          </w:p>
        </w:tc>
        <w:tc>
          <w:tcPr>
            <w:tcW w:w="3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1"/>
                <w:szCs w:val="11"/>
                <w:color w:val="auto"/>
              </w:rPr>
              <w:t>X</w:t>
            </w:r>
          </w:p>
        </w:tc>
      </w:tr>
      <w:tr>
        <w:trPr>
          <w:trHeight w:val="96"/>
        </w:trPr>
        <w:tc>
          <w:tcPr>
            <w:tcW w:w="2680" w:type="dxa"/>
            <w:vAlign w:val="bottom"/>
            <w:tcBorders>
              <w:left w:val="single" w:sz="8" w:color="auto"/>
            </w:tcBorders>
          </w:tcPr>
          <w:p>
            <w:pPr>
              <w:jc w:val="center"/>
              <w:ind w:right="7"/>
              <w:spacing w:after="0" w:line="97" w:lineRule="exact"/>
              <w:rPr>
                <w:sz w:val="20"/>
                <w:szCs w:val="20"/>
                <w:color w:val="auto"/>
              </w:rPr>
            </w:pPr>
            <w:r>
              <w:rPr>
                <w:rFonts w:ascii="Arial" w:cs="Arial" w:eastAsia="Arial" w:hAnsi="Arial"/>
                <w:sz w:val="11"/>
                <w:szCs w:val="11"/>
                <w:color w:val="auto"/>
                <w:w w:val="90"/>
              </w:rPr>
              <w:t>Focus on long-term compensation using a</w:t>
            </w:r>
          </w:p>
        </w:tc>
        <w:tc>
          <w:tcPr>
            <w:tcW w:w="480" w:type="dxa"/>
            <w:vAlign w:val="bottom"/>
            <w:tcBorders>
              <w:right w:val="single" w:sz="8" w:color="auto"/>
            </w:tcBorders>
          </w:tcPr>
          <w:p>
            <w:pPr>
              <w:ind w:left="180"/>
              <w:spacing w:after="0" w:line="97" w:lineRule="exact"/>
              <w:rPr>
                <w:sz w:val="20"/>
                <w:szCs w:val="20"/>
                <w:color w:val="auto"/>
              </w:rPr>
            </w:pPr>
            <w:r>
              <w:rPr>
                <w:rFonts w:ascii="MS PGothic" w:cs="MS PGothic" w:eastAsia="MS PGothic" w:hAnsi="MS PGothic"/>
                <w:sz w:val="11"/>
                <w:szCs w:val="11"/>
                <w:color w:val="auto"/>
              </w:rPr>
              <w:t>✓</w:t>
            </w:r>
          </w:p>
        </w:tc>
        <w:tc>
          <w:tcPr>
            <w:tcW w:w="2540" w:type="dxa"/>
            <w:vAlign w:val="bottom"/>
          </w:tcPr>
          <w:p>
            <w:pPr>
              <w:jc w:val="center"/>
              <w:ind w:left="7"/>
              <w:spacing w:after="0" w:line="97" w:lineRule="exact"/>
              <w:rPr>
                <w:sz w:val="20"/>
                <w:szCs w:val="20"/>
                <w:color w:val="auto"/>
              </w:rPr>
            </w:pPr>
            <w:r>
              <w:rPr>
                <w:rFonts w:ascii="Arial" w:cs="Arial" w:eastAsia="Arial" w:hAnsi="Arial"/>
                <w:sz w:val="11"/>
                <w:szCs w:val="11"/>
                <w:color w:val="auto"/>
                <w:w w:val="91"/>
              </w:rPr>
              <w:t>No hedging or pledging by executives of</w:t>
            </w:r>
          </w:p>
        </w:tc>
        <w:tc>
          <w:tcPr>
            <w:tcW w:w="360" w:type="dxa"/>
            <w:vAlign w:val="bottom"/>
            <w:tcBorders>
              <w:right w:val="single" w:sz="8" w:color="auto"/>
            </w:tcBorders>
          </w:tcPr>
          <w:p>
            <w:pPr>
              <w:ind w:left="200"/>
              <w:spacing w:after="0" w:line="97" w:lineRule="exact"/>
              <w:rPr>
                <w:sz w:val="20"/>
                <w:szCs w:val="20"/>
                <w:color w:val="auto"/>
              </w:rPr>
            </w:pPr>
            <w:r>
              <w:rPr>
                <w:rFonts w:ascii="Arial" w:cs="Arial" w:eastAsia="Arial" w:hAnsi="Arial"/>
                <w:sz w:val="11"/>
                <w:szCs w:val="11"/>
                <w:color w:val="auto"/>
              </w:rPr>
              <w:t>X</w:t>
            </w:r>
          </w:p>
        </w:tc>
      </w:tr>
      <w:tr>
        <w:trPr>
          <w:trHeight w:val="138"/>
        </w:trPr>
        <w:tc>
          <w:tcPr>
            <w:tcW w:w="268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1"/>
                <w:szCs w:val="11"/>
                <w:color w:val="auto"/>
                <w:w w:val="90"/>
              </w:rPr>
              <w:t>balanced mix of compensation elements</w:t>
            </w:r>
          </w:p>
        </w:tc>
        <w:tc>
          <w:tcPr>
            <w:tcW w:w="480" w:type="dxa"/>
            <w:vAlign w:val="bottom"/>
            <w:tcBorders>
              <w:bottom w:val="single" w:sz="8" w:color="auto"/>
              <w:right w:val="single" w:sz="8" w:color="auto"/>
            </w:tcBorders>
          </w:tcPr>
          <w:p>
            <w:pPr>
              <w:spacing w:after="0"/>
              <w:rPr>
                <w:sz w:val="12"/>
                <w:szCs w:val="12"/>
                <w:color w:val="auto"/>
              </w:rPr>
            </w:pPr>
          </w:p>
        </w:tc>
        <w:tc>
          <w:tcPr>
            <w:tcW w:w="2540" w:type="dxa"/>
            <w:vAlign w:val="bottom"/>
            <w:tcBorders>
              <w:bottom w:val="single" w:sz="8" w:color="auto"/>
            </w:tcBorders>
          </w:tcPr>
          <w:p>
            <w:pPr>
              <w:jc w:val="center"/>
              <w:ind w:left="27"/>
              <w:spacing w:after="0"/>
              <w:rPr>
                <w:sz w:val="20"/>
                <w:szCs w:val="20"/>
                <w:color w:val="auto"/>
              </w:rPr>
            </w:pPr>
            <w:r>
              <w:rPr>
                <w:rFonts w:ascii="Arial" w:cs="Arial" w:eastAsia="Arial" w:hAnsi="Arial"/>
                <w:sz w:val="11"/>
                <w:szCs w:val="11"/>
                <w:color w:val="auto"/>
                <w:w w:val="90"/>
              </w:rPr>
              <w:t>Celestica securities</w:t>
            </w:r>
          </w:p>
        </w:tc>
        <w:tc>
          <w:tcPr>
            <w:tcW w:w="360" w:type="dxa"/>
            <w:vAlign w:val="bottom"/>
            <w:tcBorders>
              <w:bottom w:val="single" w:sz="8" w:color="auto"/>
              <w:right w:val="single" w:sz="8" w:color="auto"/>
            </w:tcBorders>
          </w:tcPr>
          <w:p>
            <w:pPr>
              <w:spacing w:after="0"/>
              <w:rPr>
                <w:sz w:val="12"/>
                <w:szCs w:val="12"/>
                <w:color w:val="auto"/>
              </w:rPr>
            </w:pPr>
          </w:p>
        </w:tc>
      </w:tr>
      <w:tr>
        <w:trPr>
          <w:trHeight w:val="100"/>
        </w:trPr>
        <w:tc>
          <w:tcPr>
            <w:tcW w:w="2680" w:type="dxa"/>
            <w:vAlign w:val="bottom"/>
            <w:tcBorders>
              <w:left w:val="single" w:sz="8" w:color="auto"/>
            </w:tcBorders>
          </w:tcPr>
          <w:p>
            <w:pPr>
              <w:ind w:left="160"/>
              <w:spacing w:after="0" w:line="101" w:lineRule="exact"/>
              <w:rPr>
                <w:sz w:val="20"/>
                <w:szCs w:val="20"/>
                <w:color w:val="auto"/>
              </w:rPr>
            </w:pPr>
            <w:r>
              <w:rPr>
                <w:rFonts w:ascii="Arial" w:cs="Arial" w:eastAsia="Arial" w:hAnsi="Arial"/>
                <w:sz w:val="11"/>
                <w:szCs w:val="11"/>
                <w:color w:val="auto"/>
                <w:w w:val="98"/>
              </w:rPr>
              <w:t>Ensure the mix of executive compensation balances</w:t>
            </w:r>
          </w:p>
        </w:tc>
        <w:tc>
          <w:tcPr>
            <w:tcW w:w="480" w:type="dxa"/>
            <w:vAlign w:val="bottom"/>
            <w:tcBorders>
              <w:right w:val="single" w:sz="8" w:color="auto"/>
            </w:tcBorders>
          </w:tcPr>
          <w:p>
            <w:pPr>
              <w:ind w:left="180"/>
              <w:spacing w:after="0" w:line="100" w:lineRule="exact"/>
              <w:rPr>
                <w:sz w:val="20"/>
                <w:szCs w:val="20"/>
                <w:color w:val="auto"/>
              </w:rPr>
            </w:pPr>
            <w:r>
              <w:rPr>
                <w:rFonts w:ascii="MS PGothic" w:cs="MS PGothic" w:eastAsia="MS PGothic" w:hAnsi="MS PGothic"/>
                <w:sz w:val="11"/>
                <w:szCs w:val="11"/>
                <w:color w:val="auto"/>
              </w:rPr>
              <w:t>✓</w:t>
            </w:r>
          </w:p>
        </w:tc>
        <w:tc>
          <w:tcPr>
            <w:tcW w:w="2540" w:type="dxa"/>
            <w:vAlign w:val="bottom"/>
          </w:tcPr>
          <w:p>
            <w:pPr>
              <w:jc w:val="center"/>
              <w:ind w:left="7"/>
              <w:spacing w:after="0" w:line="101" w:lineRule="exact"/>
              <w:rPr>
                <w:sz w:val="20"/>
                <w:szCs w:val="20"/>
                <w:color w:val="auto"/>
              </w:rPr>
            </w:pPr>
            <w:r>
              <w:rPr>
                <w:rFonts w:ascii="Arial" w:cs="Arial" w:eastAsia="Arial" w:hAnsi="Arial"/>
                <w:sz w:val="11"/>
                <w:szCs w:val="11"/>
                <w:color w:val="auto"/>
                <w:w w:val="91"/>
              </w:rPr>
              <w:t>No steep payout cliffs at certain performance</w:t>
            </w:r>
          </w:p>
        </w:tc>
        <w:tc>
          <w:tcPr>
            <w:tcW w:w="360" w:type="dxa"/>
            <w:vAlign w:val="bottom"/>
            <w:tcBorders>
              <w:right w:val="single" w:sz="8" w:color="auto"/>
            </w:tcBorders>
          </w:tcPr>
          <w:p>
            <w:pPr>
              <w:ind w:left="200"/>
              <w:spacing w:after="0" w:line="101" w:lineRule="exact"/>
              <w:rPr>
                <w:sz w:val="20"/>
                <w:szCs w:val="20"/>
                <w:color w:val="auto"/>
              </w:rPr>
            </w:pPr>
            <w:r>
              <w:rPr>
                <w:rFonts w:ascii="Arial" w:cs="Arial" w:eastAsia="Arial" w:hAnsi="Arial"/>
                <w:sz w:val="11"/>
                <w:szCs w:val="11"/>
                <w:color w:val="auto"/>
              </w:rPr>
              <w:t>X</w:t>
            </w:r>
          </w:p>
        </w:tc>
      </w:tr>
      <w:tr>
        <w:trPr>
          <w:trHeight w:val="119"/>
        </w:trPr>
        <w:tc>
          <w:tcPr>
            <w:tcW w:w="2680" w:type="dxa"/>
            <w:vAlign w:val="bottom"/>
            <w:tcBorders>
              <w:left w:val="single" w:sz="8" w:color="auto"/>
            </w:tcBorders>
          </w:tcPr>
          <w:p>
            <w:pPr>
              <w:jc w:val="center"/>
              <w:ind w:right="7"/>
              <w:spacing w:after="0" w:line="120" w:lineRule="exact"/>
              <w:rPr>
                <w:sz w:val="20"/>
                <w:szCs w:val="20"/>
                <w:color w:val="auto"/>
              </w:rPr>
            </w:pPr>
            <w:r>
              <w:rPr>
                <w:rFonts w:ascii="Arial" w:cs="Arial" w:eastAsia="Arial" w:hAnsi="Arial"/>
                <w:sz w:val="11"/>
                <w:szCs w:val="11"/>
                <w:color w:val="auto"/>
                <w:w w:val="90"/>
              </w:rPr>
              <w:t>long-term success, annual performance,</w:t>
            </w:r>
          </w:p>
        </w:tc>
        <w:tc>
          <w:tcPr>
            <w:tcW w:w="480" w:type="dxa"/>
            <w:vAlign w:val="bottom"/>
            <w:tcBorders>
              <w:right w:val="single" w:sz="8" w:color="auto"/>
            </w:tcBorders>
          </w:tcPr>
          <w:p>
            <w:pPr>
              <w:spacing w:after="0"/>
              <w:rPr>
                <w:sz w:val="10"/>
                <w:szCs w:val="10"/>
                <w:color w:val="auto"/>
              </w:rPr>
            </w:pPr>
          </w:p>
        </w:tc>
        <w:tc>
          <w:tcPr>
            <w:tcW w:w="2540" w:type="dxa"/>
            <w:vAlign w:val="bottom"/>
          </w:tcPr>
          <w:p>
            <w:pPr>
              <w:jc w:val="center"/>
              <w:ind w:left="7"/>
              <w:spacing w:after="0" w:line="120" w:lineRule="exact"/>
              <w:rPr>
                <w:sz w:val="20"/>
                <w:szCs w:val="20"/>
                <w:color w:val="auto"/>
              </w:rPr>
            </w:pPr>
            <w:r>
              <w:rPr>
                <w:rFonts w:ascii="Arial" w:cs="Arial" w:eastAsia="Arial" w:hAnsi="Arial"/>
                <w:sz w:val="11"/>
                <w:szCs w:val="11"/>
                <w:color w:val="auto"/>
                <w:w w:val="89"/>
              </w:rPr>
              <w:t>levels that may encourage short-term business</w:t>
            </w:r>
          </w:p>
        </w:tc>
        <w:tc>
          <w:tcPr>
            <w:tcW w:w="360" w:type="dxa"/>
            <w:vAlign w:val="bottom"/>
            <w:tcBorders>
              <w:right w:val="single" w:sz="8" w:color="auto"/>
            </w:tcBorders>
          </w:tcPr>
          <w:p>
            <w:pPr>
              <w:spacing w:after="0"/>
              <w:rPr>
                <w:sz w:val="10"/>
                <w:szCs w:val="10"/>
                <w:color w:val="auto"/>
              </w:rPr>
            </w:pPr>
          </w:p>
        </w:tc>
      </w:tr>
      <w:tr>
        <w:trPr>
          <w:trHeight w:val="138"/>
        </w:trPr>
        <w:tc>
          <w:tcPr>
            <w:tcW w:w="268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1"/>
                <w:szCs w:val="11"/>
                <w:color w:val="auto"/>
                <w:w w:val="89"/>
              </w:rPr>
              <w:t>and adequate fixed compensation</w:t>
            </w:r>
          </w:p>
        </w:tc>
        <w:tc>
          <w:tcPr>
            <w:tcW w:w="480" w:type="dxa"/>
            <w:vAlign w:val="bottom"/>
            <w:tcBorders>
              <w:bottom w:val="single" w:sz="8" w:color="auto"/>
              <w:right w:val="single" w:sz="8" w:color="auto"/>
            </w:tcBorders>
          </w:tcPr>
          <w:p>
            <w:pPr>
              <w:spacing w:after="0"/>
              <w:rPr>
                <w:sz w:val="12"/>
                <w:szCs w:val="12"/>
                <w:color w:val="auto"/>
              </w:rPr>
            </w:pPr>
          </w:p>
        </w:tc>
        <w:tc>
          <w:tcPr>
            <w:tcW w:w="2540" w:type="dxa"/>
            <w:vAlign w:val="bottom"/>
            <w:tcBorders>
              <w:bottom w:val="single" w:sz="8" w:color="auto"/>
            </w:tcBorders>
          </w:tcPr>
          <w:p>
            <w:pPr>
              <w:jc w:val="center"/>
              <w:ind w:left="27"/>
              <w:spacing w:after="0"/>
              <w:rPr>
                <w:sz w:val="20"/>
                <w:szCs w:val="20"/>
                <w:color w:val="auto"/>
              </w:rPr>
            </w:pPr>
            <w:r>
              <w:rPr>
                <w:rFonts w:ascii="Arial" w:cs="Arial" w:eastAsia="Arial" w:hAnsi="Arial"/>
                <w:sz w:val="11"/>
                <w:szCs w:val="11"/>
                <w:color w:val="auto"/>
                <w:w w:val="90"/>
              </w:rPr>
              <w:t>decisions to meet payout thresholds</w:t>
            </w:r>
          </w:p>
        </w:tc>
        <w:tc>
          <w:tcPr>
            <w:tcW w:w="360" w:type="dxa"/>
            <w:vAlign w:val="bottom"/>
            <w:tcBorders>
              <w:bottom w:val="single" w:sz="8" w:color="auto"/>
              <w:right w:val="single" w:sz="8" w:color="auto"/>
            </w:tcBorders>
          </w:tcPr>
          <w:p>
            <w:pPr>
              <w:spacing w:after="0"/>
              <w:rPr>
                <w:sz w:val="12"/>
                <w:szCs w:val="12"/>
                <w:color w:val="auto"/>
              </w:rPr>
            </w:pPr>
          </w:p>
        </w:tc>
      </w:tr>
      <w:tr>
        <w:trPr>
          <w:trHeight w:val="133"/>
        </w:trPr>
        <w:tc>
          <w:tcPr>
            <w:tcW w:w="268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1"/>
                <w:szCs w:val="11"/>
                <w:color w:val="auto"/>
                <w:w w:val="91"/>
              </w:rPr>
              <w:t>Consider market norms and competitive pay practices</w:t>
            </w:r>
          </w:p>
        </w:tc>
        <w:tc>
          <w:tcPr>
            <w:tcW w:w="480" w:type="dxa"/>
            <w:vAlign w:val="bottom"/>
            <w:tcBorders>
              <w:bottom w:val="single" w:sz="8" w:color="auto"/>
              <w:right w:val="single" w:sz="8" w:color="auto"/>
            </w:tcBorders>
          </w:tcPr>
          <w:p>
            <w:pPr>
              <w:ind w:left="180"/>
              <w:spacing w:after="0" w:line="111" w:lineRule="exact"/>
              <w:rPr>
                <w:sz w:val="20"/>
                <w:szCs w:val="20"/>
                <w:color w:val="auto"/>
              </w:rPr>
            </w:pPr>
            <w:r>
              <w:rPr>
                <w:rFonts w:ascii="MS PGothic" w:cs="MS PGothic" w:eastAsia="MS PGothic" w:hAnsi="MS PGothic"/>
                <w:sz w:val="11"/>
                <w:szCs w:val="11"/>
                <w:color w:val="auto"/>
              </w:rPr>
              <w:t>✓</w:t>
            </w:r>
          </w:p>
        </w:tc>
        <w:tc>
          <w:tcPr>
            <w:tcW w:w="2540" w:type="dxa"/>
            <w:vAlign w:val="bottom"/>
            <w:tcBorders>
              <w:bottom w:val="single" w:sz="8" w:color="auto"/>
            </w:tcBorders>
          </w:tcPr>
          <w:p>
            <w:pPr>
              <w:jc w:val="center"/>
              <w:ind w:left="47"/>
              <w:spacing w:after="0"/>
              <w:rPr>
                <w:sz w:val="20"/>
                <w:szCs w:val="20"/>
                <w:color w:val="auto"/>
              </w:rPr>
            </w:pPr>
            <w:r>
              <w:rPr>
                <w:rFonts w:ascii="Arial" w:cs="Arial" w:eastAsia="Arial" w:hAnsi="Arial"/>
                <w:sz w:val="11"/>
                <w:szCs w:val="11"/>
                <w:color w:val="auto"/>
                <w:w w:val="90"/>
              </w:rPr>
              <w:t>No multi-year guarantees</w:t>
            </w:r>
          </w:p>
        </w:tc>
        <w:tc>
          <w:tcPr>
            <w:tcW w:w="3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1"/>
                <w:szCs w:val="11"/>
                <w:color w:val="auto"/>
              </w:rPr>
              <w:t>X</w:t>
            </w:r>
          </w:p>
        </w:tc>
      </w:tr>
      <w:tr>
        <w:trPr>
          <w:trHeight w:val="129"/>
        </w:trPr>
        <w:tc>
          <w:tcPr>
            <w:tcW w:w="268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1"/>
                <w:szCs w:val="11"/>
                <w:color w:val="auto"/>
                <w:w w:val="92"/>
              </w:rPr>
              <w:t>Mitigate undue risk in compensation programs</w:t>
            </w:r>
          </w:p>
        </w:tc>
        <w:tc>
          <w:tcPr>
            <w:tcW w:w="480" w:type="dxa"/>
            <w:vAlign w:val="bottom"/>
            <w:tcBorders>
              <w:bottom w:val="single" w:sz="8" w:color="auto"/>
              <w:right w:val="single" w:sz="8" w:color="auto"/>
            </w:tcBorders>
          </w:tcPr>
          <w:p>
            <w:pPr>
              <w:ind w:left="180"/>
              <w:spacing w:after="0" w:line="111" w:lineRule="exact"/>
              <w:rPr>
                <w:sz w:val="20"/>
                <w:szCs w:val="20"/>
                <w:color w:val="auto"/>
              </w:rPr>
            </w:pPr>
            <w:r>
              <w:rPr>
                <w:rFonts w:ascii="MS PGothic" w:cs="MS PGothic" w:eastAsia="MS PGothic" w:hAnsi="MS PGothic"/>
                <w:sz w:val="11"/>
                <w:szCs w:val="11"/>
                <w:color w:val="auto"/>
              </w:rPr>
              <w:t>✓</w:t>
            </w:r>
          </w:p>
        </w:tc>
        <w:tc>
          <w:tcPr>
            <w:tcW w:w="2540" w:type="dxa"/>
            <w:vAlign w:val="bottom"/>
            <w:tcBorders>
              <w:bottom w:val="single" w:sz="8" w:color="auto"/>
            </w:tcBorders>
          </w:tcPr>
          <w:p>
            <w:pPr>
              <w:jc w:val="center"/>
              <w:ind w:left="47"/>
              <w:spacing w:after="0"/>
              <w:rPr>
                <w:sz w:val="20"/>
                <w:szCs w:val="20"/>
                <w:color w:val="auto"/>
              </w:rPr>
            </w:pPr>
            <w:r>
              <w:rPr>
                <w:rFonts w:ascii="Arial" w:cs="Arial" w:eastAsia="Arial" w:hAnsi="Arial"/>
                <w:sz w:val="11"/>
                <w:szCs w:val="11"/>
                <w:color w:val="auto"/>
                <w:w w:val="90"/>
              </w:rPr>
              <w:t>No uncapped incentive plans</w:t>
            </w:r>
          </w:p>
        </w:tc>
        <w:tc>
          <w:tcPr>
            <w:tcW w:w="3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1"/>
                <w:szCs w:val="11"/>
                <w:color w:val="auto"/>
              </w:rPr>
              <w:t>X</w:t>
            </w:r>
          </w:p>
        </w:tc>
      </w:tr>
      <w:tr>
        <w:trPr>
          <w:trHeight w:val="129"/>
        </w:trPr>
        <w:tc>
          <w:tcPr>
            <w:tcW w:w="268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1"/>
                <w:szCs w:val="11"/>
                <w:color w:val="auto"/>
                <w:w w:val="92"/>
              </w:rPr>
              <w:t>Independent advisor to the HRCC</w:t>
            </w:r>
          </w:p>
        </w:tc>
        <w:tc>
          <w:tcPr>
            <w:tcW w:w="480" w:type="dxa"/>
            <w:vAlign w:val="bottom"/>
            <w:tcBorders>
              <w:bottom w:val="single" w:sz="8" w:color="auto"/>
              <w:right w:val="single" w:sz="8" w:color="auto"/>
            </w:tcBorders>
          </w:tcPr>
          <w:p>
            <w:pPr>
              <w:ind w:left="180"/>
              <w:spacing w:after="0" w:line="111" w:lineRule="exact"/>
              <w:rPr>
                <w:sz w:val="20"/>
                <w:szCs w:val="20"/>
                <w:color w:val="auto"/>
              </w:rPr>
            </w:pPr>
            <w:r>
              <w:rPr>
                <w:rFonts w:ascii="MS PGothic" w:cs="MS PGothic" w:eastAsia="MS PGothic" w:hAnsi="MS PGothic"/>
                <w:sz w:val="11"/>
                <w:szCs w:val="11"/>
                <w:color w:val="auto"/>
              </w:rPr>
              <w:t>✓</w:t>
            </w:r>
          </w:p>
        </w:tc>
        <w:tc>
          <w:tcPr>
            <w:tcW w:w="2540" w:type="dxa"/>
            <w:vAlign w:val="bottom"/>
            <w:tcBorders>
              <w:bottom w:val="single" w:sz="8" w:color="auto"/>
            </w:tcBorders>
          </w:tcPr>
          <w:p>
            <w:pPr>
              <w:spacing w:after="0"/>
              <w:rPr>
                <w:sz w:val="11"/>
                <w:szCs w:val="11"/>
                <w:color w:val="auto"/>
              </w:rPr>
            </w:pPr>
          </w:p>
        </w:tc>
        <w:tc>
          <w:tcPr>
            <w:tcW w:w="360" w:type="dxa"/>
            <w:vAlign w:val="bottom"/>
            <w:tcBorders>
              <w:bottom w:val="single" w:sz="8" w:color="auto"/>
              <w:right w:val="single" w:sz="8" w:color="auto"/>
            </w:tcBorders>
          </w:tcPr>
          <w:p>
            <w:pPr>
              <w:spacing w:after="0"/>
              <w:rPr>
                <w:sz w:val="11"/>
                <w:szCs w:val="11"/>
                <w:color w:val="auto"/>
              </w:rPr>
            </w:pPr>
          </w:p>
        </w:tc>
      </w:tr>
      <w:tr>
        <w:trPr>
          <w:trHeight w:val="129"/>
        </w:trPr>
        <w:tc>
          <w:tcPr>
            <w:tcW w:w="268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1"/>
                <w:szCs w:val="11"/>
                <w:color w:val="auto"/>
                <w:w w:val="88"/>
              </w:rPr>
              <w:t>Stress-test compensation plan designs</w:t>
            </w:r>
          </w:p>
        </w:tc>
        <w:tc>
          <w:tcPr>
            <w:tcW w:w="480" w:type="dxa"/>
            <w:vAlign w:val="bottom"/>
            <w:tcBorders>
              <w:bottom w:val="single" w:sz="8" w:color="auto"/>
              <w:right w:val="single" w:sz="8" w:color="auto"/>
            </w:tcBorders>
          </w:tcPr>
          <w:p>
            <w:pPr>
              <w:ind w:left="180"/>
              <w:spacing w:after="0" w:line="111" w:lineRule="exact"/>
              <w:rPr>
                <w:sz w:val="20"/>
                <w:szCs w:val="20"/>
                <w:color w:val="auto"/>
              </w:rPr>
            </w:pPr>
            <w:r>
              <w:rPr>
                <w:rFonts w:ascii="MS PGothic" w:cs="MS PGothic" w:eastAsia="MS PGothic" w:hAnsi="MS PGothic"/>
                <w:sz w:val="11"/>
                <w:szCs w:val="11"/>
                <w:color w:val="auto"/>
              </w:rPr>
              <w:t>✓</w:t>
            </w:r>
          </w:p>
        </w:tc>
        <w:tc>
          <w:tcPr>
            <w:tcW w:w="2540" w:type="dxa"/>
            <w:vAlign w:val="bottom"/>
            <w:tcBorders>
              <w:bottom w:val="single" w:sz="8" w:color="auto"/>
            </w:tcBorders>
          </w:tcPr>
          <w:p>
            <w:pPr>
              <w:spacing w:after="0"/>
              <w:rPr>
                <w:sz w:val="11"/>
                <w:szCs w:val="11"/>
                <w:color w:val="auto"/>
              </w:rPr>
            </w:pPr>
          </w:p>
        </w:tc>
        <w:tc>
          <w:tcPr>
            <w:tcW w:w="360" w:type="dxa"/>
            <w:vAlign w:val="bottom"/>
            <w:tcBorders>
              <w:bottom w:val="single" w:sz="8" w:color="auto"/>
              <w:right w:val="single" w:sz="8" w:color="auto"/>
            </w:tcBorders>
          </w:tcPr>
          <w:p>
            <w:pPr>
              <w:spacing w:after="0"/>
              <w:rPr>
                <w:sz w:val="11"/>
                <w:szCs w:val="11"/>
                <w:color w:val="auto"/>
              </w:rPr>
            </w:pPr>
          </w:p>
        </w:tc>
      </w:tr>
      <w:tr>
        <w:trPr>
          <w:trHeight w:val="96"/>
        </w:trPr>
        <w:tc>
          <w:tcPr>
            <w:tcW w:w="2680" w:type="dxa"/>
            <w:vAlign w:val="bottom"/>
            <w:tcBorders>
              <w:left w:val="single" w:sz="8" w:color="auto"/>
            </w:tcBorders>
          </w:tcPr>
          <w:p>
            <w:pPr>
              <w:jc w:val="center"/>
              <w:ind w:right="7"/>
              <w:spacing w:after="0" w:line="97" w:lineRule="exact"/>
              <w:rPr>
                <w:sz w:val="20"/>
                <w:szCs w:val="20"/>
                <w:color w:val="auto"/>
              </w:rPr>
            </w:pPr>
            <w:r>
              <w:rPr>
                <w:rFonts w:ascii="Arial" w:cs="Arial" w:eastAsia="Arial" w:hAnsi="Arial"/>
                <w:sz w:val="11"/>
                <w:szCs w:val="11"/>
                <w:color w:val="auto"/>
                <w:w w:val="92"/>
              </w:rPr>
              <w:t>Apply stringent share ownership policies and</w:t>
            </w:r>
          </w:p>
        </w:tc>
        <w:tc>
          <w:tcPr>
            <w:tcW w:w="480" w:type="dxa"/>
            <w:vAlign w:val="bottom"/>
            <w:tcBorders>
              <w:right w:val="single" w:sz="8" w:color="auto"/>
            </w:tcBorders>
          </w:tcPr>
          <w:p>
            <w:pPr>
              <w:ind w:left="180"/>
              <w:spacing w:after="0" w:line="97" w:lineRule="exact"/>
              <w:rPr>
                <w:sz w:val="20"/>
                <w:szCs w:val="20"/>
                <w:color w:val="auto"/>
              </w:rPr>
            </w:pPr>
            <w:r>
              <w:rPr>
                <w:rFonts w:ascii="MS PGothic" w:cs="MS PGothic" w:eastAsia="MS PGothic" w:hAnsi="MS PGothic"/>
                <w:sz w:val="11"/>
                <w:szCs w:val="11"/>
                <w:color w:val="auto"/>
              </w:rPr>
              <w:t>✓</w:t>
            </w:r>
          </w:p>
        </w:tc>
        <w:tc>
          <w:tcPr>
            <w:tcW w:w="254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r>
      <w:tr>
        <w:trPr>
          <w:trHeight w:val="138"/>
        </w:trPr>
        <w:tc>
          <w:tcPr>
            <w:tcW w:w="268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1"/>
                <w:szCs w:val="11"/>
                <w:color w:val="auto"/>
                <w:w w:val="92"/>
              </w:rPr>
              <w:t>post-employment hold period for the CEO’s shares</w:t>
            </w:r>
          </w:p>
        </w:tc>
        <w:tc>
          <w:tcPr>
            <w:tcW w:w="480" w:type="dxa"/>
            <w:vAlign w:val="bottom"/>
            <w:tcBorders>
              <w:bottom w:val="single" w:sz="8" w:color="auto"/>
              <w:right w:val="single" w:sz="8" w:color="auto"/>
            </w:tcBorders>
          </w:tcPr>
          <w:p>
            <w:pPr>
              <w:spacing w:after="0"/>
              <w:rPr>
                <w:sz w:val="12"/>
                <w:szCs w:val="12"/>
                <w:color w:val="auto"/>
              </w:rPr>
            </w:pPr>
          </w:p>
        </w:tc>
        <w:tc>
          <w:tcPr>
            <w:tcW w:w="2540" w:type="dxa"/>
            <w:vAlign w:val="bottom"/>
            <w:tcBorders>
              <w:bottom w:val="single" w:sz="8" w:color="auto"/>
            </w:tcBorders>
          </w:tcPr>
          <w:p>
            <w:pPr>
              <w:spacing w:after="0"/>
              <w:rPr>
                <w:sz w:val="12"/>
                <w:szCs w:val="12"/>
                <w:color w:val="auto"/>
              </w:rPr>
            </w:pPr>
          </w:p>
        </w:tc>
        <w:tc>
          <w:tcPr>
            <w:tcW w:w="360" w:type="dxa"/>
            <w:vAlign w:val="bottom"/>
            <w:tcBorders>
              <w:bottom w:val="single" w:sz="8" w:color="auto"/>
              <w:right w:val="single" w:sz="8" w:color="auto"/>
            </w:tcBorders>
          </w:tcPr>
          <w:p>
            <w:pPr>
              <w:spacing w:after="0"/>
              <w:rPr>
                <w:sz w:val="12"/>
                <w:szCs w:val="12"/>
                <w:color w:val="auto"/>
              </w:rPr>
            </w:pPr>
          </w:p>
        </w:tc>
      </w:tr>
      <w:tr>
        <w:trPr>
          <w:trHeight w:val="133"/>
        </w:trPr>
        <w:tc>
          <w:tcPr>
            <w:tcW w:w="268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1"/>
                <w:szCs w:val="11"/>
                <w:color w:val="auto"/>
                <w:w w:val="91"/>
              </w:rPr>
              <w:t>Clawback on incentive-based compensation</w:t>
            </w:r>
          </w:p>
        </w:tc>
        <w:tc>
          <w:tcPr>
            <w:tcW w:w="480" w:type="dxa"/>
            <w:vAlign w:val="bottom"/>
            <w:tcBorders>
              <w:bottom w:val="single" w:sz="8" w:color="auto"/>
              <w:right w:val="single" w:sz="8" w:color="auto"/>
            </w:tcBorders>
          </w:tcPr>
          <w:p>
            <w:pPr>
              <w:ind w:left="180"/>
              <w:spacing w:after="0" w:line="111" w:lineRule="exact"/>
              <w:rPr>
                <w:sz w:val="20"/>
                <w:szCs w:val="20"/>
                <w:color w:val="auto"/>
              </w:rPr>
            </w:pPr>
            <w:r>
              <w:rPr>
                <w:rFonts w:ascii="MS PGothic" w:cs="MS PGothic" w:eastAsia="MS PGothic" w:hAnsi="MS PGothic"/>
                <w:sz w:val="11"/>
                <w:szCs w:val="11"/>
                <w:color w:val="auto"/>
              </w:rPr>
              <w:t>✓</w:t>
            </w:r>
          </w:p>
        </w:tc>
        <w:tc>
          <w:tcPr>
            <w:tcW w:w="2540" w:type="dxa"/>
            <w:vAlign w:val="bottom"/>
            <w:tcBorders>
              <w:bottom w:val="single" w:sz="8" w:color="auto"/>
            </w:tcBorders>
          </w:tcPr>
          <w:p>
            <w:pPr>
              <w:spacing w:after="0"/>
              <w:rPr>
                <w:sz w:val="11"/>
                <w:szCs w:val="11"/>
                <w:color w:val="auto"/>
              </w:rPr>
            </w:pPr>
          </w:p>
        </w:tc>
        <w:tc>
          <w:tcPr>
            <w:tcW w:w="360" w:type="dxa"/>
            <w:vAlign w:val="bottom"/>
            <w:tcBorders>
              <w:bottom w:val="single" w:sz="8" w:color="auto"/>
              <w:right w:val="single" w:sz="8" w:color="auto"/>
            </w:tcBorders>
          </w:tcPr>
          <w:p>
            <w:pPr>
              <w:spacing w:after="0"/>
              <w:rPr>
                <w:sz w:val="11"/>
                <w:szCs w:val="11"/>
                <w:color w:val="auto"/>
              </w:rPr>
            </w:pPr>
          </w:p>
        </w:tc>
      </w:tr>
      <w:tr>
        <w:trPr>
          <w:trHeight w:val="96"/>
        </w:trPr>
        <w:tc>
          <w:tcPr>
            <w:tcW w:w="2680" w:type="dxa"/>
            <w:vAlign w:val="bottom"/>
            <w:tcBorders>
              <w:left w:val="single" w:sz="8" w:color="auto"/>
            </w:tcBorders>
          </w:tcPr>
          <w:p>
            <w:pPr>
              <w:jc w:val="center"/>
              <w:ind w:right="7"/>
              <w:spacing w:after="0" w:line="97" w:lineRule="exact"/>
              <w:rPr>
                <w:sz w:val="20"/>
                <w:szCs w:val="20"/>
                <w:color w:val="auto"/>
              </w:rPr>
            </w:pPr>
            <w:r>
              <w:rPr>
                <w:rFonts w:ascii="Arial" w:cs="Arial" w:eastAsia="Arial" w:hAnsi="Arial"/>
                <w:sz w:val="11"/>
                <w:szCs w:val="11"/>
                <w:color w:val="auto"/>
                <w:w w:val="93"/>
              </w:rPr>
              <w:t>Equity plans provide for change of control</w:t>
            </w:r>
          </w:p>
        </w:tc>
        <w:tc>
          <w:tcPr>
            <w:tcW w:w="480" w:type="dxa"/>
            <w:vAlign w:val="bottom"/>
            <w:tcBorders>
              <w:right w:val="single" w:sz="8" w:color="auto"/>
            </w:tcBorders>
          </w:tcPr>
          <w:p>
            <w:pPr>
              <w:ind w:left="180"/>
              <w:spacing w:after="0" w:line="97" w:lineRule="exact"/>
              <w:rPr>
                <w:sz w:val="20"/>
                <w:szCs w:val="20"/>
                <w:color w:val="auto"/>
              </w:rPr>
            </w:pPr>
            <w:r>
              <w:rPr>
                <w:rFonts w:ascii="MS PGothic" w:cs="MS PGothic" w:eastAsia="MS PGothic" w:hAnsi="MS PGothic"/>
                <w:sz w:val="11"/>
                <w:szCs w:val="11"/>
                <w:color w:val="auto"/>
              </w:rPr>
              <w:t>✓</w:t>
            </w:r>
          </w:p>
        </w:tc>
        <w:tc>
          <w:tcPr>
            <w:tcW w:w="254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r>
      <w:tr>
        <w:trPr>
          <w:trHeight w:val="119"/>
        </w:trPr>
        <w:tc>
          <w:tcPr>
            <w:tcW w:w="2680" w:type="dxa"/>
            <w:vAlign w:val="bottom"/>
            <w:tcBorders>
              <w:left w:val="single" w:sz="8" w:color="auto"/>
            </w:tcBorders>
          </w:tcPr>
          <w:p>
            <w:pPr>
              <w:jc w:val="center"/>
              <w:ind w:right="7"/>
              <w:spacing w:after="0" w:line="120" w:lineRule="exact"/>
              <w:rPr>
                <w:sz w:val="20"/>
                <w:szCs w:val="20"/>
                <w:color w:val="auto"/>
              </w:rPr>
            </w:pPr>
            <w:r>
              <w:rPr>
                <w:rFonts w:ascii="Arial" w:cs="Arial" w:eastAsia="Arial" w:hAnsi="Arial"/>
                <w:sz w:val="11"/>
                <w:szCs w:val="11"/>
                <w:color w:val="auto"/>
                <w:w w:val="91"/>
              </w:rPr>
              <w:t>treatment for outstanding equity based on a</w:t>
            </w:r>
          </w:p>
        </w:tc>
        <w:tc>
          <w:tcPr>
            <w:tcW w:w="480" w:type="dxa"/>
            <w:vAlign w:val="bottom"/>
            <w:tcBorders>
              <w:right w:val="single" w:sz="8" w:color="auto"/>
            </w:tcBorders>
          </w:tcPr>
          <w:p>
            <w:pPr>
              <w:spacing w:after="0"/>
              <w:rPr>
                <w:sz w:val="10"/>
                <w:szCs w:val="10"/>
                <w:color w:val="auto"/>
              </w:rPr>
            </w:pPr>
          </w:p>
        </w:tc>
        <w:tc>
          <w:tcPr>
            <w:tcW w:w="2540" w:type="dxa"/>
            <w:vAlign w:val="bottom"/>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r>
      <w:tr>
        <w:trPr>
          <w:trHeight w:val="138"/>
        </w:trPr>
        <w:tc>
          <w:tcPr>
            <w:tcW w:w="268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1"/>
                <w:szCs w:val="11"/>
                <w:color w:val="auto"/>
                <w:w w:val="93"/>
              </w:rPr>
              <w:t>“double trigger” requirement</w:t>
            </w:r>
          </w:p>
        </w:tc>
        <w:tc>
          <w:tcPr>
            <w:tcW w:w="480" w:type="dxa"/>
            <w:vAlign w:val="bottom"/>
            <w:tcBorders>
              <w:bottom w:val="single" w:sz="8" w:color="auto"/>
              <w:right w:val="single" w:sz="8" w:color="auto"/>
            </w:tcBorders>
          </w:tcPr>
          <w:p>
            <w:pPr>
              <w:spacing w:after="0"/>
              <w:rPr>
                <w:sz w:val="12"/>
                <w:szCs w:val="12"/>
                <w:color w:val="auto"/>
              </w:rPr>
            </w:pPr>
          </w:p>
        </w:tc>
        <w:tc>
          <w:tcPr>
            <w:tcW w:w="2540" w:type="dxa"/>
            <w:vAlign w:val="bottom"/>
            <w:tcBorders>
              <w:bottom w:val="single" w:sz="8" w:color="auto"/>
            </w:tcBorders>
          </w:tcPr>
          <w:p>
            <w:pPr>
              <w:spacing w:after="0"/>
              <w:rPr>
                <w:sz w:val="12"/>
                <w:szCs w:val="12"/>
                <w:color w:val="auto"/>
              </w:rPr>
            </w:pPr>
          </w:p>
        </w:tc>
        <w:tc>
          <w:tcPr>
            <w:tcW w:w="360" w:type="dxa"/>
            <w:vAlign w:val="bottom"/>
            <w:tcBorders>
              <w:bottom w:val="single" w:sz="8" w:color="auto"/>
              <w:right w:val="single" w:sz="8" w:color="auto"/>
            </w:tcBorders>
          </w:tcPr>
          <w:p>
            <w:pPr>
              <w:spacing w:after="0"/>
              <w:rPr>
                <w:sz w:val="12"/>
                <w:szCs w:val="12"/>
                <w:color w:val="auto"/>
              </w:rPr>
            </w:pPr>
          </w:p>
        </w:tc>
      </w:tr>
      <w:tr>
        <w:trPr>
          <w:trHeight w:val="100"/>
        </w:trPr>
        <w:tc>
          <w:tcPr>
            <w:tcW w:w="2680" w:type="dxa"/>
            <w:vAlign w:val="bottom"/>
            <w:tcBorders>
              <w:left w:val="single" w:sz="8" w:color="auto"/>
            </w:tcBorders>
          </w:tcPr>
          <w:p>
            <w:pPr>
              <w:jc w:val="center"/>
              <w:ind w:right="7"/>
              <w:spacing w:after="0" w:line="101" w:lineRule="exact"/>
              <w:rPr>
                <w:sz w:val="20"/>
                <w:szCs w:val="20"/>
                <w:color w:val="auto"/>
              </w:rPr>
            </w:pPr>
            <w:r>
              <w:rPr>
                <w:rFonts w:ascii="Arial" w:cs="Arial" w:eastAsia="Arial" w:hAnsi="Arial"/>
                <w:sz w:val="11"/>
                <w:szCs w:val="11"/>
                <w:color w:val="auto"/>
                <w:w w:val="95"/>
              </w:rPr>
              <w:t>Set minimum corporate profitability</w:t>
            </w:r>
          </w:p>
        </w:tc>
        <w:tc>
          <w:tcPr>
            <w:tcW w:w="480" w:type="dxa"/>
            <w:vAlign w:val="bottom"/>
            <w:tcBorders>
              <w:right w:val="single" w:sz="8" w:color="auto"/>
            </w:tcBorders>
          </w:tcPr>
          <w:p>
            <w:pPr>
              <w:ind w:left="180"/>
              <w:spacing w:after="0" w:line="100" w:lineRule="exact"/>
              <w:rPr>
                <w:sz w:val="20"/>
                <w:szCs w:val="20"/>
                <w:color w:val="auto"/>
              </w:rPr>
            </w:pPr>
            <w:r>
              <w:rPr>
                <w:rFonts w:ascii="MS PGothic" w:cs="MS PGothic" w:eastAsia="MS PGothic" w:hAnsi="MS PGothic"/>
                <w:sz w:val="11"/>
                <w:szCs w:val="11"/>
                <w:color w:val="auto"/>
              </w:rPr>
              <w:t>✓</w:t>
            </w:r>
          </w:p>
        </w:tc>
        <w:tc>
          <w:tcPr>
            <w:tcW w:w="254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r>
      <w:tr>
        <w:trPr>
          <w:trHeight w:val="138"/>
        </w:trPr>
        <w:tc>
          <w:tcPr>
            <w:tcW w:w="268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1"/>
                <w:szCs w:val="11"/>
                <w:color w:val="auto"/>
                <w:w w:val="93"/>
              </w:rPr>
              <w:t>requirement for CTI payments</w:t>
            </w:r>
          </w:p>
        </w:tc>
        <w:tc>
          <w:tcPr>
            <w:tcW w:w="480" w:type="dxa"/>
            <w:vAlign w:val="bottom"/>
            <w:tcBorders>
              <w:bottom w:val="single" w:sz="8" w:color="auto"/>
              <w:right w:val="single" w:sz="8" w:color="auto"/>
            </w:tcBorders>
          </w:tcPr>
          <w:p>
            <w:pPr>
              <w:spacing w:after="0"/>
              <w:rPr>
                <w:sz w:val="12"/>
                <w:szCs w:val="12"/>
                <w:color w:val="auto"/>
              </w:rPr>
            </w:pPr>
          </w:p>
        </w:tc>
        <w:tc>
          <w:tcPr>
            <w:tcW w:w="2540" w:type="dxa"/>
            <w:vAlign w:val="bottom"/>
            <w:tcBorders>
              <w:bottom w:val="single" w:sz="8" w:color="auto"/>
            </w:tcBorders>
          </w:tcPr>
          <w:p>
            <w:pPr>
              <w:spacing w:after="0"/>
              <w:rPr>
                <w:sz w:val="12"/>
                <w:szCs w:val="12"/>
                <w:color w:val="auto"/>
              </w:rPr>
            </w:pPr>
          </w:p>
        </w:tc>
        <w:tc>
          <w:tcPr>
            <w:tcW w:w="360" w:type="dxa"/>
            <w:vAlign w:val="bottom"/>
            <w:tcBorders>
              <w:bottom w:val="single" w:sz="8" w:color="auto"/>
              <w:right w:val="single" w:sz="8" w:color="auto"/>
            </w:tcBorders>
          </w:tcPr>
          <w:p>
            <w:pPr>
              <w:spacing w:after="0"/>
              <w:rPr>
                <w:sz w:val="12"/>
                <w:szCs w:val="12"/>
                <w:color w:val="auto"/>
              </w:rPr>
            </w:pPr>
          </w:p>
        </w:tc>
      </w:tr>
      <w:tr>
        <w:trPr>
          <w:trHeight w:val="133"/>
        </w:trPr>
        <w:tc>
          <w:tcPr>
            <w:tcW w:w="268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1"/>
                <w:szCs w:val="11"/>
                <w:color w:val="auto"/>
                <w:w w:val="91"/>
              </w:rPr>
              <w:t>Establish caps on PSU payout factors</w:t>
            </w:r>
          </w:p>
        </w:tc>
        <w:tc>
          <w:tcPr>
            <w:tcW w:w="480" w:type="dxa"/>
            <w:vAlign w:val="bottom"/>
            <w:tcBorders>
              <w:bottom w:val="single" w:sz="8" w:color="auto"/>
              <w:right w:val="single" w:sz="8" w:color="auto"/>
            </w:tcBorders>
          </w:tcPr>
          <w:p>
            <w:pPr>
              <w:ind w:left="180"/>
              <w:spacing w:after="0" w:line="111" w:lineRule="exact"/>
              <w:rPr>
                <w:sz w:val="20"/>
                <w:szCs w:val="20"/>
                <w:color w:val="auto"/>
              </w:rPr>
            </w:pPr>
            <w:r>
              <w:rPr>
                <w:rFonts w:ascii="MS PGothic" w:cs="MS PGothic" w:eastAsia="MS PGothic" w:hAnsi="MS PGothic"/>
                <w:sz w:val="11"/>
                <w:szCs w:val="11"/>
                <w:color w:val="auto"/>
              </w:rPr>
              <w:t>✓</w:t>
            </w:r>
          </w:p>
        </w:tc>
        <w:tc>
          <w:tcPr>
            <w:tcW w:w="2540" w:type="dxa"/>
            <w:vAlign w:val="bottom"/>
            <w:tcBorders>
              <w:bottom w:val="single" w:sz="8" w:color="auto"/>
            </w:tcBorders>
          </w:tcPr>
          <w:p>
            <w:pPr>
              <w:spacing w:after="0"/>
              <w:rPr>
                <w:sz w:val="11"/>
                <w:szCs w:val="11"/>
                <w:color w:val="auto"/>
              </w:rPr>
            </w:pPr>
          </w:p>
        </w:tc>
        <w:tc>
          <w:tcPr>
            <w:tcW w:w="360" w:type="dxa"/>
            <w:vAlign w:val="bottom"/>
            <w:tcBorders>
              <w:bottom w:val="single" w:sz="8" w:color="auto"/>
              <w:right w:val="single" w:sz="8" w:color="auto"/>
            </w:tcBorders>
          </w:tcPr>
          <w:p>
            <w:pPr>
              <w:spacing w:after="0"/>
              <w:rPr>
                <w:sz w:val="11"/>
                <w:szCs w:val="11"/>
                <w:color w:val="auto"/>
              </w:rPr>
            </w:pPr>
          </w:p>
        </w:tc>
      </w:tr>
      <w:tr>
        <w:trPr>
          <w:trHeight w:val="129"/>
        </w:trPr>
        <w:tc>
          <w:tcPr>
            <w:tcW w:w="268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1"/>
                <w:szCs w:val="11"/>
                <w:color w:val="auto"/>
                <w:w w:val="93"/>
              </w:rPr>
              <w:t>Shareholder “say-on-pay” advisory vote</w:t>
            </w:r>
          </w:p>
        </w:tc>
        <w:tc>
          <w:tcPr>
            <w:tcW w:w="480" w:type="dxa"/>
            <w:vAlign w:val="bottom"/>
            <w:tcBorders>
              <w:bottom w:val="single" w:sz="8" w:color="auto"/>
              <w:right w:val="single" w:sz="8" w:color="auto"/>
            </w:tcBorders>
          </w:tcPr>
          <w:p>
            <w:pPr>
              <w:ind w:left="180"/>
              <w:spacing w:after="0" w:line="111" w:lineRule="exact"/>
              <w:rPr>
                <w:sz w:val="20"/>
                <w:szCs w:val="20"/>
                <w:color w:val="auto"/>
              </w:rPr>
            </w:pPr>
            <w:r>
              <w:rPr>
                <w:rFonts w:ascii="MS PGothic" w:cs="MS PGothic" w:eastAsia="MS PGothic" w:hAnsi="MS PGothic"/>
                <w:sz w:val="11"/>
                <w:szCs w:val="11"/>
                <w:color w:val="auto"/>
              </w:rPr>
              <w:t>✓</w:t>
            </w:r>
          </w:p>
        </w:tc>
        <w:tc>
          <w:tcPr>
            <w:tcW w:w="2540" w:type="dxa"/>
            <w:vAlign w:val="bottom"/>
            <w:tcBorders>
              <w:bottom w:val="single" w:sz="8" w:color="auto"/>
            </w:tcBorders>
          </w:tcPr>
          <w:p>
            <w:pPr>
              <w:spacing w:after="0"/>
              <w:rPr>
                <w:sz w:val="11"/>
                <w:szCs w:val="11"/>
                <w:color w:val="auto"/>
              </w:rPr>
            </w:pPr>
          </w:p>
        </w:tc>
        <w:tc>
          <w:tcPr>
            <w:tcW w:w="360" w:type="dxa"/>
            <w:vAlign w:val="bottom"/>
            <w:tcBorders>
              <w:bottom w:val="single" w:sz="8" w:color="auto"/>
              <w:right w:val="single" w:sz="8" w:color="auto"/>
            </w:tcBorders>
          </w:tcPr>
          <w:p>
            <w:pPr>
              <w:spacing w:after="0"/>
              <w:rPr>
                <w:sz w:val="11"/>
                <w:szCs w:val="11"/>
                <w:color w:val="auto"/>
              </w:rPr>
            </w:pPr>
          </w:p>
        </w:tc>
      </w:tr>
    </w:tbl>
    <w:p>
      <w:pPr>
        <w:spacing w:after="0" w:line="125"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Conclusion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38100</wp:posOffset>
            </wp:positionV>
            <wp:extent cx="3843655" cy="63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843655" cy="635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50800</wp:posOffset>
            </wp:positionV>
            <wp:extent cx="3843655" cy="63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200" w:lineRule="exact"/>
        <w:rPr>
          <w:sz w:val="20"/>
          <w:szCs w:val="20"/>
          <w:color w:val="auto"/>
        </w:rPr>
      </w:pPr>
    </w:p>
    <w:p>
      <w:pPr>
        <w:jc w:val="both"/>
        <w:ind w:left="1480" w:right="1499"/>
        <w:spacing w:after="0" w:line="245" w:lineRule="auto"/>
        <w:rPr>
          <w:sz w:val="20"/>
          <w:szCs w:val="20"/>
          <w:color w:val="auto"/>
        </w:rPr>
      </w:pPr>
      <w:r>
        <w:rPr>
          <w:rFonts w:ascii="Arial" w:cs="Arial" w:eastAsia="Arial" w:hAnsi="Arial"/>
          <w:sz w:val="13"/>
          <w:szCs w:val="13"/>
          <w:color w:val="auto"/>
        </w:rPr>
        <w:t xml:space="preserve">We believe that our compensation philosophy aligns the interests of our executives with our shareholders. You are invited to review the following </w:t>
      </w:r>
      <w:r>
        <w:rPr>
          <w:rFonts w:ascii="Arial" w:cs="Arial" w:eastAsia="Arial" w:hAnsi="Arial"/>
          <w:sz w:val="13"/>
          <w:szCs w:val="13"/>
          <w:i w:val="1"/>
          <w:iCs w:val="1"/>
          <w:color w:val="auto"/>
        </w:rPr>
        <w:t>Compensation Discussion and Analysis</w:t>
      </w:r>
      <w:r>
        <w:rPr>
          <w:rFonts w:ascii="Arial" w:cs="Arial" w:eastAsia="Arial" w:hAnsi="Arial"/>
          <w:sz w:val="13"/>
          <w:szCs w:val="13"/>
          <w:color w:val="auto"/>
        </w:rPr>
        <w:t xml:space="preserve"> section of this Circular, which provides more detailed disclosure of our executive compensation program. Shareholders are being asked to participate in a non -binding advisory vote on our approach to executive compensation at the Meeting. The resolution to be voted on can be found in the Notice of the Meeting and is further described above under “</w:t>
      </w:r>
      <w:r>
        <w:rPr>
          <w:rFonts w:ascii="Arial" w:cs="Arial" w:eastAsia="Arial" w:hAnsi="Arial"/>
          <w:sz w:val="13"/>
          <w:szCs w:val="13"/>
          <w:i w:val="1"/>
          <w:iCs w:val="1"/>
          <w:color w:val="auto"/>
        </w:rPr>
        <w:t>Say-On-Pay</w:t>
      </w:r>
      <w:r>
        <w:rPr>
          <w:rFonts w:ascii="Arial" w:cs="Arial" w:eastAsia="Arial" w:hAnsi="Arial"/>
          <w:sz w:val="13"/>
          <w:szCs w:val="13"/>
          <w:color w:val="auto"/>
        </w:rPr>
        <w:t>”.</w:t>
      </w:r>
    </w:p>
    <w:p>
      <w:pPr>
        <w:spacing w:after="0" w:line="60" w:lineRule="exact"/>
        <w:rPr>
          <w:sz w:val="20"/>
          <w:szCs w:val="20"/>
          <w:color w:val="auto"/>
        </w:rPr>
      </w:pPr>
    </w:p>
    <w:p>
      <w:pPr>
        <w:jc w:val="both"/>
        <w:ind w:left="1480" w:right="1499"/>
        <w:spacing w:after="0" w:line="247" w:lineRule="auto"/>
        <w:rPr>
          <w:sz w:val="20"/>
          <w:szCs w:val="20"/>
          <w:color w:val="auto"/>
        </w:rPr>
      </w:pPr>
      <w:r>
        <w:rPr>
          <w:rFonts w:ascii="Arial" w:cs="Arial" w:eastAsia="Arial" w:hAnsi="Arial"/>
          <w:sz w:val="13"/>
          <w:szCs w:val="13"/>
          <w:color w:val="auto"/>
        </w:rPr>
        <w:t>I am honoured to have served as the HRCC Chair for the past nine years, and I am proud of the work the HRCC has done to carry out its mandate, particularly during 2020 as the pandemic impacted Celestica’s workforce across the globe. I look forward to working with Mr. Cascella to transition the Chair role following the Meeting. Given his extensive experience with multinational companies, I am confident that Mr. Cascella is the right person to the lead the HRCC going forward.</w:t>
      </w:r>
    </w:p>
    <w:p>
      <w:pPr>
        <w:spacing w:after="0" w:line="57" w:lineRule="exact"/>
        <w:rPr>
          <w:sz w:val="20"/>
          <w:szCs w:val="20"/>
          <w:color w:val="auto"/>
        </w:rPr>
      </w:pPr>
    </w:p>
    <w:p>
      <w:pPr>
        <w:jc w:val="both"/>
        <w:ind w:left="1480" w:right="1499"/>
        <w:spacing w:after="0" w:line="254" w:lineRule="auto"/>
        <w:rPr>
          <w:sz w:val="20"/>
          <w:szCs w:val="20"/>
          <w:color w:val="auto"/>
        </w:rPr>
      </w:pPr>
      <w:r>
        <w:rPr>
          <w:rFonts w:ascii="Arial" w:cs="Arial" w:eastAsia="Arial" w:hAnsi="Arial"/>
          <w:sz w:val="13"/>
          <w:szCs w:val="13"/>
          <w:color w:val="auto"/>
        </w:rPr>
        <w:t>Let me close by expressing my appreciation to Celestica’s global team for their hard work and commitment, especially during these challenging times. Their resilience and dedication have been critical to the achievement of Celestica’s success.</w:t>
      </w:r>
    </w:p>
    <w:p>
      <w:pPr>
        <w:spacing w:after="0" w:line="53"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Yours sincerely,</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Eamon Ryan</w:t>
      </w:r>
    </w:p>
    <w:p>
      <w:pPr>
        <w:spacing w:after="0" w:line="10"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Chair of the Human Resources and Compensation Committee</w:t>
      </w:r>
    </w:p>
    <w:p>
      <w:pPr>
        <w:ind w:left="1480"/>
        <w:spacing w:after="0"/>
        <w:rPr>
          <w:sz w:val="20"/>
          <w:szCs w:val="20"/>
          <w:color w:val="auto"/>
        </w:rPr>
      </w:pPr>
      <w:r>
        <w:rPr>
          <w:rFonts w:ascii="Arial" w:cs="Arial" w:eastAsia="Arial" w:hAnsi="Arial"/>
          <w:sz w:val="13"/>
          <w:szCs w:val="13"/>
          <w:color w:val="auto"/>
        </w:rPr>
        <w:t>(on behalf of the Human Resources and Compensation Committee)</w:t>
      </w:r>
    </w:p>
    <w:p>
      <w:pPr>
        <w:spacing w:after="0" w:line="35" w:lineRule="exact"/>
        <w:rPr>
          <w:sz w:val="20"/>
          <w:szCs w:val="20"/>
          <w:color w:val="auto"/>
        </w:rPr>
      </w:pPr>
    </w:p>
    <w:p>
      <w:pPr>
        <w:jc w:val="both"/>
        <w:ind w:left="1740" w:right="1499" w:hanging="262"/>
        <w:spacing w:after="0" w:line="290" w:lineRule="auto"/>
        <w:tabs>
          <w:tab w:leader="none" w:pos="1740" w:val="left"/>
        </w:tabs>
        <w:numPr>
          <w:ilvl w:val="0"/>
          <w:numId w:val="72"/>
        </w:numPr>
        <w:rPr>
          <w:rFonts w:ascii="Arial" w:cs="Arial" w:eastAsia="Arial" w:hAnsi="Arial"/>
          <w:sz w:val="10"/>
          <w:szCs w:val="10"/>
          <w:color w:val="auto"/>
        </w:rPr>
      </w:pPr>
      <w:r>
        <w:rPr>
          <w:rFonts w:ascii="Arial" w:cs="Arial" w:eastAsia="Arial" w:hAnsi="Arial"/>
          <w:sz w:val="10"/>
          <w:szCs w:val="10"/>
          <w:color w:val="auto"/>
        </w:rPr>
        <w:t xml:space="preserve">This is a non-International Financial Reporting Standards financial measure. See </w:t>
      </w:r>
      <w:r>
        <w:rPr>
          <w:rFonts w:ascii="Arial" w:cs="Arial" w:eastAsia="Arial" w:hAnsi="Arial"/>
          <w:sz w:val="10"/>
          <w:szCs w:val="10"/>
          <w:i w:val="1"/>
          <w:iCs w:val="1"/>
          <w:color w:val="auto"/>
        </w:rPr>
        <w:t>Compensation Discussion and Analysis —</w:t>
      </w:r>
      <w:r>
        <w:rPr>
          <w:rFonts w:ascii="Arial" w:cs="Arial" w:eastAsia="Arial" w:hAnsi="Arial"/>
          <w:sz w:val="10"/>
          <w:szCs w:val="10"/>
          <w:color w:val="auto"/>
        </w:rPr>
        <w:t xml:space="preserve"> </w:t>
      </w:r>
      <w:r>
        <w:rPr>
          <w:rFonts w:ascii="Arial" w:cs="Arial" w:eastAsia="Arial" w:hAnsi="Arial"/>
          <w:sz w:val="10"/>
          <w:szCs w:val="10"/>
          <w:i w:val="1"/>
          <w:iCs w:val="1"/>
          <w:color w:val="auto"/>
        </w:rPr>
        <w:t xml:space="preserve">Note Regarding Non-IFRS Measures </w:t>
      </w:r>
      <w:r>
        <w:rPr>
          <w:rFonts w:ascii="Arial" w:cs="Arial" w:eastAsia="Arial" w:hAnsi="Arial"/>
          <w:sz w:val="10"/>
          <w:szCs w:val="10"/>
          <w:color w:val="auto"/>
        </w:rPr>
        <w:t>in this Circular for the definition of, and information regarding, this measure, including</w:t>
      </w:r>
      <w:r>
        <w:rPr>
          <w:rFonts w:ascii="Arial" w:cs="Arial" w:eastAsia="Arial" w:hAnsi="Arial"/>
          <w:sz w:val="10"/>
          <w:szCs w:val="10"/>
          <w:i w:val="1"/>
          <w:iCs w:val="1"/>
          <w:color w:val="auto"/>
        </w:rPr>
        <w:t xml:space="preserve"> </w:t>
      </w:r>
      <w:r>
        <w:rPr>
          <w:rFonts w:ascii="Arial" w:cs="Arial" w:eastAsia="Arial" w:hAnsi="Arial"/>
          <w:sz w:val="10"/>
          <w:szCs w:val="10"/>
          <w:color w:val="auto"/>
        </w:rPr>
        <w:t>where to find a reconciliation of this measure to the most directly-comparable IFRS financial measure.</w:t>
      </w: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8" w:name="page49"/>
    <w:bookmarkEnd w:id="48"/>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296545</wp:posOffset>
            </wp:positionV>
            <wp:extent cx="3843655" cy="1898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843655" cy="18986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41910</wp:posOffset>
            </wp:positionV>
            <wp:extent cx="3843655" cy="6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166" w:lineRule="exact"/>
        <w:rPr>
          <w:sz w:val="20"/>
          <w:szCs w:val="20"/>
          <w:color w:val="auto"/>
        </w:rPr>
      </w:pPr>
    </w:p>
    <w:p>
      <w:pPr>
        <w:jc w:val="both"/>
        <w:ind w:left="1480" w:right="1499"/>
        <w:spacing w:after="0" w:line="249" w:lineRule="auto"/>
        <w:rPr>
          <w:sz w:val="20"/>
          <w:szCs w:val="20"/>
          <w:color w:val="auto"/>
        </w:rPr>
      </w:pPr>
      <w:r>
        <w:rPr>
          <w:rFonts w:ascii="Arial" w:cs="Arial" w:eastAsia="Arial" w:hAnsi="Arial"/>
          <w:sz w:val="13"/>
          <w:szCs w:val="13"/>
          <w:color w:val="auto"/>
        </w:rPr>
        <w:t>This Compensation Discussion and Analysis sets out the policies of the Corporation for determining compensation paid to the Corporation’s CEO, its Chief Financial Officer (“</w:t>
      </w:r>
      <w:r>
        <w:rPr>
          <w:rFonts w:ascii="Arial" w:cs="Arial" w:eastAsia="Arial" w:hAnsi="Arial"/>
          <w:sz w:val="13"/>
          <w:szCs w:val="13"/>
          <w:b w:val="1"/>
          <w:bCs w:val="1"/>
          <w:color w:val="auto"/>
        </w:rPr>
        <w:t>CFO</w:t>
      </w:r>
      <w:r>
        <w:rPr>
          <w:rFonts w:ascii="Arial" w:cs="Arial" w:eastAsia="Arial" w:hAnsi="Arial"/>
          <w:sz w:val="13"/>
          <w:szCs w:val="13"/>
          <w:color w:val="auto"/>
        </w:rPr>
        <w:t xml:space="preserve">”), and the three other most highly compensated executive officers (collectively, the “ </w:t>
      </w:r>
      <w:r>
        <w:rPr>
          <w:rFonts w:ascii="Arial" w:cs="Arial" w:eastAsia="Arial" w:hAnsi="Arial"/>
          <w:sz w:val="13"/>
          <w:szCs w:val="13"/>
          <w:b w:val="1"/>
          <w:bCs w:val="1"/>
          <w:color w:val="auto"/>
        </w:rPr>
        <w:t>Named Executive Officers</w:t>
      </w:r>
      <w:r>
        <w:rPr>
          <w:rFonts w:ascii="Arial" w:cs="Arial" w:eastAsia="Arial" w:hAnsi="Arial"/>
          <w:sz w:val="13"/>
          <w:szCs w:val="13"/>
          <w:color w:val="auto"/>
        </w:rPr>
        <w:t>” or “</w:t>
      </w:r>
      <w:r>
        <w:rPr>
          <w:rFonts w:ascii="Arial" w:cs="Arial" w:eastAsia="Arial" w:hAnsi="Arial"/>
          <w:sz w:val="13"/>
          <w:szCs w:val="13"/>
          <w:b w:val="1"/>
          <w:bCs w:val="1"/>
          <w:color w:val="auto"/>
        </w:rPr>
        <w:t>NEOs</w:t>
      </w:r>
      <w:r>
        <w:rPr>
          <w:rFonts w:ascii="Arial" w:cs="Arial" w:eastAsia="Arial" w:hAnsi="Arial"/>
          <w:sz w:val="13"/>
          <w:szCs w:val="13"/>
          <w:color w:val="auto"/>
        </w:rPr>
        <w:t>”). The NEOs who are the subject of this Compensation Discussion and Analysis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935355</wp:posOffset>
            </wp:positionH>
            <wp:positionV relativeFrom="paragraph">
              <wp:posOffset>38100</wp:posOffset>
            </wp:positionV>
            <wp:extent cx="3856355" cy="19469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856355" cy="1946910"/>
                    </a:xfrm>
                    <a:prstGeom prst="rect">
                      <a:avLst/>
                    </a:prstGeom>
                    <a:noFill/>
                  </pic:spPr>
                </pic:pic>
              </a:graphicData>
            </a:graphic>
          </wp:anchor>
        </w:drawing>
      </w:r>
    </w:p>
    <w:p>
      <w:pPr>
        <w:spacing w:after="0" w:line="172" w:lineRule="exact"/>
        <w:rPr>
          <w:sz w:val="20"/>
          <w:szCs w:val="20"/>
          <w:color w:val="auto"/>
        </w:rPr>
      </w:pPr>
    </w:p>
    <w:p>
      <w:pPr>
        <w:ind w:left="2880"/>
        <w:spacing w:after="0"/>
        <w:rPr>
          <w:sz w:val="20"/>
          <w:szCs w:val="20"/>
          <w:color w:val="auto"/>
        </w:rPr>
      </w:pPr>
      <w:r>
        <w:rPr>
          <w:rFonts w:ascii="Arial" w:cs="Arial" w:eastAsia="Arial" w:hAnsi="Arial"/>
          <w:sz w:val="13"/>
          <w:szCs w:val="13"/>
          <w:b w:val="1"/>
          <w:bCs w:val="1"/>
          <w:color w:val="auto"/>
        </w:rPr>
        <w:t>Robert A. Mionis — President and Chief Executive Officer</w:t>
      </w:r>
    </w:p>
    <w:p>
      <w:pPr>
        <w:spacing w:after="0" w:line="54" w:lineRule="exact"/>
        <w:rPr>
          <w:sz w:val="20"/>
          <w:szCs w:val="20"/>
          <w:color w:val="auto"/>
        </w:rPr>
      </w:pPr>
    </w:p>
    <w:p>
      <w:pPr>
        <w:jc w:val="both"/>
        <w:ind w:left="2880" w:right="1579"/>
        <w:spacing w:after="0" w:line="261" w:lineRule="auto"/>
        <w:rPr>
          <w:sz w:val="20"/>
          <w:szCs w:val="20"/>
          <w:color w:val="auto"/>
        </w:rPr>
      </w:pPr>
      <w:r>
        <w:rPr>
          <w:rFonts w:ascii="Arial" w:cs="Arial" w:eastAsia="Arial" w:hAnsi="Arial"/>
          <w:sz w:val="13"/>
          <w:szCs w:val="13"/>
          <w:color w:val="auto"/>
        </w:rPr>
        <w:t>Mr. Mionis is responsible for Celestica’s overall leadership, strategy and vision. In conjunction with the Board of Directors, he develops the Corporation’s overall strategic plan, including the corporate goals and objectives as well as our approach to risk management. He is focused on positioning the Corporation for long-term profitable growth and ensuring the success of Celestica’s customers around the world.</w:t>
      </w:r>
    </w:p>
    <w:p>
      <w:pPr>
        <w:spacing w:after="0" w:line="40" w:lineRule="exact"/>
        <w:rPr>
          <w:sz w:val="20"/>
          <w:szCs w:val="20"/>
          <w:color w:val="auto"/>
        </w:rPr>
      </w:pPr>
    </w:p>
    <w:p>
      <w:pPr>
        <w:jc w:val="both"/>
        <w:ind w:left="1560" w:right="1579"/>
        <w:spacing w:after="0" w:line="260" w:lineRule="auto"/>
        <w:rPr>
          <w:sz w:val="20"/>
          <w:szCs w:val="20"/>
          <w:color w:val="auto"/>
        </w:rPr>
      </w:pPr>
      <w:r>
        <w:rPr>
          <w:rFonts w:ascii="Arial" w:cs="Arial" w:eastAsia="Arial" w:hAnsi="Arial"/>
          <w:sz w:val="13"/>
          <w:szCs w:val="13"/>
          <w:color w:val="auto"/>
        </w:rPr>
        <w:t>Prior to joining Celestica, Mr. Mionis was an Operating Partner at Pamplona, a global private equity firm where he supported several companies across a broad range of industries, including the industrial, aerospace, healthcare and automotive industries. Before joining Pamplona, Mr. Mionis served as President and CEO of StandardAero, leading the company through a period of significant revenue and profitability growth. Over the course of his career he has held a number of operational and service roles at companies in the aerospace, industrial and semiconductor markets, including General Electric, Axcelis Technologies, AlliedSignal and Honeywell.</w:t>
      </w:r>
    </w:p>
    <w:p>
      <w:pPr>
        <w:spacing w:after="0" w:line="21" w:lineRule="exact"/>
        <w:rPr>
          <w:sz w:val="20"/>
          <w:szCs w:val="20"/>
          <w:color w:val="auto"/>
        </w:rPr>
      </w:pPr>
    </w:p>
    <w:p>
      <w:pPr>
        <w:jc w:val="both"/>
        <w:ind w:left="1560" w:right="1579"/>
        <w:spacing w:after="0" w:line="270" w:lineRule="auto"/>
        <w:rPr>
          <w:sz w:val="20"/>
          <w:szCs w:val="20"/>
          <w:color w:val="auto"/>
        </w:rPr>
      </w:pPr>
      <w:r>
        <w:rPr>
          <w:rFonts w:ascii="Arial" w:cs="Arial" w:eastAsia="Arial" w:hAnsi="Arial"/>
          <w:sz w:val="13"/>
          <w:szCs w:val="13"/>
          <w:color w:val="auto"/>
        </w:rPr>
        <w:t>Mr. Mionis is a member of the Board of Directors. He has also been serving on the board of directors of Shawcor Ltd. since 2018. He holds a Bachelor of Science in Electrical Engineering from the University of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935355</wp:posOffset>
            </wp:positionH>
            <wp:positionV relativeFrom="paragraph">
              <wp:posOffset>73660</wp:posOffset>
            </wp:positionV>
            <wp:extent cx="3856355" cy="17449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856355" cy="1744980"/>
                    </a:xfrm>
                    <a:prstGeom prst="rect">
                      <a:avLst/>
                    </a:prstGeom>
                    <a:noFill/>
                  </pic:spPr>
                </pic:pic>
              </a:graphicData>
            </a:graphic>
          </wp:anchor>
        </w:drawing>
      </w:r>
    </w:p>
    <w:p>
      <w:pPr>
        <w:spacing w:after="0" w:line="228" w:lineRule="exact"/>
        <w:rPr>
          <w:sz w:val="20"/>
          <w:szCs w:val="20"/>
          <w:color w:val="auto"/>
        </w:rPr>
      </w:pPr>
    </w:p>
    <w:p>
      <w:pPr>
        <w:ind w:left="2880"/>
        <w:spacing w:after="0"/>
        <w:rPr>
          <w:sz w:val="20"/>
          <w:szCs w:val="20"/>
          <w:color w:val="auto"/>
        </w:rPr>
      </w:pPr>
      <w:r>
        <w:rPr>
          <w:rFonts w:ascii="Arial" w:cs="Arial" w:eastAsia="Arial" w:hAnsi="Arial"/>
          <w:sz w:val="13"/>
          <w:szCs w:val="13"/>
          <w:b w:val="1"/>
          <w:bCs w:val="1"/>
          <w:color w:val="auto"/>
        </w:rPr>
        <w:t>Mandeep Chawla — Chief Financial Officer</w:t>
      </w:r>
    </w:p>
    <w:p>
      <w:pPr>
        <w:spacing w:after="0" w:line="54" w:lineRule="exact"/>
        <w:rPr>
          <w:sz w:val="20"/>
          <w:szCs w:val="20"/>
          <w:color w:val="auto"/>
        </w:rPr>
      </w:pPr>
    </w:p>
    <w:p>
      <w:pPr>
        <w:jc w:val="both"/>
        <w:ind w:left="2880" w:right="1579"/>
        <w:spacing w:after="0" w:line="260" w:lineRule="auto"/>
        <w:rPr>
          <w:sz w:val="20"/>
          <w:szCs w:val="20"/>
          <w:color w:val="auto"/>
        </w:rPr>
      </w:pPr>
      <w:r>
        <w:rPr>
          <w:rFonts w:ascii="Arial" w:cs="Arial" w:eastAsia="Arial" w:hAnsi="Arial"/>
          <w:sz w:val="13"/>
          <w:szCs w:val="13"/>
          <w:color w:val="auto"/>
        </w:rPr>
        <w:t>Mr. Chawla is responsible for the planning and management of short and long-term financial performance and reporting activities. He assists the CEO in setting the strategic direction and financial goals of the Corporation, and manages overall capital allocation activities in order to maximize shareholder value. He provides oversight on risk management and governance matters, and leads the communication and relationship management activities with key financial stakeholders.</w:t>
      </w:r>
    </w:p>
    <w:p>
      <w:pPr>
        <w:spacing w:after="0" w:line="41" w:lineRule="exact"/>
        <w:rPr>
          <w:sz w:val="20"/>
          <w:szCs w:val="20"/>
          <w:color w:val="auto"/>
        </w:rPr>
      </w:pPr>
    </w:p>
    <w:p>
      <w:pPr>
        <w:jc w:val="both"/>
        <w:ind w:left="1560" w:right="1579"/>
        <w:spacing w:after="0" w:line="263" w:lineRule="auto"/>
        <w:rPr>
          <w:sz w:val="20"/>
          <w:szCs w:val="20"/>
          <w:color w:val="auto"/>
        </w:rPr>
      </w:pPr>
      <w:r>
        <w:rPr>
          <w:rFonts w:ascii="Arial" w:cs="Arial" w:eastAsia="Arial" w:hAnsi="Arial"/>
          <w:sz w:val="13"/>
          <w:szCs w:val="13"/>
          <w:color w:val="auto"/>
        </w:rPr>
        <w:t>Mr. Chawla joined Celestica in 2010 and held progressively senior roles in the Corporation before assuming the role of CFO in 2017. Prior to joining Celestica, he held senior financial management roles with MDS Inc., Tyco International, and General Electric. Mr. Chawla was appointed to the Board of Directors of Sleep Country Canada Holdings Inc., a TSX-listed mattress and bedding retailer, effective August 20, 2020.</w:t>
      </w:r>
    </w:p>
    <w:p>
      <w:pPr>
        <w:spacing w:after="0" w:line="17" w:lineRule="exact"/>
        <w:rPr>
          <w:sz w:val="20"/>
          <w:szCs w:val="20"/>
          <w:color w:val="auto"/>
        </w:rPr>
      </w:pPr>
    </w:p>
    <w:p>
      <w:pPr>
        <w:jc w:val="both"/>
        <w:ind w:left="1560" w:right="1579"/>
        <w:spacing w:after="0" w:line="285" w:lineRule="auto"/>
        <w:rPr>
          <w:sz w:val="20"/>
          <w:szCs w:val="20"/>
          <w:color w:val="auto"/>
        </w:rPr>
      </w:pPr>
      <w:r>
        <w:rPr>
          <w:rFonts w:ascii="Arial" w:cs="Arial" w:eastAsia="Arial" w:hAnsi="Arial"/>
          <w:sz w:val="13"/>
          <w:szCs w:val="13"/>
          <w:color w:val="auto"/>
        </w:rPr>
        <w:t>Mr. Chawla holds a Master of Finance degree from Queen’s University and a Bachelor of Commerce degree from McMaster University. He is a CPA, CMA.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935355</wp:posOffset>
            </wp:positionH>
            <wp:positionV relativeFrom="paragraph">
              <wp:posOffset>67945</wp:posOffset>
            </wp:positionV>
            <wp:extent cx="3856355" cy="1435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856355" cy="1435100"/>
                    </a:xfrm>
                    <a:prstGeom prst="rect">
                      <a:avLst/>
                    </a:prstGeom>
                    <a:noFill/>
                  </pic:spPr>
                </pic:pic>
              </a:graphicData>
            </a:graphic>
          </wp:anchor>
        </w:drawing>
      </w:r>
    </w:p>
    <w:p>
      <w:pPr>
        <w:spacing w:after="0" w:line="218" w:lineRule="exact"/>
        <w:rPr>
          <w:sz w:val="20"/>
          <w:szCs w:val="20"/>
          <w:color w:val="auto"/>
        </w:rPr>
      </w:pPr>
    </w:p>
    <w:p>
      <w:pPr>
        <w:ind w:left="2860"/>
        <w:spacing w:after="0"/>
        <w:rPr>
          <w:sz w:val="20"/>
          <w:szCs w:val="20"/>
          <w:color w:val="auto"/>
        </w:rPr>
      </w:pPr>
      <w:r>
        <w:rPr>
          <w:rFonts w:ascii="Arial" w:cs="Arial" w:eastAsia="Arial" w:hAnsi="Arial"/>
          <w:sz w:val="13"/>
          <w:szCs w:val="13"/>
          <w:b w:val="1"/>
          <w:bCs w:val="1"/>
          <w:color w:val="auto"/>
        </w:rPr>
        <w:t xml:space="preserve">Jason Phillips — President, Connectivity &amp; Cloud Solutions </w:t>
      </w:r>
      <w:r>
        <w:rPr>
          <w:rFonts w:ascii="Arial" w:cs="Arial" w:eastAsia="Arial" w:hAnsi="Arial"/>
          <w:sz w:val="13"/>
          <w:szCs w:val="13"/>
          <w:color w:val="auto"/>
        </w:rPr>
        <w:t>(“</w:t>
      </w:r>
      <w:r>
        <w:rPr>
          <w:rFonts w:ascii="Arial" w:cs="Arial" w:eastAsia="Arial" w:hAnsi="Arial"/>
          <w:sz w:val="13"/>
          <w:szCs w:val="13"/>
          <w:b w:val="1"/>
          <w:bCs w:val="1"/>
          <w:color w:val="auto"/>
        </w:rPr>
        <w:t>CCS</w:t>
      </w:r>
      <w:r>
        <w:rPr>
          <w:rFonts w:ascii="Arial" w:cs="Arial" w:eastAsia="Arial" w:hAnsi="Arial"/>
          <w:sz w:val="13"/>
          <w:szCs w:val="13"/>
          <w:color w:val="auto"/>
        </w:rPr>
        <w:t>”)</w:t>
      </w:r>
    </w:p>
    <w:p>
      <w:pPr>
        <w:spacing w:after="0" w:line="54" w:lineRule="exact"/>
        <w:rPr>
          <w:sz w:val="20"/>
          <w:szCs w:val="20"/>
          <w:color w:val="auto"/>
        </w:rPr>
      </w:pPr>
    </w:p>
    <w:p>
      <w:pPr>
        <w:jc w:val="both"/>
        <w:ind w:left="2860" w:right="1599"/>
        <w:spacing w:after="0" w:line="270" w:lineRule="auto"/>
        <w:rPr>
          <w:sz w:val="20"/>
          <w:szCs w:val="20"/>
          <w:color w:val="auto"/>
        </w:rPr>
      </w:pPr>
      <w:r>
        <w:rPr>
          <w:rFonts w:ascii="Arial" w:cs="Arial" w:eastAsia="Arial" w:hAnsi="Arial"/>
          <w:sz w:val="13"/>
          <w:szCs w:val="13"/>
          <w:color w:val="auto"/>
        </w:rPr>
        <w:t>Mr. Phillips is responsible for strategy and technology development, deployment and execution for Celestica’s enterprise and communications businesses, including HPS.</w:t>
      </w:r>
    </w:p>
    <w:p>
      <w:pPr>
        <w:spacing w:after="0" w:line="13" w:lineRule="exact"/>
        <w:rPr>
          <w:sz w:val="20"/>
          <w:szCs w:val="20"/>
          <w:color w:val="auto"/>
        </w:rPr>
      </w:pPr>
    </w:p>
    <w:p>
      <w:pPr>
        <w:jc w:val="both"/>
        <w:ind w:left="2860" w:right="1579"/>
        <w:spacing w:after="0" w:line="263" w:lineRule="auto"/>
        <w:rPr>
          <w:sz w:val="20"/>
          <w:szCs w:val="20"/>
          <w:color w:val="auto"/>
        </w:rPr>
      </w:pPr>
      <w:r>
        <w:rPr>
          <w:rFonts w:ascii="Arial" w:cs="Arial" w:eastAsia="Arial" w:hAnsi="Arial"/>
          <w:sz w:val="13"/>
          <w:szCs w:val="13"/>
          <w:color w:val="auto"/>
        </w:rPr>
        <w:t>Mr. Phillips joined Celestica in 2008 and held progressively senior roles within the Corporation’s CCS business, most recently as Senior Vice President, Enterprise and Cloud Solutions. Prior to joining Celestica, he held the role of Vice President and</w:t>
      </w:r>
    </w:p>
    <w:p>
      <w:pPr>
        <w:spacing w:after="0" w:line="2" w:lineRule="exact"/>
        <w:rPr>
          <w:sz w:val="20"/>
          <w:szCs w:val="20"/>
          <w:color w:val="auto"/>
        </w:rPr>
      </w:pPr>
    </w:p>
    <w:p>
      <w:pPr>
        <w:ind w:left="1560" w:right="1599"/>
        <w:spacing w:after="0" w:line="285" w:lineRule="auto"/>
        <w:rPr>
          <w:sz w:val="20"/>
          <w:szCs w:val="20"/>
          <w:color w:val="auto"/>
        </w:rPr>
      </w:pPr>
      <w:r>
        <w:rPr>
          <w:rFonts w:ascii="Arial" w:cs="Arial" w:eastAsia="Arial" w:hAnsi="Arial"/>
          <w:sz w:val="13"/>
          <w:szCs w:val="13"/>
          <w:color w:val="auto"/>
        </w:rPr>
        <w:t>General Manager, Personal Communications at Elcoteq, and spent five years at Solectron in senior roles spanning sales, global account management, business unit leadership, and operations.</w:t>
      </w:r>
    </w:p>
    <w:p>
      <w:pPr>
        <w:spacing w:after="0" w:line="3" w:lineRule="exact"/>
        <w:rPr>
          <w:sz w:val="20"/>
          <w:szCs w:val="20"/>
          <w:color w:val="auto"/>
        </w:rPr>
      </w:pPr>
    </w:p>
    <w:p>
      <w:pPr>
        <w:ind w:left="1560" w:right="1599"/>
        <w:spacing w:after="0" w:line="285" w:lineRule="auto"/>
        <w:rPr>
          <w:sz w:val="20"/>
          <w:szCs w:val="20"/>
          <w:color w:val="auto"/>
        </w:rPr>
      </w:pPr>
      <w:r>
        <w:rPr>
          <w:rFonts w:ascii="Arial" w:cs="Arial" w:eastAsia="Arial" w:hAnsi="Arial"/>
          <w:sz w:val="13"/>
          <w:szCs w:val="13"/>
          <w:color w:val="auto"/>
        </w:rPr>
        <w:t>Mr. Phillips holds a Bachelor of Science in Business Administration from the University of North Carolina, Chapel Hill.</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201295</wp:posOffset>
            </wp:positionV>
            <wp:extent cx="5019040" cy="127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9" w:name="page50"/>
    <w:bookmarkEnd w:id="49"/>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935355</wp:posOffset>
            </wp:positionH>
            <wp:positionV relativeFrom="paragraph">
              <wp:posOffset>375285</wp:posOffset>
            </wp:positionV>
            <wp:extent cx="3850005" cy="14097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850005" cy="1409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840"/>
        <w:spacing w:after="0"/>
        <w:rPr>
          <w:sz w:val="20"/>
          <w:szCs w:val="20"/>
          <w:color w:val="auto"/>
        </w:rPr>
      </w:pPr>
      <w:r>
        <w:rPr>
          <w:rFonts w:ascii="Arial" w:cs="Arial" w:eastAsia="Arial" w:hAnsi="Arial"/>
          <w:sz w:val="12"/>
          <w:szCs w:val="12"/>
          <w:b w:val="1"/>
          <w:bCs w:val="1"/>
          <w:color w:val="auto"/>
        </w:rPr>
        <w:t>John “Jack” J. Lawless — President, Advanced Technology Solutions (“ATS”)</w:t>
      </w:r>
    </w:p>
    <w:p>
      <w:pPr>
        <w:spacing w:after="0" w:line="65" w:lineRule="exact"/>
        <w:rPr>
          <w:sz w:val="20"/>
          <w:szCs w:val="20"/>
          <w:color w:val="auto"/>
        </w:rPr>
      </w:pPr>
    </w:p>
    <w:p>
      <w:pPr>
        <w:jc w:val="both"/>
        <w:ind w:left="2840" w:right="1599"/>
        <w:spacing w:after="0" w:line="270" w:lineRule="auto"/>
        <w:rPr>
          <w:sz w:val="20"/>
          <w:szCs w:val="20"/>
          <w:color w:val="auto"/>
        </w:rPr>
      </w:pPr>
      <w:r>
        <w:rPr>
          <w:rFonts w:ascii="Arial" w:cs="Arial" w:eastAsia="Arial" w:hAnsi="Arial"/>
          <w:sz w:val="13"/>
          <w:szCs w:val="13"/>
          <w:color w:val="auto"/>
        </w:rPr>
        <w:t>Mr. Lawless is responsible for strategy development, deployment and execution of Celestica’s Aerospace and Defense (“</w:t>
      </w:r>
      <w:r>
        <w:rPr>
          <w:rFonts w:ascii="Arial" w:cs="Arial" w:eastAsia="Arial" w:hAnsi="Arial"/>
          <w:sz w:val="13"/>
          <w:szCs w:val="13"/>
          <w:b w:val="1"/>
          <w:bCs w:val="1"/>
          <w:color w:val="auto"/>
        </w:rPr>
        <w:t>A&amp;D</w:t>
      </w:r>
      <w:r>
        <w:rPr>
          <w:rFonts w:ascii="Arial" w:cs="Arial" w:eastAsia="Arial" w:hAnsi="Arial"/>
          <w:sz w:val="13"/>
          <w:szCs w:val="13"/>
          <w:color w:val="auto"/>
        </w:rPr>
        <w:t>”), Industrial, HealthTech, Energy and Capital Equipment businesses.</w:t>
      </w:r>
    </w:p>
    <w:p>
      <w:pPr>
        <w:spacing w:after="0" w:line="13" w:lineRule="exact"/>
        <w:rPr>
          <w:sz w:val="20"/>
          <w:szCs w:val="20"/>
          <w:color w:val="auto"/>
        </w:rPr>
      </w:pPr>
    </w:p>
    <w:p>
      <w:pPr>
        <w:jc w:val="both"/>
        <w:ind w:left="2840" w:right="1599"/>
        <w:spacing w:after="0" w:line="261" w:lineRule="auto"/>
        <w:rPr>
          <w:sz w:val="20"/>
          <w:szCs w:val="20"/>
          <w:color w:val="auto"/>
        </w:rPr>
      </w:pPr>
      <w:r>
        <w:rPr>
          <w:rFonts w:ascii="Arial" w:cs="Arial" w:eastAsia="Arial" w:hAnsi="Arial"/>
          <w:sz w:val="13"/>
          <w:szCs w:val="13"/>
          <w:color w:val="auto"/>
        </w:rPr>
        <w:t>Prior to joining Celestica, Mr. Lawless was the CEO of Associated Air Center, a subsidiary of StandardAero, where he was responsible for strategy, sales, marketing,</w:t>
      </w:r>
    </w:p>
    <w:p>
      <w:pPr>
        <w:jc w:val="both"/>
        <w:ind w:left="1580" w:right="1579"/>
        <w:spacing w:after="0" w:line="263" w:lineRule="auto"/>
        <w:rPr>
          <w:sz w:val="20"/>
          <w:szCs w:val="20"/>
          <w:color w:val="auto"/>
        </w:rPr>
      </w:pPr>
      <w:r>
        <w:rPr>
          <w:rFonts w:ascii="Arial" w:cs="Arial" w:eastAsia="Arial" w:hAnsi="Arial"/>
          <w:sz w:val="13"/>
          <w:szCs w:val="13"/>
          <w:color w:val="auto"/>
        </w:rPr>
        <w:t>human resources, information technology and operations. At the same time, he held the role of Chief Operating Officer of StandardAero. Prior to StandardAero, Mr. Lawless held a number of Vice President-level roles with Honeywell. Before joining Honeywell, he held progressively senior positions with companies in the aerospace, industrial and semiconductor markets, including Axcelis Technologies, General Cable and AlliedSignal.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935355</wp:posOffset>
            </wp:positionH>
            <wp:positionV relativeFrom="paragraph">
              <wp:posOffset>76200</wp:posOffset>
            </wp:positionV>
            <wp:extent cx="3850005" cy="18459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850005" cy="1845945"/>
                    </a:xfrm>
                    <a:prstGeom prst="rect">
                      <a:avLst/>
                    </a:prstGeom>
                    <a:noFill/>
                  </pic:spPr>
                </pic:pic>
              </a:graphicData>
            </a:graphic>
          </wp:anchor>
        </w:drawing>
      </w:r>
    </w:p>
    <w:p>
      <w:pPr>
        <w:spacing w:after="0" w:line="232" w:lineRule="exact"/>
        <w:rPr>
          <w:sz w:val="20"/>
          <w:szCs w:val="20"/>
          <w:color w:val="auto"/>
        </w:rPr>
      </w:pPr>
    </w:p>
    <w:p>
      <w:pPr>
        <w:ind w:left="2840"/>
        <w:spacing w:after="0"/>
        <w:rPr>
          <w:sz w:val="20"/>
          <w:szCs w:val="20"/>
          <w:color w:val="auto"/>
        </w:rPr>
      </w:pPr>
      <w:r>
        <w:rPr>
          <w:rFonts w:ascii="Arial" w:cs="Arial" w:eastAsia="Arial" w:hAnsi="Arial"/>
          <w:sz w:val="13"/>
          <w:szCs w:val="13"/>
          <w:b w:val="1"/>
          <w:bCs w:val="1"/>
          <w:color w:val="auto"/>
        </w:rPr>
        <w:t>Todd C. Cooper — Chief Operations Officer</w:t>
      </w:r>
    </w:p>
    <w:p>
      <w:pPr>
        <w:spacing w:after="0" w:line="54" w:lineRule="exact"/>
        <w:rPr>
          <w:sz w:val="20"/>
          <w:szCs w:val="20"/>
          <w:color w:val="auto"/>
        </w:rPr>
      </w:pPr>
    </w:p>
    <w:p>
      <w:pPr>
        <w:jc w:val="both"/>
        <w:ind w:left="2840" w:right="1579"/>
        <w:spacing w:after="0" w:line="263" w:lineRule="auto"/>
        <w:rPr>
          <w:sz w:val="20"/>
          <w:szCs w:val="20"/>
          <w:color w:val="auto"/>
        </w:rPr>
      </w:pPr>
      <w:r>
        <w:rPr>
          <w:rFonts w:ascii="Arial" w:cs="Arial" w:eastAsia="Arial" w:hAnsi="Arial"/>
          <w:sz w:val="13"/>
          <w:szCs w:val="13"/>
          <w:color w:val="auto"/>
        </w:rPr>
        <w:t>Mr. Cooper is responsible for driving operational and supply chain excellence, quality and technology innovation throughout the Corporation, as well as for the enablement of processes that drive value creation. As part of his role, he leads the operations, supply chain, quality, global business services and information technology teams.</w:t>
      </w:r>
    </w:p>
    <w:p>
      <w:pPr>
        <w:spacing w:after="0" w:line="37" w:lineRule="exact"/>
        <w:rPr>
          <w:sz w:val="20"/>
          <w:szCs w:val="20"/>
          <w:color w:val="auto"/>
        </w:rPr>
      </w:pPr>
    </w:p>
    <w:p>
      <w:pPr>
        <w:jc w:val="both"/>
        <w:ind w:left="1580" w:right="1579"/>
        <w:spacing w:after="0" w:line="260" w:lineRule="auto"/>
        <w:rPr>
          <w:sz w:val="20"/>
          <w:szCs w:val="20"/>
          <w:color w:val="auto"/>
        </w:rPr>
      </w:pPr>
      <w:r>
        <w:rPr>
          <w:rFonts w:ascii="Arial" w:cs="Arial" w:eastAsia="Arial" w:hAnsi="Arial"/>
          <w:sz w:val="13"/>
          <w:szCs w:val="13"/>
          <w:color w:val="auto"/>
        </w:rPr>
        <w:t>Mr. Cooper has over 25 years’ experience in operations leadership and advisory roles, including considerable experience in developing and implementing operational strategies to drive large-scale improvements for global organizations. Prior to joining Celestica, Mr. Cooper led supply chain, procurement, logistics, and sustainability value creation efforts at KKR, a global investment firm. Prior to that, he was the Vice President of Global Sourcing in Honeywell’s Aerospace Division. He previously held various management roles at Storage Technology Corporation, McKinsey &amp; Company, and served as a Captain in the U.S. Army.</w:t>
      </w:r>
    </w:p>
    <w:p>
      <w:pPr>
        <w:spacing w:after="0" w:line="21" w:lineRule="exact"/>
        <w:rPr>
          <w:sz w:val="20"/>
          <w:szCs w:val="20"/>
          <w:color w:val="auto"/>
        </w:rPr>
      </w:pPr>
    </w:p>
    <w:p>
      <w:pPr>
        <w:jc w:val="both"/>
        <w:ind w:left="1580" w:right="1599"/>
        <w:spacing w:after="0" w:line="270" w:lineRule="auto"/>
        <w:rPr>
          <w:sz w:val="20"/>
          <w:szCs w:val="20"/>
          <w:color w:val="auto"/>
        </w:rPr>
      </w:pPr>
      <w:r>
        <w:rPr>
          <w:rFonts w:ascii="Arial" w:cs="Arial" w:eastAsia="Arial" w:hAnsi="Arial"/>
          <w:sz w:val="13"/>
          <w:szCs w:val="13"/>
          <w:color w:val="auto"/>
        </w:rPr>
        <w:t>He holds a Bachelor of Science in Engineering from the U.S. Military Academy at West Point, a Master of Science in Mechanical Engineering from the Massachusetts Institute of Technology and an MBA from the MIT Sloan School of Management.</w:t>
      </w:r>
    </w:p>
    <w:p>
      <w:pPr>
        <w:spacing w:after="0" w:line="143" w:lineRule="exact"/>
        <w:rPr>
          <w:sz w:val="20"/>
          <w:szCs w:val="20"/>
          <w:color w:val="auto"/>
        </w:rPr>
      </w:pPr>
    </w:p>
    <w:p>
      <w:pPr>
        <w:jc w:val="both"/>
        <w:ind w:left="1480" w:right="1499"/>
        <w:spacing w:after="0" w:line="285" w:lineRule="auto"/>
        <w:rPr>
          <w:sz w:val="20"/>
          <w:szCs w:val="20"/>
          <w:color w:val="auto"/>
        </w:rPr>
      </w:pPr>
      <w:r>
        <w:rPr>
          <w:rFonts w:ascii="Arial" w:cs="Arial" w:eastAsia="Arial" w:hAnsi="Arial"/>
          <w:sz w:val="13"/>
          <w:szCs w:val="13"/>
          <w:color w:val="auto"/>
        </w:rPr>
        <w:t xml:space="preserve">A description and explanation of the significant elements of compensation awarded to the foregoing NEOs during 2020 is set forth below under </w:t>
      </w:r>
      <w:r>
        <w:rPr>
          <w:rFonts w:ascii="Arial" w:cs="Arial" w:eastAsia="Arial" w:hAnsi="Arial"/>
          <w:sz w:val="13"/>
          <w:szCs w:val="13"/>
          <w:i w:val="1"/>
          <w:iCs w:val="1"/>
          <w:color w:val="auto"/>
        </w:rPr>
        <w:t>2020 Compensation Decisions</w:t>
      </w:r>
      <w:r>
        <w:rPr>
          <w:rFonts w:ascii="Arial" w:cs="Arial" w:eastAsia="Arial" w:hAnsi="Arial"/>
          <w:sz w:val="13"/>
          <w:szCs w:val="13"/>
          <w:color w:val="auto"/>
        </w:rPr>
        <w:t>.</w:t>
      </w:r>
    </w:p>
    <w:p>
      <w:pPr>
        <w:spacing w:after="0" w:line="127"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Note Regarding Non-IFRS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38100</wp:posOffset>
            </wp:positionV>
            <wp:extent cx="3843655" cy="6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843655" cy="635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50800</wp:posOffset>
            </wp:positionV>
            <wp:extent cx="3843655" cy="63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210" w:lineRule="exact"/>
        <w:rPr>
          <w:sz w:val="20"/>
          <w:szCs w:val="20"/>
          <w:color w:val="auto"/>
        </w:rPr>
      </w:pPr>
    </w:p>
    <w:p>
      <w:pPr>
        <w:jc w:val="both"/>
        <w:ind w:left="1480" w:right="1499"/>
        <w:spacing w:after="0" w:line="303" w:lineRule="auto"/>
        <w:rPr>
          <w:sz w:val="20"/>
          <w:szCs w:val="20"/>
          <w:color w:val="auto"/>
        </w:rPr>
      </w:pPr>
      <w:r>
        <w:rPr>
          <w:rFonts w:ascii="Arial" w:cs="Arial" w:eastAsia="Arial" w:hAnsi="Arial"/>
          <w:sz w:val="12"/>
          <w:szCs w:val="12"/>
          <w:color w:val="auto"/>
        </w:rPr>
        <w:t>This Compensation Discussion and Analysis contains references to operating margin, adjusted ROIC, free cash flow and adjusted EPS, each of which is a non-International Financial Reporting Standards (“</w:t>
      </w:r>
      <w:r>
        <w:rPr>
          <w:rFonts w:ascii="Arial" w:cs="Arial" w:eastAsia="Arial" w:hAnsi="Arial"/>
          <w:sz w:val="12"/>
          <w:szCs w:val="12"/>
          <w:b w:val="1"/>
          <w:bCs w:val="1"/>
          <w:color w:val="auto"/>
        </w:rPr>
        <w:t>non</w:t>
      </w:r>
      <w:r>
        <w:rPr>
          <w:rFonts w:ascii="Arial" w:cs="Arial" w:eastAsia="Arial" w:hAnsi="Arial"/>
          <w:sz w:val="12"/>
          <w:szCs w:val="12"/>
          <w:color w:val="auto"/>
        </w:rPr>
        <w:t>-</w:t>
      </w:r>
      <w:r>
        <w:rPr>
          <w:rFonts w:ascii="Arial" w:cs="Arial" w:eastAsia="Arial" w:hAnsi="Arial"/>
          <w:sz w:val="12"/>
          <w:szCs w:val="12"/>
          <w:b w:val="1"/>
          <w:bCs w:val="1"/>
          <w:color w:val="auto"/>
        </w:rPr>
        <w:t>IFRS</w:t>
      </w:r>
      <w:r>
        <w:rPr>
          <w:rFonts w:ascii="Arial" w:cs="Arial" w:eastAsia="Arial" w:hAnsi="Arial"/>
          <w:sz w:val="12"/>
          <w:szCs w:val="12"/>
          <w:color w:val="auto"/>
        </w:rPr>
        <w:t>”) financial measure. With respect to all references to these measures, please note the following:</w:t>
      </w:r>
    </w:p>
    <w:p>
      <w:pPr>
        <w:spacing w:after="0" w:line="35" w:lineRule="exact"/>
        <w:rPr>
          <w:sz w:val="20"/>
          <w:szCs w:val="20"/>
          <w:color w:val="auto"/>
        </w:rPr>
      </w:pPr>
    </w:p>
    <w:p>
      <w:pPr>
        <w:jc w:val="both"/>
        <w:ind w:left="1880" w:right="1499" w:hanging="137"/>
        <w:spacing w:after="0" w:line="263" w:lineRule="auto"/>
        <w:tabs>
          <w:tab w:leader="none" w:pos="18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Non-IFRS operating margin is defined as non-IFRS operating earnings divided by revenue. Non-IFRS operating earnings is defined as earnings (loss) before income taxes, Finance Costs (defined below), employee stock-based compensation expense, amortization of intangible assets (excluding computer software) and Other Charges (recoveries) (defined below).</w:t>
      </w:r>
    </w:p>
    <w:p>
      <w:pPr>
        <w:spacing w:after="0" w:line="1" w:lineRule="exact"/>
        <w:rPr>
          <w:rFonts w:ascii="Arial" w:cs="Arial" w:eastAsia="Arial" w:hAnsi="Arial"/>
          <w:sz w:val="13"/>
          <w:szCs w:val="13"/>
          <w:color w:val="auto"/>
        </w:rPr>
      </w:pPr>
    </w:p>
    <w:p>
      <w:pPr>
        <w:jc w:val="both"/>
        <w:ind w:left="1880" w:right="1499" w:hanging="137"/>
        <w:spacing w:after="0" w:line="265" w:lineRule="auto"/>
        <w:tabs>
          <w:tab w:leader="none" w:pos="18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Non-IFRS adjusted ROIC is determined by dividing non-IFRS operating earnings by average net invested capital which is defined as total assets less: cash, right-of-use assets, accounts payable, accrued and other current liabilities and provisions, and income taxes payable, using a five-point average to calculate average net invested capital for the year.</w:t>
      </w:r>
    </w:p>
    <w:p>
      <w:pPr>
        <w:spacing w:after="0" w:line="6" w:lineRule="exact"/>
        <w:rPr>
          <w:rFonts w:ascii="Arial" w:cs="Arial" w:eastAsia="Arial" w:hAnsi="Arial"/>
          <w:sz w:val="13"/>
          <w:szCs w:val="13"/>
          <w:color w:val="auto"/>
        </w:rPr>
      </w:pPr>
    </w:p>
    <w:p>
      <w:pPr>
        <w:jc w:val="both"/>
        <w:ind w:left="1880" w:right="1499" w:hanging="137"/>
        <w:spacing w:after="0" w:line="265" w:lineRule="auto"/>
        <w:tabs>
          <w:tab w:leader="none" w:pos="18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Non-IFRS free cash flow is defined as cash provided by (used in) operations after the purchase of property, plant and equipment (net of proceeds from the sale of certain surplus equipment and property), lease payments (including under IFRS 16), and Finance Costs paid (excluding any debt issuance costs and when applicable, waiver fees related to our credit facility paid).</w:t>
      </w:r>
    </w:p>
    <w:p>
      <w:pPr>
        <w:spacing w:after="0" w:line="6" w:lineRule="exact"/>
        <w:rPr>
          <w:rFonts w:ascii="Arial" w:cs="Arial" w:eastAsia="Arial" w:hAnsi="Arial"/>
          <w:sz w:val="13"/>
          <w:szCs w:val="13"/>
          <w:color w:val="auto"/>
        </w:rPr>
      </w:pPr>
    </w:p>
    <w:p>
      <w:pPr>
        <w:jc w:val="both"/>
        <w:ind w:left="1880" w:right="1499" w:hanging="137"/>
        <w:spacing w:after="0" w:line="265" w:lineRule="auto"/>
        <w:tabs>
          <w:tab w:leader="none" w:pos="18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Non-IFRS adjusted net earnings is defined as IFRS net earnings (loss) before employee stock based compensation expense, amortization of intangible assets (excluding computer software), Other Charges (recoveries), and adjustments for taxes (representing the tax effects of our non-IFRS adjustments and</w:t>
      </w: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0" w:name="page51"/>
    <w:bookmarkEnd w:id="50"/>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97" w:lineRule="exact"/>
        <w:rPr>
          <w:sz w:val="20"/>
          <w:szCs w:val="20"/>
          <w:color w:val="auto"/>
        </w:rPr>
      </w:pPr>
    </w:p>
    <w:p>
      <w:pPr>
        <w:jc w:val="both"/>
        <w:ind w:left="1880" w:right="1499"/>
        <w:spacing w:after="0" w:line="247" w:lineRule="auto"/>
        <w:rPr>
          <w:sz w:val="20"/>
          <w:szCs w:val="20"/>
          <w:color w:val="auto"/>
        </w:rPr>
      </w:pPr>
      <w:r>
        <w:rPr>
          <w:rFonts w:ascii="Arial" w:cs="Arial" w:eastAsia="Arial" w:hAnsi="Arial"/>
          <w:sz w:val="13"/>
          <w:szCs w:val="13"/>
          <w:color w:val="auto"/>
        </w:rPr>
        <w:t>non-core tax impacts (tax adjustments related to acquisitions, and certain other tax costs or recoveries related to restructuring actions or restructured sites)). Non-IFRS adjusted EPS is determined by dividing non-IFRS adjusted net earnings by the number of diluted weighted average shares outstanding.</w:t>
      </w:r>
    </w:p>
    <w:p>
      <w:pPr>
        <w:spacing w:after="0" w:line="2" w:lineRule="exact"/>
        <w:rPr>
          <w:sz w:val="20"/>
          <w:szCs w:val="20"/>
          <w:color w:val="auto"/>
        </w:rPr>
      </w:pPr>
    </w:p>
    <w:p>
      <w:pPr>
        <w:jc w:val="both"/>
        <w:ind w:left="1880" w:right="1499" w:hanging="137"/>
        <w:spacing w:after="0" w:line="263" w:lineRule="auto"/>
        <w:tabs>
          <w:tab w:leader="none" w:pos="18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Finance Costs consist of interest expense and fees related to the Corporation’s credit facility (including debt issuance and related amortization costs), our interest rate swap agreements, our accounts receivable sales program and customer supplier financing programs, and interest expense on our lease obligations, net of interest income earned.</w:t>
      </w:r>
    </w:p>
    <w:p>
      <w:pPr>
        <w:spacing w:after="0" w:line="1" w:lineRule="exact"/>
        <w:rPr>
          <w:rFonts w:ascii="Arial" w:cs="Arial" w:eastAsia="Arial" w:hAnsi="Arial"/>
          <w:sz w:val="13"/>
          <w:szCs w:val="13"/>
          <w:color w:val="auto"/>
        </w:rPr>
      </w:pPr>
    </w:p>
    <w:p>
      <w:pPr>
        <w:jc w:val="both"/>
        <w:ind w:left="1880" w:right="1499" w:hanging="137"/>
        <w:spacing w:after="0" w:line="259" w:lineRule="auto"/>
        <w:tabs>
          <w:tab w:leader="none" w:pos="18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Other Charges (recoveries) consist of restructuring charges, net of recoveries, transition costs (costs related to: the relocation of our Toronto manufacturing operations and the move of our corporate headquarters into and out of a temporary location; and manufacturing line transfers from closed sites); the gain on the sale of our Toronto real property (in 2019); net impairment charges; acquisition related consulting, transaction and integration costs, and (in 2019) indemnification asset remeasurement charges; legal settlements (recoveries); credit facility related charges (waiver fees incurred in 2019 in connection with specified covenant defaults under our credit facility (and related cross defaults)); and post-employment benefit plan losses incurred in 2019 related to changes in labor regulations in Thailand.</w:t>
      </w:r>
    </w:p>
    <w:p>
      <w:pPr>
        <w:spacing w:after="0" w:line="41" w:lineRule="exact"/>
        <w:rPr>
          <w:sz w:val="20"/>
          <w:szCs w:val="20"/>
          <w:color w:val="auto"/>
        </w:rPr>
      </w:pPr>
    </w:p>
    <w:p>
      <w:pPr>
        <w:jc w:val="both"/>
        <w:ind w:left="1480" w:right="1499"/>
        <w:spacing w:after="0" w:line="266" w:lineRule="auto"/>
        <w:rPr>
          <w:sz w:val="20"/>
          <w:szCs w:val="20"/>
          <w:color w:val="auto"/>
        </w:rPr>
      </w:pPr>
      <w:r>
        <w:rPr>
          <w:rFonts w:ascii="Arial" w:cs="Arial" w:eastAsia="Arial" w:hAnsi="Arial"/>
          <w:sz w:val="12"/>
          <w:szCs w:val="12"/>
          <w:color w:val="auto"/>
        </w:rPr>
        <w:t xml:space="preserve">See “Non-IFRS measures” in the Corporation’s Management’s Discussion and Analysis for the first three quarters of 2020 (available at </w:t>
      </w:r>
      <w:r>
        <w:rPr>
          <w:rFonts w:ascii="Arial" w:cs="Arial" w:eastAsia="Arial" w:hAnsi="Arial"/>
          <w:sz w:val="12"/>
          <w:szCs w:val="12"/>
          <w:u w:val="single" w:color="auto"/>
          <w:color w:val="auto"/>
        </w:rPr>
        <w:t>www.sedar.com</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www.sec.gov</w:t>
      </w:r>
      <w:r>
        <w:rPr>
          <w:rFonts w:ascii="Arial" w:cs="Arial" w:eastAsia="Arial" w:hAnsi="Arial"/>
          <w:sz w:val="12"/>
          <w:szCs w:val="12"/>
          <w:color w:val="auto"/>
        </w:rPr>
        <w:t xml:space="preserve">) and for the Corporation’s most recently completed financial year (available at </w:t>
      </w:r>
      <w:r>
        <w:rPr>
          <w:rFonts w:ascii="Arial" w:cs="Arial" w:eastAsia="Arial" w:hAnsi="Arial"/>
          <w:sz w:val="12"/>
          <w:szCs w:val="12"/>
          <w:u w:val="single" w:color="auto"/>
          <w:color w:val="auto"/>
        </w:rPr>
        <w:t>www.sedar.com</w:t>
      </w:r>
      <w:r>
        <w:rPr>
          <w:rFonts w:ascii="Arial" w:cs="Arial" w:eastAsia="Arial" w:hAnsi="Arial"/>
          <w:sz w:val="12"/>
          <w:szCs w:val="12"/>
          <w:color w:val="auto"/>
        </w:rPr>
        <w:t xml:space="preserve"> and in Item 5 of the Corporation’s Annual Report on Form 20-F for the year ended December 31, 2020 (available at </w:t>
      </w:r>
      <w:r>
        <w:rPr>
          <w:rFonts w:ascii="Arial" w:cs="Arial" w:eastAsia="Arial" w:hAnsi="Arial"/>
          <w:sz w:val="12"/>
          <w:szCs w:val="12"/>
          <w:u w:val="single" w:color="auto"/>
          <w:color w:val="auto"/>
        </w:rPr>
        <w:t>www.sec. gov</w:t>
      </w:r>
      <w:r>
        <w:rPr>
          <w:rFonts w:ascii="Arial" w:cs="Arial" w:eastAsia="Arial" w:hAnsi="Arial"/>
          <w:sz w:val="12"/>
          <w:szCs w:val="12"/>
          <w:color w:val="auto"/>
        </w:rPr>
        <w:t>)) for, among other things, a discussion of the exclusions used to determine these non-IFRS financial measures, how these non-IFRS financial measures are used, as well as a reconciliation of historical non-IFRS operating margin, non-IFRS adjusted ROIC, non -IFRS free cash flow and non-IFRS adjusted EPS to the most directly comparable IFRS financial measures. These non- IFRS financial measures do not have any standardized meanings prescribed by IFRS and therefore may not be comparable to similar measures presented by other companies.</w:t>
      </w:r>
    </w:p>
    <w:p>
      <w:pPr>
        <w:spacing w:after="0" w:line="121"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Compensation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38100</wp:posOffset>
            </wp:positionV>
            <wp:extent cx="3843655" cy="6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843655" cy="635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50800</wp:posOffset>
            </wp:positionV>
            <wp:extent cx="3843655" cy="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180" w:lineRule="exact"/>
        <w:rPr>
          <w:sz w:val="20"/>
          <w:szCs w:val="20"/>
          <w:color w:val="auto"/>
        </w:rPr>
      </w:pPr>
    </w:p>
    <w:p>
      <w:pPr>
        <w:jc w:val="both"/>
        <w:ind w:left="1480" w:right="1499"/>
        <w:spacing w:after="0" w:line="243" w:lineRule="auto"/>
        <w:rPr>
          <w:sz w:val="20"/>
          <w:szCs w:val="20"/>
          <w:color w:val="auto"/>
        </w:rPr>
      </w:pPr>
      <w:r>
        <w:rPr>
          <w:rFonts w:ascii="Arial" w:cs="Arial" w:eastAsia="Arial" w:hAnsi="Arial"/>
          <w:sz w:val="13"/>
          <w:szCs w:val="13"/>
          <w:color w:val="auto"/>
        </w:rPr>
        <w:t>The Corporation’s executive compensation philosophy is to attract, motivate and retain the leaders who drive the success of the Corporation. In light of this philosophy, we have designed our executive compensation programs and practices to pay for performance, adhere to the risk profile of the Corporation, align the interests of executives and shareholders, incentivize executives to work as a team to achieve our strategic objectives, ensure direct accountability for annual operating results and the Corporation’s long-term financial performance and to reflect both business strategy and market norms. The HRCC reviews compensation policies and practices regularly, considers related risks, and makes any adjustments it deems necessary to ensure our compensation policies are not reasonably likely to have a material adverse effect on the Corporation.</w:t>
      </w:r>
    </w:p>
    <w:p>
      <w:pPr>
        <w:spacing w:after="0" w:line="31" w:lineRule="exact"/>
        <w:rPr>
          <w:sz w:val="20"/>
          <w:szCs w:val="20"/>
          <w:color w:val="auto"/>
        </w:rPr>
      </w:pPr>
    </w:p>
    <w:p>
      <w:pPr>
        <w:jc w:val="both"/>
        <w:ind w:left="1480" w:right="1499"/>
        <w:spacing w:after="0" w:line="243" w:lineRule="auto"/>
        <w:rPr>
          <w:sz w:val="20"/>
          <w:szCs w:val="20"/>
          <w:color w:val="auto"/>
        </w:rPr>
      </w:pPr>
      <w:r>
        <w:rPr>
          <w:rFonts w:ascii="Arial" w:cs="Arial" w:eastAsia="Arial" w:hAnsi="Arial"/>
          <w:sz w:val="13"/>
          <w:szCs w:val="13"/>
          <w:color w:val="auto"/>
        </w:rPr>
        <w:t>A substantial portion of the compensation of our executives is linked to the Corporation’s performance. The HRCC establishes total target compensation and certain elements of compensation (base salary, short-term incentives and long-term incentives) with reference to the median compensation of the Comparator Group, and other factors including experience, internal pay equity, work location, tenure, and role. However, neither each element of compensation nor total compensation is expected to match the median of such Comparator Group exactly. The Comparator Group is primarily used for setting an anchor point by which to test the reasonableness of compensation. NEOs have the opportunity for higher compensation for performance that exceeds target performance goals, and will receive lower compensation for performance that is below target performance goals.</w:t>
      </w:r>
    </w:p>
    <w:p>
      <w:pPr>
        <w:spacing w:after="0" w:line="31"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The 2020 compensation package was designed to:</w:t>
      </w:r>
    </w:p>
    <w:p>
      <w:pPr>
        <w:spacing w:after="0" w:line="89" w:lineRule="exact"/>
        <w:rPr>
          <w:sz w:val="20"/>
          <w:szCs w:val="20"/>
          <w:color w:val="auto"/>
        </w:rPr>
      </w:pPr>
    </w:p>
    <w:p>
      <w:pPr>
        <w:ind w:left="1880" w:right="1499" w:hanging="137"/>
        <w:spacing w:after="0" w:line="279" w:lineRule="auto"/>
        <w:tabs>
          <w:tab w:leader="none" w:pos="18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ensure executives are compensated fairly and in a way that does not result in the Corporation incurring undue risk or encouraging executives to take inappropriate risks;</w:t>
      </w:r>
    </w:p>
    <w:p>
      <w:pPr>
        <w:ind w:left="1880" w:right="1499" w:hanging="137"/>
        <w:spacing w:after="0" w:line="271" w:lineRule="auto"/>
        <w:tabs>
          <w:tab w:leader="none" w:pos="18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provide competitive fixed compensation (</w:t>
      </w:r>
      <w:r>
        <w:rPr>
          <w:rFonts w:ascii="Arial" w:cs="Arial" w:eastAsia="Arial" w:hAnsi="Arial"/>
          <w:sz w:val="13"/>
          <w:szCs w:val="13"/>
          <w:i w:val="1"/>
          <w:iCs w:val="1"/>
          <w:color w:val="auto"/>
        </w:rPr>
        <w:t>i.e.</w:t>
      </w:r>
      <w:r>
        <w:rPr>
          <w:rFonts w:ascii="Arial" w:cs="Arial" w:eastAsia="Arial" w:hAnsi="Arial"/>
          <w:sz w:val="13"/>
          <w:szCs w:val="13"/>
          <w:color w:val="auto"/>
        </w:rPr>
        <w:t>, base salary and benefits), as well as a substantial amount of at-risk pay through our annual and equity-based incentive plans;</w:t>
      </w:r>
    </w:p>
    <w:p>
      <w:pPr>
        <w:jc w:val="both"/>
        <w:ind w:left="1880" w:right="1499" w:hanging="137"/>
        <w:spacing w:after="0" w:line="263" w:lineRule="auto"/>
        <w:tabs>
          <w:tab w:leader="none" w:pos="18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reward executives for: achieving short-term operational and financial results based on the Corporation’s Annual Operating Plan (“</w:t>
      </w:r>
      <w:r>
        <w:rPr>
          <w:rFonts w:ascii="Arial" w:cs="Arial" w:eastAsia="Arial" w:hAnsi="Arial"/>
          <w:sz w:val="13"/>
          <w:szCs w:val="13"/>
          <w:b w:val="1"/>
          <w:bCs w:val="1"/>
          <w:color w:val="auto"/>
        </w:rPr>
        <w:t>AOP</w:t>
      </w:r>
      <w:r>
        <w:rPr>
          <w:rFonts w:ascii="Arial" w:cs="Arial" w:eastAsia="Arial" w:hAnsi="Arial"/>
          <w:sz w:val="13"/>
          <w:szCs w:val="13"/>
          <w:color w:val="auto"/>
        </w:rPr>
        <w:t>”) (i.e., annual cash incentives); achieving long-term operational and financial results as well as superior share price performance relative to a group of technology hardware and equipment companies (i.e., PSUs); and sustained, long-term leadership (i.e. RSUs);</w:t>
      </w: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1" w:name="page52"/>
    <w:bookmarkEnd w:id="51"/>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97" w:lineRule="exact"/>
        <w:rPr>
          <w:sz w:val="20"/>
          <w:szCs w:val="20"/>
          <w:color w:val="auto"/>
        </w:rPr>
      </w:pPr>
    </w:p>
    <w:p>
      <w:pPr>
        <w:ind w:left="1880" w:hanging="137"/>
        <w:spacing w:after="0"/>
        <w:tabs>
          <w:tab w:leader="none" w:pos="18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align the interests of executives and shareholders through long-term equity-based compensation;</w:t>
      </w:r>
    </w:p>
    <w:p>
      <w:pPr>
        <w:spacing w:after="0" w:line="29" w:lineRule="exact"/>
        <w:rPr>
          <w:rFonts w:ascii="Arial" w:cs="Arial" w:eastAsia="Arial" w:hAnsi="Arial"/>
          <w:sz w:val="13"/>
          <w:szCs w:val="13"/>
          <w:color w:val="auto"/>
        </w:rPr>
      </w:pPr>
    </w:p>
    <w:p>
      <w:pPr>
        <w:ind w:left="1880" w:right="1499" w:hanging="137"/>
        <w:spacing w:after="0" w:line="279" w:lineRule="auto"/>
        <w:tabs>
          <w:tab w:leader="none" w:pos="18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recognize tenure and utilize a multi-year approach for setting and transitioning target compensation for executives who are new in their role;</w:t>
      </w:r>
    </w:p>
    <w:p>
      <w:pPr>
        <w:ind w:left="1880" w:right="1499" w:hanging="137"/>
        <w:spacing w:after="0" w:line="302" w:lineRule="auto"/>
        <w:tabs>
          <w:tab w:leader="none" w:pos="1880" w:val="left"/>
        </w:tabs>
        <w:numPr>
          <w:ilvl w:val="0"/>
          <w:numId w:val="76"/>
        </w:numPr>
        <w:rPr>
          <w:rFonts w:ascii="Arial" w:cs="Arial" w:eastAsia="Arial" w:hAnsi="Arial"/>
          <w:sz w:val="12"/>
          <w:szCs w:val="12"/>
          <w:color w:val="auto"/>
        </w:rPr>
      </w:pPr>
      <w:r>
        <w:rPr>
          <w:rFonts w:ascii="Arial" w:cs="Arial" w:eastAsia="Arial" w:hAnsi="Arial"/>
          <w:sz w:val="12"/>
          <w:szCs w:val="12"/>
          <w:color w:val="auto"/>
        </w:rPr>
        <w:t>reflect internal equity, recognize fair and appropriate compensation levels relative to differing roles and responsibilities, and encourage executives to work as a team to achieve corporate results; and</w:t>
      </w:r>
    </w:p>
    <w:p>
      <w:pPr>
        <w:spacing w:after="0" w:line="1" w:lineRule="exact"/>
        <w:rPr>
          <w:rFonts w:ascii="Arial" w:cs="Arial" w:eastAsia="Arial" w:hAnsi="Arial"/>
          <w:sz w:val="12"/>
          <w:szCs w:val="12"/>
          <w:color w:val="auto"/>
        </w:rPr>
      </w:pPr>
    </w:p>
    <w:p>
      <w:pPr>
        <w:ind w:left="1880" w:right="1499" w:hanging="137"/>
        <w:spacing w:after="0" w:line="285" w:lineRule="auto"/>
        <w:tabs>
          <w:tab w:leader="none" w:pos="18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ensure direct accountability for the annual operating results and the long-term financial performance of the Corporation.</w:t>
      </w:r>
    </w:p>
    <w:p>
      <w:pPr>
        <w:spacing w:after="0" w:line="127"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auto"/>
        </w:rPr>
        <w:t>Independent Advice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38100</wp:posOffset>
            </wp:positionV>
            <wp:extent cx="3502025" cy="63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502025" cy="6350"/>
                    </a:xfrm>
                    <a:prstGeom prst="rect">
                      <a:avLst/>
                    </a:prstGeom>
                    <a:noFill/>
                  </pic:spPr>
                </pic:pic>
              </a:graphicData>
            </a:graphic>
          </wp:anchor>
        </w:drawing>
      </w:r>
    </w:p>
    <w:p>
      <w:pPr>
        <w:spacing w:after="0" w:line="91" w:lineRule="exact"/>
        <w:rPr>
          <w:sz w:val="20"/>
          <w:szCs w:val="20"/>
          <w:color w:val="auto"/>
        </w:rPr>
      </w:pPr>
    </w:p>
    <w:p>
      <w:pPr>
        <w:jc w:val="both"/>
        <w:ind w:left="1480" w:right="1499"/>
        <w:spacing w:after="0" w:line="261" w:lineRule="auto"/>
        <w:rPr>
          <w:sz w:val="20"/>
          <w:szCs w:val="20"/>
          <w:color w:val="auto"/>
        </w:rPr>
      </w:pPr>
      <w:r>
        <w:rPr>
          <w:rFonts w:ascii="Arial" w:cs="Arial" w:eastAsia="Arial" w:hAnsi="Arial"/>
          <w:sz w:val="13"/>
          <w:szCs w:val="13"/>
          <w:color w:val="auto"/>
        </w:rPr>
        <w:t>The HRCC, which has the sole authority to retain and terminate an executive compensation consultant to the HRCC, has engaged Willis Towers Watson (the “</w:t>
      </w:r>
      <w:r>
        <w:rPr>
          <w:rFonts w:ascii="Arial" w:cs="Arial" w:eastAsia="Arial" w:hAnsi="Arial"/>
          <w:sz w:val="13"/>
          <w:szCs w:val="13"/>
          <w:b w:val="1"/>
          <w:bCs w:val="1"/>
          <w:color w:val="auto"/>
        </w:rPr>
        <w:t>Compensation Consultant</w:t>
      </w:r>
      <w:r>
        <w:rPr>
          <w:rFonts w:ascii="Arial" w:cs="Arial" w:eastAsia="Arial" w:hAnsi="Arial"/>
          <w:sz w:val="13"/>
          <w:szCs w:val="13"/>
          <w:color w:val="auto"/>
        </w:rPr>
        <w:t>”) since October 2006 as its independent compensation consultant to assist in identifying appropriate comparator companies against which to evaluate the Corporation’s compensation levels, to provide data about those companies, and to provide observations and advice with respect to the Corporation’s compensation practices versus those of the Comparator Group and the market in general.</w:t>
      </w:r>
    </w:p>
    <w:p>
      <w:pPr>
        <w:spacing w:after="0" w:line="30" w:lineRule="exact"/>
        <w:rPr>
          <w:sz w:val="20"/>
          <w:szCs w:val="20"/>
          <w:color w:val="auto"/>
        </w:rPr>
      </w:pPr>
    </w:p>
    <w:p>
      <w:pPr>
        <w:jc w:val="both"/>
        <w:ind w:left="1480" w:right="1499"/>
        <w:spacing w:after="0" w:line="260" w:lineRule="auto"/>
        <w:rPr>
          <w:sz w:val="20"/>
          <w:szCs w:val="20"/>
          <w:color w:val="auto"/>
        </w:rPr>
      </w:pPr>
      <w:r>
        <w:rPr>
          <w:rFonts w:ascii="Arial" w:cs="Arial" w:eastAsia="Arial" w:hAnsi="Arial"/>
          <w:sz w:val="13"/>
          <w:szCs w:val="13"/>
          <w:color w:val="auto"/>
        </w:rPr>
        <w:t xml:space="preserve">The Compensation Consultant also provides advice (upon request) to the HRCC on the policy recommendations prepared by management and keeps the HRCC apprised of market trends in executive compensation. The Compensation Consultant attended portions of all HRCC meetings held in 2020, in person, by telephone or virtually, as requested by the Chair of the HRCC. At each of its meetings, the HRCC held an </w:t>
      </w:r>
      <w:r>
        <w:rPr>
          <w:rFonts w:ascii="Arial" w:cs="Arial" w:eastAsia="Arial" w:hAnsi="Arial"/>
          <w:sz w:val="13"/>
          <w:szCs w:val="13"/>
          <w:i w:val="1"/>
          <w:iCs w:val="1"/>
          <w:color w:val="auto"/>
        </w:rPr>
        <w:t>in camera</w:t>
      </w:r>
      <w:r>
        <w:rPr>
          <w:rFonts w:ascii="Arial" w:cs="Arial" w:eastAsia="Arial" w:hAnsi="Arial"/>
          <w:sz w:val="13"/>
          <w:szCs w:val="13"/>
          <w:color w:val="auto"/>
        </w:rPr>
        <w:t xml:space="preserve"> session with the Compensation Consultant without any member of management being present. Decisions made by the HRCC, however, are the responsibility of the HRCC and may reflect factors and considerations supplementary to the information and advice provided by the Compensation Consultant.</w:t>
      </w:r>
    </w:p>
    <w:p>
      <w:pPr>
        <w:spacing w:after="0" w:line="38" w:lineRule="exact"/>
        <w:rPr>
          <w:sz w:val="20"/>
          <w:szCs w:val="20"/>
          <w:color w:val="auto"/>
        </w:rPr>
      </w:pPr>
    </w:p>
    <w:p>
      <w:pPr>
        <w:jc w:val="both"/>
        <w:ind w:left="1480" w:right="1499"/>
        <w:spacing w:after="0" w:line="257" w:lineRule="auto"/>
        <w:rPr>
          <w:sz w:val="20"/>
          <w:szCs w:val="20"/>
          <w:color w:val="auto"/>
        </w:rPr>
      </w:pPr>
      <w:r>
        <w:rPr>
          <w:rFonts w:ascii="Arial" w:cs="Arial" w:eastAsia="Arial" w:hAnsi="Arial"/>
          <w:sz w:val="13"/>
          <w:szCs w:val="13"/>
          <w:color w:val="auto"/>
        </w:rPr>
        <w:t>Each year, the HRCC reviews the scope of activities of the Compensation Consultant and, if it deems appropriate, approves the corresponding budget. During such review, the HRCC also considers the independence factors required to be considered by the NYSE prior to the selection or receipt of advice from a compensation consultant. After consideration of such independence factors and prior to engaging the Compensation Consultant in 2020, the HRCC determined that the Compensation Consultant was independent. The Compensation Consultant meets with the Chair of the HRCC and management at least annually to identify any initiatives requiring external support and agenda items for each HRCC meeting throughout the year. The Compensation Consultant reports directly to the Chair of the HRCC and is not engaged by management. The Compensation Consultant may, with the approval of the HRCC, assist management in reviewing and, where appropriate, developing and recommending compensation programs to align the Corporation’s practices with competitive practices. Any such service in excess of $25,000 provided by the Compensation Consultant relating to executive compensation must be pre-approved by the Chair of the HRCC. In addition, any non-executive compensation consulting service in excess of $25,000 must be submitted by management to the HRCC for pre-approval, and any services that will cause total non-executive compensation consulting fees to exceed $25,000 in aggregate in a calendar year must also be pre-approved by the HRCC.</w:t>
      </w:r>
    </w:p>
    <w:p>
      <w:pPr>
        <w:spacing w:after="0" w:line="37" w:lineRule="exact"/>
        <w:rPr>
          <w:sz w:val="20"/>
          <w:szCs w:val="20"/>
          <w:color w:val="auto"/>
        </w:rPr>
      </w:pPr>
    </w:p>
    <w:p>
      <w:pPr>
        <w:jc w:val="both"/>
        <w:ind w:left="1480" w:right="1499"/>
        <w:spacing w:after="0" w:line="239" w:lineRule="auto"/>
        <w:rPr>
          <w:sz w:val="20"/>
          <w:szCs w:val="20"/>
          <w:color w:val="auto"/>
        </w:rPr>
      </w:pPr>
      <w:r>
        <w:rPr>
          <w:rFonts w:ascii="Arial" w:cs="Arial" w:eastAsia="Arial" w:hAnsi="Arial"/>
          <w:sz w:val="13"/>
          <w:szCs w:val="13"/>
          <w:color w:val="auto"/>
        </w:rPr>
        <w:t>The following table sets out the fees paid by the Corporation to the Compensation Consultant in each of the past two years: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Table 10: Fees of the Compensation Consultant</w:t>
      </w:r>
    </w:p>
    <w:p>
      <w:pPr>
        <w:spacing w:after="0" w:line="13" w:lineRule="exact"/>
        <w:rPr>
          <w:sz w:val="20"/>
          <w:szCs w:val="20"/>
          <w:color w:val="auto"/>
        </w:rPr>
      </w:pPr>
    </w:p>
    <w:tbl>
      <w:tblPr>
        <w:tblLayout w:type="fixed"/>
        <w:tblInd w:w="1490" w:type="dxa"/>
        <w:tblCellMar>
          <w:top w:w="0" w:type="dxa"/>
          <w:left w:w="0" w:type="dxa"/>
          <w:bottom w:w="0" w:type="dxa"/>
          <w:right w:w="0" w:type="dxa"/>
        </w:tblCellMar>
      </w:tblPr>
      <w:tr>
        <w:trPr>
          <w:trHeight w:val="40"/>
        </w:trPr>
        <w:tc>
          <w:tcPr>
            <w:tcW w:w="4500" w:type="dxa"/>
            <w:vAlign w:val="bottom"/>
            <w:tcBorders>
              <w:top w:val="single" w:sz="8" w:color="auto"/>
              <w:bottom w:val="single" w:sz="8" w:color="auto"/>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74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r>
      <w:tr>
        <w:trPr>
          <w:trHeight w:val="147"/>
        </w:trPr>
        <w:tc>
          <w:tcPr>
            <w:tcW w:w="4500" w:type="dxa"/>
            <w:vAlign w:val="bottom"/>
            <w:tcBorders>
              <w:left w:val="single" w:sz="8" w:color="auto"/>
              <w:right w:val="single" w:sz="8" w:color="auto"/>
            </w:tcBorders>
          </w:tcPr>
          <w:p>
            <w:pPr>
              <w:spacing w:after="0"/>
              <w:rPr>
                <w:sz w:val="12"/>
                <w:szCs w:val="12"/>
                <w:color w:val="auto"/>
              </w:rPr>
            </w:pPr>
          </w:p>
        </w:tc>
        <w:tc>
          <w:tcPr>
            <w:tcW w:w="1520" w:type="dxa"/>
            <w:vAlign w:val="bottom"/>
            <w:tcBorders>
              <w:right w:val="single" w:sz="8" w:color="auto"/>
            </w:tcBorders>
            <w:gridSpan w:val="2"/>
          </w:tcPr>
          <w:p>
            <w:pPr>
              <w:ind w:left="500"/>
              <w:spacing w:after="0"/>
              <w:rPr>
                <w:sz w:val="20"/>
                <w:szCs w:val="20"/>
                <w:color w:val="auto"/>
              </w:rPr>
            </w:pPr>
            <w:r>
              <w:rPr>
                <w:rFonts w:ascii="Arial" w:cs="Arial" w:eastAsia="Arial" w:hAnsi="Arial"/>
                <w:sz w:val="11"/>
                <w:szCs w:val="11"/>
                <w:b w:val="1"/>
                <w:bCs w:val="1"/>
                <w:color w:val="auto"/>
              </w:rPr>
              <w:t>Year Ended</w:t>
            </w:r>
          </w:p>
        </w:tc>
        <w:tc>
          <w:tcPr>
            <w:tcW w:w="40" w:type="dxa"/>
            <w:vAlign w:val="bottom"/>
            <w:tcBorders>
              <w:right w:val="single" w:sz="8" w:color="auto"/>
            </w:tcBorders>
          </w:tcPr>
          <w:p>
            <w:pPr>
              <w:spacing w:after="0"/>
              <w:rPr>
                <w:sz w:val="12"/>
                <w:szCs w:val="12"/>
                <w:color w:val="auto"/>
              </w:rPr>
            </w:pPr>
          </w:p>
        </w:tc>
      </w:tr>
      <w:tr>
        <w:trPr>
          <w:trHeight w:val="147"/>
        </w:trPr>
        <w:tc>
          <w:tcPr>
            <w:tcW w:w="4500" w:type="dxa"/>
            <w:vAlign w:val="bottom"/>
            <w:tcBorders>
              <w:left w:val="single" w:sz="8" w:color="auto"/>
              <w:right w:val="single" w:sz="8" w:color="auto"/>
            </w:tcBorders>
          </w:tcPr>
          <w:p>
            <w:pPr>
              <w:spacing w:after="0"/>
              <w:rPr>
                <w:sz w:val="12"/>
                <w:szCs w:val="12"/>
                <w:color w:val="auto"/>
              </w:rPr>
            </w:pPr>
          </w:p>
        </w:tc>
        <w:tc>
          <w:tcPr>
            <w:tcW w:w="1520" w:type="dxa"/>
            <w:vAlign w:val="bottom"/>
            <w:tcBorders>
              <w:bottom w:val="single" w:sz="8" w:color="auto"/>
              <w:right w:val="single" w:sz="8" w:color="auto"/>
            </w:tcBorders>
            <w:gridSpan w:val="2"/>
          </w:tcPr>
          <w:p>
            <w:pPr>
              <w:ind w:left="480"/>
              <w:spacing w:after="0"/>
              <w:rPr>
                <w:sz w:val="20"/>
                <w:szCs w:val="20"/>
                <w:color w:val="auto"/>
              </w:rPr>
            </w:pPr>
            <w:r>
              <w:rPr>
                <w:rFonts w:ascii="Arial" w:cs="Arial" w:eastAsia="Arial" w:hAnsi="Arial"/>
                <w:sz w:val="11"/>
                <w:szCs w:val="11"/>
                <w:b w:val="1"/>
                <w:bCs w:val="1"/>
                <w:color w:val="auto"/>
              </w:rPr>
              <w:t>December 31</w:t>
            </w:r>
          </w:p>
        </w:tc>
        <w:tc>
          <w:tcPr>
            <w:tcW w:w="40" w:type="dxa"/>
            <w:vAlign w:val="bottom"/>
            <w:tcBorders>
              <w:right w:val="single" w:sz="8" w:color="auto"/>
            </w:tcBorders>
          </w:tcPr>
          <w:p>
            <w:pPr>
              <w:spacing w:after="0"/>
              <w:rPr>
                <w:sz w:val="12"/>
                <w:szCs w:val="12"/>
                <w:color w:val="auto"/>
              </w:rPr>
            </w:pPr>
          </w:p>
        </w:tc>
      </w:tr>
      <w:tr>
        <w:trPr>
          <w:trHeight w:val="179"/>
        </w:trPr>
        <w:tc>
          <w:tcPr>
            <w:tcW w:w="4500" w:type="dxa"/>
            <w:vAlign w:val="bottom"/>
            <w:tcBorders>
              <w:left w:val="single" w:sz="8" w:color="auto"/>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jc w:val="right"/>
              <w:ind w:right="242"/>
              <w:spacing w:after="0"/>
              <w:rPr>
                <w:sz w:val="20"/>
                <w:szCs w:val="20"/>
                <w:color w:val="auto"/>
              </w:rPr>
            </w:pPr>
            <w:r>
              <w:rPr>
                <w:rFonts w:ascii="Arial" w:cs="Arial" w:eastAsia="Arial" w:hAnsi="Arial"/>
                <w:sz w:val="11"/>
                <w:szCs w:val="11"/>
                <w:b w:val="1"/>
                <w:bCs w:val="1"/>
                <w:color w:val="auto"/>
              </w:rPr>
              <w:t>2020</w:t>
            </w:r>
          </w:p>
        </w:tc>
        <w:tc>
          <w:tcPr>
            <w:tcW w:w="740" w:type="dxa"/>
            <w:vAlign w:val="bottom"/>
            <w:tcBorders>
              <w:bottom w:val="single" w:sz="8" w:color="auto"/>
              <w:right w:val="single" w:sz="8" w:color="auto"/>
            </w:tcBorders>
          </w:tcPr>
          <w:p>
            <w:pPr>
              <w:jc w:val="right"/>
              <w:ind w:right="218"/>
              <w:spacing w:after="0"/>
              <w:rPr>
                <w:sz w:val="20"/>
                <w:szCs w:val="20"/>
                <w:color w:val="auto"/>
              </w:rPr>
            </w:pPr>
            <w:r>
              <w:rPr>
                <w:rFonts w:ascii="Arial" w:cs="Arial" w:eastAsia="Arial" w:hAnsi="Arial"/>
                <w:sz w:val="11"/>
                <w:szCs w:val="11"/>
                <w:b w:val="1"/>
                <w:bCs w:val="1"/>
                <w:color w:val="auto"/>
              </w:rPr>
              <w:t>2019</w:t>
            </w:r>
          </w:p>
        </w:tc>
        <w:tc>
          <w:tcPr>
            <w:tcW w:w="40" w:type="dxa"/>
            <w:vAlign w:val="bottom"/>
            <w:tcBorders>
              <w:right w:val="single" w:sz="8" w:color="auto"/>
            </w:tcBorders>
          </w:tcPr>
          <w:p>
            <w:pPr>
              <w:spacing w:after="0"/>
              <w:rPr>
                <w:sz w:val="15"/>
                <w:szCs w:val="15"/>
                <w:color w:val="auto"/>
              </w:rPr>
            </w:pPr>
          </w:p>
        </w:tc>
      </w:tr>
      <w:tr>
        <w:trPr>
          <w:trHeight w:val="228"/>
        </w:trPr>
        <w:tc>
          <w:tcPr>
            <w:tcW w:w="4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Executive Compensation-Related Fees</w:t>
            </w:r>
            <w:r>
              <w:rPr>
                <w:rFonts w:ascii="Arial" w:cs="Arial" w:eastAsia="Arial" w:hAnsi="Arial"/>
                <w:sz w:val="19"/>
                <w:szCs w:val="19"/>
                <w:color w:val="auto"/>
                <w:vertAlign w:val="superscript"/>
              </w:rPr>
              <w:t>(1)</w:t>
            </w:r>
          </w:p>
        </w:tc>
        <w:tc>
          <w:tcPr>
            <w:tcW w:w="780" w:type="dxa"/>
            <w:vAlign w:val="bottom"/>
            <w:tcBorders>
              <w:bottom w:val="single" w:sz="8" w:color="auto"/>
              <w:right w:val="single" w:sz="8" w:color="auto"/>
            </w:tcBorders>
          </w:tcPr>
          <w:p>
            <w:pPr>
              <w:jc w:val="right"/>
              <w:ind w:right="42"/>
              <w:spacing w:after="0"/>
              <w:rPr>
                <w:sz w:val="20"/>
                <w:szCs w:val="20"/>
                <w:color w:val="auto"/>
              </w:rPr>
            </w:pPr>
            <w:r>
              <w:rPr>
                <w:rFonts w:ascii="Arial" w:cs="Arial" w:eastAsia="Arial" w:hAnsi="Arial"/>
                <w:sz w:val="13"/>
                <w:szCs w:val="13"/>
                <w:color w:val="auto"/>
              </w:rPr>
              <w:t>C$299,264</w:t>
            </w:r>
          </w:p>
        </w:tc>
        <w:tc>
          <w:tcPr>
            <w:tcW w:w="7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C$262,059</w:t>
            </w:r>
          </w:p>
        </w:tc>
        <w:tc>
          <w:tcPr>
            <w:tcW w:w="40" w:type="dxa"/>
            <w:vAlign w:val="bottom"/>
            <w:tcBorders>
              <w:right w:val="single" w:sz="8" w:color="auto"/>
            </w:tcBorders>
          </w:tcPr>
          <w:p>
            <w:pPr>
              <w:spacing w:after="0"/>
              <w:rPr>
                <w:sz w:val="19"/>
                <w:szCs w:val="19"/>
                <w:color w:val="auto"/>
              </w:rPr>
            </w:pPr>
          </w:p>
        </w:tc>
      </w:tr>
      <w:tr>
        <w:trPr>
          <w:trHeight w:val="219"/>
        </w:trPr>
        <w:tc>
          <w:tcPr>
            <w:tcW w:w="4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All Other Fees</w:t>
            </w:r>
            <w:r>
              <w:rPr>
                <w:rFonts w:ascii="Arial" w:cs="Arial" w:eastAsia="Arial" w:hAnsi="Arial"/>
                <w:sz w:val="19"/>
                <w:szCs w:val="19"/>
                <w:color w:val="auto"/>
                <w:vertAlign w:val="superscript"/>
              </w:rPr>
              <w:t>(2)</w:t>
            </w:r>
          </w:p>
        </w:tc>
        <w:tc>
          <w:tcPr>
            <w:tcW w:w="780" w:type="dxa"/>
            <w:vAlign w:val="bottom"/>
            <w:tcBorders>
              <w:bottom w:val="single" w:sz="8" w:color="auto"/>
              <w:right w:val="single" w:sz="8" w:color="auto"/>
            </w:tcBorders>
          </w:tcPr>
          <w:p>
            <w:pPr>
              <w:jc w:val="right"/>
              <w:ind w:right="42"/>
              <w:spacing w:after="0"/>
              <w:rPr>
                <w:sz w:val="20"/>
                <w:szCs w:val="20"/>
                <w:color w:val="auto"/>
              </w:rPr>
            </w:pPr>
            <w:r>
              <w:rPr>
                <w:rFonts w:ascii="Arial" w:cs="Arial" w:eastAsia="Arial" w:hAnsi="Arial"/>
                <w:sz w:val="13"/>
                <w:szCs w:val="13"/>
                <w:color w:val="auto"/>
              </w:rPr>
              <w:t>C$11,626</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40" w:type="dxa"/>
            <w:vAlign w:val="bottom"/>
            <w:tcBorders>
              <w:right w:val="single" w:sz="8" w:color="auto"/>
            </w:tcBorders>
          </w:tcPr>
          <w:p>
            <w:pPr>
              <w:spacing w:after="0"/>
              <w:rPr>
                <w:sz w:val="19"/>
                <w:szCs w:val="19"/>
                <w:color w:val="auto"/>
              </w:rPr>
            </w:pPr>
          </w:p>
        </w:tc>
      </w:tr>
      <w:tr>
        <w:trPr>
          <w:trHeight w:val="20"/>
        </w:trPr>
        <w:tc>
          <w:tcPr>
            <w:tcW w:w="4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963930</wp:posOffset>
            </wp:positionH>
            <wp:positionV relativeFrom="paragraph">
              <wp:posOffset>-457835</wp:posOffset>
            </wp:positionV>
            <wp:extent cx="2825750" cy="6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825750" cy="6350"/>
                    </a:xfrm>
                    <a:prstGeom prst="rect">
                      <a:avLst/>
                    </a:prstGeom>
                    <a:noFill/>
                  </pic:spPr>
                </pic:pic>
              </a:graphicData>
            </a:graphic>
          </wp:anchor>
        </w:drawing>
      </w:r>
    </w:p>
    <w:p>
      <w:pPr>
        <w:spacing w:after="0" w:line="52" w:lineRule="exact"/>
        <w:rPr>
          <w:sz w:val="20"/>
          <w:szCs w:val="20"/>
          <w:color w:val="auto"/>
        </w:rPr>
      </w:pPr>
    </w:p>
    <w:p>
      <w:pPr>
        <w:jc w:val="both"/>
        <w:ind w:left="1740" w:right="1499" w:hanging="262"/>
        <w:spacing w:after="0" w:line="231" w:lineRule="auto"/>
        <w:tabs>
          <w:tab w:leader="none" w:pos="1740" w:val="left"/>
        </w:tabs>
        <w:numPr>
          <w:ilvl w:val="0"/>
          <w:numId w:val="77"/>
        </w:numPr>
        <w:rPr>
          <w:rFonts w:ascii="Arial" w:cs="Arial" w:eastAsia="Arial" w:hAnsi="Arial"/>
          <w:sz w:val="16"/>
          <w:szCs w:val="16"/>
          <w:color w:val="auto"/>
          <w:vertAlign w:val="superscript"/>
        </w:rPr>
      </w:pPr>
      <w:r>
        <w:rPr>
          <w:rFonts w:ascii="Arial" w:cs="Arial" w:eastAsia="Arial" w:hAnsi="Arial"/>
          <w:sz w:val="11"/>
          <w:szCs w:val="11"/>
          <w:color w:val="auto"/>
        </w:rPr>
        <w:t>Services for 2020 and 2019 included support on executive compensation matters that are part of the HRCCs annual agenda (</w:t>
      </w:r>
      <w:r>
        <w:rPr>
          <w:rFonts w:ascii="Arial" w:cs="Arial" w:eastAsia="Arial" w:hAnsi="Arial"/>
          <w:sz w:val="11"/>
          <w:szCs w:val="11"/>
          <w:i w:val="1"/>
          <w:iCs w:val="1"/>
          <w:color w:val="auto"/>
        </w:rPr>
        <w:t>e.g.</w:t>
      </w:r>
      <w:r>
        <w:rPr>
          <w:rFonts w:ascii="Arial" w:cs="Arial" w:eastAsia="Arial" w:hAnsi="Arial"/>
          <w:sz w:val="11"/>
          <w:szCs w:val="11"/>
          <w:color w:val="auto"/>
        </w:rPr>
        <w:t>, executive compensation competitive market analysis, review of trends in executive compensation, peer group review, pay-for-performance analysis and assistance with executive compensation-related disclosure, annual valuation of PSUs for accounting purposes, attendance at all HRCC meetings, and support with ad-hoc executive compensation issues that arose throughout the year). Services for 2020 also included the comprehensive Comparator Group review, market benchmark data for certain executives, and PSU valuation and estimated fair values. Services for 2019 also included a compensation risk assessment update and additional NEO realized/realizable pay analysis.</w:t>
      </w:r>
    </w:p>
    <w:p>
      <w:pPr>
        <w:spacing w:after="0" w:line="3" w:lineRule="exact"/>
        <w:rPr>
          <w:rFonts w:ascii="Arial" w:cs="Arial" w:eastAsia="Arial" w:hAnsi="Arial"/>
          <w:sz w:val="16"/>
          <w:szCs w:val="16"/>
          <w:color w:val="auto"/>
          <w:vertAlign w:val="superscript"/>
        </w:rPr>
      </w:pPr>
    </w:p>
    <w:p>
      <w:pPr>
        <w:ind w:left="1740" w:hanging="262"/>
        <w:spacing w:after="0" w:line="220" w:lineRule="auto"/>
        <w:tabs>
          <w:tab w:leader="none" w:pos="1740" w:val="left"/>
        </w:tabs>
        <w:numPr>
          <w:ilvl w:val="0"/>
          <w:numId w:val="77"/>
        </w:numPr>
        <w:rPr>
          <w:rFonts w:ascii="Arial" w:cs="Arial" w:eastAsia="Arial" w:hAnsi="Arial"/>
          <w:sz w:val="16"/>
          <w:szCs w:val="16"/>
          <w:color w:val="auto"/>
          <w:vertAlign w:val="superscript"/>
        </w:rPr>
      </w:pPr>
      <w:r>
        <w:rPr>
          <w:rFonts w:ascii="Arial" w:cs="Arial" w:eastAsia="Arial" w:hAnsi="Arial"/>
          <w:sz w:val="11"/>
          <w:szCs w:val="11"/>
          <w:color w:val="auto"/>
        </w:rPr>
        <w:t>Other fees for 2020 included an abridged director compensation review.</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2" w:name="page53"/>
    <w:bookmarkEnd w:id="52"/>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72"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auto"/>
        </w:rPr>
        <w:t>Compensation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38100</wp:posOffset>
            </wp:positionV>
            <wp:extent cx="3502025" cy="6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502025" cy="6350"/>
                    </a:xfrm>
                    <a:prstGeom prst="rect">
                      <a:avLst/>
                    </a:prstGeom>
                    <a:noFill/>
                  </pic:spPr>
                </pic:pic>
              </a:graphicData>
            </a:graphic>
          </wp:anchor>
        </w:drawing>
      </w:r>
    </w:p>
    <w:p>
      <w:pPr>
        <w:spacing w:after="0" w:line="121" w:lineRule="exact"/>
        <w:rPr>
          <w:sz w:val="20"/>
          <w:szCs w:val="20"/>
          <w:color w:val="auto"/>
        </w:rPr>
      </w:pPr>
    </w:p>
    <w:p>
      <w:pPr>
        <w:jc w:val="both"/>
        <w:ind w:left="1480" w:right="1499"/>
        <w:spacing w:after="0" w:line="258" w:lineRule="auto"/>
        <w:rPr>
          <w:sz w:val="20"/>
          <w:szCs w:val="20"/>
          <w:color w:val="auto"/>
        </w:rPr>
      </w:pPr>
      <w:r>
        <w:rPr>
          <w:rFonts w:ascii="Arial" w:cs="Arial" w:eastAsia="Arial" w:hAnsi="Arial"/>
          <w:sz w:val="13"/>
          <w:szCs w:val="13"/>
          <w:color w:val="auto"/>
        </w:rPr>
        <w:t>Executive compensation is determined as part of an annual process followed by the HRCC, as supported by the Compensation Consultant. The HRCC reviews and approves compensation for the CEO and the other NEOs, including base salaries, target annual incentive awards under Celestica’s Team Incentive Plan (“</w:t>
      </w:r>
      <w:r>
        <w:rPr>
          <w:rFonts w:ascii="Arial" w:cs="Arial" w:eastAsia="Arial" w:hAnsi="Arial"/>
          <w:sz w:val="13"/>
          <w:szCs w:val="13"/>
          <w:b w:val="1"/>
          <w:bCs w:val="1"/>
          <w:color w:val="auto"/>
        </w:rPr>
        <w:t>CTI</w:t>
      </w:r>
      <w:r>
        <w:rPr>
          <w:rFonts w:ascii="Arial" w:cs="Arial" w:eastAsia="Arial" w:hAnsi="Arial"/>
          <w:sz w:val="13"/>
          <w:szCs w:val="13"/>
          <w:color w:val="auto"/>
        </w:rPr>
        <w:t>”) and equity-based incentive grants. The HRCC evaluates the performance of the CEO relative to financial and business goals and objectives approved by the Board from time to time for such purpose. The HRCC reviews data for the Comparator Group and other competitive market data, and consults with the Compensation Consultant before exercising its independent judgment to determine appropriate compensation levels. The CEO reviews the performance evaluations of the other NEOs with the HRCC and provides compensation recommendations. The HRCC considers these recommendations, reviews market compensation information, consults with the Compensation Consultant, and then exercises its independent judgment to determine if any adjustments are required prior to approval of the compensation of such other NEOs. The CEO and the other NEOs are not present at the HRCC meetings when their respective compensation is discussed.</w:t>
      </w:r>
    </w:p>
    <w:p>
      <w:pPr>
        <w:spacing w:after="0" w:line="61" w:lineRule="exact"/>
        <w:rPr>
          <w:sz w:val="20"/>
          <w:szCs w:val="20"/>
          <w:color w:val="auto"/>
        </w:rPr>
      </w:pPr>
    </w:p>
    <w:p>
      <w:pPr>
        <w:jc w:val="both"/>
        <w:ind w:left="1480" w:right="1499"/>
        <w:spacing w:after="0" w:line="285" w:lineRule="auto"/>
        <w:rPr>
          <w:sz w:val="20"/>
          <w:szCs w:val="20"/>
          <w:color w:val="auto"/>
        </w:rPr>
      </w:pPr>
      <w:r>
        <w:rPr>
          <w:rFonts w:ascii="Arial" w:cs="Arial" w:eastAsia="Arial" w:hAnsi="Arial"/>
          <w:sz w:val="13"/>
          <w:szCs w:val="13"/>
          <w:color w:val="auto"/>
        </w:rPr>
        <w:t>The HRCC generally meets five times a year, in January, April, July, October and December. The annual executive compensation process is as follows:</w:t>
      </w:r>
    </w:p>
    <w:p>
      <w:pPr>
        <w:spacing w:after="0" w:line="52" w:lineRule="exact"/>
        <w:rPr>
          <w:sz w:val="20"/>
          <w:szCs w:val="20"/>
          <w:color w:val="auto"/>
        </w:rPr>
      </w:pPr>
    </w:p>
    <w:tbl>
      <w:tblPr>
        <w:tblLayout w:type="fixed"/>
        <w:tblInd w:w="1490" w:type="dxa"/>
        <w:tblCellMar>
          <w:top w:w="0" w:type="dxa"/>
          <w:left w:w="0" w:type="dxa"/>
          <w:bottom w:w="0" w:type="dxa"/>
          <w:right w:w="0" w:type="dxa"/>
        </w:tblCellMar>
      </w:tblPr>
      <w:tr>
        <w:trPr>
          <w:trHeight w:val="202"/>
        </w:trPr>
        <w:tc>
          <w:tcPr>
            <w:tcW w:w="7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January</w:t>
            </w:r>
          </w:p>
        </w:tc>
        <w:tc>
          <w:tcPr>
            <w:tcW w:w="140" w:type="dxa"/>
            <w:vAlign w:val="bottom"/>
            <w:tcBorders>
              <w:top w:val="single" w:sz="8" w:color="auto"/>
            </w:tcBorders>
          </w:tcPr>
          <w:p>
            <w:pPr>
              <w:ind w:left="60"/>
              <w:spacing w:after="0"/>
              <w:rPr>
                <w:sz w:val="20"/>
                <w:szCs w:val="20"/>
                <w:color w:val="auto"/>
              </w:rPr>
            </w:pPr>
            <w:r>
              <w:rPr>
                <w:rFonts w:ascii="Arial" w:cs="Arial" w:eastAsia="Arial" w:hAnsi="Arial"/>
                <w:sz w:val="12"/>
                <w:szCs w:val="12"/>
                <w:color w:val="auto"/>
              </w:rPr>
              <w:t>•</w:t>
            </w:r>
          </w:p>
        </w:tc>
        <w:tc>
          <w:tcPr>
            <w:tcW w:w="51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2"/>
                <w:szCs w:val="12"/>
                <w:color w:val="auto"/>
                <w:w w:val="97"/>
              </w:rPr>
              <w:t>Determine achievement of the corporate performance factor (based on the Corporation’s year end</w:t>
            </w:r>
          </w:p>
        </w:tc>
      </w:tr>
      <w:tr>
        <w:trPr>
          <w:trHeight w:val="139"/>
        </w:trPr>
        <w:tc>
          <w:tcPr>
            <w:tcW w:w="780" w:type="dxa"/>
            <w:vAlign w:val="bottom"/>
            <w:tcBorders>
              <w:left w:val="single" w:sz="8" w:color="auto"/>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1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results as approved by the Audit Committee) and the individual performance factors for CTI</w:t>
            </w:r>
          </w:p>
        </w:tc>
      </w:tr>
      <w:tr>
        <w:trPr>
          <w:trHeight w:val="152"/>
        </w:trPr>
        <w:tc>
          <w:tcPr>
            <w:tcW w:w="780" w:type="dxa"/>
            <w:vAlign w:val="bottom"/>
            <w:tcBorders>
              <w:left w:val="single" w:sz="8" w:color="auto"/>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1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payments for the previous year</w:t>
            </w:r>
          </w:p>
        </w:tc>
      </w:tr>
      <w:tr>
        <w:trPr>
          <w:trHeight w:val="156"/>
        </w:trPr>
        <w:tc>
          <w:tcPr>
            <w:tcW w:w="780" w:type="dxa"/>
            <w:vAlign w:val="bottom"/>
            <w:tcBorders>
              <w:left w:val="single" w:sz="8" w:color="auto"/>
              <w:right w:val="single" w:sz="8" w:color="auto"/>
            </w:tcBorders>
          </w:tcPr>
          <w:p>
            <w:pPr>
              <w:spacing w:after="0"/>
              <w:rPr>
                <w:sz w:val="13"/>
                <w:szCs w:val="13"/>
                <w:color w:val="auto"/>
              </w:rPr>
            </w:pP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51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Determine achievement of performance for the PSUs that vest in the current year based on the</w:t>
            </w:r>
          </w:p>
        </w:tc>
      </w:tr>
      <w:tr>
        <w:trPr>
          <w:trHeight w:val="152"/>
        </w:trPr>
        <w:tc>
          <w:tcPr>
            <w:tcW w:w="780" w:type="dxa"/>
            <w:vAlign w:val="bottom"/>
            <w:tcBorders>
              <w:left w:val="single" w:sz="8" w:color="auto"/>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1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applicable performance period</w:t>
            </w:r>
          </w:p>
        </w:tc>
      </w:tr>
      <w:tr>
        <w:trPr>
          <w:trHeight w:val="146"/>
        </w:trPr>
        <w:tc>
          <w:tcPr>
            <w:tcW w:w="780" w:type="dxa"/>
            <w:vAlign w:val="bottom"/>
            <w:tcBorders>
              <w:left w:val="single" w:sz="8" w:color="auto"/>
              <w:right w:val="single" w:sz="8" w:color="auto"/>
            </w:tcBorders>
          </w:tcPr>
          <w:p>
            <w:pPr>
              <w:spacing w:after="0"/>
              <w:rPr>
                <w:sz w:val="12"/>
                <w:szCs w:val="12"/>
                <w:color w:val="auto"/>
              </w:rPr>
            </w:pP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51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9"/>
              </w:rPr>
              <w:t>Approve corporate performance objectives for the CTI for the current year subject to the Board’s</w:t>
            </w:r>
          </w:p>
        </w:tc>
      </w:tr>
      <w:tr>
        <w:trPr>
          <w:trHeight w:val="149"/>
        </w:trPr>
        <w:tc>
          <w:tcPr>
            <w:tcW w:w="780" w:type="dxa"/>
            <w:vAlign w:val="bottom"/>
            <w:tcBorders>
              <w:left w:val="single" w:sz="8" w:color="auto"/>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1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approval of the AOP</w:t>
            </w:r>
          </w:p>
        </w:tc>
      </w:tr>
      <w:tr>
        <w:trPr>
          <w:trHeight w:val="152"/>
        </w:trPr>
        <w:tc>
          <w:tcPr>
            <w:tcW w:w="780" w:type="dxa"/>
            <w:vAlign w:val="bottom"/>
            <w:tcBorders>
              <w:left w:val="single" w:sz="8" w:color="auto"/>
              <w:right w:val="single" w:sz="8" w:color="auto"/>
            </w:tcBorders>
          </w:tcPr>
          <w:p>
            <w:pPr>
              <w:spacing w:after="0"/>
              <w:rPr>
                <w:sz w:val="13"/>
                <w:szCs w:val="13"/>
                <w:color w:val="auto"/>
              </w:rPr>
            </w:pP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51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Approve performance goals for PSUs granted in the current year</w:t>
            </w:r>
          </w:p>
        </w:tc>
      </w:tr>
      <w:tr>
        <w:trPr>
          <w:trHeight w:val="146"/>
        </w:trPr>
        <w:tc>
          <w:tcPr>
            <w:tcW w:w="780" w:type="dxa"/>
            <w:vAlign w:val="bottom"/>
            <w:tcBorders>
              <w:left w:val="single" w:sz="8" w:color="auto"/>
              <w:right w:val="single" w:sz="8" w:color="auto"/>
            </w:tcBorders>
          </w:tcPr>
          <w:p>
            <w:pPr>
              <w:spacing w:after="0"/>
              <w:rPr>
                <w:sz w:val="12"/>
                <w:szCs w:val="12"/>
                <w:color w:val="auto"/>
              </w:rPr>
            </w:pP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51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9"/>
              </w:rPr>
              <w:t>Review individual target compensation levels and approve base salary, target under the CTI and</w:t>
            </w:r>
          </w:p>
        </w:tc>
      </w:tr>
      <w:tr>
        <w:trPr>
          <w:trHeight w:val="149"/>
        </w:trPr>
        <w:tc>
          <w:tcPr>
            <w:tcW w:w="780" w:type="dxa"/>
            <w:vAlign w:val="bottom"/>
            <w:tcBorders>
              <w:left w:val="single" w:sz="8" w:color="auto"/>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1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long-term incentives for the current year</w:t>
            </w:r>
          </w:p>
        </w:tc>
      </w:tr>
      <w:tr>
        <w:trPr>
          <w:trHeight w:val="149"/>
        </w:trPr>
        <w:tc>
          <w:tcPr>
            <w:tcW w:w="780" w:type="dxa"/>
            <w:vAlign w:val="bottom"/>
            <w:tcBorders>
              <w:left w:val="single" w:sz="8" w:color="auto"/>
              <w:right w:val="single" w:sz="8" w:color="auto"/>
            </w:tcBorders>
          </w:tcPr>
          <w:p>
            <w:pPr>
              <w:spacing w:after="0"/>
              <w:rPr>
                <w:sz w:val="12"/>
                <w:szCs w:val="12"/>
                <w:color w:val="auto"/>
              </w:rPr>
            </w:pP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51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Conduct risk assessment of compensation programs</w:t>
            </w:r>
          </w:p>
        </w:tc>
      </w:tr>
      <w:tr>
        <w:trPr>
          <w:trHeight w:val="139"/>
        </w:trPr>
        <w:tc>
          <w:tcPr>
            <w:tcW w:w="780" w:type="dxa"/>
            <w:vAlign w:val="bottom"/>
            <w:tcBorders>
              <w:left w:val="single" w:sz="8" w:color="auto"/>
              <w:right w:val="single" w:sz="8" w:color="auto"/>
            </w:tcBorders>
          </w:tcPr>
          <w:p>
            <w:pPr>
              <w:spacing w:after="0"/>
              <w:rPr>
                <w:sz w:val="12"/>
                <w:szCs w:val="12"/>
                <w:color w:val="auto"/>
              </w:rPr>
            </w:pP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51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Review scope of activity of Compensation Consultant and approve fees for the current year</w:t>
            </w:r>
          </w:p>
        </w:tc>
      </w:tr>
      <w:tr>
        <w:trPr>
          <w:trHeight w:val="152"/>
        </w:trPr>
        <w:tc>
          <w:tcPr>
            <w:tcW w:w="780" w:type="dxa"/>
            <w:vAlign w:val="bottom"/>
            <w:tcBorders>
              <w:left w:val="single" w:sz="8" w:color="auto"/>
              <w:right w:val="single" w:sz="8" w:color="auto"/>
            </w:tcBorders>
          </w:tcPr>
          <w:p>
            <w:pPr>
              <w:spacing w:after="0"/>
              <w:rPr>
                <w:sz w:val="13"/>
                <w:szCs w:val="13"/>
                <w:color w:val="auto"/>
              </w:rPr>
            </w:pP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51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Review executive compensation disclosure</w:t>
            </w:r>
          </w:p>
        </w:tc>
      </w:tr>
      <w:tr>
        <w:trPr>
          <w:trHeight w:val="146"/>
        </w:trPr>
        <w:tc>
          <w:tcPr>
            <w:tcW w:w="780" w:type="dxa"/>
            <w:vAlign w:val="bottom"/>
            <w:tcBorders>
              <w:left w:val="single" w:sz="8" w:color="auto"/>
              <w:right w:val="single" w:sz="8" w:color="auto"/>
            </w:tcBorders>
          </w:tcPr>
          <w:p>
            <w:pPr>
              <w:spacing w:after="0"/>
              <w:rPr>
                <w:sz w:val="12"/>
                <w:szCs w:val="12"/>
                <w:color w:val="auto"/>
              </w:rPr>
            </w:pP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51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Review the corporate goals and objectives relevant to CEO compensation and evaluate CEO</w:t>
            </w:r>
          </w:p>
        </w:tc>
      </w:tr>
      <w:tr>
        <w:trPr>
          <w:trHeight w:val="139"/>
        </w:trPr>
        <w:tc>
          <w:tcPr>
            <w:tcW w:w="780" w:type="dxa"/>
            <w:vAlign w:val="bottom"/>
            <w:tcBorders>
              <w:left w:val="single" w:sz="8" w:color="auto"/>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1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8"/>
              </w:rPr>
              <w:t>performance in light of the financial and business goals and objectives approved by the Board for</w:t>
            </w:r>
          </w:p>
        </w:tc>
      </w:tr>
      <w:tr>
        <w:trPr>
          <w:trHeight w:val="152"/>
        </w:trPr>
        <w:tc>
          <w:tcPr>
            <w:tcW w:w="780" w:type="dxa"/>
            <w:vAlign w:val="bottom"/>
            <w:tcBorders>
              <w:left w:val="single" w:sz="8" w:color="auto"/>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1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the previous year</w:t>
            </w:r>
          </w:p>
        </w:tc>
      </w:tr>
      <w:tr>
        <w:trPr>
          <w:trHeight w:val="146"/>
        </w:trPr>
        <w:tc>
          <w:tcPr>
            <w:tcW w:w="780" w:type="dxa"/>
            <w:vAlign w:val="bottom"/>
            <w:tcBorders>
              <w:left w:val="single" w:sz="8" w:color="auto"/>
              <w:right w:val="single" w:sz="8" w:color="auto"/>
            </w:tcBorders>
          </w:tcPr>
          <w:p>
            <w:pPr>
              <w:spacing w:after="0"/>
              <w:rPr>
                <w:sz w:val="12"/>
                <w:szCs w:val="12"/>
                <w:color w:val="auto"/>
              </w:rPr>
            </w:pP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51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6"/>
              </w:rPr>
              <w:t>Review and approve total compensation package for CEO for the current year, including stress-test</w:t>
            </w:r>
          </w:p>
        </w:tc>
      </w:tr>
      <w:tr>
        <w:trPr>
          <w:trHeight w:val="152"/>
        </w:trPr>
        <w:tc>
          <w:tcPr>
            <w:tcW w:w="780" w:type="dxa"/>
            <w:vAlign w:val="bottom"/>
            <w:tcBorders>
              <w:left w:val="single" w:sz="8" w:color="auto"/>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1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of performance-based compensation</w:t>
            </w:r>
          </w:p>
        </w:tc>
      </w:tr>
      <w:tr>
        <w:trPr>
          <w:trHeight w:val="24"/>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140" w:type="dxa"/>
            <w:vAlign w:val="bottom"/>
            <w:tcBorders>
              <w:bottom w:val="single" w:sz="8" w:color="auto"/>
              <w:right w:val="single" w:sz="8" w:color="auto"/>
            </w:tcBorders>
          </w:tcPr>
          <w:p>
            <w:pPr>
              <w:spacing w:after="0"/>
              <w:rPr>
                <w:sz w:val="2"/>
                <w:szCs w:val="2"/>
                <w:color w:val="auto"/>
              </w:rPr>
            </w:pPr>
          </w:p>
        </w:tc>
      </w:tr>
      <w:tr>
        <w:trPr>
          <w:trHeight w:val="162"/>
        </w:trPr>
        <w:tc>
          <w:tcPr>
            <w:tcW w:w="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April</w:t>
            </w: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51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Annual compensation policy review and pension plan review</w:t>
            </w:r>
          </w:p>
        </w:tc>
      </w:tr>
      <w:tr>
        <w:trPr>
          <w:trHeight w:val="154"/>
        </w:trPr>
        <w:tc>
          <w:tcPr>
            <w:tcW w:w="780" w:type="dxa"/>
            <w:vAlign w:val="bottom"/>
            <w:tcBorders>
              <w:left w:val="single" w:sz="8" w:color="auto"/>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Assess performance of Compensation Consultant</w:t>
            </w:r>
          </w:p>
        </w:tc>
      </w:tr>
      <w:tr>
        <w:trPr>
          <w:trHeight w:val="164"/>
        </w:trPr>
        <w:tc>
          <w:tcPr>
            <w:tcW w:w="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July</w:t>
            </w: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51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Review and consider shareholder feedback from say-on-pay vote</w:t>
            </w:r>
          </w:p>
        </w:tc>
      </w:tr>
      <w:tr>
        <w:trPr>
          <w:trHeight w:val="149"/>
        </w:trPr>
        <w:tc>
          <w:tcPr>
            <w:tcW w:w="780" w:type="dxa"/>
            <w:vAlign w:val="bottom"/>
            <w:tcBorders>
              <w:left w:val="single" w:sz="8" w:color="auto"/>
              <w:right w:val="single" w:sz="8" w:color="auto"/>
            </w:tcBorders>
          </w:tcPr>
          <w:p>
            <w:pPr>
              <w:spacing w:after="0"/>
              <w:rPr>
                <w:sz w:val="12"/>
                <w:szCs w:val="12"/>
                <w:color w:val="auto"/>
              </w:rPr>
            </w:pP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51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Review trends and “hot topics” in compensation governance</w:t>
            </w:r>
          </w:p>
        </w:tc>
      </w:tr>
      <w:tr>
        <w:trPr>
          <w:trHeight w:val="139"/>
        </w:trPr>
        <w:tc>
          <w:tcPr>
            <w:tcW w:w="780" w:type="dxa"/>
            <w:vAlign w:val="bottom"/>
            <w:tcBorders>
              <w:left w:val="single" w:sz="8" w:color="auto"/>
              <w:right w:val="single" w:sz="8" w:color="auto"/>
            </w:tcBorders>
          </w:tcPr>
          <w:p>
            <w:pPr>
              <w:spacing w:after="0"/>
              <w:rPr>
                <w:sz w:val="12"/>
                <w:szCs w:val="12"/>
                <w:color w:val="auto"/>
              </w:rPr>
            </w:pP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51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5"/>
              </w:rPr>
              <w:t>Review and approve Comparator Group for the following year (based on the recommendation of the</w:t>
            </w:r>
          </w:p>
        </w:tc>
      </w:tr>
      <w:tr>
        <w:trPr>
          <w:trHeight w:val="152"/>
        </w:trPr>
        <w:tc>
          <w:tcPr>
            <w:tcW w:w="780" w:type="dxa"/>
            <w:vAlign w:val="bottom"/>
            <w:tcBorders>
              <w:left w:val="single" w:sz="8" w:color="auto"/>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1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Compensation Consultant)</w:t>
            </w:r>
          </w:p>
        </w:tc>
      </w:tr>
      <w:tr>
        <w:trPr>
          <w:trHeight w:val="146"/>
        </w:trPr>
        <w:tc>
          <w:tcPr>
            <w:tcW w:w="780" w:type="dxa"/>
            <w:vAlign w:val="bottom"/>
            <w:tcBorders>
              <w:left w:val="single" w:sz="8" w:color="auto"/>
              <w:right w:val="single" w:sz="8" w:color="auto"/>
            </w:tcBorders>
          </w:tcPr>
          <w:p>
            <w:pPr>
              <w:spacing w:after="0"/>
              <w:rPr>
                <w:sz w:val="12"/>
                <w:szCs w:val="12"/>
                <w:color w:val="auto"/>
              </w:rPr>
            </w:pP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51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Review talent management strategy and succession plans</w:t>
            </w:r>
          </w:p>
        </w:tc>
      </w:tr>
      <w:tr>
        <w:trPr>
          <w:trHeight w:val="159"/>
        </w:trPr>
        <w:tc>
          <w:tcPr>
            <w:tcW w:w="780" w:type="dxa"/>
            <w:vAlign w:val="bottom"/>
            <w:tcBorders>
              <w:left w:val="single" w:sz="8" w:color="auto"/>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Conduct pay-for-performance alignment review</w:t>
            </w:r>
          </w:p>
        </w:tc>
      </w:tr>
      <w:tr>
        <w:trPr>
          <w:trHeight w:val="179"/>
        </w:trPr>
        <w:tc>
          <w:tcPr>
            <w:tcW w:w="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October</w:t>
            </w: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51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Review market benchmark reports for the CEO and other NEOs</w:t>
            </w:r>
          </w:p>
        </w:tc>
      </w:tr>
      <w:tr>
        <w:trPr>
          <w:trHeight w:val="139"/>
        </w:trPr>
        <w:tc>
          <w:tcPr>
            <w:tcW w:w="780" w:type="dxa"/>
            <w:vAlign w:val="bottom"/>
            <w:tcBorders>
              <w:left w:val="single" w:sz="8" w:color="auto"/>
              <w:right w:val="single" w:sz="8" w:color="auto"/>
            </w:tcBorders>
          </w:tcPr>
          <w:p>
            <w:pPr>
              <w:spacing w:after="0"/>
              <w:rPr>
                <w:sz w:val="12"/>
                <w:szCs w:val="12"/>
                <w:color w:val="auto"/>
              </w:rPr>
            </w:pP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51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9"/>
              </w:rPr>
              <w:t>Review preliminary achievement against performance targets and evaluate interim performance</w:t>
            </w:r>
          </w:p>
        </w:tc>
      </w:tr>
      <w:tr>
        <w:trPr>
          <w:trHeight w:val="149"/>
        </w:trPr>
        <w:tc>
          <w:tcPr>
            <w:tcW w:w="780" w:type="dxa"/>
            <w:vAlign w:val="bottom"/>
            <w:tcBorders>
              <w:left w:val="single" w:sz="8" w:color="auto"/>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1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relative to corporate goals and objectives for the current year</w:t>
            </w:r>
          </w:p>
        </w:tc>
      </w:tr>
      <w:tr>
        <w:trPr>
          <w:trHeight w:val="152"/>
        </w:trPr>
        <w:tc>
          <w:tcPr>
            <w:tcW w:w="780" w:type="dxa"/>
            <w:vAlign w:val="bottom"/>
            <w:tcBorders>
              <w:left w:val="single" w:sz="8" w:color="auto"/>
              <w:right w:val="single" w:sz="8" w:color="auto"/>
            </w:tcBorders>
          </w:tcPr>
          <w:p>
            <w:pPr>
              <w:spacing w:after="0"/>
              <w:rPr>
                <w:sz w:val="13"/>
                <w:szCs w:val="13"/>
                <w:color w:val="auto"/>
              </w:rPr>
            </w:pP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51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Conduct risk assessment of compensation programs</w:t>
            </w:r>
          </w:p>
        </w:tc>
      </w:tr>
      <w:tr>
        <w:trPr>
          <w:trHeight w:val="83"/>
        </w:trPr>
        <w:tc>
          <w:tcPr>
            <w:tcW w:w="780" w:type="dxa"/>
            <w:vAlign w:val="bottom"/>
            <w:tcBorders>
              <w:left w:val="single" w:sz="8" w:color="auto"/>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140" w:type="dxa"/>
            <w:vAlign w:val="bottom"/>
            <w:tcBorders>
              <w:bottom w:val="single" w:sz="8" w:color="auto"/>
              <w:right w:val="single" w:sz="8" w:color="auto"/>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3" w:name="page54"/>
    <w:bookmarkEnd w:id="53"/>
    <w:p>
      <w:pPr>
        <w:ind w:left="560"/>
        <w:spacing w:after="0"/>
        <w:rPr>
          <w:rFonts w:ascii="Arial" w:cs="Arial" w:eastAsia="Arial" w:hAnsi="Arial"/>
          <w:sz w:val="10"/>
          <w:szCs w:val="10"/>
          <w:color w:val="003366"/>
        </w:rPr>
      </w:pPr>
      <w:hyperlink w:anchor="page7">
        <w:r>
          <w:rPr>
            <w:rFonts w:ascii="Arial" w:cs="Arial" w:eastAsia="Arial" w:hAnsi="Arial"/>
            <w:sz w:val="10"/>
            <w:szCs w:val="10"/>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392430</wp:posOffset>
            </wp:positionV>
            <wp:extent cx="3843655" cy="11569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843655" cy="11569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520"/>
        <w:spacing w:after="0"/>
        <w:rPr>
          <w:sz w:val="20"/>
          <w:szCs w:val="20"/>
          <w:color w:val="auto"/>
        </w:rPr>
      </w:pPr>
      <w:r>
        <w:rPr>
          <w:rFonts w:ascii="Arial" w:cs="Arial" w:eastAsia="Arial" w:hAnsi="Arial"/>
          <w:sz w:val="10"/>
          <w:szCs w:val="10"/>
          <w:b w:val="1"/>
          <w:bCs w:val="1"/>
          <w:color w:val="auto"/>
        </w:rPr>
        <w:t>December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16" w:right="2019" w:hanging="116"/>
        <w:spacing w:after="0" w:line="259" w:lineRule="auto"/>
        <w:tabs>
          <w:tab w:leader="none" w:pos="116" w:val="left"/>
        </w:tabs>
        <w:numPr>
          <w:ilvl w:val="0"/>
          <w:numId w:val="78"/>
        </w:numPr>
        <w:rPr>
          <w:rFonts w:ascii="Arial" w:cs="Arial" w:eastAsia="Arial" w:hAnsi="Arial"/>
          <w:sz w:val="12"/>
          <w:szCs w:val="12"/>
          <w:color w:val="auto"/>
        </w:rPr>
      </w:pPr>
      <w:r>
        <w:rPr>
          <w:rFonts w:ascii="Arial" w:cs="Arial" w:eastAsia="Arial" w:hAnsi="Arial"/>
          <w:sz w:val="12"/>
          <w:szCs w:val="12"/>
          <w:color w:val="auto"/>
        </w:rPr>
        <w:t>Review updated preliminary achievement against performance targets and evaluate interim performance relative to corporate goals and objectives for the current year</w:t>
      </w:r>
    </w:p>
    <w:p>
      <w:pPr>
        <w:ind w:left="116" w:right="1639" w:hanging="116"/>
        <w:spacing w:after="0" w:line="248" w:lineRule="auto"/>
        <w:tabs>
          <w:tab w:leader="none" w:pos="116" w:val="left"/>
        </w:tabs>
        <w:numPr>
          <w:ilvl w:val="0"/>
          <w:numId w:val="78"/>
        </w:numPr>
        <w:rPr>
          <w:rFonts w:ascii="Arial" w:cs="Arial" w:eastAsia="Arial" w:hAnsi="Arial"/>
          <w:sz w:val="12"/>
          <w:szCs w:val="12"/>
          <w:color w:val="auto"/>
        </w:rPr>
      </w:pPr>
      <w:r>
        <w:rPr>
          <w:rFonts w:ascii="Arial" w:cs="Arial" w:eastAsia="Arial" w:hAnsi="Arial"/>
          <w:sz w:val="12"/>
          <w:szCs w:val="12"/>
          <w:color w:val="auto"/>
        </w:rPr>
        <w:t>Review preliminary compensation recommendations and performance objectives for the following year, including base salary recommendations and the value and mix of equity-based incentives (NEO compensation recommendations are developed by the CEO. The CEO’s compensation recommendations are determined by the HRCC in consultation with the Compensation Consultant and the Chief Human Resources Officer)</w:t>
      </w:r>
    </w:p>
    <w:p>
      <w:pPr>
        <w:spacing w:after="0" w:line="3" w:lineRule="exact"/>
        <w:rPr>
          <w:rFonts w:ascii="Arial" w:cs="Arial" w:eastAsia="Arial" w:hAnsi="Arial"/>
          <w:sz w:val="12"/>
          <w:szCs w:val="12"/>
          <w:color w:val="auto"/>
        </w:rPr>
      </w:pPr>
    </w:p>
    <w:p>
      <w:pPr>
        <w:ind w:left="116" w:right="1579" w:hanging="116"/>
        <w:spacing w:after="0" w:line="250" w:lineRule="auto"/>
        <w:tabs>
          <w:tab w:leader="none" w:pos="116" w:val="left"/>
        </w:tabs>
        <w:numPr>
          <w:ilvl w:val="0"/>
          <w:numId w:val="78"/>
        </w:numPr>
        <w:rPr>
          <w:rFonts w:ascii="Arial" w:cs="Arial" w:eastAsia="Arial" w:hAnsi="Arial"/>
          <w:sz w:val="12"/>
          <w:szCs w:val="12"/>
          <w:color w:val="auto"/>
        </w:rPr>
      </w:pPr>
      <w:r>
        <w:rPr>
          <w:rFonts w:ascii="Arial" w:cs="Arial" w:eastAsia="Arial" w:hAnsi="Arial"/>
          <w:sz w:val="12"/>
          <w:szCs w:val="12"/>
          <w:color w:val="auto"/>
        </w:rPr>
        <w:t>By reviewing the compensation proposals in advance, the HRCC is afforded sufficient time to discuss and provide input regarding proposed compensation changes prior to the January meeting at which time the HRCC approves the compensation proposals, revised as necessary or appropriate, based on input provided at the December meeting</w:t>
      </w:r>
    </w:p>
    <w:p>
      <w:pPr>
        <w:spacing w:after="0" w:line="2" w:lineRule="exact"/>
        <w:rPr>
          <w:rFonts w:ascii="Arial" w:cs="Arial" w:eastAsia="Arial" w:hAnsi="Arial"/>
          <w:sz w:val="12"/>
          <w:szCs w:val="12"/>
          <w:color w:val="auto"/>
        </w:rPr>
      </w:pPr>
    </w:p>
    <w:p>
      <w:pPr>
        <w:ind w:left="116" w:hanging="116"/>
        <w:spacing w:after="0"/>
        <w:tabs>
          <w:tab w:leader="none" w:pos="116" w:val="left"/>
        </w:tabs>
        <w:numPr>
          <w:ilvl w:val="0"/>
          <w:numId w:val="78"/>
        </w:numPr>
        <w:rPr>
          <w:rFonts w:ascii="Arial" w:cs="Arial" w:eastAsia="Arial" w:hAnsi="Arial"/>
          <w:sz w:val="12"/>
          <w:szCs w:val="12"/>
          <w:color w:val="auto"/>
        </w:rPr>
      </w:pPr>
      <w:r>
        <w:rPr>
          <w:rFonts w:ascii="Arial" w:cs="Arial" w:eastAsia="Arial" w:hAnsi="Arial"/>
          <w:sz w:val="12"/>
          <w:szCs w:val="12"/>
          <w:color w:val="auto"/>
        </w:rPr>
        <w:t>Preliminary evaluation of individual performance relative to objectives</w:t>
      </w:r>
    </w:p>
    <w:p>
      <w:pPr>
        <w:spacing w:after="0" w:line="200" w:lineRule="exact"/>
        <w:rPr>
          <w:sz w:val="20"/>
          <w:szCs w:val="20"/>
          <w:color w:val="auto"/>
        </w:rPr>
      </w:pPr>
    </w:p>
    <w:p>
      <w:pPr>
        <w:sectPr>
          <w:pgSz w:w="11900" w:h="16838" w:orient="portrait"/>
          <w:cols w:equalWidth="0" w:num="2">
            <w:col w:w="2020" w:space="304"/>
            <w:col w:w="6695"/>
          </w:cols>
          <w:pgMar w:left="1440" w:top="134" w:right="1440" w:bottom="1440" w:gutter="0" w:footer="0" w:header="0"/>
          <w:type w:val="continuous"/>
        </w:sectPr>
      </w:pPr>
    </w:p>
    <w:p>
      <w:pPr>
        <w:spacing w:after="0" w:line="38"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HRCC Discretion</w:t>
      </w:r>
    </w:p>
    <w:p>
      <w:pPr>
        <w:spacing w:after="0" w:line="89" w:lineRule="exact"/>
        <w:rPr>
          <w:sz w:val="20"/>
          <w:szCs w:val="20"/>
          <w:color w:val="auto"/>
        </w:rPr>
      </w:pPr>
    </w:p>
    <w:p>
      <w:pPr>
        <w:jc w:val="both"/>
        <w:ind w:left="1480" w:right="1499"/>
        <w:spacing w:after="0" w:line="270" w:lineRule="auto"/>
        <w:rPr>
          <w:sz w:val="20"/>
          <w:szCs w:val="20"/>
          <w:color w:val="auto"/>
        </w:rPr>
      </w:pPr>
      <w:r>
        <w:rPr>
          <w:rFonts w:ascii="Arial" w:cs="Arial" w:eastAsia="Arial" w:hAnsi="Arial"/>
          <w:sz w:val="13"/>
          <w:szCs w:val="13"/>
          <w:color w:val="auto"/>
        </w:rPr>
        <w:t>The HRCC may exercise its discretion to either award compensation absent attainment of a relevant performance goal or similar condition, or to reduce or increase the size of any award or payout to any NEO. The HRCC did not exercise such discretion for 2020 compensation with respect to any NEO.</w:t>
      </w:r>
    </w:p>
    <w:p>
      <w:pPr>
        <w:spacing w:after="0" w:line="133" w:lineRule="exact"/>
        <w:rPr>
          <w:sz w:val="20"/>
          <w:szCs w:val="20"/>
          <w:color w:val="auto"/>
        </w:rPr>
      </w:pPr>
    </w:p>
    <w:p>
      <w:pPr>
        <w:ind w:left="1740"/>
        <w:spacing w:after="0"/>
        <w:rPr>
          <w:sz w:val="20"/>
          <w:szCs w:val="20"/>
          <w:color w:val="auto"/>
        </w:rPr>
      </w:pPr>
      <w:r>
        <w:rPr>
          <w:rFonts w:ascii="Arial" w:cs="Arial" w:eastAsia="Arial" w:hAnsi="Arial"/>
          <w:sz w:val="13"/>
          <w:szCs w:val="13"/>
          <w:b w:val="1"/>
          <w:bCs w:val="1"/>
          <w:i w:val="1"/>
          <w:iCs w:val="1"/>
          <w:color w:val="auto"/>
        </w:rPr>
        <w:t>Compensation Risk Assessment and Governance Analysis</w:t>
      </w:r>
    </w:p>
    <w:p>
      <w:pPr>
        <w:spacing w:after="0" w:line="89" w:lineRule="exact"/>
        <w:rPr>
          <w:sz w:val="20"/>
          <w:szCs w:val="20"/>
          <w:color w:val="auto"/>
        </w:rPr>
      </w:pPr>
    </w:p>
    <w:p>
      <w:pPr>
        <w:jc w:val="both"/>
        <w:ind w:left="1480" w:right="1499"/>
        <w:spacing w:after="0" w:line="261" w:lineRule="auto"/>
        <w:rPr>
          <w:sz w:val="20"/>
          <w:szCs w:val="20"/>
          <w:color w:val="auto"/>
        </w:rPr>
      </w:pPr>
      <w:r>
        <w:rPr>
          <w:rFonts w:ascii="Arial" w:cs="Arial" w:eastAsia="Arial" w:hAnsi="Arial"/>
          <w:sz w:val="13"/>
          <w:szCs w:val="13"/>
          <w:color w:val="auto"/>
        </w:rPr>
        <w:t>The HRCC, in performing its duties and exercising its powers under its mandate, considers the implications of the risks associated with the Corporation’s compensation policies and practices. This includes: identifying any such policies or practices that encourage executive officers to take inappropriate or excessive risks; identifying risks arising from such policies and practices that are reasonably likely to have a material adverse effect on the Corporation; and considering the risk implications of the Corporation’s compensation policies and practices and any proposed changes to them.</w:t>
      </w:r>
    </w:p>
    <w:p>
      <w:pPr>
        <w:spacing w:after="0" w:line="60" w:lineRule="exact"/>
        <w:rPr>
          <w:sz w:val="20"/>
          <w:szCs w:val="20"/>
          <w:color w:val="auto"/>
        </w:rPr>
      </w:pPr>
    </w:p>
    <w:p>
      <w:pPr>
        <w:jc w:val="both"/>
        <w:ind w:left="1480" w:right="1499"/>
        <w:spacing w:after="0" w:line="285" w:lineRule="auto"/>
        <w:rPr>
          <w:sz w:val="20"/>
          <w:szCs w:val="20"/>
          <w:color w:val="auto"/>
        </w:rPr>
      </w:pPr>
      <w:r>
        <w:rPr>
          <w:rFonts w:ascii="Arial" w:cs="Arial" w:eastAsia="Arial" w:hAnsi="Arial"/>
          <w:sz w:val="12"/>
          <w:szCs w:val="12"/>
          <w:color w:val="auto"/>
        </w:rPr>
        <w:t>The Corporation’s compensation programs are designed with a balanced approach aligned with its business strategy and risk profile. A number of compensation practices have been implemented to mitigate potential compensation policy risk. It is the HRCC’s view that the Corporation’s 2020 compensation policies and practices did not promote excessive risk-taking that would be reasonably likely to have a material adverse effect on the Corporation, and that appropriate risk mitigation features are in place within the Corporation’s compensation program. In reaching its opinion, the HRCC reviewed key risk-mitigating features in the Corporation’s compensation governance processes and compensation structure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48260</wp:posOffset>
            </wp:positionV>
            <wp:extent cx="3843655" cy="20104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843655" cy="2010410"/>
                    </a:xfrm>
                    <a:prstGeom prst="rect">
                      <a:avLst/>
                    </a:prstGeom>
                    <a:noFill/>
                  </pic:spPr>
                </pic:pic>
              </a:graphicData>
            </a:graphic>
          </wp:anchor>
        </w:drawing>
      </w:r>
    </w:p>
    <w:p>
      <w:pPr>
        <w:spacing w:after="0" w:line="67" w:lineRule="exact"/>
        <w:rPr>
          <w:sz w:val="20"/>
          <w:szCs w:val="20"/>
          <w:color w:val="auto"/>
        </w:rPr>
      </w:pPr>
    </w:p>
    <w:p>
      <w:pPr>
        <w:ind w:left="1540"/>
        <w:spacing w:after="0"/>
        <w:rPr>
          <w:sz w:val="20"/>
          <w:szCs w:val="20"/>
          <w:color w:val="auto"/>
        </w:rPr>
      </w:pPr>
      <w:r>
        <w:rPr>
          <w:rFonts w:ascii="Arial" w:cs="Arial" w:eastAsia="Arial" w:hAnsi="Arial"/>
          <w:sz w:val="12"/>
          <w:szCs w:val="12"/>
          <w:b w:val="1"/>
          <w:bCs w:val="1"/>
          <w:color w:val="auto"/>
        </w:rPr>
        <w:t>Governance</w:t>
      </w:r>
    </w:p>
    <w:p>
      <w:pPr>
        <w:spacing w:after="0" w:line="16" w:lineRule="exact"/>
        <w:rPr>
          <w:sz w:val="20"/>
          <w:szCs w:val="20"/>
          <w:color w:val="auto"/>
        </w:rPr>
      </w:pPr>
    </w:p>
    <w:tbl>
      <w:tblPr>
        <w:tblLayout w:type="fixed"/>
        <w:tblInd w:w="1480" w:type="dxa"/>
        <w:tblCellMar>
          <w:top w:w="0" w:type="dxa"/>
          <w:left w:w="0" w:type="dxa"/>
          <w:bottom w:w="0" w:type="dxa"/>
          <w:right w:w="0" w:type="dxa"/>
        </w:tblCellMar>
      </w:tblPr>
      <w:tr>
        <w:trPr>
          <w:trHeight w:val="166"/>
        </w:trPr>
        <w:tc>
          <w:tcPr>
            <w:tcW w:w="2080" w:type="dxa"/>
            <w:vAlign w:val="bottom"/>
            <w:tcBorders>
              <w:top w:val="single" w:sz="8" w:color="auto"/>
              <w:right w:val="single" w:sz="8" w:color="auto"/>
            </w:tcBorders>
          </w:tcPr>
          <w:p>
            <w:pPr>
              <w:spacing w:after="0"/>
              <w:rPr>
                <w:sz w:val="14"/>
                <w:szCs w:val="14"/>
                <w:color w:val="auto"/>
              </w:rPr>
            </w:pPr>
          </w:p>
        </w:tc>
        <w:tc>
          <w:tcPr>
            <w:tcW w:w="140" w:type="dxa"/>
            <w:vAlign w:val="bottom"/>
            <w:tcBorders>
              <w:top w:val="single" w:sz="8" w:color="auto"/>
            </w:tcBorders>
          </w:tcPr>
          <w:p>
            <w:pPr>
              <w:ind w:left="60"/>
              <w:spacing w:after="0"/>
              <w:rPr>
                <w:sz w:val="20"/>
                <w:szCs w:val="20"/>
                <w:color w:val="auto"/>
              </w:rPr>
            </w:pPr>
            <w:r>
              <w:rPr>
                <w:rFonts w:ascii="Arial" w:cs="Arial" w:eastAsia="Arial" w:hAnsi="Arial"/>
                <w:sz w:val="12"/>
                <w:szCs w:val="12"/>
                <w:color w:val="auto"/>
              </w:rPr>
              <w:t>•</w:t>
            </w:r>
          </w:p>
        </w:tc>
        <w:tc>
          <w:tcPr>
            <w:tcW w:w="3840" w:type="dxa"/>
            <w:vAlign w:val="bottom"/>
            <w:tcBorders>
              <w:top w:val="single" w:sz="8" w:color="auto"/>
            </w:tcBorders>
          </w:tcPr>
          <w:p>
            <w:pPr>
              <w:ind w:left="40"/>
              <w:spacing w:after="0"/>
              <w:rPr>
                <w:sz w:val="20"/>
                <w:szCs w:val="20"/>
                <w:color w:val="auto"/>
              </w:rPr>
            </w:pPr>
            <w:r>
              <w:rPr>
                <w:rFonts w:ascii="Arial" w:cs="Arial" w:eastAsia="Arial" w:hAnsi="Arial"/>
                <w:sz w:val="12"/>
                <w:szCs w:val="12"/>
                <w:color w:val="auto"/>
              </w:rPr>
              <w:t>Our executive compensation program is designed to link executive</w:t>
            </w:r>
          </w:p>
        </w:tc>
        <w:tc>
          <w:tcPr>
            <w:tcW w:w="0" w:type="dxa"/>
            <w:vAlign w:val="bottom"/>
          </w:tcPr>
          <w:p>
            <w:pPr>
              <w:spacing w:after="0"/>
              <w:rPr>
                <w:sz w:val="1"/>
                <w:szCs w:val="1"/>
                <w:color w:val="auto"/>
              </w:rPr>
            </w:pPr>
          </w:p>
        </w:tc>
      </w:tr>
      <w:tr>
        <w:trPr>
          <w:trHeight w:val="146"/>
        </w:trPr>
        <w:tc>
          <w:tcPr>
            <w:tcW w:w="2080" w:type="dxa"/>
            <w:vAlign w:val="bottom"/>
            <w:tcBorders>
              <w:right w:val="single" w:sz="8" w:color="auto"/>
            </w:tcBorders>
          </w:tcPr>
          <w:p>
            <w:pPr>
              <w:ind w:left="60"/>
              <w:spacing w:after="0"/>
              <w:rPr>
                <w:sz w:val="20"/>
                <w:szCs w:val="20"/>
                <w:color w:val="auto"/>
              </w:rPr>
            </w:pPr>
            <w:r>
              <w:rPr>
                <w:rFonts w:ascii="Arial" w:cs="Arial" w:eastAsia="Arial" w:hAnsi="Arial"/>
                <w:sz w:val="12"/>
                <w:szCs w:val="12"/>
                <w:b w:val="1"/>
                <w:bCs w:val="1"/>
                <w:i w:val="1"/>
                <w:iCs w:val="1"/>
                <w:color w:val="auto"/>
              </w:rPr>
              <w:t>Corporate Strategy Alignment</w:t>
            </w:r>
          </w:p>
        </w:tc>
        <w:tc>
          <w:tcPr>
            <w:tcW w:w="140" w:type="dxa"/>
            <w:vAlign w:val="bottom"/>
          </w:tcPr>
          <w:p>
            <w:pPr>
              <w:spacing w:after="0"/>
              <w:rPr>
                <w:sz w:val="12"/>
                <w:szCs w:val="12"/>
                <w:color w:val="auto"/>
              </w:rPr>
            </w:pPr>
          </w:p>
        </w:tc>
        <w:tc>
          <w:tcPr>
            <w:tcW w:w="3840" w:type="dxa"/>
            <w:vAlign w:val="bottom"/>
          </w:tcPr>
          <w:p>
            <w:pPr>
              <w:ind w:left="40"/>
              <w:spacing w:after="0"/>
              <w:rPr>
                <w:sz w:val="20"/>
                <w:szCs w:val="20"/>
                <w:color w:val="auto"/>
              </w:rPr>
            </w:pPr>
            <w:r>
              <w:rPr>
                <w:rFonts w:ascii="Arial" w:cs="Arial" w:eastAsia="Arial" w:hAnsi="Arial"/>
                <w:sz w:val="12"/>
                <w:szCs w:val="12"/>
                <w:color w:val="auto"/>
                <w:w w:val="96"/>
              </w:rPr>
              <w:t>compensation outcomes with the execution of business strategy and align</w:t>
            </w:r>
          </w:p>
        </w:tc>
        <w:tc>
          <w:tcPr>
            <w:tcW w:w="0" w:type="dxa"/>
            <w:vAlign w:val="bottom"/>
          </w:tcPr>
          <w:p>
            <w:pPr>
              <w:spacing w:after="0"/>
              <w:rPr>
                <w:sz w:val="1"/>
                <w:szCs w:val="1"/>
                <w:color w:val="auto"/>
              </w:rPr>
            </w:pPr>
          </w:p>
        </w:tc>
      </w:tr>
      <w:tr>
        <w:trPr>
          <w:trHeight w:val="152"/>
        </w:trPr>
        <w:tc>
          <w:tcPr>
            <w:tcW w:w="20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40" w:type="dxa"/>
            <w:vAlign w:val="bottom"/>
          </w:tcPr>
          <w:p>
            <w:pPr>
              <w:ind w:left="40"/>
              <w:spacing w:after="0"/>
              <w:rPr>
                <w:sz w:val="20"/>
                <w:szCs w:val="20"/>
                <w:color w:val="auto"/>
              </w:rPr>
            </w:pPr>
            <w:r>
              <w:rPr>
                <w:rFonts w:ascii="Arial" w:cs="Arial" w:eastAsia="Arial" w:hAnsi="Arial"/>
                <w:sz w:val="12"/>
                <w:szCs w:val="12"/>
                <w:color w:val="auto"/>
              </w:rPr>
              <w:t>with shareholder interests.</w:t>
            </w:r>
          </w:p>
        </w:tc>
        <w:tc>
          <w:tcPr>
            <w:tcW w:w="0" w:type="dxa"/>
            <w:vAlign w:val="bottom"/>
          </w:tcPr>
          <w:p>
            <w:pPr>
              <w:spacing w:after="0"/>
              <w:rPr>
                <w:sz w:val="1"/>
                <w:szCs w:val="1"/>
                <w:color w:val="auto"/>
              </w:rPr>
            </w:pPr>
          </w:p>
        </w:tc>
      </w:tr>
      <w:tr>
        <w:trPr>
          <w:trHeight w:val="86"/>
        </w:trPr>
        <w:tc>
          <w:tcPr>
            <w:tcW w:w="208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8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80" w:type="dxa"/>
            <w:vAlign w:val="bottom"/>
            <w:tcBorders>
              <w:right w:val="single" w:sz="8" w:color="auto"/>
            </w:tcBorders>
          </w:tcPr>
          <w:p>
            <w:pPr>
              <w:spacing w:after="0"/>
              <w:rPr>
                <w:sz w:val="14"/>
                <w:szCs w:val="14"/>
                <w:color w:val="auto"/>
              </w:rPr>
            </w:pP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3840" w:type="dxa"/>
            <w:vAlign w:val="bottom"/>
          </w:tcPr>
          <w:p>
            <w:pPr>
              <w:ind w:left="40"/>
              <w:spacing w:after="0"/>
              <w:rPr>
                <w:sz w:val="20"/>
                <w:szCs w:val="20"/>
                <w:color w:val="auto"/>
              </w:rPr>
            </w:pPr>
            <w:r>
              <w:rPr>
                <w:rFonts w:ascii="Arial" w:cs="Arial" w:eastAsia="Arial" w:hAnsi="Arial"/>
                <w:sz w:val="12"/>
                <w:szCs w:val="12"/>
                <w:color w:val="auto"/>
              </w:rPr>
              <w:t>The Corporation has formalized compensation objectives to help guide</w:t>
            </w:r>
          </w:p>
        </w:tc>
        <w:tc>
          <w:tcPr>
            <w:tcW w:w="0" w:type="dxa"/>
            <w:vAlign w:val="bottom"/>
          </w:tcPr>
          <w:p>
            <w:pPr>
              <w:spacing w:after="0"/>
              <w:rPr>
                <w:sz w:val="1"/>
                <w:szCs w:val="1"/>
                <w:color w:val="auto"/>
              </w:rPr>
            </w:pPr>
          </w:p>
        </w:tc>
      </w:tr>
      <w:tr>
        <w:trPr>
          <w:trHeight w:val="146"/>
        </w:trPr>
        <w:tc>
          <w:tcPr>
            <w:tcW w:w="2080" w:type="dxa"/>
            <w:vAlign w:val="bottom"/>
            <w:tcBorders>
              <w:right w:val="single" w:sz="8" w:color="auto"/>
            </w:tcBorders>
          </w:tcPr>
          <w:p>
            <w:pPr>
              <w:ind w:left="60"/>
              <w:spacing w:after="0"/>
              <w:rPr>
                <w:sz w:val="20"/>
                <w:szCs w:val="20"/>
                <w:color w:val="auto"/>
              </w:rPr>
            </w:pPr>
            <w:r>
              <w:rPr>
                <w:rFonts w:ascii="Arial" w:cs="Arial" w:eastAsia="Arial" w:hAnsi="Arial"/>
                <w:sz w:val="12"/>
                <w:szCs w:val="12"/>
                <w:b w:val="1"/>
                <w:bCs w:val="1"/>
                <w:i w:val="1"/>
                <w:iCs w:val="1"/>
                <w:color w:val="auto"/>
                <w:w w:val="85"/>
              </w:rPr>
              <w:t>Compensation Decision-Making Process</w:t>
            </w:r>
          </w:p>
        </w:tc>
        <w:tc>
          <w:tcPr>
            <w:tcW w:w="140" w:type="dxa"/>
            <w:vAlign w:val="bottom"/>
          </w:tcPr>
          <w:p>
            <w:pPr>
              <w:spacing w:after="0"/>
              <w:rPr>
                <w:sz w:val="12"/>
                <w:szCs w:val="12"/>
                <w:color w:val="auto"/>
              </w:rPr>
            </w:pPr>
          </w:p>
        </w:tc>
        <w:tc>
          <w:tcPr>
            <w:tcW w:w="3840" w:type="dxa"/>
            <w:vAlign w:val="bottom"/>
          </w:tcPr>
          <w:p>
            <w:pPr>
              <w:ind w:left="40"/>
              <w:spacing w:after="0"/>
              <w:rPr>
                <w:sz w:val="20"/>
                <w:szCs w:val="20"/>
                <w:color w:val="auto"/>
              </w:rPr>
            </w:pPr>
            <w:r>
              <w:rPr>
                <w:rFonts w:ascii="Arial" w:cs="Arial" w:eastAsia="Arial" w:hAnsi="Arial"/>
                <w:sz w:val="12"/>
                <w:szCs w:val="12"/>
                <w:color w:val="auto"/>
                <w:w w:val="96"/>
              </w:rPr>
              <w:t>compensation decisions and incentive design and to effectively support its</w:t>
            </w:r>
          </w:p>
        </w:tc>
        <w:tc>
          <w:tcPr>
            <w:tcW w:w="0" w:type="dxa"/>
            <w:vAlign w:val="bottom"/>
          </w:tcPr>
          <w:p>
            <w:pPr>
              <w:spacing w:after="0"/>
              <w:rPr>
                <w:sz w:val="1"/>
                <w:szCs w:val="1"/>
                <w:color w:val="auto"/>
              </w:rPr>
            </w:pPr>
          </w:p>
        </w:tc>
      </w:tr>
      <w:tr>
        <w:trPr>
          <w:trHeight w:val="152"/>
        </w:trPr>
        <w:tc>
          <w:tcPr>
            <w:tcW w:w="20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40" w:type="dxa"/>
            <w:vAlign w:val="bottom"/>
          </w:tcPr>
          <w:p>
            <w:pPr>
              <w:ind w:left="40"/>
              <w:spacing w:after="0"/>
              <w:rPr>
                <w:sz w:val="20"/>
                <w:szCs w:val="20"/>
                <w:color w:val="auto"/>
              </w:rPr>
            </w:pPr>
            <w:r>
              <w:rPr>
                <w:rFonts w:ascii="Arial" w:cs="Arial" w:eastAsia="Arial" w:hAnsi="Arial"/>
                <w:sz w:val="12"/>
                <w:szCs w:val="12"/>
                <w:color w:val="auto"/>
              </w:rPr>
              <w:t xml:space="preserve">pay-for-performance policy (see </w:t>
            </w:r>
            <w:r>
              <w:rPr>
                <w:rFonts w:ascii="Arial" w:cs="Arial" w:eastAsia="Arial" w:hAnsi="Arial"/>
                <w:sz w:val="12"/>
                <w:szCs w:val="12"/>
                <w:i w:val="1"/>
                <w:iCs w:val="1"/>
                <w:color w:val="auto"/>
              </w:rPr>
              <w:t>Compensation Objectives</w:t>
            </w: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86"/>
        </w:trPr>
        <w:tc>
          <w:tcPr>
            <w:tcW w:w="208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8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80" w:type="dxa"/>
            <w:vAlign w:val="bottom"/>
            <w:tcBorders>
              <w:right w:val="single" w:sz="8" w:color="auto"/>
            </w:tcBorders>
            <w:vMerge w:val="restart"/>
          </w:tcPr>
          <w:p>
            <w:pPr>
              <w:ind w:left="60"/>
              <w:spacing w:after="0"/>
              <w:rPr>
                <w:sz w:val="20"/>
                <w:szCs w:val="20"/>
                <w:color w:val="auto"/>
              </w:rPr>
            </w:pPr>
            <w:r>
              <w:rPr>
                <w:rFonts w:ascii="Arial" w:cs="Arial" w:eastAsia="Arial" w:hAnsi="Arial"/>
                <w:sz w:val="12"/>
                <w:szCs w:val="12"/>
                <w:b w:val="1"/>
                <w:bCs w:val="1"/>
                <w:i w:val="1"/>
                <w:iCs w:val="1"/>
                <w:color w:val="auto"/>
                <w:w w:val="86"/>
              </w:rPr>
              <w:t>Non-binding Shareholder Advisory Vote</w:t>
            </w: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3840" w:type="dxa"/>
            <w:vAlign w:val="bottom"/>
          </w:tcPr>
          <w:p>
            <w:pPr>
              <w:ind w:left="40"/>
              <w:spacing w:after="0"/>
              <w:rPr>
                <w:sz w:val="20"/>
                <w:szCs w:val="20"/>
                <w:color w:val="auto"/>
              </w:rPr>
            </w:pPr>
            <w:r>
              <w:rPr>
                <w:rFonts w:ascii="Arial" w:cs="Arial" w:eastAsia="Arial" w:hAnsi="Arial"/>
                <w:sz w:val="12"/>
                <w:szCs w:val="12"/>
                <w:color w:val="auto"/>
              </w:rPr>
              <w:t>The Corporation annually holds an advisory vote on executive</w:t>
            </w:r>
          </w:p>
        </w:tc>
        <w:tc>
          <w:tcPr>
            <w:tcW w:w="0" w:type="dxa"/>
            <w:vAlign w:val="bottom"/>
          </w:tcPr>
          <w:p>
            <w:pPr>
              <w:spacing w:after="0"/>
              <w:rPr>
                <w:sz w:val="1"/>
                <w:szCs w:val="1"/>
                <w:color w:val="auto"/>
              </w:rPr>
            </w:pPr>
          </w:p>
        </w:tc>
      </w:tr>
      <w:tr>
        <w:trPr>
          <w:trHeight w:val="100"/>
        </w:trPr>
        <w:tc>
          <w:tcPr>
            <w:tcW w:w="2080" w:type="dxa"/>
            <w:vAlign w:val="bottom"/>
            <w:tcBorders>
              <w:right w:val="single" w:sz="8" w:color="auto"/>
            </w:tcBorders>
            <w:vMerge w:val="continue"/>
          </w:tcPr>
          <w:p>
            <w:pPr>
              <w:spacing w:after="0"/>
              <w:rPr>
                <w:sz w:val="8"/>
                <w:szCs w:val="8"/>
                <w:color w:val="auto"/>
              </w:rPr>
            </w:pPr>
          </w:p>
        </w:tc>
        <w:tc>
          <w:tcPr>
            <w:tcW w:w="140" w:type="dxa"/>
            <w:vAlign w:val="bottom"/>
          </w:tcPr>
          <w:p>
            <w:pPr>
              <w:spacing w:after="0"/>
              <w:rPr>
                <w:sz w:val="8"/>
                <w:szCs w:val="8"/>
                <w:color w:val="auto"/>
              </w:rPr>
            </w:pPr>
          </w:p>
        </w:tc>
        <w:tc>
          <w:tcPr>
            <w:tcW w:w="3840" w:type="dxa"/>
            <w:vAlign w:val="bottom"/>
            <w:vMerge w:val="restart"/>
          </w:tcPr>
          <w:p>
            <w:pPr>
              <w:ind w:left="40"/>
              <w:spacing w:after="0"/>
              <w:rPr>
                <w:sz w:val="20"/>
                <w:szCs w:val="20"/>
                <w:color w:val="auto"/>
              </w:rPr>
            </w:pPr>
            <w:r>
              <w:rPr>
                <w:rFonts w:ascii="Arial" w:cs="Arial" w:eastAsia="Arial" w:hAnsi="Arial"/>
                <w:sz w:val="12"/>
                <w:szCs w:val="12"/>
                <w:color w:val="auto"/>
                <w:w w:val="98"/>
              </w:rPr>
              <w:t>compensation, allowing shareholders to express approval or disapproval</w:t>
            </w:r>
          </w:p>
        </w:tc>
        <w:tc>
          <w:tcPr>
            <w:tcW w:w="0" w:type="dxa"/>
            <w:vAlign w:val="bottom"/>
          </w:tcPr>
          <w:p>
            <w:pPr>
              <w:spacing w:after="0"/>
              <w:rPr>
                <w:sz w:val="1"/>
                <w:szCs w:val="1"/>
                <w:color w:val="auto"/>
              </w:rPr>
            </w:pPr>
          </w:p>
        </w:tc>
      </w:tr>
      <w:tr>
        <w:trPr>
          <w:trHeight w:val="40"/>
        </w:trPr>
        <w:tc>
          <w:tcPr>
            <w:tcW w:w="2080" w:type="dxa"/>
            <w:vAlign w:val="bottom"/>
            <w:tcBorders>
              <w:right w:val="single" w:sz="8" w:color="auto"/>
            </w:tcBorders>
            <w:vMerge w:val="restart"/>
          </w:tcPr>
          <w:p>
            <w:pPr>
              <w:ind w:left="60"/>
              <w:spacing w:after="0"/>
              <w:rPr>
                <w:sz w:val="20"/>
                <w:szCs w:val="20"/>
                <w:color w:val="auto"/>
              </w:rPr>
            </w:pPr>
            <w:r>
              <w:rPr>
                <w:rFonts w:ascii="Arial" w:cs="Arial" w:eastAsia="Arial" w:hAnsi="Arial"/>
                <w:sz w:val="12"/>
                <w:szCs w:val="12"/>
                <w:b w:val="1"/>
                <w:bCs w:val="1"/>
                <w:i w:val="1"/>
                <w:iCs w:val="1"/>
                <w:color w:val="auto"/>
              </w:rPr>
              <w:t>on Executive Compensation</w:t>
            </w:r>
          </w:p>
        </w:tc>
        <w:tc>
          <w:tcPr>
            <w:tcW w:w="140" w:type="dxa"/>
            <w:vAlign w:val="bottom"/>
          </w:tcPr>
          <w:p>
            <w:pPr>
              <w:spacing w:after="0"/>
              <w:rPr>
                <w:sz w:val="3"/>
                <w:szCs w:val="3"/>
                <w:color w:val="auto"/>
              </w:rPr>
            </w:pPr>
          </w:p>
        </w:tc>
        <w:tc>
          <w:tcPr>
            <w:tcW w:w="3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3"/>
        </w:trPr>
        <w:tc>
          <w:tcPr>
            <w:tcW w:w="2080" w:type="dxa"/>
            <w:vAlign w:val="bottom"/>
            <w:tcBorders>
              <w:right w:val="single" w:sz="8" w:color="auto"/>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3840" w:type="dxa"/>
            <w:vAlign w:val="bottom"/>
            <w:vMerge w:val="restart"/>
          </w:tcPr>
          <w:p>
            <w:pPr>
              <w:ind w:left="40"/>
              <w:spacing w:after="0"/>
              <w:rPr>
                <w:sz w:val="20"/>
                <w:szCs w:val="20"/>
                <w:color w:val="auto"/>
              </w:rPr>
            </w:pPr>
            <w:r>
              <w:rPr>
                <w:rFonts w:ascii="Arial" w:cs="Arial" w:eastAsia="Arial" w:hAnsi="Arial"/>
                <w:sz w:val="12"/>
                <w:szCs w:val="12"/>
                <w:color w:val="auto"/>
              </w:rPr>
              <w:t>of its approach to executive compensation.</w:t>
            </w:r>
          </w:p>
        </w:tc>
        <w:tc>
          <w:tcPr>
            <w:tcW w:w="0" w:type="dxa"/>
            <w:vAlign w:val="bottom"/>
          </w:tcPr>
          <w:p>
            <w:pPr>
              <w:spacing w:after="0"/>
              <w:rPr>
                <w:sz w:val="1"/>
                <w:szCs w:val="1"/>
                <w:color w:val="auto"/>
              </w:rPr>
            </w:pPr>
          </w:p>
        </w:tc>
      </w:tr>
      <w:tr>
        <w:trPr>
          <w:trHeight w:val="40"/>
        </w:trPr>
        <w:tc>
          <w:tcPr>
            <w:tcW w:w="2080" w:type="dxa"/>
            <w:vAlign w:val="bottom"/>
            <w:tcBorders>
              <w:right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3"/>
        </w:trPr>
        <w:tc>
          <w:tcPr>
            <w:tcW w:w="2080" w:type="dxa"/>
            <w:vAlign w:val="bottom"/>
            <w:tcBorders>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80" w:type="dxa"/>
            <w:vAlign w:val="bottom"/>
            <w:tcBorders>
              <w:right w:val="single" w:sz="8" w:color="auto"/>
            </w:tcBorders>
          </w:tcPr>
          <w:p>
            <w:pPr>
              <w:spacing w:after="0"/>
              <w:rPr>
                <w:sz w:val="14"/>
                <w:szCs w:val="14"/>
                <w:color w:val="auto"/>
              </w:rPr>
            </w:pP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3840" w:type="dxa"/>
            <w:vAlign w:val="bottom"/>
          </w:tcPr>
          <w:p>
            <w:pPr>
              <w:ind w:left="40"/>
              <w:spacing w:after="0"/>
              <w:rPr>
                <w:sz w:val="20"/>
                <w:szCs w:val="20"/>
                <w:color w:val="auto"/>
              </w:rPr>
            </w:pPr>
            <w:r>
              <w:rPr>
                <w:rFonts w:ascii="Arial" w:cs="Arial" w:eastAsia="Arial" w:hAnsi="Arial"/>
                <w:sz w:val="12"/>
                <w:szCs w:val="12"/>
                <w:color w:val="auto"/>
                <w:w w:val="97"/>
              </w:rPr>
              <w:t>Each year, the Corporation reviews and sets performance measures and</w:t>
            </w:r>
          </w:p>
        </w:tc>
        <w:tc>
          <w:tcPr>
            <w:tcW w:w="0" w:type="dxa"/>
            <w:vAlign w:val="bottom"/>
          </w:tcPr>
          <w:p>
            <w:pPr>
              <w:spacing w:after="0"/>
              <w:rPr>
                <w:sz w:val="1"/>
                <w:szCs w:val="1"/>
                <w:color w:val="auto"/>
              </w:rPr>
            </w:pPr>
          </w:p>
        </w:tc>
      </w:tr>
      <w:tr>
        <w:trPr>
          <w:trHeight w:val="139"/>
        </w:trPr>
        <w:tc>
          <w:tcPr>
            <w:tcW w:w="20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840" w:type="dxa"/>
            <w:vAlign w:val="bottom"/>
          </w:tcPr>
          <w:p>
            <w:pPr>
              <w:ind w:left="40"/>
              <w:spacing w:after="0"/>
              <w:rPr>
                <w:sz w:val="20"/>
                <w:szCs w:val="20"/>
                <w:color w:val="auto"/>
              </w:rPr>
            </w:pPr>
            <w:r>
              <w:rPr>
                <w:rFonts w:ascii="Arial" w:cs="Arial" w:eastAsia="Arial" w:hAnsi="Arial"/>
                <w:sz w:val="12"/>
                <w:szCs w:val="12"/>
                <w:color w:val="auto"/>
                <w:w w:val="96"/>
              </w:rPr>
              <w:t>targets for the CTI and for PSU grants under the long-term incentive plans</w:t>
            </w:r>
          </w:p>
        </w:tc>
        <w:tc>
          <w:tcPr>
            <w:tcW w:w="0" w:type="dxa"/>
            <w:vAlign w:val="bottom"/>
          </w:tcPr>
          <w:p>
            <w:pPr>
              <w:spacing w:after="0"/>
              <w:rPr>
                <w:sz w:val="1"/>
                <w:szCs w:val="1"/>
                <w:color w:val="auto"/>
              </w:rPr>
            </w:pPr>
          </w:p>
        </w:tc>
      </w:tr>
      <w:tr>
        <w:trPr>
          <w:trHeight w:val="139"/>
        </w:trPr>
        <w:tc>
          <w:tcPr>
            <w:tcW w:w="20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840" w:type="dxa"/>
            <w:vAlign w:val="bottom"/>
          </w:tcPr>
          <w:p>
            <w:pPr>
              <w:ind w:left="40"/>
              <w:spacing w:after="0"/>
              <w:rPr>
                <w:sz w:val="20"/>
                <w:szCs w:val="20"/>
                <w:color w:val="auto"/>
              </w:rPr>
            </w:pPr>
            <w:r>
              <w:rPr>
                <w:rFonts w:ascii="Arial" w:cs="Arial" w:eastAsia="Arial" w:hAnsi="Arial"/>
                <w:sz w:val="12"/>
                <w:szCs w:val="12"/>
                <w:color w:val="auto"/>
                <w:w w:val="99"/>
              </w:rPr>
              <w:t>that are aligned with the business plan and the Corporation’s risk profile</w:t>
            </w:r>
          </w:p>
        </w:tc>
        <w:tc>
          <w:tcPr>
            <w:tcW w:w="0" w:type="dxa"/>
            <w:vAlign w:val="bottom"/>
          </w:tcPr>
          <w:p>
            <w:pPr>
              <w:spacing w:after="0"/>
              <w:rPr>
                <w:sz w:val="1"/>
                <w:szCs w:val="1"/>
                <w:color w:val="auto"/>
              </w:rPr>
            </w:pPr>
          </w:p>
        </w:tc>
      </w:tr>
      <w:tr>
        <w:trPr>
          <w:trHeight w:val="152"/>
        </w:trPr>
        <w:tc>
          <w:tcPr>
            <w:tcW w:w="2080" w:type="dxa"/>
            <w:vAlign w:val="bottom"/>
            <w:tcBorders>
              <w:right w:val="single" w:sz="8" w:color="auto"/>
            </w:tcBorders>
            <w:vMerge w:val="restart"/>
          </w:tcPr>
          <w:p>
            <w:pPr>
              <w:ind w:left="60"/>
              <w:spacing w:after="0"/>
              <w:rPr>
                <w:sz w:val="20"/>
                <w:szCs w:val="20"/>
                <w:color w:val="auto"/>
              </w:rPr>
            </w:pPr>
            <w:r>
              <w:rPr>
                <w:rFonts w:ascii="Arial" w:cs="Arial" w:eastAsia="Arial" w:hAnsi="Arial"/>
                <w:sz w:val="12"/>
                <w:szCs w:val="12"/>
                <w:b w:val="1"/>
                <w:bCs w:val="1"/>
                <w:i w:val="1"/>
                <w:iCs w:val="1"/>
                <w:color w:val="auto"/>
                <w:w w:val="92"/>
              </w:rPr>
              <w:t>Annual Review of Incentive Programs</w:t>
            </w:r>
          </w:p>
        </w:tc>
        <w:tc>
          <w:tcPr>
            <w:tcW w:w="140" w:type="dxa"/>
            <w:vAlign w:val="bottom"/>
          </w:tcPr>
          <w:p>
            <w:pPr>
              <w:spacing w:after="0"/>
              <w:rPr>
                <w:sz w:val="13"/>
                <w:szCs w:val="13"/>
                <w:color w:val="auto"/>
              </w:rPr>
            </w:pPr>
          </w:p>
        </w:tc>
        <w:tc>
          <w:tcPr>
            <w:tcW w:w="3840" w:type="dxa"/>
            <w:vAlign w:val="bottom"/>
          </w:tcPr>
          <w:p>
            <w:pPr>
              <w:ind w:left="40"/>
              <w:spacing w:after="0"/>
              <w:rPr>
                <w:sz w:val="20"/>
                <w:szCs w:val="20"/>
                <w:color w:val="auto"/>
              </w:rPr>
            </w:pPr>
            <w:r>
              <w:rPr>
                <w:rFonts w:ascii="Arial" w:cs="Arial" w:eastAsia="Arial" w:hAnsi="Arial"/>
                <w:sz w:val="12"/>
                <w:szCs w:val="12"/>
                <w:color w:val="auto"/>
              </w:rPr>
              <w:t>to ensure continued relevance and applicability.</w:t>
            </w:r>
          </w:p>
        </w:tc>
        <w:tc>
          <w:tcPr>
            <w:tcW w:w="0" w:type="dxa"/>
            <w:vAlign w:val="bottom"/>
          </w:tcPr>
          <w:p>
            <w:pPr>
              <w:spacing w:after="0"/>
              <w:rPr>
                <w:sz w:val="1"/>
                <w:szCs w:val="1"/>
                <w:color w:val="auto"/>
              </w:rPr>
            </w:pPr>
          </w:p>
        </w:tc>
      </w:tr>
      <w:tr>
        <w:trPr>
          <w:trHeight w:val="110"/>
        </w:trPr>
        <w:tc>
          <w:tcPr>
            <w:tcW w:w="2080" w:type="dxa"/>
            <w:vAlign w:val="bottom"/>
            <w:tcBorders>
              <w:right w:val="single" w:sz="8" w:color="auto"/>
            </w:tcBorders>
            <w:vMerge w:val="continue"/>
          </w:tcPr>
          <w:p>
            <w:pPr>
              <w:spacing w:after="0"/>
              <w:rPr>
                <w:sz w:val="9"/>
                <w:szCs w:val="9"/>
                <w:color w:val="auto"/>
              </w:rPr>
            </w:pPr>
          </w:p>
        </w:tc>
        <w:tc>
          <w:tcPr>
            <w:tcW w:w="140" w:type="dxa"/>
            <w:vAlign w:val="bottom"/>
            <w:vMerge w:val="restart"/>
          </w:tcPr>
          <w:p>
            <w:pPr>
              <w:ind w:left="60"/>
              <w:spacing w:after="0"/>
              <w:rPr>
                <w:sz w:val="20"/>
                <w:szCs w:val="20"/>
                <w:color w:val="auto"/>
              </w:rPr>
            </w:pPr>
            <w:r>
              <w:rPr>
                <w:rFonts w:ascii="Arial" w:cs="Arial" w:eastAsia="Arial" w:hAnsi="Arial"/>
                <w:sz w:val="12"/>
                <w:szCs w:val="12"/>
                <w:color w:val="auto"/>
              </w:rPr>
              <w:t>•</w:t>
            </w:r>
          </w:p>
        </w:tc>
        <w:tc>
          <w:tcPr>
            <w:tcW w:w="3840" w:type="dxa"/>
            <w:vAlign w:val="bottom"/>
            <w:vMerge w:val="restart"/>
          </w:tcPr>
          <w:p>
            <w:pPr>
              <w:ind w:left="40"/>
              <w:spacing w:after="0"/>
              <w:rPr>
                <w:sz w:val="20"/>
                <w:szCs w:val="20"/>
                <w:color w:val="auto"/>
              </w:rPr>
            </w:pPr>
            <w:r>
              <w:rPr>
                <w:rFonts w:ascii="Arial" w:cs="Arial" w:eastAsia="Arial" w:hAnsi="Arial"/>
                <w:sz w:val="12"/>
                <w:szCs w:val="12"/>
                <w:color w:val="auto"/>
                <w:w w:val="96"/>
              </w:rPr>
              <w:t>When new compensation programs are considered, they are stress-tested</w:t>
            </w:r>
          </w:p>
        </w:tc>
        <w:tc>
          <w:tcPr>
            <w:tcW w:w="0" w:type="dxa"/>
            <w:vAlign w:val="bottom"/>
          </w:tcPr>
          <w:p>
            <w:pPr>
              <w:spacing w:after="0"/>
              <w:rPr>
                <w:sz w:val="1"/>
                <w:szCs w:val="1"/>
                <w:color w:val="auto"/>
              </w:rPr>
            </w:pPr>
          </w:p>
        </w:tc>
      </w:tr>
      <w:tr>
        <w:trPr>
          <w:trHeight w:val="47"/>
        </w:trPr>
        <w:tc>
          <w:tcPr>
            <w:tcW w:w="2080" w:type="dxa"/>
            <w:vAlign w:val="bottom"/>
            <w:tcBorders>
              <w:right w:val="single" w:sz="8" w:color="auto"/>
            </w:tcBorders>
          </w:tcPr>
          <w:p>
            <w:pPr>
              <w:spacing w:after="0"/>
              <w:rPr>
                <w:sz w:val="4"/>
                <w:szCs w:val="4"/>
                <w:color w:val="auto"/>
              </w:rPr>
            </w:pPr>
          </w:p>
        </w:tc>
        <w:tc>
          <w:tcPr>
            <w:tcW w:w="140" w:type="dxa"/>
            <w:vAlign w:val="bottom"/>
            <w:vMerge w:val="continue"/>
          </w:tcPr>
          <w:p>
            <w:pPr>
              <w:spacing w:after="0"/>
              <w:rPr>
                <w:sz w:val="4"/>
                <w:szCs w:val="4"/>
                <w:color w:val="auto"/>
              </w:rPr>
            </w:pPr>
          </w:p>
        </w:tc>
        <w:tc>
          <w:tcPr>
            <w:tcW w:w="3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20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840" w:type="dxa"/>
            <w:vAlign w:val="bottom"/>
          </w:tcPr>
          <w:p>
            <w:pPr>
              <w:ind w:left="40"/>
              <w:spacing w:after="0"/>
              <w:rPr>
                <w:sz w:val="20"/>
                <w:szCs w:val="20"/>
                <w:color w:val="auto"/>
              </w:rPr>
            </w:pPr>
            <w:r>
              <w:rPr>
                <w:rFonts w:ascii="Arial" w:cs="Arial" w:eastAsia="Arial" w:hAnsi="Arial"/>
                <w:sz w:val="12"/>
                <w:szCs w:val="12"/>
                <w:color w:val="auto"/>
                <w:w w:val="97"/>
              </w:rPr>
              <w:t>to ensure potential payouts would be reasonable within the context of the</w:t>
            </w:r>
          </w:p>
        </w:tc>
        <w:tc>
          <w:tcPr>
            <w:tcW w:w="0" w:type="dxa"/>
            <w:vAlign w:val="bottom"/>
          </w:tcPr>
          <w:p>
            <w:pPr>
              <w:spacing w:after="0"/>
              <w:rPr>
                <w:sz w:val="1"/>
                <w:szCs w:val="1"/>
                <w:color w:val="auto"/>
              </w:rPr>
            </w:pPr>
          </w:p>
        </w:tc>
      </w:tr>
      <w:tr>
        <w:trPr>
          <w:trHeight w:val="139"/>
        </w:trPr>
        <w:tc>
          <w:tcPr>
            <w:tcW w:w="20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840" w:type="dxa"/>
            <w:vAlign w:val="bottom"/>
          </w:tcPr>
          <w:p>
            <w:pPr>
              <w:ind w:left="40"/>
              <w:spacing w:after="0"/>
              <w:rPr>
                <w:sz w:val="20"/>
                <w:szCs w:val="20"/>
                <w:color w:val="auto"/>
              </w:rPr>
            </w:pPr>
            <w:r>
              <w:rPr>
                <w:rFonts w:ascii="Arial" w:cs="Arial" w:eastAsia="Arial" w:hAnsi="Arial"/>
                <w:sz w:val="12"/>
                <w:szCs w:val="12"/>
                <w:color w:val="auto"/>
                <w:w w:val="98"/>
              </w:rPr>
              <w:t>full range of performance outcomes. CEO compensation is stress-tested</w:t>
            </w:r>
          </w:p>
        </w:tc>
        <w:tc>
          <w:tcPr>
            <w:tcW w:w="0" w:type="dxa"/>
            <w:vAlign w:val="bottom"/>
          </w:tcPr>
          <w:p>
            <w:pPr>
              <w:spacing w:after="0"/>
              <w:rPr>
                <w:sz w:val="1"/>
                <w:szCs w:val="1"/>
                <w:color w:val="auto"/>
              </w:rPr>
            </w:pPr>
          </w:p>
        </w:tc>
      </w:tr>
      <w:tr>
        <w:trPr>
          <w:trHeight w:val="152"/>
        </w:trPr>
        <w:tc>
          <w:tcPr>
            <w:tcW w:w="20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40" w:type="dxa"/>
            <w:vAlign w:val="bottom"/>
          </w:tcPr>
          <w:p>
            <w:pPr>
              <w:ind w:left="40"/>
              <w:spacing w:after="0"/>
              <w:rPr>
                <w:sz w:val="20"/>
                <w:szCs w:val="20"/>
                <w:color w:val="auto"/>
              </w:rPr>
            </w:pPr>
            <w:r>
              <w:rPr>
                <w:rFonts w:ascii="Arial" w:cs="Arial" w:eastAsia="Arial" w:hAnsi="Arial"/>
                <w:sz w:val="12"/>
                <w:szCs w:val="12"/>
                <w:color w:val="auto"/>
                <w:w w:val="99"/>
              </w:rPr>
              <w:t>annually in addition to any stress-tests for new compensation programs.</w:t>
            </w:r>
          </w:p>
        </w:tc>
        <w:tc>
          <w:tcPr>
            <w:tcW w:w="0" w:type="dxa"/>
            <w:vAlign w:val="bottom"/>
          </w:tcPr>
          <w:p>
            <w:pPr>
              <w:spacing w:after="0"/>
              <w:rPr>
                <w:sz w:val="1"/>
                <w:szCs w:val="1"/>
                <w:color w:val="auto"/>
              </w:rPr>
            </w:pPr>
          </w:p>
        </w:tc>
      </w:tr>
      <w:tr>
        <w:trPr>
          <w:trHeight w:val="83"/>
        </w:trPr>
        <w:tc>
          <w:tcPr>
            <w:tcW w:w="208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8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54" w:name="page55"/>
    <w:bookmarkEnd w:id="54"/>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86" w:lineRule="exact"/>
        <w:rPr>
          <w:sz w:val="20"/>
          <w:szCs w:val="20"/>
          <w:color w:val="auto"/>
        </w:rPr>
      </w:pPr>
    </w:p>
    <w:tbl>
      <w:tblPr>
        <w:tblLayout w:type="fixed"/>
        <w:tblInd w:w="1490" w:type="dxa"/>
        <w:tblCellMar>
          <w:top w:w="0" w:type="dxa"/>
          <w:left w:w="0" w:type="dxa"/>
          <w:bottom w:w="0" w:type="dxa"/>
          <w:right w:w="0" w:type="dxa"/>
        </w:tblCellMar>
      </w:tblPr>
      <w:tr>
        <w:trPr>
          <w:trHeight w:val="202"/>
        </w:trPr>
        <w:tc>
          <w:tcPr>
            <w:tcW w:w="2080" w:type="dxa"/>
            <w:vAlign w:val="bottom"/>
            <w:tcBorders>
              <w:top w:val="single" w:sz="8" w:color="auto"/>
              <w:left w:val="single" w:sz="8" w:color="auto"/>
              <w:right w:val="single" w:sz="8" w:color="auto"/>
            </w:tcBorders>
          </w:tcPr>
          <w:p>
            <w:pPr>
              <w:spacing w:after="0"/>
              <w:rPr>
                <w:sz w:val="17"/>
                <w:szCs w:val="17"/>
                <w:color w:val="auto"/>
              </w:rPr>
            </w:pPr>
          </w:p>
        </w:tc>
        <w:tc>
          <w:tcPr>
            <w:tcW w:w="140" w:type="dxa"/>
            <w:vAlign w:val="bottom"/>
            <w:tcBorders>
              <w:top w:val="single" w:sz="8" w:color="auto"/>
            </w:tcBorders>
          </w:tcPr>
          <w:p>
            <w:pPr>
              <w:ind w:left="60"/>
              <w:spacing w:after="0"/>
              <w:rPr>
                <w:sz w:val="20"/>
                <w:szCs w:val="20"/>
                <w:color w:val="auto"/>
              </w:rPr>
            </w:pPr>
            <w:r>
              <w:rPr>
                <w:rFonts w:ascii="Arial" w:cs="Arial" w:eastAsia="Arial" w:hAnsi="Arial"/>
                <w:sz w:val="12"/>
                <w:szCs w:val="12"/>
                <w:color w:val="auto"/>
              </w:rPr>
              <w:t>•</w:t>
            </w:r>
          </w:p>
        </w:tc>
        <w:tc>
          <w:tcPr>
            <w:tcW w:w="38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2"/>
                <w:szCs w:val="12"/>
                <w:color w:val="auto"/>
                <w:w w:val="99"/>
              </w:rPr>
              <w:t>On an ongoing basis, the HRCC retains the services of an independent</w:t>
            </w:r>
          </w:p>
        </w:tc>
        <w:tc>
          <w:tcPr>
            <w:tcW w:w="0" w:type="dxa"/>
            <w:vAlign w:val="bottom"/>
          </w:tcPr>
          <w:p>
            <w:pPr>
              <w:spacing w:after="0"/>
              <w:rPr>
                <w:sz w:val="1"/>
                <w:szCs w:val="1"/>
                <w:color w:val="auto"/>
              </w:rPr>
            </w:pPr>
          </w:p>
        </w:tc>
      </w:tr>
      <w:tr>
        <w:trPr>
          <w:trHeight w:val="139"/>
        </w:trPr>
        <w:tc>
          <w:tcPr>
            <w:tcW w:w="20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i w:val="1"/>
                <w:iCs w:val="1"/>
                <w:color w:val="auto"/>
                <w:w w:val="94"/>
              </w:rPr>
              <w:t>External Independent Compensation</w:t>
            </w:r>
          </w:p>
        </w:tc>
        <w:tc>
          <w:tcPr>
            <w:tcW w:w="140" w:type="dxa"/>
            <w:vAlign w:val="bottom"/>
          </w:tcPr>
          <w:p>
            <w:pPr>
              <w:spacing w:after="0"/>
              <w:rPr>
                <w:sz w:val="12"/>
                <w:szCs w:val="12"/>
                <w:color w:val="auto"/>
              </w:rPr>
            </w:pP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compensation advisor to provide an external perspective as to</w:t>
            </w:r>
          </w:p>
        </w:tc>
        <w:tc>
          <w:tcPr>
            <w:tcW w:w="0" w:type="dxa"/>
            <w:vAlign w:val="bottom"/>
          </w:tcPr>
          <w:p>
            <w:pPr>
              <w:spacing w:after="0"/>
              <w:rPr>
                <w:sz w:val="1"/>
                <w:szCs w:val="1"/>
                <w:color w:val="auto"/>
              </w:rPr>
            </w:pPr>
          </w:p>
        </w:tc>
      </w:tr>
      <w:tr>
        <w:trPr>
          <w:trHeight w:val="139"/>
        </w:trPr>
        <w:tc>
          <w:tcPr>
            <w:tcW w:w="20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i w:val="1"/>
                <w:iCs w:val="1"/>
                <w:color w:val="auto"/>
              </w:rPr>
              <w:t>Advisor</w:t>
            </w:r>
          </w:p>
        </w:tc>
        <w:tc>
          <w:tcPr>
            <w:tcW w:w="140" w:type="dxa"/>
            <w:vAlign w:val="bottom"/>
          </w:tcPr>
          <w:p>
            <w:pPr>
              <w:spacing w:after="0"/>
              <w:rPr>
                <w:sz w:val="12"/>
                <w:szCs w:val="12"/>
                <w:color w:val="auto"/>
              </w:rPr>
            </w:pP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6"/>
              </w:rPr>
              <w:t>marketplace changes and best practices related to compensation design,</w:t>
            </w:r>
          </w:p>
        </w:tc>
        <w:tc>
          <w:tcPr>
            <w:tcW w:w="0" w:type="dxa"/>
            <w:vAlign w:val="bottom"/>
          </w:tcPr>
          <w:p>
            <w:pPr>
              <w:spacing w:after="0"/>
              <w:rPr>
                <w:sz w:val="1"/>
                <w:szCs w:val="1"/>
                <w:color w:val="auto"/>
              </w:rPr>
            </w:pPr>
          </w:p>
        </w:tc>
      </w:tr>
      <w:tr>
        <w:trPr>
          <w:trHeight w:val="152"/>
        </w:trPr>
        <w:tc>
          <w:tcPr>
            <w:tcW w:w="2080" w:type="dxa"/>
            <w:vAlign w:val="bottom"/>
            <w:tcBorders>
              <w:left w:val="single" w:sz="8" w:color="auto"/>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governance and compensation risk management.</w:t>
            </w:r>
          </w:p>
        </w:tc>
        <w:tc>
          <w:tcPr>
            <w:tcW w:w="0" w:type="dxa"/>
            <w:vAlign w:val="bottom"/>
          </w:tcPr>
          <w:p>
            <w:pPr>
              <w:spacing w:after="0"/>
              <w:rPr>
                <w:sz w:val="1"/>
                <w:szCs w:val="1"/>
                <w:color w:val="auto"/>
              </w:rPr>
            </w:pPr>
          </w:p>
        </w:tc>
      </w:tr>
      <w:tr>
        <w:trPr>
          <w:trHeight w:val="83"/>
        </w:trPr>
        <w:tc>
          <w:tcPr>
            <w:tcW w:w="2080" w:type="dxa"/>
            <w:vAlign w:val="bottom"/>
            <w:tcBorders>
              <w:left w:val="single" w:sz="8" w:color="auto"/>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8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80" w:type="dxa"/>
            <w:vAlign w:val="bottom"/>
            <w:tcBorders>
              <w:left w:val="single" w:sz="8" w:color="auto"/>
              <w:right w:val="single" w:sz="8" w:color="auto"/>
            </w:tcBorders>
          </w:tcPr>
          <w:p>
            <w:pPr>
              <w:spacing w:after="0"/>
              <w:rPr>
                <w:sz w:val="14"/>
                <w:szCs w:val="14"/>
                <w:color w:val="auto"/>
              </w:rPr>
            </w:pP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7"/>
              </w:rPr>
              <w:t>All of the Corporation’s independent directors sit on the HRCC to provide</w:t>
            </w:r>
          </w:p>
        </w:tc>
        <w:tc>
          <w:tcPr>
            <w:tcW w:w="0" w:type="dxa"/>
            <w:vAlign w:val="bottom"/>
          </w:tcPr>
          <w:p>
            <w:pPr>
              <w:spacing w:after="0"/>
              <w:rPr>
                <w:sz w:val="1"/>
                <w:szCs w:val="1"/>
                <w:color w:val="auto"/>
              </w:rPr>
            </w:pPr>
          </w:p>
        </w:tc>
      </w:tr>
      <w:tr>
        <w:trPr>
          <w:trHeight w:val="146"/>
        </w:trPr>
        <w:tc>
          <w:tcPr>
            <w:tcW w:w="20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i w:val="1"/>
                <w:iCs w:val="1"/>
                <w:color w:val="auto"/>
                <w:w w:val="94"/>
              </w:rPr>
              <w:t>Overlapping Committee Membership</w:t>
            </w:r>
          </w:p>
        </w:tc>
        <w:tc>
          <w:tcPr>
            <w:tcW w:w="140" w:type="dxa"/>
            <w:vAlign w:val="bottom"/>
          </w:tcPr>
          <w:p>
            <w:pPr>
              <w:spacing w:after="0"/>
              <w:rPr>
                <w:sz w:val="12"/>
                <w:szCs w:val="12"/>
                <w:color w:val="auto"/>
              </w:rPr>
            </w:pP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7"/>
              </w:rPr>
              <w:t>continuity and to facilitate coordination between the Committee’s and the</w:t>
            </w:r>
          </w:p>
        </w:tc>
        <w:tc>
          <w:tcPr>
            <w:tcW w:w="0" w:type="dxa"/>
            <w:vAlign w:val="bottom"/>
          </w:tcPr>
          <w:p>
            <w:pPr>
              <w:spacing w:after="0"/>
              <w:rPr>
                <w:sz w:val="1"/>
                <w:szCs w:val="1"/>
                <w:color w:val="auto"/>
              </w:rPr>
            </w:pPr>
          </w:p>
        </w:tc>
      </w:tr>
      <w:tr>
        <w:trPr>
          <w:trHeight w:val="152"/>
        </w:trPr>
        <w:tc>
          <w:tcPr>
            <w:tcW w:w="2080" w:type="dxa"/>
            <w:vAlign w:val="bottom"/>
            <w:tcBorders>
              <w:left w:val="single" w:sz="8" w:color="auto"/>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Board’s respective oversight responsibilities.</w:t>
            </w:r>
          </w:p>
        </w:tc>
        <w:tc>
          <w:tcPr>
            <w:tcW w:w="0" w:type="dxa"/>
            <w:vAlign w:val="bottom"/>
          </w:tcPr>
          <w:p>
            <w:pPr>
              <w:spacing w:after="0"/>
              <w:rPr>
                <w:sz w:val="1"/>
                <w:szCs w:val="1"/>
                <w:color w:val="auto"/>
              </w:rPr>
            </w:pPr>
          </w:p>
        </w:tc>
      </w:tr>
      <w:tr>
        <w:trPr>
          <w:trHeight w:val="86"/>
        </w:trPr>
        <w:tc>
          <w:tcPr>
            <w:tcW w:w="2080" w:type="dxa"/>
            <w:vAlign w:val="bottom"/>
            <w:tcBorders>
              <w:left w:val="single" w:sz="8" w:color="auto"/>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8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2080" w:type="dxa"/>
            <w:vAlign w:val="bottom"/>
            <w:tcBorders>
              <w:left w:val="single" w:sz="8" w:color="auto"/>
              <w:bottom w:val="single" w:sz="8" w:color="auto"/>
              <w:right w:val="single" w:sz="8" w:color="CCCCCC"/>
            </w:tcBorders>
            <w:shd w:val="clear" w:color="auto" w:fill="CCCCCC"/>
          </w:tcPr>
          <w:p>
            <w:pPr>
              <w:ind w:left="60"/>
              <w:spacing w:after="0"/>
              <w:rPr>
                <w:sz w:val="20"/>
                <w:szCs w:val="20"/>
                <w:color w:val="auto"/>
              </w:rPr>
            </w:pPr>
            <w:r>
              <w:rPr>
                <w:rFonts w:ascii="Arial" w:cs="Arial" w:eastAsia="Arial" w:hAnsi="Arial"/>
                <w:sz w:val="12"/>
                <w:szCs w:val="12"/>
                <w:b w:val="1"/>
                <w:bCs w:val="1"/>
                <w:color w:val="auto"/>
              </w:rPr>
              <w:t>Compensation Program Design</w:t>
            </w:r>
          </w:p>
        </w:tc>
        <w:tc>
          <w:tcPr>
            <w:tcW w:w="140" w:type="dxa"/>
            <w:vAlign w:val="bottom"/>
            <w:tcBorders>
              <w:bottom w:val="single" w:sz="8" w:color="auto"/>
            </w:tcBorders>
            <w:shd w:val="clear" w:color="auto" w:fill="CCCCCC"/>
          </w:tcPr>
          <w:p>
            <w:pPr>
              <w:spacing w:after="0"/>
              <w:rPr>
                <w:sz w:val="12"/>
                <w:szCs w:val="12"/>
                <w:color w:val="auto"/>
              </w:rPr>
            </w:pPr>
          </w:p>
        </w:tc>
        <w:tc>
          <w:tcPr>
            <w:tcW w:w="3840" w:type="dxa"/>
            <w:vAlign w:val="bottom"/>
            <w:tcBorders>
              <w:bottom w:val="single" w:sz="8" w:color="auto"/>
              <w:right w:val="single" w:sz="8" w:color="auto"/>
            </w:tcBorders>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80" w:type="dxa"/>
            <w:vAlign w:val="bottom"/>
            <w:tcBorders>
              <w:left w:val="single" w:sz="8" w:color="auto"/>
              <w:right w:val="single" w:sz="8" w:color="auto"/>
            </w:tcBorders>
          </w:tcPr>
          <w:p>
            <w:pPr>
              <w:spacing w:after="0"/>
              <w:rPr>
                <w:sz w:val="14"/>
                <w:szCs w:val="14"/>
                <w:color w:val="auto"/>
              </w:rPr>
            </w:pP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7"/>
              </w:rPr>
              <w:t>At appropriate intervals, Celestica conducts a review of its compensation</w:t>
            </w:r>
          </w:p>
        </w:tc>
        <w:tc>
          <w:tcPr>
            <w:tcW w:w="0" w:type="dxa"/>
            <w:vAlign w:val="bottom"/>
          </w:tcPr>
          <w:p>
            <w:pPr>
              <w:spacing w:after="0"/>
              <w:rPr>
                <w:sz w:val="1"/>
                <w:szCs w:val="1"/>
                <w:color w:val="auto"/>
              </w:rPr>
            </w:pPr>
          </w:p>
        </w:tc>
      </w:tr>
      <w:tr>
        <w:trPr>
          <w:trHeight w:val="146"/>
        </w:trPr>
        <w:tc>
          <w:tcPr>
            <w:tcW w:w="20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i w:val="1"/>
                <w:iCs w:val="1"/>
                <w:color w:val="auto"/>
              </w:rPr>
              <w:t>Review of Incentive Programs</w:t>
            </w:r>
          </w:p>
        </w:tc>
        <w:tc>
          <w:tcPr>
            <w:tcW w:w="140" w:type="dxa"/>
            <w:vAlign w:val="bottom"/>
          </w:tcPr>
          <w:p>
            <w:pPr>
              <w:spacing w:after="0"/>
              <w:rPr>
                <w:sz w:val="12"/>
                <w:szCs w:val="12"/>
                <w:color w:val="auto"/>
              </w:rPr>
            </w:pP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strategy, including pay philosophy and program design, in light of</w:t>
            </w:r>
          </w:p>
        </w:tc>
        <w:tc>
          <w:tcPr>
            <w:tcW w:w="0" w:type="dxa"/>
            <w:vAlign w:val="bottom"/>
          </w:tcPr>
          <w:p>
            <w:pPr>
              <w:spacing w:after="0"/>
              <w:rPr>
                <w:sz w:val="1"/>
                <w:szCs w:val="1"/>
                <w:color w:val="auto"/>
              </w:rPr>
            </w:pPr>
          </w:p>
        </w:tc>
      </w:tr>
      <w:tr>
        <w:trPr>
          <w:trHeight w:val="152"/>
        </w:trPr>
        <w:tc>
          <w:tcPr>
            <w:tcW w:w="2080" w:type="dxa"/>
            <w:vAlign w:val="bottom"/>
            <w:tcBorders>
              <w:left w:val="single" w:sz="8" w:color="auto"/>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8"/>
              </w:rPr>
              <w:t>business requirements, market practice and governance considerations.</w:t>
            </w:r>
          </w:p>
        </w:tc>
        <w:tc>
          <w:tcPr>
            <w:tcW w:w="0" w:type="dxa"/>
            <w:vAlign w:val="bottom"/>
          </w:tcPr>
          <w:p>
            <w:pPr>
              <w:spacing w:after="0"/>
              <w:rPr>
                <w:sz w:val="1"/>
                <w:szCs w:val="1"/>
                <w:color w:val="auto"/>
              </w:rPr>
            </w:pPr>
          </w:p>
        </w:tc>
      </w:tr>
      <w:tr>
        <w:trPr>
          <w:trHeight w:val="86"/>
        </w:trPr>
        <w:tc>
          <w:tcPr>
            <w:tcW w:w="2080" w:type="dxa"/>
            <w:vAlign w:val="bottom"/>
            <w:tcBorders>
              <w:left w:val="single" w:sz="8" w:color="auto"/>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8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80" w:type="dxa"/>
            <w:vAlign w:val="bottom"/>
            <w:tcBorders>
              <w:left w:val="single" w:sz="8" w:color="auto"/>
              <w:right w:val="single" w:sz="8" w:color="auto"/>
            </w:tcBorders>
          </w:tcPr>
          <w:p>
            <w:pPr>
              <w:spacing w:after="0"/>
              <w:rPr>
                <w:sz w:val="14"/>
                <w:szCs w:val="14"/>
                <w:color w:val="auto"/>
              </w:rPr>
            </w:pP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9"/>
              </w:rPr>
              <w:t>For the NEOs, a significant portion of target total direct compensation is</w:t>
            </w:r>
          </w:p>
        </w:tc>
        <w:tc>
          <w:tcPr>
            <w:tcW w:w="0" w:type="dxa"/>
            <w:vAlign w:val="bottom"/>
          </w:tcPr>
          <w:p>
            <w:pPr>
              <w:spacing w:after="0"/>
              <w:rPr>
                <w:sz w:val="1"/>
                <w:szCs w:val="1"/>
                <w:color w:val="auto"/>
              </w:rPr>
            </w:pPr>
          </w:p>
        </w:tc>
      </w:tr>
      <w:tr>
        <w:trPr>
          <w:trHeight w:val="139"/>
        </w:trPr>
        <w:tc>
          <w:tcPr>
            <w:tcW w:w="2080" w:type="dxa"/>
            <w:vAlign w:val="bottom"/>
            <w:tcBorders>
              <w:left w:val="single" w:sz="8" w:color="auto"/>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delivered through variable compensation (CTI and long-term, equity-</w:t>
            </w:r>
          </w:p>
        </w:tc>
        <w:tc>
          <w:tcPr>
            <w:tcW w:w="0" w:type="dxa"/>
            <w:vAlign w:val="bottom"/>
          </w:tcPr>
          <w:p>
            <w:pPr>
              <w:spacing w:after="0"/>
              <w:rPr>
                <w:sz w:val="1"/>
                <w:szCs w:val="1"/>
                <w:color w:val="auto"/>
              </w:rPr>
            </w:pPr>
          </w:p>
        </w:tc>
      </w:tr>
      <w:tr>
        <w:trPr>
          <w:trHeight w:val="152"/>
        </w:trPr>
        <w:tc>
          <w:tcPr>
            <w:tcW w:w="2080" w:type="dxa"/>
            <w:vAlign w:val="bottom"/>
            <w:tcBorders>
              <w:left w:val="single" w:sz="8" w:color="auto"/>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based incentive plans).</w:t>
            </w:r>
          </w:p>
        </w:tc>
        <w:tc>
          <w:tcPr>
            <w:tcW w:w="0" w:type="dxa"/>
            <w:vAlign w:val="bottom"/>
          </w:tcPr>
          <w:p>
            <w:pPr>
              <w:spacing w:after="0"/>
              <w:rPr>
                <w:sz w:val="1"/>
                <w:szCs w:val="1"/>
                <w:color w:val="auto"/>
              </w:rPr>
            </w:pPr>
          </w:p>
        </w:tc>
      </w:tr>
      <w:tr>
        <w:trPr>
          <w:trHeight w:val="146"/>
        </w:trPr>
        <w:tc>
          <w:tcPr>
            <w:tcW w:w="2080" w:type="dxa"/>
            <w:vAlign w:val="bottom"/>
            <w:tcBorders>
              <w:left w:val="single" w:sz="8" w:color="auto"/>
              <w:right w:val="single" w:sz="8" w:color="auto"/>
            </w:tcBorders>
          </w:tcPr>
          <w:p>
            <w:pPr>
              <w:spacing w:after="0"/>
              <w:rPr>
                <w:sz w:val="12"/>
                <w:szCs w:val="12"/>
                <w:color w:val="auto"/>
              </w:rPr>
            </w:pP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The majority of the value of target variable compensation is delivered</w:t>
            </w:r>
          </w:p>
        </w:tc>
        <w:tc>
          <w:tcPr>
            <w:tcW w:w="0" w:type="dxa"/>
            <w:vAlign w:val="bottom"/>
          </w:tcPr>
          <w:p>
            <w:pPr>
              <w:spacing w:after="0"/>
              <w:rPr>
                <w:sz w:val="1"/>
                <w:szCs w:val="1"/>
                <w:color w:val="auto"/>
              </w:rPr>
            </w:pPr>
          </w:p>
        </w:tc>
      </w:tr>
      <w:tr>
        <w:trPr>
          <w:trHeight w:val="139"/>
        </w:trPr>
        <w:tc>
          <w:tcPr>
            <w:tcW w:w="2080" w:type="dxa"/>
            <w:vAlign w:val="bottom"/>
            <w:tcBorders>
              <w:left w:val="single" w:sz="8" w:color="auto"/>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9"/>
              </w:rPr>
              <w:t>through grants under long-term, equity-based incentive plans which are</w:t>
            </w:r>
          </w:p>
        </w:tc>
        <w:tc>
          <w:tcPr>
            <w:tcW w:w="0" w:type="dxa"/>
            <w:vAlign w:val="bottom"/>
          </w:tcPr>
          <w:p>
            <w:pPr>
              <w:spacing w:after="0"/>
              <w:rPr>
                <w:sz w:val="1"/>
                <w:szCs w:val="1"/>
                <w:color w:val="auto"/>
              </w:rPr>
            </w:pPr>
          </w:p>
        </w:tc>
      </w:tr>
      <w:tr>
        <w:trPr>
          <w:trHeight w:val="152"/>
        </w:trPr>
        <w:tc>
          <w:tcPr>
            <w:tcW w:w="208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2"/>
                <w:szCs w:val="12"/>
                <w:b w:val="1"/>
                <w:bCs w:val="1"/>
                <w:i w:val="1"/>
                <w:iCs w:val="1"/>
                <w:color w:val="auto"/>
                <w:w w:val="94"/>
              </w:rPr>
              <w:t>Fixed versus Variable Compensation</w:t>
            </w:r>
          </w:p>
        </w:tc>
        <w:tc>
          <w:tcPr>
            <w:tcW w:w="140" w:type="dxa"/>
            <w:vAlign w:val="bottom"/>
          </w:tcPr>
          <w:p>
            <w:pPr>
              <w:spacing w:after="0"/>
              <w:rPr>
                <w:sz w:val="13"/>
                <w:szCs w:val="13"/>
                <w:color w:val="auto"/>
              </w:rPr>
            </w:pP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subject to time and/or performance vesting requirements.</w:t>
            </w:r>
          </w:p>
        </w:tc>
        <w:tc>
          <w:tcPr>
            <w:tcW w:w="0" w:type="dxa"/>
            <w:vAlign w:val="bottom"/>
          </w:tcPr>
          <w:p>
            <w:pPr>
              <w:spacing w:after="0"/>
              <w:rPr>
                <w:sz w:val="1"/>
                <w:szCs w:val="1"/>
                <w:color w:val="auto"/>
              </w:rPr>
            </w:pPr>
          </w:p>
        </w:tc>
      </w:tr>
      <w:tr>
        <w:trPr>
          <w:trHeight w:val="146"/>
        </w:trPr>
        <w:tc>
          <w:tcPr>
            <w:tcW w:w="2080" w:type="dxa"/>
            <w:vAlign w:val="bottom"/>
            <w:tcBorders>
              <w:left w:val="single" w:sz="8" w:color="auto"/>
              <w:right w:val="single" w:sz="8" w:color="auto"/>
            </w:tcBorders>
            <w:vMerge w:val="continue"/>
          </w:tcPr>
          <w:p>
            <w:pPr>
              <w:spacing w:after="0"/>
              <w:rPr>
                <w:sz w:val="12"/>
                <w:szCs w:val="12"/>
                <w:color w:val="auto"/>
              </w:rPr>
            </w:pP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7"/>
              </w:rPr>
              <w:t>The mix of variable compensation provides a strong pay-for-performance</w:t>
            </w:r>
          </w:p>
        </w:tc>
        <w:tc>
          <w:tcPr>
            <w:tcW w:w="0" w:type="dxa"/>
            <w:vAlign w:val="bottom"/>
          </w:tcPr>
          <w:p>
            <w:pPr>
              <w:spacing w:after="0"/>
              <w:rPr>
                <w:sz w:val="1"/>
                <w:szCs w:val="1"/>
                <w:color w:val="auto"/>
              </w:rPr>
            </w:pPr>
          </w:p>
        </w:tc>
      </w:tr>
      <w:tr>
        <w:trPr>
          <w:trHeight w:val="152"/>
        </w:trPr>
        <w:tc>
          <w:tcPr>
            <w:tcW w:w="2080" w:type="dxa"/>
            <w:vAlign w:val="bottom"/>
            <w:tcBorders>
              <w:left w:val="single" w:sz="8" w:color="auto"/>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relationship.</w:t>
            </w:r>
          </w:p>
        </w:tc>
        <w:tc>
          <w:tcPr>
            <w:tcW w:w="0" w:type="dxa"/>
            <w:vAlign w:val="bottom"/>
          </w:tcPr>
          <w:p>
            <w:pPr>
              <w:spacing w:after="0"/>
              <w:rPr>
                <w:sz w:val="1"/>
                <w:szCs w:val="1"/>
                <w:color w:val="auto"/>
              </w:rPr>
            </w:pPr>
          </w:p>
        </w:tc>
      </w:tr>
      <w:tr>
        <w:trPr>
          <w:trHeight w:val="156"/>
        </w:trPr>
        <w:tc>
          <w:tcPr>
            <w:tcW w:w="2080" w:type="dxa"/>
            <w:vAlign w:val="bottom"/>
            <w:tcBorders>
              <w:left w:val="single" w:sz="8" w:color="auto"/>
              <w:right w:val="single" w:sz="8" w:color="auto"/>
            </w:tcBorders>
          </w:tcPr>
          <w:p>
            <w:pPr>
              <w:spacing w:after="0"/>
              <w:rPr>
                <w:sz w:val="13"/>
                <w:szCs w:val="13"/>
                <w:color w:val="auto"/>
              </w:rPr>
            </w:pP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The NEO compensation package provides a competitive base level of</w:t>
            </w:r>
          </w:p>
        </w:tc>
        <w:tc>
          <w:tcPr>
            <w:tcW w:w="0" w:type="dxa"/>
            <w:vAlign w:val="bottom"/>
          </w:tcPr>
          <w:p>
            <w:pPr>
              <w:spacing w:after="0"/>
              <w:rPr>
                <w:sz w:val="1"/>
                <w:szCs w:val="1"/>
                <w:color w:val="auto"/>
              </w:rPr>
            </w:pPr>
          </w:p>
        </w:tc>
      </w:tr>
      <w:tr>
        <w:trPr>
          <w:trHeight w:val="139"/>
        </w:trPr>
        <w:tc>
          <w:tcPr>
            <w:tcW w:w="2080" w:type="dxa"/>
            <w:vAlign w:val="bottom"/>
            <w:tcBorders>
              <w:left w:val="single" w:sz="8" w:color="auto"/>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9"/>
              </w:rPr>
              <w:t>compensation through salary, and mitigates the risk of encouraging the</w:t>
            </w:r>
          </w:p>
        </w:tc>
        <w:tc>
          <w:tcPr>
            <w:tcW w:w="0" w:type="dxa"/>
            <w:vAlign w:val="bottom"/>
          </w:tcPr>
          <w:p>
            <w:pPr>
              <w:spacing w:after="0"/>
              <w:rPr>
                <w:sz w:val="1"/>
                <w:szCs w:val="1"/>
                <w:color w:val="auto"/>
              </w:rPr>
            </w:pPr>
          </w:p>
        </w:tc>
      </w:tr>
      <w:tr>
        <w:trPr>
          <w:trHeight w:val="139"/>
        </w:trPr>
        <w:tc>
          <w:tcPr>
            <w:tcW w:w="2080" w:type="dxa"/>
            <w:vAlign w:val="bottom"/>
            <w:tcBorders>
              <w:left w:val="single" w:sz="8" w:color="auto"/>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5"/>
              </w:rPr>
              <w:t>achievement of short-term goals at the expense of creating and sustaining</w:t>
            </w:r>
          </w:p>
        </w:tc>
        <w:tc>
          <w:tcPr>
            <w:tcW w:w="0" w:type="dxa"/>
            <w:vAlign w:val="bottom"/>
          </w:tcPr>
          <w:p>
            <w:pPr>
              <w:spacing w:after="0"/>
              <w:rPr>
                <w:sz w:val="1"/>
                <w:szCs w:val="1"/>
                <w:color w:val="auto"/>
              </w:rPr>
            </w:pPr>
          </w:p>
        </w:tc>
      </w:tr>
      <w:tr>
        <w:trPr>
          <w:trHeight w:val="139"/>
        </w:trPr>
        <w:tc>
          <w:tcPr>
            <w:tcW w:w="2080" w:type="dxa"/>
            <w:vAlign w:val="bottom"/>
            <w:tcBorders>
              <w:left w:val="single" w:sz="8" w:color="auto"/>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long-term shareholder value, as NEOs benefit if shareholder value</w:t>
            </w:r>
          </w:p>
        </w:tc>
        <w:tc>
          <w:tcPr>
            <w:tcW w:w="0" w:type="dxa"/>
            <w:vAlign w:val="bottom"/>
          </w:tcPr>
          <w:p>
            <w:pPr>
              <w:spacing w:after="0"/>
              <w:rPr>
                <w:sz w:val="1"/>
                <w:szCs w:val="1"/>
                <w:color w:val="auto"/>
              </w:rPr>
            </w:pPr>
          </w:p>
        </w:tc>
      </w:tr>
      <w:tr>
        <w:trPr>
          <w:trHeight w:val="159"/>
        </w:trPr>
        <w:tc>
          <w:tcPr>
            <w:tcW w:w="2080" w:type="dxa"/>
            <w:vAlign w:val="bottom"/>
            <w:tcBorders>
              <w:left w:val="single" w:sz="8" w:color="auto"/>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increases over the long-term.</w:t>
            </w:r>
          </w:p>
        </w:tc>
        <w:tc>
          <w:tcPr>
            <w:tcW w:w="0" w:type="dxa"/>
            <w:vAlign w:val="bottom"/>
          </w:tcPr>
          <w:p>
            <w:pPr>
              <w:spacing w:after="0"/>
              <w:rPr>
                <w:sz w:val="1"/>
                <w:szCs w:val="1"/>
                <w:color w:val="auto"/>
              </w:rPr>
            </w:pPr>
          </w:p>
        </w:tc>
      </w:tr>
      <w:tr>
        <w:trPr>
          <w:trHeight w:val="169"/>
        </w:trPr>
        <w:tc>
          <w:tcPr>
            <w:tcW w:w="2080" w:type="dxa"/>
            <w:vAlign w:val="bottom"/>
            <w:tcBorders>
              <w:left w:val="single" w:sz="8" w:color="auto"/>
              <w:right w:val="single" w:sz="8" w:color="auto"/>
            </w:tcBorders>
          </w:tcPr>
          <w:p>
            <w:pPr>
              <w:spacing w:after="0"/>
              <w:rPr>
                <w:sz w:val="14"/>
                <w:szCs w:val="14"/>
                <w:color w:val="auto"/>
              </w:rPr>
            </w:pP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Celestica’s “one-company” annual incentive plan (the CTI) helps to</w:t>
            </w:r>
          </w:p>
        </w:tc>
        <w:tc>
          <w:tcPr>
            <w:tcW w:w="0" w:type="dxa"/>
            <w:vAlign w:val="bottom"/>
          </w:tcPr>
          <w:p>
            <w:pPr>
              <w:spacing w:after="0"/>
              <w:rPr>
                <w:sz w:val="1"/>
                <w:szCs w:val="1"/>
                <w:color w:val="auto"/>
              </w:rPr>
            </w:pPr>
          </w:p>
        </w:tc>
      </w:tr>
      <w:tr>
        <w:trPr>
          <w:trHeight w:val="139"/>
        </w:trPr>
        <w:tc>
          <w:tcPr>
            <w:tcW w:w="208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2"/>
                <w:szCs w:val="12"/>
                <w:b w:val="1"/>
                <w:bCs w:val="1"/>
                <w:i w:val="1"/>
                <w:iCs w:val="1"/>
                <w:color w:val="auto"/>
                <w:w w:val="89"/>
              </w:rPr>
              <w:t>“One-company” Annual Incentive Plan</w:t>
            </w:r>
          </w:p>
        </w:tc>
        <w:tc>
          <w:tcPr>
            <w:tcW w:w="140" w:type="dxa"/>
            <w:vAlign w:val="bottom"/>
          </w:tcPr>
          <w:p>
            <w:pPr>
              <w:spacing w:after="0"/>
              <w:rPr>
                <w:sz w:val="12"/>
                <w:szCs w:val="12"/>
                <w:color w:val="auto"/>
              </w:rPr>
            </w:pP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8"/>
              </w:rPr>
              <w:t>mitigate risk-taking by tempering the results of any one business unit on</w:t>
            </w:r>
          </w:p>
        </w:tc>
        <w:tc>
          <w:tcPr>
            <w:tcW w:w="0" w:type="dxa"/>
            <w:vAlign w:val="bottom"/>
          </w:tcPr>
          <w:p>
            <w:pPr>
              <w:spacing w:after="0"/>
              <w:rPr>
                <w:sz w:val="1"/>
                <w:szCs w:val="1"/>
                <w:color w:val="auto"/>
              </w:rPr>
            </w:pPr>
          </w:p>
        </w:tc>
      </w:tr>
      <w:tr>
        <w:trPr>
          <w:trHeight w:val="139"/>
        </w:trPr>
        <w:tc>
          <w:tcPr>
            <w:tcW w:w="2080" w:type="dxa"/>
            <w:vAlign w:val="bottom"/>
            <w:tcBorders>
              <w:left w:val="single" w:sz="8" w:color="auto"/>
              <w:right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9"/>
              </w:rPr>
              <w:t>Celestica’s overall corporate performance, and aligning executives and</w:t>
            </w:r>
          </w:p>
        </w:tc>
        <w:tc>
          <w:tcPr>
            <w:tcW w:w="0" w:type="dxa"/>
            <w:vAlign w:val="bottom"/>
          </w:tcPr>
          <w:p>
            <w:pPr>
              <w:spacing w:after="0"/>
              <w:rPr>
                <w:sz w:val="1"/>
                <w:szCs w:val="1"/>
                <w:color w:val="auto"/>
              </w:rPr>
            </w:pPr>
          </w:p>
        </w:tc>
      </w:tr>
      <w:tr>
        <w:trPr>
          <w:trHeight w:val="152"/>
        </w:trPr>
        <w:tc>
          <w:tcPr>
            <w:tcW w:w="2080" w:type="dxa"/>
            <w:vAlign w:val="bottom"/>
            <w:tcBorders>
              <w:left w:val="single" w:sz="8" w:color="auto"/>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5"/>
              </w:rPr>
              <w:t>employees in the various business units and regions with corporate goals.</w:t>
            </w:r>
          </w:p>
        </w:tc>
        <w:tc>
          <w:tcPr>
            <w:tcW w:w="0" w:type="dxa"/>
            <w:vAlign w:val="bottom"/>
          </w:tcPr>
          <w:p>
            <w:pPr>
              <w:spacing w:after="0"/>
              <w:rPr>
                <w:sz w:val="1"/>
                <w:szCs w:val="1"/>
                <w:color w:val="auto"/>
              </w:rPr>
            </w:pPr>
          </w:p>
        </w:tc>
      </w:tr>
      <w:tr>
        <w:trPr>
          <w:trHeight w:val="103"/>
        </w:trPr>
        <w:tc>
          <w:tcPr>
            <w:tcW w:w="2080" w:type="dxa"/>
            <w:vAlign w:val="bottom"/>
            <w:tcBorders>
              <w:left w:val="single" w:sz="8" w:color="auto"/>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8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80" w:type="dxa"/>
            <w:vAlign w:val="bottom"/>
            <w:tcBorders>
              <w:left w:val="single" w:sz="8" w:color="auto"/>
              <w:right w:val="single" w:sz="8" w:color="auto"/>
            </w:tcBorders>
          </w:tcPr>
          <w:p>
            <w:pPr>
              <w:spacing w:after="0"/>
              <w:rPr>
                <w:sz w:val="14"/>
                <w:szCs w:val="14"/>
                <w:color w:val="auto"/>
              </w:rPr>
            </w:pP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The CTI ensures a balanced assessment of performance with ultimate</w:t>
            </w:r>
          </w:p>
        </w:tc>
        <w:tc>
          <w:tcPr>
            <w:tcW w:w="0" w:type="dxa"/>
            <w:vAlign w:val="bottom"/>
          </w:tcPr>
          <w:p>
            <w:pPr>
              <w:spacing w:after="0"/>
              <w:rPr>
                <w:sz w:val="1"/>
                <w:szCs w:val="1"/>
                <w:color w:val="auto"/>
              </w:rPr>
            </w:pPr>
          </w:p>
        </w:tc>
      </w:tr>
      <w:tr>
        <w:trPr>
          <w:trHeight w:val="152"/>
        </w:trPr>
        <w:tc>
          <w:tcPr>
            <w:tcW w:w="208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2"/>
                <w:szCs w:val="12"/>
                <w:b w:val="1"/>
                <w:bCs w:val="1"/>
                <w:i w:val="1"/>
                <w:iCs w:val="1"/>
                <w:color w:val="auto"/>
              </w:rPr>
              <w:t>Balance of Financial Performance</w:t>
            </w:r>
          </w:p>
        </w:tc>
        <w:tc>
          <w:tcPr>
            <w:tcW w:w="140" w:type="dxa"/>
            <w:vAlign w:val="bottom"/>
          </w:tcPr>
          <w:p>
            <w:pPr>
              <w:spacing w:after="0"/>
              <w:rPr>
                <w:sz w:val="13"/>
                <w:szCs w:val="13"/>
                <w:color w:val="auto"/>
              </w:rPr>
            </w:pP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payout tied to measurable corporate financial metrics.</w:t>
            </w:r>
          </w:p>
        </w:tc>
        <w:tc>
          <w:tcPr>
            <w:tcW w:w="0" w:type="dxa"/>
            <w:vAlign w:val="bottom"/>
          </w:tcPr>
          <w:p>
            <w:pPr>
              <w:spacing w:after="0"/>
              <w:rPr>
                <w:sz w:val="1"/>
                <w:szCs w:val="1"/>
                <w:color w:val="auto"/>
              </w:rPr>
            </w:pPr>
          </w:p>
        </w:tc>
      </w:tr>
      <w:tr>
        <w:trPr>
          <w:trHeight w:val="57"/>
        </w:trPr>
        <w:tc>
          <w:tcPr>
            <w:tcW w:w="2080" w:type="dxa"/>
            <w:vAlign w:val="bottom"/>
            <w:tcBorders>
              <w:left w:val="single" w:sz="8" w:color="auto"/>
              <w:right w:val="single" w:sz="8" w:color="auto"/>
            </w:tcBorders>
            <w:vMerge w:val="continue"/>
          </w:tcPr>
          <w:p>
            <w:pPr>
              <w:spacing w:after="0"/>
              <w:rPr>
                <w:sz w:val="4"/>
                <w:szCs w:val="4"/>
                <w:color w:val="auto"/>
              </w:rPr>
            </w:pPr>
          </w:p>
        </w:tc>
        <w:tc>
          <w:tcPr>
            <w:tcW w:w="140" w:type="dxa"/>
            <w:vAlign w:val="bottom"/>
            <w:vMerge w:val="restart"/>
          </w:tcPr>
          <w:p>
            <w:pPr>
              <w:ind w:left="60"/>
              <w:spacing w:after="0"/>
              <w:rPr>
                <w:sz w:val="20"/>
                <w:szCs w:val="20"/>
                <w:color w:val="auto"/>
              </w:rPr>
            </w:pPr>
            <w:r>
              <w:rPr>
                <w:rFonts w:ascii="Arial" w:cs="Arial" w:eastAsia="Arial" w:hAnsi="Arial"/>
                <w:sz w:val="12"/>
                <w:szCs w:val="12"/>
                <w:color w:val="auto"/>
              </w:rPr>
              <w:t>•</w:t>
            </w:r>
          </w:p>
        </w:tc>
        <w:tc>
          <w:tcPr>
            <w:tcW w:w="3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color w:val="auto"/>
                <w:w w:val="96"/>
              </w:rPr>
              <w:t>Individual performance is assessed based on business results, teamwork</w:t>
            </w:r>
          </w:p>
        </w:tc>
        <w:tc>
          <w:tcPr>
            <w:tcW w:w="0" w:type="dxa"/>
            <w:vAlign w:val="bottom"/>
          </w:tcPr>
          <w:p>
            <w:pPr>
              <w:spacing w:after="0"/>
              <w:rPr>
                <w:sz w:val="1"/>
                <w:szCs w:val="1"/>
                <w:color w:val="auto"/>
              </w:rPr>
            </w:pPr>
          </w:p>
        </w:tc>
      </w:tr>
      <w:tr>
        <w:trPr>
          <w:trHeight w:val="90"/>
        </w:trPr>
        <w:tc>
          <w:tcPr>
            <w:tcW w:w="208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2"/>
                <w:szCs w:val="12"/>
                <w:b w:val="1"/>
                <w:bCs w:val="1"/>
                <w:i w:val="1"/>
                <w:iCs w:val="1"/>
                <w:color w:val="auto"/>
                <w:w w:val="86"/>
              </w:rPr>
              <w:t>Metrics as well as Absolute and Relative</w:t>
            </w:r>
          </w:p>
        </w:tc>
        <w:tc>
          <w:tcPr>
            <w:tcW w:w="140" w:type="dxa"/>
            <w:vAlign w:val="bottom"/>
            <w:vMerge w:val="continue"/>
          </w:tcPr>
          <w:p>
            <w:pPr>
              <w:spacing w:after="0"/>
              <w:rPr>
                <w:sz w:val="7"/>
                <w:szCs w:val="7"/>
                <w:color w:val="auto"/>
              </w:rPr>
            </w:pPr>
          </w:p>
        </w:tc>
        <w:tc>
          <w:tcPr>
            <w:tcW w:w="38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2080" w:type="dxa"/>
            <w:vAlign w:val="bottom"/>
            <w:tcBorders>
              <w:left w:val="single" w:sz="8" w:color="auto"/>
              <w:right w:val="single" w:sz="8" w:color="auto"/>
            </w:tcBorders>
            <w:vMerge w:val="continue"/>
          </w:tcPr>
          <w:p>
            <w:pPr>
              <w:spacing w:after="0"/>
              <w:rPr>
                <w:sz w:val="4"/>
                <w:szCs w:val="4"/>
                <w:color w:val="auto"/>
              </w:rPr>
            </w:pPr>
          </w:p>
        </w:tc>
        <w:tc>
          <w:tcPr>
            <w:tcW w:w="140" w:type="dxa"/>
            <w:vAlign w:val="bottom"/>
          </w:tcPr>
          <w:p>
            <w:pPr>
              <w:spacing w:after="0"/>
              <w:rPr>
                <w:sz w:val="4"/>
                <w:szCs w:val="4"/>
                <w:color w:val="auto"/>
              </w:rPr>
            </w:pPr>
          </w:p>
        </w:tc>
        <w:tc>
          <w:tcPr>
            <w:tcW w:w="3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color w:val="auto"/>
                <w:w w:val="98"/>
              </w:rPr>
              <w:t>and key accomplishments, and market performance is captured through</w:t>
            </w:r>
          </w:p>
        </w:tc>
        <w:tc>
          <w:tcPr>
            <w:tcW w:w="0" w:type="dxa"/>
            <w:vAlign w:val="bottom"/>
          </w:tcPr>
          <w:p>
            <w:pPr>
              <w:spacing w:after="0"/>
              <w:rPr>
                <w:sz w:val="1"/>
                <w:szCs w:val="1"/>
                <w:color w:val="auto"/>
              </w:rPr>
            </w:pPr>
          </w:p>
        </w:tc>
      </w:tr>
      <w:tr>
        <w:trPr>
          <w:trHeight w:val="90"/>
        </w:trPr>
        <w:tc>
          <w:tcPr>
            <w:tcW w:w="208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2"/>
                <w:szCs w:val="12"/>
                <w:b w:val="1"/>
                <w:bCs w:val="1"/>
                <w:i w:val="1"/>
                <w:iCs w:val="1"/>
                <w:color w:val="auto"/>
              </w:rPr>
              <w:t>Performance Metrics</w:t>
            </w:r>
          </w:p>
        </w:tc>
        <w:tc>
          <w:tcPr>
            <w:tcW w:w="140" w:type="dxa"/>
            <w:vAlign w:val="bottom"/>
          </w:tcPr>
          <w:p>
            <w:pPr>
              <w:spacing w:after="0"/>
              <w:rPr>
                <w:sz w:val="7"/>
                <w:szCs w:val="7"/>
                <w:color w:val="auto"/>
              </w:rPr>
            </w:pPr>
          </w:p>
        </w:tc>
        <w:tc>
          <w:tcPr>
            <w:tcW w:w="38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80" w:type="dxa"/>
            <w:vAlign w:val="bottom"/>
            <w:tcBorders>
              <w:left w:val="single" w:sz="8" w:color="auto"/>
              <w:right w:val="single" w:sz="8" w:color="auto"/>
            </w:tcBorders>
            <w:vMerge w:val="continue"/>
          </w:tcPr>
          <w:p>
            <w:pPr>
              <w:spacing w:after="0"/>
              <w:rPr>
                <w:sz w:val="5"/>
                <w:szCs w:val="5"/>
                <w:color w:val="auto"/>
              </w:rPr>
            </w:pPr>
          </w:p>
        </w:tc>
        <w:tc>
          <w:tcPr>
            <w:tcW w:w="140" w:type="dxa"/>
            <w:vAlign w:val="bottom"/>
          </w:tcPr>
          <w:p>
            <w:pPr>
              <w:spacing w:after="0"/>
              <w:rPr>
                <w:sz w:val="5"/>
                <w:szCs w:val="5"/>
                <w:color w:val="auto"/>
              </w:rPr>
            </w:pPr>
          </w:p>
        </w:tc>
        <w:tc>
          <w:tcPr>
            <w:tcW w:w="3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color w:val="auto"/>
                <w:w w:val="96"/>
              </w:rPr>
              <w:t>RSUs as well as PSUs (which vest based on performance relative to both</w:t>
            </w:r>
          </w:p>
        </w:tc>
        <w:tc>
          <w:tcPr>
            <w:tcW w:w="0" w:type="dxa"/>
            <w:vAlign w:val="bottom"/>
          </w:tcPr>
          <w:p>
            <w:pPr>
              <w:spacing w:after="0"/>
              <w:rPr>
                <w:sz w:val="1"/>
                <w:szCs w:val="1"/>
                <w:color w:val="auto"/>
              </w:rPr>
            </w:pPr>
          </w:p>
        </w:tc>
      </w:tr>
      <w:tr>
        <w:trPr>
          <w:trHeight w:val="77"/>
        </w:trPr>
        <w:tc>
          <w:tcPr>
            <w:tcW w:w="2080" w:type="dxa"/>
            <w:vAlign w:val="bottom"/>
            <w:tcBorders>
              <w:left w:val="single" w:sz="8" w:color="auto"/>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38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2080" w:type="dxa"/>
            <w:vAlign w:val="bottom"/>
            <w:tcBorders>
              <w:left w:val="single" w:sz="8" w:color="auto"/>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absolute and relative financial targets).</w:t>
            </w:r>
          </w:p>
        </w:tc>
        <w:tc>
          <w:tcPr>
            <w:tcW w:w="0" w:type="dxa"/>
            <w:vAlign w:val="bottom"/>
          </w:tcPr>
          <w:p>
            <w:pPr>
              <w:spacing w:after="0"/>
              <w:rPr>
                <w:sz w:val="1"/>
                <w:szCs w:val="1"/>
                <w:color w:val="auto"/>
              </w:rPr>
            </w:pPr>
          </w:p>
        </w:tc>
      </w:tr>
      <w:tr>
        <w:trPr>
          <w:trHeight w:val="169"/>
        </w:trPr>
        <w:tc>
          <w:tcPr>
            <w:tcW w:w="2080" w:type="dxa"/>
            <w:vAlign w:val="bottom"/>
            <w:tcBorders>
              <w:left w:val="single" w:sz="8" w:color="auto"/>
              <w:right w:val="single" w:sz="8" w:color="auto"/>
            </w:tcBorders>
          </w:tcPr>
          <w:p>
            <w:pPr>
              <w:spacing w:after="0"/>
              <w:rPr>
                <w:sz w:val="14"/>
                <w:szCs w:val="14"/>
                <w:color w:val="auto"/>
              </w:rPr>
            </w:pP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7"/>
              </w:rPr>
              <w:t>A corporate profitability requirement must be met for any payout to occur</w:t>
            </w:r>
          </w:p>
        </w:tc>
        <w:tc>
          <w:tcPr>
            <w:tcW w:w="0" w:type="dxa"/>
            <w:vAlign w:val="bottom"/>
          </w:tcPr>
          <w:p>
            <w:pPr>
              <w:spacing w:after="0"/>
              <w:rPr>
                <w:sz w:val="1"/>
                <w:szCs w:val="1"/>
                <w:color w:val="auto"/>
              </w:rPr>
            </w:pPr>
          </w:p>
        </w:tc>
      </w:tr>
      <w:tr>
        <w:trPr>
          <w:trHeight w:val="152"/>
        </w:trPr>
        <w:tc>
          <w:tcPr>
            <w:tcW w:w="2080" w:type="dxa"/>
            <w:vAlign w:val="bottom"/>
            <w:tcBorders>
              <w:left w:val="single" w:sz="8" w:color="auto"/>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under the CTI.</w:t>
            </w:r>
          </w:p>
        </w:tc>
        <w:tc>
          <w:tcPr>
            <w:tcW w:w="0" w:type="dxa"/>
            <w:vAlign w:val="bottom"/>
          </w:tcPr>
          <w:p>
            <w:pPr>
              <w:spacing w:after="0"/>
              <w:rPr>
                <w:sz w:val="1"/>
                <w:szCs w:val="1"/>
                <w:color w:val="auto"/>
              </w:rPr>
            </w:pPr>
          </w:p>
        </w:tc>
      </w:tr>
      <w:tr>
        <w:trPr>
          <w:trHeight w:val="176"/>
        </w:trPr>
        <w:tc>
          <w:tcPr>
            <w:tcW w:w="20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i w:val="1"/>
                <w:iCs w:val="1"/>
                <w:color w:val="auto"/>
                <w:w w:val="93"/>
              </w:rPr>
              <w:t>Minimum Performance Requirements</w:t>
            </w: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Additionally, a second performance measure must be achieved for</w:t>
            </w:r>
          </w:p>
        </w:tc>
        <w:tc>
          <w:tcPr>
            <w:tcW w:w="0" w:type="dxa"/>
            <w:vAlign w:val="bottom"/>
          </w:tcPr>
          <w:p>
            <w:pPr>
              <w:spacing w:after="0"/>
              <w:rPr>
                <w:sz w:val="1"/>
                <w:szCs w:val="1"/>
                <w:color w:val="auto"/>
              </w:rPr>
            </w:pPr>
          </w:p>
        </w:tc>
      </w:tr>
      <w:tr>
        <w:trPr>
          <w:trHeight w:val="162"/>
        </w:trPr>
        <w:tc>
          <w:tcPr>
            <w:tcW w:w="20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i w:val="1"/>
                <w:iCs w:val="1"/>
                <w:color w:val="auto"/>
              </w:rPr>
              <w:t>and Maximum Payout Caps</w:t>
            </w:r>
          </w:p>
        </w:tc>
        <w:tc>
          <w:tcPr>
            <w:tcW w:w="140" w:type="dxa"/>
            <w:vAlign w:val="bottom"/>
          </w:tcPr>
          <w:p>
            <w:pPr>
              <w:spacing w:after="0"/>
              <w:rPr>
                <w:sz w:val="14"/>
                <w:szCs w:val="14"/>
                <w:color w:val="auto"/>
              </w:rPr>
            </w:pP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payment above target.</w:t>
            </w:r>
          </w:p>
        </w:tc>
        <w:tc>
          <w:tcPr>
            <w:tcW w:w="0" w:type="dxa"/>
            <w:vAlign w:val="bottom"/>
          </w:tcPr>
          <w:p>
            <w:pPr>
              <w:spacing w:after="0"/>
              <w:rPr>
                <w:sz w:val="1"/>
                <w:szCs w:val="1"/>
                <w:color w:val="auto"/>
              </w:rPr>
            </w:pPr>
          </w:p>
        </w:tc>
      </w:tr>
      <w:tr>
        <w:trPr>
          <w:trHeight w:val="186"/>
        </w:trPr>
        <w:tc>
          <w:tcPr>
            <w:tcW w:w="2080" w:type="dxa"/>
            <w:vAlign w:val="bottom"/>
            <w:tcBorders>
              <w:left w:val="single" w:sz="8" w:color="auto"/>
              <w:right w:val="single" w:sz="8" w:color="auto"/>
            </w:tcBorders>
          </w:tcPr>
          <w:p>
            <w:pPr>
              <w:spacing w:after="0"/>
              <w:rPr>
                <w:sz w:val="16"/>
                <w:szCs w:val="16"/>
                <w:color w:val="auto"/>
              </w:rPr>
            </w:pP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8"/>
              </w:rPr>
              <w:t>Each of the CTI and PSU payouts have a maximum payout of two times</w:t>
            </w:r>
          </w:p>
        </w:tc>
        <w:tc>
          <w:tcPr>
            <w:tcW w:w="0" w:type="dxa"/>
            <w:vAlign w:val="bottom"/>
          </w:tcPr>
          <w:p>
            <w:pPr>
              <w:spacing w:after="0"/>
              <w:rPr>
                <w:sz w:val="1"/>
                <w:szCs w:val="1"/>
                <w:color w:val="auto"/>
              </w:rPr>
            </w:pPr>
          </w:p>
        </w:tc>
      </w:tr>
      <w:tr>
        <w:trPr>
          <w:trHeight w:val="152"/>
        </w:trPr>
        <w:tc>
          <w:tcPr>
            <w:tcW w:w="2080" w:type="dxa"/>
            <w:vAlign w:val="bottom"/>
            <w:tcBorders>
              <w:left w:val="single" w:sz="8" w:color="auto"/>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target.</w:t>
            </w:r>
          </w:p>
        </w:tc>
        <w:tc>
          <w:tcPr>
            <w:tcW w:w="0" w:type="dxa"/>
            <w:vAlign w:val="bottom"/>
          </w:tcPr>
          <w:p>
            <w:pPr>
              <w:spacing w:after="0"/>
              <w:rPr>
                <w:sz w:val="1"/>
                <w:szCs w:val="1"/>
                <w:color w:val="auto"/>
              </w:rPr>
            </w:pPr>
          </w:p>
        </w:tc>
      </w:tr>
      <w:tr>
        <w:trPr>
          <w:trHeight w:val="2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80" w:type="dxa"/>
            <w:vAlign w:val="bottom"/>
            <w:tcBorders>
              <w:left w:val="single" w:sz="8" w:color="auto"/>
              <w:right w:val="single" w:sz="8" w:color="auto"/>
            </w:tcBorders>
          </w:tcPr>
          <w:p>
            <w:pPr>
              <w:spacing w:after="0"/>
              <w:rPr>
                <w:sz w:val="14"/>
                <w:szCs w:val="14"/>
                <w:color w:val="auto"/>
              </w:rPr>
            </w:pP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5"/>
              </w:rPr>
              <w:t>The Corporation’s share ownership guidelines require executives to hold a</w:t>
            </w:r>
          </w:p>
        </w:tc>
        <w:tc>
          <w:tcPr>
            <w:tcW w:w="0" w:type="dxa"/>
            <w:vAlign w:val="bottom"/>
          </w:tcPr>
          <w:p>
            <w:pPr>
              <w:spacing w:after="0"/>
              <w:rPr>
                <w:sz w:val="1"/>
                <w:szCs w:val="1"/>
                <w:color w:val="auto"/>
              </w:rPr>
            </w:pPr>
          </w:p>
        </w:tc>
      </w:tr>
      <w:tr>
        <w:trPr>
          <w:trHeight w:val="139"/>
        </w:trPr>
        <w:tc>
          <w:tcPr>
            <w:tcW w:w="2080" w:type="dxa"/>
            <w:vAlign w:val="bottom"/>
            <w:tcBorders>
              <w:left w:val="single" w:sz="8" w:color="auto"/>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significant amount of the Corporation’s securities to help align their</w:t>
            </w:r>
          </w:p>
        </w:tc>
        <w:tc>
          <w:tcPr>
            <w:tcW w:w="0" w:type="dxa"/>
            <w:vAlign w:val="bottom"/>
          </w:tcPr>
          <w:p>
            <w:pPr>
              <w:spacing w:after="0"/>
              <w:rPr>
                <w:sz w:val="1"/>
                <w:szCs w:val="1"/>
                <w:color w:val="auto"/>
              </w:rPr>
            </w:pPr>
          </w:p>
        </w:tc>
      </w:tr>
      <w:tr>
        <w:trPr>
          <w:trHeight w:val="139"/>
        </w:trPr>
        <w:tc>
          <w:tcPr>
            <w:tcW w:w="2080" w:type="dxa"/>
            <w:vAlign w:val="bottom"/>
            <w:tcBorders>
              <w:left w:val="single" w:sz="8" w:color="auto"/>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5"/>
              </w:rPr>
              <w:t>interests with those of shareholders’ and the long-term performance of the</w:t>
            </w:r>
          </w:p>
        </w:tc>
        <w:tc>
          <w:tcPr>
            <w:tcW w:w="0" w:type="dxa"/>
            <w:vAlign w:val="bottom"/>
          </w:tcPr>
          <w:p>
            <w:pPr>
              <w:spacing w:after="0"/>
              <w:rPr>
                <w:sz w:val="1"/>
                <w:szCs w:val="1"/>
                <w:color w:val="auto"/>
              </w:rPr>
            </w:pPr>
          </w:p>
        </w:tc>
      </w:tr>
      <w:tr>
        <w:trPr>
          <w:trHeight w:val="152"/>
        </w:trPr>
        <w:tc>
          <w:tcPr>
            <w:tcW w:w="2080" w:type="dxa"/>
            <w:vAlign w:val="bottom"/>
            <w:tcBorders>
              <w:left w:val="single" w:sz="8" w:color="auto"/>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Corporation.</w:t>
            </w:r>
          </w:p>
        </w:tc>
        <w:tc>
          <w:tcPr>
            <w:tcW w:w="0" w:type="dxa"/>
            <w:vAlign w:val="bottom"/>
          </w:tcPr>
          <w:p>
            <w:pPr>
              <w:spacing w:after="0"/>
              <w:rPr>
                <w:sz w:val="1"/>
                <w:szCs w:val="1"/>
                <w:color w:val="auto"/>
              </w:rPr>
            </w:pPr>
          </w:p>
        </w:tc>
      </w:tr>
      <w:tr>
        <w:trPr>
          <w:trHeight w:val="146"/>
        </w:trPr>
        <w:tc>
          <w:tcPr>
            <w:tcW w:w="208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gridSpan w:val="2"/>
          </w:tcPr>
          <w:p>
            <w:pPr>
              <w:ind w:left="60"/>
              <w:spacing w:after="0"/>
              <w:rPr>
                <w:sz w:val="20"/>
                <w:szCs w:val="20"/>
                <w:color w:val="auto"/>
              </w:rPr>
            </w:pPr>
            <w:r>
              <w:rPr>
                <w:rFonts w:ascii="Arial" w:cs="Arial" w:eastAsia="Arial" w:hAnsi="Arial"/>
                <w:sz w:val="12"/>
                <w:szCs w:val="12"/>
                <w:color w:val="auto"/>
              </w:rPr>
              <w:t>•  This practice also mitigates against executives taking inappropriate or</w:t>
            </w:r>
          </w:p>
        </w:tc>
        <w:tc>
          <w:tcPr>
            <w:tcW w:w="0" w:type="dxa"/>
            <w:vAlign w:val="bottom"/>
          </w:tcPr>
          <w:p>
            <w:pPr>
              <w:spacing w:after="0"/>
              <w:rPr>
                <w:sz w:val="1"/>
                <w:szCs w:val="1"/>
                <w:color w:val="auto"/>
              </w:rPr>
            </w:pPr>
          </w:p>
        </w:tc>
      </w:tr>
      <w:tr>
        <w:trPr>
          <w:trHeight w:val="139"/>
        </w:trPr>
        <w:tc>
          <w:tcPr>
            <w:tcW w:w="2080" w:type="dxa"/>
            <w:vAlign w:val="bottom"/>
            <w:tcBorders>
              <w:left w:val="single" w:sz="8" w:color="auto"/>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excessive risks to improve short-term performance at the expense of</w:t>
            </w:r>
          </w:p>
        </w:tc>
        <w:tc>
          <w:tcPr>
            <w:tcW w:w="0" w:type="dxa"/>
            <w:vAlign w:val="bottom"/>
          </w:tcPr>
          <w:p>
            <w:pPr>
              <w:spacing w:after="0"/>
              <w:rPr>
                <w:sz w:val="1"/>
                <w:szCs w:val="1"/>
                <w:color w:val="auto"/>
              </w:rPr>
            </w:pPr>
          </w:p>
        </w:tc>
      </w:tr>
      <w:tr>
        <w:trPr>
          <w:trHeight w:val="159"/>
        </w:trPr>
        <w:tc>
          <w:tcPr>
            <w:tcW w:w="20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i w:val="1"/>
                <w:iCs w:val="1"/>
                <w:color w:val="auto"/>
              </w:rPr>
              <w:t>Share Ownership Requirement</w:t>
            </w:r>
          </w:p>
        </w:tc>
        <w:tc>
          <w:tcPr>
            <w:tcW w:w="140" w:type="dxa"/>
            <w:vAlign w:val="bottom"/>
          </w:tcPr>
          <w:p>
            <w:pPr>
              <w:spacing w:after="0"/>
              <w:rPr>
                <w:sz w:val="13"/>
                <w:szCs w:val="13"/>
                <w:color w:val="auto"/>
              </w:rPr>
            </w:pP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longer-term objectives.</w:t>
            </w:r>
          </w:p>
        </w:tc>
        <w:tc>
          <w:tcPr>
            <w:tcW w:w="0" w:type="dxa"/>
            <w:vAlign w:val="bottom"/>
          </w:tcPr>
          <w:p>
            <w:pPr>
              <w:spacing w:after="0"/>
              <w:rPr>
                <w:sz w:val="1"/>
                <w:szCs w:val="1"/>
                <w:color w:val="auto"/>
              </w:rPr>
            </w:pPr>
          </w:p>
        </w:tc>
      </w:tr>
      <w:tr>
        <w:trPr>
          <w:trHeight w:val="139"/>
        </w:trPr>
        <w:tc>
          <w:tcPr>
            <w:tcW w:w="2080" w:type="dxa"/>
            <w:vAlign w:val="bottom"/>
            <w:tcBorders>
              <w:left w:val="single" w:sz="8" w:color="auto"/>
              <w:right w:val="single" w:sz="8" w:color="auto"/>
            </w:tcBorders>
          </w:tcPr>
          <w:p>
            <w:pPr>
              <w:spacing w:after="0"/>
              <w:rPr>
                <w:sz w:val="12"/>
                <w:szCs w:val="12"/>
                <w:color w:val="auto"/>
              </w:rPr>
            </w:pP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In the event of the cessation of Mr. Mionis’ employment with the</w:t>
            </w:r>
          </w:p>
        </w:tc>
        <w:tc>
          <w:tcPr>
            <w:tcW w:w="0" w:type="dxa"/>
            <w:vAlign w:val="bottom"/>
          </w:tcPr>
          <w:p>
            <w:pPr>
              <w:spacing w:after="0"/>
              <w:rPr>
                <w:sz w:val="1"/>
                <w:szCs w:val="1"/>
                <w:color w:val="auto"/>
              </w:rPr>
            </w:pPr>
          </w:p>
        </w:tc>
      </w:tr>
      <w:tr>
        <w:trPr>
          <w:trHeight w:val="139"/>
        </w:trPr>
        <w:tc>
          <w:tcPr>
            <w:tcW w:w="2080" w:type="dxa"/>
            <w:vAlign w:val="bottom"/>
            <w:tcBorders>
              <w:left w:val="single" w:sz="8" w:color="auto"/>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Corporation for any reason, he will be required to retain the share</w:t>
            </w:r>
          </w:p>
        </w:tc>
        <w:tc>
          <w:tcPr>
            <w:tcW w:w="0" w:type="dxa"/>
            <w:vAlign w:val="bottom"/>
          </w:tcPr>
          <w:p>
            <w:pPr>
              <w:spacing w:after="0"/>
              <w:rPr>
                <w:sz w:val="1"/>
                <w:szCs w:val="1"/>
                <w:color w:val="auto"/>
              </w:rPr>
            </w:pPr>
          </w:p>
        </w:tc>
      </w:tr>
      <w:tr>
        <w:trPr>
          <w:trHeight w:val="139"/>
        </w:trPr>
        <w:tc>
          <w:tcPr>
            <w:tcW w:w="2080" w:type="dxa"/>
            <w:vAlign w:val="bottom"/>
            <w:tcBorders>
              <w:left w:val="single" w:sz="8" w:color="auto"/>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8"/>
              </w:rPr>
              <w:t>ownership level set out in the Executive Share Ownership Guidelines on</w:t>
            </w:r>
          </w:p>
        </w:tc>
        <w:tc>
          <w:tcPr>
            <w:tcW w:w="0" w:type="dxa"/>
            <w:vAlign w:val="bottom"/>
          </w:tcPr>
          <w:p>
            <w:pPr>
              <w:spacing w:after="0"/>
              <w:rPr>
                <w:sz w:val="1"/>
                <w:szCs w:val="1"/>
                <w:color w:val="auto"/>
              </w:rPr>
            </w:pPr>
          </w:p>
        </w:tc>
      </w:tr>
      <w:tr>
        <w:trPr>
          <w:trHeight w:val="139"/>
        </w:trPr>
        <w:tc>
          <w:tcPr>
            <w:tcW w:w="2080" w:type="dxa"/>
            <w:vAlign w:val="bottom"/>
            <w:tcBorders>
              <w:left w:val="single" w:sz="8" w:color="auto"/>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his termination date for the 12 month period immediately following his</w:t>
            </w:r>
          </w:p>
        </w:tc>
        <w:tc>
          <w:tcPr>
            <w:tcW w:w="0" w:type="dxa"/>
            <w:vAlign w:val="bottom"/>
          </w:tcPr>
          <w:p>
            <w:pPr>
              <w:spacing w:after="0"/>
              <w:rPr>
                <w:sz w:val="1"/>
                <w:szCs w:val="1"/>
                <w:color w:val="auto"/>
              </w:rPr>
            </w:pPr>
          </w:p>
        </w:tc>
      </w:tr>
      <w:tr>
        <w:trPr>
          <w:trHeight w:val="137"/>
        </w:trPr>
        <w:tc>
          <w:tcPr>
            <w:tcW w:w="2080" w:type="dxa"/>
            <w:vAlign w:val="bottom"/>
            <w:tcBorders>
              <w:left w:val="single" w:sz="8" w:color="auto"/>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termination date as set out in Mr. Mionis’ amended CEO employment</w:t>
            </w:r>
          </w:p>
        </w:tc>
        <w:tc>
          <w:tcPr>
            <w:tcW w:w="0" w:type="dxa"/>
            <w:vAlign w:val="bottom"/>
          </w:tcPr>
          <w:p>
            <w:pPr>
              <w:spacing w:after="0"/>
              <w:rPr>
                <w:sz w:val="1"/>
                <w:szCs w:val="1"/>
                <w:color w:val="auto"/>
              </w:rPr>
            </w:pPr>
          </w:p>
        </w:tc>
      </w:tr>
      <w:tr>
        <w:trPr>
          <w:trHeight w:val="154"/>
        </w:trPr>
        <w:tc>
          <w:tcPr>
            <w:tcW w:w="2080" w:type="dxa"/>
            <w:vAlign w:val="bottom"/>
            <w:tcBorders>
              <w:left w:val="single" w:sz="8" w:color="auto"/>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4"/>
              </w:rPr>
              <w:t>agreement effective August 1, 2016 (the “</w:t>
            </w:r>
            <w:r>
              <w:rPr>
                <w:rFonts w:ascii="Arial" w:cs="Arial" w:eastAsia="Arial" w:hAnsi="Arial"/>
                <w:sz w:val="12"/>
                <w:szCs w:val="12"/>
                <w:b w:val="1"/>
                <w:bCs w:val="1"/>
                <w:color w:val="auto"/>
                <w:w w:val="94"/>
              </w:rPr>
              <w:t>CEO Employment Agreement</w:t>
            </w:r>
            <w:r>
              <w:rPr>
                <w:rFonts w:ascii="Arial" w:cs="Arial" w:eastAsia="Arial" w:hAnsi="Arial"/>
                <w:sz w:val="12"/>
                <w:szCs w:val="12"/>
                <w:color w:val="auto"/>
                <w:w w:val="94"/>
              </w:rPr>
              <w:t>”).</w:t>
            </w:r>
          </w:p>
        </w:tc>
        <w:tc>
          <w:tcPr>
            <w:tcW w:w="0" w:type="dxa"/>
            <w:vAlign w:val="bottom"/>
          </w:tcPr>
          <w:p>
            <w:pPr>
              <w:spacing w:after="0"/>
              <w:rPr>
                <w:sz w:val="1"/>
                <w:szCs w:val="1"/>
                <w:color w:val="auto"/>
              </w:rPr>
            </w:pPr>
          </w:p>
        </w:tc>
      </w:tr>
      <w:tr>
        <w:trPr>
          <w:trHeight w:val="103"/>
        </w:trPr>
        <w:tc>
          <w:tcPr>
            <w:tcW w:w="2080" w:type="dxa"/>
            <w:vAlign w:val="bottom"/>
            <w:tcBorders>
              <w:left w:val="single" w:sz="8" w:color="auto"/>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8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5" w:name="page56"/>
    <w:bookmarkEnd w:id="55"/>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86" w:lineRule="exact"/>
        <w:rPr>
          <w:sz w:val="20"/>
          <w:szCs w:val="20"/>
          <w:color w:val="auto"/>
        </w:rPr>
      </w:pPr>
    </w:p>
    <w:tbl>
      <w:tblPr>
        <w:tblLayout w:type="fixed"/>
        <w:tblInd w:w="1490" w:type="dxa"/>
        <w:tblCellMar>
          <w:top w:w="0" w:type="dxa"/>
          <w:left w:w="0" w:type="dxa"/>
          <w:bottom w:w="0" w:type="dxa"/>
          <w:right w:w="0" w:type="dxa"/>
        </w:tblCellMar>
      </w:tblPr>
      <w:tr>
        <w:trPr>
          <w:trHeight w:val="202"/>
        </w:trPr>
        <w:tc>
          <w:tcPr>
            <w:tcW w:w="2080" w:type="dxa"/>
            <w:vAlign w:val="bottom"/>
            <w:tcBorders>
              <w:top w:val="single" w:sz="8" w:color="auto"/>
              <w:left w:val="single" w:sz="8" w:color="auto"/>
              <w:right w:val="single" w:sz="8" w:color="auto"/>
            </w:tcBorders>
          </w:tcPr>
          <w:p>
            <w:pPr>
              <w:spacing w:after="0"/>
              <w:rPr>
                <w:sz w:val="17"/>
                <w:szCs w:val="17"/>
                <w:color w:val="auto"/>
              </w:rPr>
            </w:pPr>
          </w:p>
        </w:tc>
        <w:tc>
          <w:tcPr>
            <w:tcW w:w="140" w:type="dxa"/>
            <w:vAlign w:val="bottom"/>
            <w:tcBorders>
              <w:top w:val="single" w:sz="8" w:color="auto"/>
            </w:tcBorders>
          </w:tcPr>
          <w:p>
            <w:pPr>
              <w:ind w:left="60"/>
              <w:spacing w:after="0"/>
              <w:rPr>
                <w:sz w:val="20"/>
                <w:szCs w:val="20"/>
                <w:color w:val="auto"/>
              </w:rPr>
            </w:pPr>
            <w:r>
              <w:rPr>
                <w:rFonts w:ascii="Arial" w:cs="Arial" w:eastAsia="Arial" w:hAnsi="Arial"/>
                <w:sz w:val="12"/>
                <w:szCs w:val="12"/>
                <w:color w:val="auto"/>
              </w:rPr>
              <w:t>•</w:t>
            </w:r>
          </w:p>
        </w:tc>
        <w:tc>
          <w:tcPr>
            <w:tcW w:w="38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Executives and directors are prohibited from: entering into speculative</w:t>
            </w:r>
          </w:p>
        </w:tc>
        <w:tc>
          <w:tcPr>
            <w:tcW w:w="0" w:type="dxa"/>
            <w:vAlign w:val="bottom"/>
          </w:tcPr>
          <w:p>
            <w:pPr>
              <w:spacing w:after="0"/>
              <w:rPr>
                <w:sz w:val="1"/>
                <w:szCs w:val="1"/>
                <w:color w:val="auto"/>
              </w:rPr>
            </w:pPr>
          </w:p>
        </w:tc>
      </w:tr>
      <w:tr>
        <w:trPr>
          <w:trHeight w:val="139"/>
        </w:trPr>
        <w:tc>
          <w:tcPr>
            <w:tcW w:w="2080" w:type="dxa"/>
            <w:vAlign w:val="bottom"/>
            <w:tcBorders>
              <w:left w:val="single" w:sz="8" w:color="auto"/>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3"/>
              </w:rPr>
              <w:t>transactions and transactions designed to hedge or offset a decrease in the</w:t>
            </w:r>
          </w:p>
        </w:tc>
        <w:tc>
          <w:tcPr>
            <w:tcW w:w="0" w:type="dxa"/>
            <w:vAlign w:val="bottom"/>
          </w:tcPr>
          <w:p>
            <w:pPr>
              <w:spacing w:after="0"/>
              <w:rPr>
                <w:sz w:val="1"/>
                <w:szCs w:val="1"/>
                <w:color w:val="auto"/>
              </w:rPr>
            </w:pPr>
          </w:p>
        </w:tc>
      </w:tr>
      <w:tr>
        <w:trPr>
          <w:trHeight w:val="139"/>
        </w:trPr>
        <w:tc>
          <w:tcPr>
            <w:tcW w:w="208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2"/>
                <w:szCs w:val="12"/>
                <w:b w:val="1"/>
                <w:bCs w:val="1"/>
                <w:i w:val="1"/>
                <w:iCs w:val="1"/>
                <w:color w:val="auto"/>
                <w:w w:val="90"/>
              </w:rPr>
              <w:t>Anti-hedging and Anti-pledging Policy</w:t>
            </w:r>
          </w:p>
        </w:tc>
        <w:tc>
          <w:tcPr>
            <w:tcW w:w="140" w:type="dxa"/>
            <w:vAlign w:val="bottom"/>
          </w:tcPr>
          <w:p>
            <w:pPr>
              <w:spacing w:after="0"/>
              <w:rPr>
                <w:sz w:val="12"/>
                <w:szCs w:val="12"/>
                <w:color w:val="auto"/>
              </w:rPr>
            </w:pP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6"/>
              </w:rPr>
              <w:t>market value of securities of the Corporation; purchasing securities of the</w:t>
            </w:r>
          </w:p>
        </w:tc>
        <w:tc>
          <w:tcPr>
            <w:tcW w:w="0" w:type="dxa"/>
            <w:vAlign w:val="bottom"/>
          </w:tcPr>
          <w:p>
            <w:pPr>
              <w:spacing w:after="0"/>
              <w:rPr>
                <w:sz w:val="1"/>
                <w:szCs w:val="1"/>
                <w:color w:val="auto"/>
              </w:rPr>
            </w:pPr>
          </w:p>
        </w:tc>
      </w:tr>
      <w:tr>
        <w:trPr>
          <w:trHeight w:val="103"/>
        </w:trPr>
        <w:tc>
          <w:tcPr>
            <w:tcW w:w="2080" w:type="dxa"/>
            <w:vAlign w:val="bottom"/>
            <w:tcBorders>
              <w:left w:val="single" w:sz="8" w:color="auto"/>
              <w:right w:val="single" w:sz="8" w:color="auto"/>
            </w:tcBorders>
            <w:vMerge w:val="continue"/>
          </w:tcPr>
          <w:p>
            <w:pPr>
              <w:spacing w:after="0"/>
              <w:rPr>
                <w:sz w:val="8"/>
                <w:szCs w:val="8"/>
                <w:color w:val="auto"/>
              </w:rPr>
            </w:pPr>
          </w:p>
        </w:tc>
        <w:tc>
          <w:tcPr>
            <w:tcW w:w="140" w:type="dxa"/>
            <w:vAlign w:val="bottom"/>
          </w:tcPr>
          <w:p>
            <w:pPr>
              <w:spacing w:after="0"/>
              <w:rPr>
                <w:sz w:val="8"/>
                <w:szCs w:val="8"/>
                <w:color w:val="auto"/>
              </w:rPr>
            </w:pPr>
          </w:p>
        </w:tc>
        <w:tc>
          <w:tcPr>
            <w:tcW w:w="3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color w:val="auto"/>
              </w:rPr>
              <w:t>Corporation on margin; borrowing against securities of the Corporation</w:t>
            </w:r>
          </w:p>
        </w:tc>
        <w:tc>
          <w:tcPr>
            <w:tcW w:w="0" w:type="dxa"/>
            <w:vAlign w:val="bottom"/>
          </w:tcPr>
          <w:p>
            <w:pPr>
              <w:spacing w:after="0"/>
              <w:rPr>
                <w:sz w:val="1"/>
                <w:szCs w:val="1"/>
                <w:color w:val="auto"/>
              </w:rPr>
            </w:pPr>
          </w:p>
        </w:tc>
      </w:tr>
      <w:tr>
        <w:trPr>
          <w:trHeight w:val="37"/>
        </w:trPr>
        <w:tc>
          <w:tcPr>
            <w:tcW w:w="2080" w:type="dxa"/>
            <w:vAlign w:val="bottom"/>
            <w:tcBorders>
              <w:left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84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9"/>
        </w:trPr>
        <w:tc>
          <w:tcPr>
            <w:tcW w:w="2080" w:type="dxa"/>
            <w:vAlign w:val="bottom"/>
            <w:tcBorders>
              <w:left w:val="single" w:sz="8" w:color="auto"/>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8"/>
              </w:rPr>
              <w:t>held in a margin account; and pledging Celestica securities as collateral</w:t>
            </w:r>
          </w:p>
        </w:tc>
        <w:tc>
          <w:tcPr>
            <w:tcW w:w="0" w:type="dxa"/>
            <w:vAlign w:val="bottom"/>
          </w:tcPr>
          <w:p>
            <w:pPr>
              <w:spacing w:after="0"/>
              <w:rPr>
                <w:sz w:val="1"/>
                <w:szCs w:val="1"/>
                <w:color w:val="auto"/>
              </w:rPr>
            </w:pPr>
          </w:p>
        </w:tc>
      </w:tr>
      <w:tr>
        <w:trPr>
          <w:trHeight w:val="152"/>
        </w:trPr>
        <w:tc>
          <w:tcPr>
            <w:tcW w:w="2080" w:type="dxa"/>
            <w:vAlign w:val="bottom"/>
            <w:tcBorders>
              <w:left w:val="single" w:sz="8" w:color="auto"/>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for a loan.</w:t>
            </w:r>
          </w:p>
        </w:tc>
        <w:tc>
          <w:tcPr>
            <w:tcW w:w="0" w:type="dxa"/>
            <w:vAlign w:val="bottom"/>
          </w:tcPr>
          <w:p>
            <w:pPr>
              <w:spacing w:after="0"/>
              <w:rPr>
                <w:sz w:val="1"/>
                <w:szCs w:val="1"/>
                <w:color w:val="auto"/>
              </w:rPr>
            </w:pPr>
          </w:p>
        </w:tc>
      </w:tr>
      <w:tr>
        <w:trPr>
          <w:trHeight w:val="93"/>
        </w:trPr>
        <w:tc>
          <w:tcPr>
            <w:tcW w:w="2080" w:type="dxa"/>
            <w:vAlign w:val="bottom"/>
            <w:tcBorders>
              <w:left w:val="single" w:sz="8" w:color="auto"/>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8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80" w:type="dxa"/>
            <w:vAlign w:val="bottom"/>
            <w:tcBorders>
              <w:left w:val="single" w:sz="8" w:color="auto"/>
              <w:right w:val="single" w:sz="8" w:color="auto"/>
            </w:tcBorders>
          </w:tcPr>
          <w:p>
            <w:pPr>
              <w:spacing w:after="0"/>
              <w:rPr>
                <w:sz w:val="14"/>
                <w:szCs w:val="14"/>
                <w:color w:val="auto"/>
              </w:rPr>
            </w:pP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A “clawback” policy provides for recoupment of incentive-based</w:t>
            </w:r>
          </w:p>
        </w:tc>
        <w:tc>
          <w:tcPr>
            <w:tcW w:w="0" w:type="dxa"/>
            <w:vAlign w:val="bottom"/>
          </w:tcPr>
          <w:p>
            <w:pPr>
              <w:spacing w:after="0"/>
              <w:rPr>
                <w:sz w:val="1"/>
                <w:szCs w:val="1"/>
                <w:color w:val="auto"/>
              </w:rPr>
            </w:pPr>
          </w:p>
        </w:tc>
      </w:tr>
      <w:tr>
        <w:trPr>
          <w:trHeight w:val="139"/>
        </w:trPr>
        <w:tc>
          <w:tcPr>
            <w:tcW w:w="2080" w:type="dxa"/>
            <w:vAlign w:val="bottom"/>
            <w:tcBorders>
              <w:left w:val="single" w:sz="8" w:color="auto"/>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compensation from the CEO and CFO that was received during a</w:t>
            </w:r>
          </w:p>
        </w:tc>
        <w:tc>
          <w:tcPr>
            <w:tcW w:w="0" w:type="dxa"/>
            <w:vAlign w:val="bottom"/>
          </w:tcPr>
          <w:p>
            <w:pPr>
              <w:spacing w:after="0"/>
              <w:rPr>
                <w:sz w:val="1"/>
                <w:szCs w:val="1"/>
                <w:color w:val="auto"/>
              </w:rPr>
            </w:pPr>
          </w:p>
        </w:tc>
      </w:tr>
      <w:tr>
        <w:trPr>
          <w:trHeight w:val="139"/>
        </w:trPr>
        <w:tc>
          <w:tcPr>
            <w:tcW w:w="2080" w:type="dxa"/>
            <w:vAlign w:val="bottom"/>
            <w:tcBorders>
              <w:left w:val="single" w:sz="8" w:color="auto"/>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6"/>
              </w:rPr>
              <w:t>specified period in the event of an accounting restatement due to material</w:t>
            </w:r>
          </w:p>
        </w:tc>
        <w:tc>
          <w:tcPr>
            <w:tcW w:w="0" w:type="dxa"/>
            <w:vAlign w:val="bottom"/>
          </w:tcPr>
          <w:p>
            <w:pPr>
              <w:spacing w:after="0"/>
              <w:rPr>
                <w:sz w:val="1"/>
                <w:szCs w:val="1"/>
                <w:color w:val="auto"/>
              </w:rPr>
            </w:pPr>
          </w:p>
        </w:tc>
      </w:tr>
      <w:tr>
        <w:trPr>
          <w:trHeight w:val="139"/>
        </w:trPr>
        <w:tc>
          <w:tcPr>
            <w:tcW w:w="208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2"/>
                <w:szCs w:val="12"/>
                <w:b w:val="1"/>
                <w:bCs w:val="1"/>
                <w:i w:val="1"/>
                <w:iCs w:val="1"/>
                <w:color w:val="auto"/>
              </w:rPr>
              <w:t>“Clawback” Policy</w:t>
            </w:r>
          </w:p>
        </w:tc>
        <w:tc>
          <w:tcPr>
            <w:tcW w:w="140" w:type="dxa"/>
            <w:vAlign w:val="bottom"/>
          </w:tcPr>
          <w:p>
            <w:pPr>
              <w:spacing w:after="0"/>
              <w:rPr>
                <w:sz w:val="12"/>
                <w:szCs w:val="12"/>
                <w:color w:val="auto"/>
              </w:rPr>
            </w:pP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non-compliance with financial reporting requirements as a result of</w:t>
            </w:r>
          </w:p>
        </w:tc>
        <w:tc>
          <w:tcPr>
            <w:tcW w:w="0" w:type="dxa"/>
            <w:vAlign w:val="bottom"/>
          </w:tcPr>
          <w:p>
            <w:pPr>
              <w:spacing w:after="0"/>
              <w:rPr>
                <w:sz w:val="1"/>
                <w:szCs w:val="1"/>
                <w:color w:val="auto"/>
              </w:rPr>
            </w:pPr>
          </w:p>
        </w:tc>
      </w:tr>
      <w:tr>
        <w:trPr>
          <w:trHeight w:val="83"/>
        </w:trPr>
        <w:tc>
          <w:tcPr>
            <w:tcW w:w="2080" w:type="dxa"/>
            <w:vAlign w:val="bottom"/>
            <w:tcBorders>
              <w:left w:val="single" w:sz="8" w:color="auto"/>
              <w:right w:val="single" w:sz="8" w:color="auto"/>
            </w:tcBorders>
            <w:vMerge w:val="continue"/>
          </w:tcPr>
          <w:p>
            <w:pPr>
              <w:spacing w:after="0"/>
              <w:rPr>
                <w:sz w:val="7"/>
                <w:szCs w:val="7"/>
                <w:color w:val="auto"/>
              </w:rPr>
            </w:pPr>
          </w:p>
        </w:tc>
        <w:tc>
          <w:tcPr>
            <w:tcW w:w="140" w:type="dxa"/>
            <w:vAlign w:val="bottom"/>
          </w:tcPr>
          <w:p>
            <w:pPr>
              <w:spacing w:after="0"/>
              <w:rPr>
                <w:sz w:val="7"/>
                <w:szCs w:val="7"/>
                <w:color w:val="auto"/>
              </w:rPr>
            </w:pPr>
          </w:p>
        </w:tc>
        <w:tc>
          <w:tcPr>
            <w:tcW w:w="3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color w:val="auto"/>
              </w:rPr>
              <w:t>misconduct, as well as any profits realized from the sale of securities</w:t>
            </w:r>
          </w:p>
        </w:tc>
        <w:tc>
          <w:tcPr>
            <w:tcW w:w="0" w:type="dxa"/>
            <w:vAlign w:val="bottom"/>
          </w:tcPr>
          <w:p>
            <w:pPr>
              <w:spacing w:after="0"/>
              <w:rPr>
                <w:sz w:val="1"/>
                <w:szCs w:val="1"/>
                <w:color w:val="auto"/>
              </w:rPr>
            </w:pPr>
          </w:p>
        </w:tc>
      </w:tr>
      <w:tr>
        <w:trPr>
          <w:trHeight w:val="57"/>
        </w:trPr>
        <w:tc>
          <w:tcPr>
            <w:tcW w:w="2080" w:type="dxa"/>
            <w:vAlign w:val="bottom"/>
            <w:tcBorders>
              <w:left w:val="single" w:sz="8" w:color="auto"/>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8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2080" w:type="dxa"/>
            <w:vAlign w:val="bottom"/>
            <w:tcBorders>
              <w:left w:val="single" w:sz="8" w:color="auto"/>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during such period (see — “</w:t>
            </w:r>
            <w:r>
              <w:rPr>
                <w:rFonts w:ascii="Arial" w:cs="Arial" w:eastAsia="Arial" w:hAnsi="Arial"/>
                <w:sz w:val="12"/>
                <w:szCs w:val="12"/>
                <w:i w:val="1"/>
                <w:iCs w:val="1"/>
                <w:color w:val="auto"/>
              </w:rPr>
              <w:t>Clawback” Provisions</w:t>
            </w: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2080" w:type="dxa"/>
            <w:vAlign w:val="bottom"/>
            <w:tcBorders>
              <w:left w:val="single" w:sz="8" w:color="auto"/>
              <w:right w:val="single" w:sz="8" w:color="auto"/>
            </w:tcBorders>
          </w:tcPr>
          <w:p>
            <w:pPr>
              <w:spacing w:after="0"/>
              <w:rPr>
                <w:sz w:val="12"/>
                <w:szCs w:val="12"/>
                <w:color w:val="auto"/>
              </w:rPr>
            </w:pP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9"/>
              </w:rPr>
              <w:t>In addition, all long-term incentive awards made to NEOs are subject to</w:t>
            </w:r>
          </w:p>
        </w:tc>
        <w:tc>
          <w:tcPr>
            <w:tcW w:w="0" w:type="dxa"/>
            <w:vAlign w:val="bottom"/>
          </w:tcPr>
          <w:p>
            <w:pPr>
              <w:spacing w:after="0"/>
              <w:rPr>
                <w:sz w:val="1"/>
                <w:szCs w:val="1"/>
                <w:color w:val="auto"/>
              </w:rPr>
            </w:pPr>
          </w:p>
        </w:tc>
      </w:tr>
      <w:tr>
        <w:trPr>
          <w:trHeight w:val="159"/>
        </w:trPr>
        <w:tc>
          <w:tcPr>
            <w:tcW w:w="2080" w:type="dxa"/>
            <w:vAlign w:val="bottom"/>
            <w:tcBorders>
              <w:left w:val="single" w:sz="8" w:color="auto"/>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recoupment if certain employment conditions are breached.</w:t>
            </w:r>
          </w:p>
        </w:tc>
        <w:tc>
          <w:tcPr>
            <w:tcW w:w="0" w:type="dxa"/>
            <w:vAlign w:val="bottom"/>
          </w:tcPr>
          <w:p>
            <w:pPr>
              <w:spacing w:after="0"/>
              <w:rPr>
                <w:sz w:val="1"/>
                <w:szCs w:val="1"/>
                <w:color w:val="auto"/>
              </w:rPr>
            </w:pPr>
          </w:p>
        </w:tc>
      </w:tr>
      <w:tr>
        <w:trPr>
          <w:trHeight w:val="169"/>
        </w:trPr>
        <w:tc>
          <w:tcPr>
            <w:tcW w:w="2080" w:type="dxa"/>
            <w:vAlign w:val="bottom"/>
            <w:tcBorders>
              <w:left w:val="single" w:sz="8" w:color="auto"/>
              <w:right w:val="single" w:sz="8" w:color="auto"/>
            </w:tcBorders>
          </w:tcPr>
          <w:p>
            <w:pPr>
              <w:spacing w:after="0"/>
              <w:rPr>
                <w:sz w:val="14"/>
                <w:szCs w:val="14"/>
                <w:color w:val="auto"/>
              </w:rPr>
            </w:pP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7"/>
              </w:rPr>
              <w:t>The LTIP and Celestica Share Unit Plan (“</w:t>
            </w:r>
            <w:r>
              <w:rPr>
                <w:rFonts w:ascii="Arial" w:cs="Arial" w:eastAsia="Arial" w:hAnsi="Arial"/>
                <w:sz w:val="12"/>
                <w:szCs w:val="12"/>
                <w:b w:val="1"/>
                <w:bCs w:val="1"/>
                <w:color w:val="auto"/>
                <w:w w:val="97"/>
              </w:rPr>
              <w:t>CSUP</w:t>
            </w:r>
            <w:r>
              <w:rPr>
                <w:rFonts w:ascii="Arial" w:cs="Arial" w:eastAsia="Arial" w:hAnsi="Arial"/>
                <w:sz w:val="12"/>
                <w:szCs w:val="12"/>
                <w:color w:val="auto"/>
                <w:w w:val="97"/>
              </w:rPr>
              <w:t>”) provide for change-of-</w:t>
            </w:r>
          </w:p>
        </w:tc>
        <w:tc>
          <w:tcPr>
            <w:tcW w:w="0" w:type="dxa"/>
            <w:vAlign w:val="bottom"/>
          </w:tcPr>
          <w:p>
            <w:pPr>
              <w:spacing w:after="0"/>
              <w:rPr>
                <w:sz w:val="1"/>
                <w:szCs w:val="1"/>
                <w:color w:val="auto"/>
              </w:rPr>
            </w:pPr>
          </w:p>
        </w:tc>
      </w:tr>
      <w:tr>
        <w:trPr>
          <w:trHeight w:val="146"/>
        </w:trPr>
        <w:tc>
          <w:tcPr>
            <w:tcW w:w="20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i w:val="1"/>
                <w:iCs w:val="1"/>
                <w:color w:val="auto"/>
              </w:rPr>
              <w:t>“Double Trigger”</w:t>
            </w:r>
          </w:p>
        </w:tc>
        <w:tc>
          <w:tcPr>
            <w:tcW w:w="140" w:type="dxa"/>
            <w:vAlign w:val="bottom"/>
          </w:tcPr>
          <w:p>
            <w:pPr>
              <w:spacing w:after="0"/>
              <w:rPr>
                <w:sz w:val="12"/>
                <w:szCs w:val="12"/>
                <w:color w:val="auto"/>
              </w:rPr>
            </w:pP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control treatment for outstanding equity based on a “double trigger”</w:t>
            </w:r>
          </w:p>
        </w:tc>
        <w:tc>
          <w:tcPr>
            <w:tcW w:w="0" w:type="dxa"/>
            <w:vAlign w:val="bottom"/>
          </w:tcPr>
          <w:p>
            <w:pPr>
              <w:spacing w:after="0"/>
              <w:rPr>
                <w:sz w:val="1"/>
                <w:szCs w:val="1"/>
                <w:color w:val="auto"/>
              </w:rPr>
            </w:pPr>
          </w:p>
        </w:tc>
      </w:tr>
      <w:tr>
        <w:trPr>
          <w:trHeight w:val="152"/>
        </w:trPr>
        <w:tc>
          <w:tcPr>
            <w:tcW w:w="2080" w:type="dxa"/>
            <w:vAlign w:val="bottom"/>
            <w:tcBorders>
              <w:left w:val="single" w:sz="8" w:color="auto"/>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requirement.</w:t>
            </w:r>
          </w:p>
        </w:tc>
        <w:tc>
          <w:tcPr>
            <w:tcW w:w="0" w:type="dxa"/>
            <w:vAlign w:val="bottom"/>
          </w:tcPr>
          <w:p>
            <w:pPr>
              <w:spacing w:after="0"/>
              <w:rPr>
                <w:sz w:val="1"/>
                <w:szCs w:val="1"/>
                <w:color w:val="auto"/>
              </w:rPr>
            </w:pPr>
          </w:p>
        </w:tc>
      </w:tr>
      <w:tr>
        <w:trPr>
          <w:trHeight w:val="86"/>
        </w:trPr>
        <w:tc>
          <w:tcPr>
            <w:tcW w:w="2080" w:type="dxa"/>
            <w:vAlign w:val="bottom"/>
            <w:tcBorders>
              <w:left w:val="single" w:sz="8" w:color="auto"/>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8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80" w:type="dxa"/>
            <w:vAlign w:val="bottom"/>
            <w:tcBorders>
              <w:left w:val="single" w:sz="8" w:color="auto"/>
              <w:right w:val="single" w:sz="8" w:color="auto"/>
            </w:tcBorders>
          </w:tcPr>
          <w:p>
            <w:pPr>
              <w:spacing w:after="0"/>
              <w:rPr>
                <w:sz w:val="14"/>
                <w:szCs w:val="14"/>
                <w:color w:val="auto"/>
              </w:rPr>
            </w:pP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NEOs’ entitlements on termination without cause are in part contingent</w:t>
            </w:r>
          </w:p>
        </w:tc>
        <w:tc>
          <w:tcPr>
            <w:tcW w:w="0" w:type="dxa"/>
            <w:vAlign w:val="bottom"/>
          </w:tcPr>
          <w:p>
            <w:pPr>
              <w:spacing w:after="0"/>
              <w:rPr>
                <w:sz w:val="1"/>
                <w:szCs w:val="1"/>
                <w:color w:val="auto"/>
              </w:rPr>
            </w:pPr>
          </w:p>
        </w:tc>
      </w:tr>
      <w:tr>
        <w:trPr>
          <w:trHeight w:val="146"/>
        </w:trPr>
        <w:tc>
          <w:tcPr>
            <w:tcW w:w="20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i w:val="1"/>
                <w:iCs w:val="1"/>
                <w:color w:val="auto"/>
              </w:rPr>
              <w:t>Severance Protection</w:t>
            </w:r>
          </w:p>
        </w:tc>
        <w:tc>
          <w:tcPr>
            <w:tcW w:w="140" w:type="dxa"/>
            <w:vAlign w:val="bottom"/>
          </w:tcPr>
          <w:p>
            <w:pPr>
              <w:spacing w:after="0"/>
              <w:rPr>
                <w:sz w:val="12"/>
                <w:szCs w:val="12"/>
                <w:color w:val="auto"/>
              </w:rPr>
            </w:pP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on complying with confidentiality, non-solicitation and non-competition</w:t>
            </w:r>
          </w:p>
        </w:tc>
        <w:tc>
          <w:tcPr>
            <w:tcW w:w="0" w:type="dxa"/>
            <w:vAlign w:val="bottom"/>
          </w:tcPr>
          <w:p>
            <w:pPr>
              <w:spacing w:after="0"/>
              <w:rPr>
                <w:sz w:val="1"/>
                <w:szCs w:val="1"/>
                <w:color w:val="auto"/>
              </w:rPr>
            </w:pPr>
          </w:p>
        </w:tc>
      </w:tr>
      <w:tr>
        <w:trPr>
          <w:trHeight w:val="152"/>
        </w:trPr>
        <w:tc>
          <w:tcPr>
            <w:tcW w:w="2080" w:type="dxa"/>
            <w:vAlign w:val="bottom"/>
            <w:tcBorders>
              <w:left w:val="single" w:sz="8" w:color="auto"/>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obligations.</w:t>
            </w:r>
          </w:p>
        </w:tc>
        <w:tc>
          <w:tcPr>
            <w:tcW w:w="0" w:type="dxa"/>
            <w:vAlign w:val="bottom"/>
          </w:tcPr>
          <w:p>
            <w:pPr>
              <w:spacing w:after="0"/>
              <w:rPr>
                <w:sz w:val="1"/>
                <w:szCs w:val="1"/>
                <w:color w:val="auto"/>
              </w:rPr>
            </w:pPr>
          </w:p>
        </w:tc>
      </w:tr>
      <w:tr>
        <w:trPr>
          <w:trHeight w:val="86"/>
        </w:trPr>
        <w:tc>
          <w:tcPr>
            <w:tcW w:w="2080" w:type="dxa"/>
            <w:vAlign w:val="bottom"/>
            <w:tcBorders>
              <w:left w:val="single" w:sz="8" w:color="auto"/>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8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8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2"/>
                <w:szCs w:val="12"/>
                <w:b w:val="1"/>
                <w:bCs w:val="1"/>
                <w:i w:val="1"/>
                <w:iCs w:val="1"/>
                <w:color w:val="auto"/>
              </w:rPr>
              <w:t>Pay-For-Performance Analysis</w:t>
            </w: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38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Periodic scenario-testing of the executive compensation programs is</w:t>
            </w:r>
          </w:p>
        </w:tc>
        <w:tc>
          <w:tcPr>
            <w:tcW w:w="0" w:type="dxa"/>
            <w:vAlign w:val="bottom"/>
          </w:tcPr>
          <w:p>
            <w:pPr>
              <w:spacing w:after="0"/>
              <w:rPr>
                <w:sz w:val="1"/>
                <w:szCs w:val="1"/>
                <w:color w:val="auto"/>
              </w:rPr>
            </w:pPr>
          </w:p>
        </w:tc>
      </w:tr>
      <w:tr>
        <w:trPr>
          <w:trHeight w:val="113"/>
        </w:trPr>
        <w:tc>
          <w:tcPr>
            <w:tcW w:w="2080" w:type="dxa"/>
            <w:vAlign w:val="bottom"/>
            <w:tcBorders>
              <w:left w:val="single" w:sz="8" w:color="auto"/>
              <w:right w:val="single" w:sz="8" w:color="auto"/>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3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color w:val="auto"/>
              </w:rPr>
              <w:t>conducted, including a pay-for-performance analysis.</w:t>
            </w:r>
          </w:p>
        </w:tc>
        <w:tc>
          <w:tcPr>
            <w:tcW w:w="0" w:type="dxa"/>
            <w:vAlign w:val="bottom"/>
          </w:tcPr>
          <w:p>
            <w:pPr>
              <w:spacing w:after="0"/>
              <w:rPr>
                <w:sz w:val="1"/>
                <w:szCs w:val="1"/>
                <w:color w:val="auto"/>
              </w:rPr>
            </w:pPr>
          </w:p>
        </w:tc>
      </w:tr>
      <w:tr>
        <w:trPr>
          <w:trHeight w:val="40"/>
        </w:trPr>
        <w:tc>
          <w:tcPr>
            <w:tcW w:w="2080" w:type="dxa"/>
            <w:vAlign w:val="bottom"/>
            <w:tcBorders>
              <w:left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84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3"/>
        </w:trPr>
        <w:tc>
          <w:tcPr>
            <w:tcW w:w="2080" w:type="dxa"/>
            <w:vAlign w:val="bottom"/>
            <w:tcBorders>
              <w:left w:val="single" w:sz="8" w:color="auto"/>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8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auto"/>
        </w:rPr>
        <w:t>Comparator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38100</wp:posOffset>
            </wp:positionV>
            <wp:extent cx="3502025" cy="6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502025" cy="6350"/>
                    </a:xfrm>
                    <a:prstGeom prst="rect">
                      <a:avLst/>
                    </a:prstGeom>
                    <a:noFill/>
                  </pic:spPr>
                </pic:pic>
              </a:graphicData>
            </a:graphic>
          </wp:anchor>
        </w:drawing>
      </w:r>
    </w:p>
    <w:p>
      <w:pPr>
        <w:spacing w:after="0" w:line="131" w:lineRule="exact"/>
        <w:rPr>
          <w:sz w:val="20"/>
          <w:szCs w:val="20"/>
          <w:color w:val="auto"/>
        </w:rPr>
      </w:pPr>
    </w:p>
    <w:p>
      <w:pPr>
        <w:jc w:val="both"/>
        <w:ind w:left="1480" w:right="1499"/>
        <w:spacing w:after="0" w:line="259" w:lineRule="auto"/>
        <w:rPr>
          <w:sz w:val="20"/>
          <w:szCs w:val="20"/>
          <w:color w:val="auto"/>
        </w:rPr>
      </w:pPr>
      <w:r>
        <w:rPr>
          <w:rFonts w:ascii="Arial" w:cs="Arial" w:eastAsia="Arial" w:hAnsi="Arial"/>
          <w:sz w:val="13"/>
          <w:szCs w:val="13"/>
          <w:color w:val="auto"/>
        </w:rPr>
        <w:t>While the Corporation is incorporated and headquartered in Canada, our business is global, and we compete for executive talent worldwide with companies in the technology industry. Our global recruiting strategy has been evidenced by the fact that several of our executive officers were not recruited from Canada; and that the Corporation’s three most recent CEOs have come from the U.S. There are no electronics manufacturing services (“</w:t>
      </w:r>
      <w:r>
        <w:rPr>
          <w:rFonts w:ascii="Arial" w:cs="Arial" w:eastAsia="Arial" w:hAnsi="Arial"/>
          <w:sz w:val="13"/>
          <w:szCs w:val="13"/>
          <w:b w:val="1"/>
          <w:bCs w:val="1"/>
          <w:color w:val="auto"/>
        </w:rPr>
        <w:t>EMS</w:t>
      </w:r>
      <w:r>
        <w:rPr>
          <w:rFonts w:ascii="Arial" w:cs="Arial" w:eastAsia="Arial" w:hAnsi="Arial"/>
          <w:sz w:val="13"/>
          <w:szCs w:val="13"/>
          <w:color w:val="auto"/>
        </w:rPr>
        <w:t>”) competitor companies that are headquartered in Canada. For non EMS companies, competitors of similar size and scope within Canada would not provide the desired global perspective. The determination of the Comparator Group is not bound by geographic limitations and instead includes a representation from a broad group of relevant companies which are publicly traded and against which the Corporation competes for executive leaders.</w:t>
      </w:r>
    </w:p>
    <w:p>
      <w:pPr>
        <w:spacing w:after="0" w:line="61" w:lineRule="exact"/>
        <w:rPr>
          <w:sz w:val="20"/>
          <w:szCs w:val="20"/>
          <w:color w:val="auto"/>
        </w:rPr>
      </w:pPr>
    </w:p>
    <w:p>
      <w:pPr>
        <w:jc w:val="both"/>
        <w:ind w:left="1480" w:right="1499"/>
        <w:spacing w:after="0" w:line="261" w:lineRule="auto"/>
        <w:rPr>
          <w:sz w:val="20"/>
          <w:szCs w:val="20"/>
          <w:color w:val="auto"/>
        </w:rPr>
      </w:pPr>
      <w:r>
        <w:rPr>
          <w:rFonts w:ascii="Arial" w:cs="Arial" w:eastAsia="Arial" w:hAnsi="Arial"/>
          <w:sz w:val="13"/>
          <w:szCs w:val="13"/>
          <w:color w:val="auto"/>
        </w:rPr>
        <w:t>During 2020, we undertook a comprehensive review of our approach to executive compensation benchmarking, including the composition of the Comparator Group, to ensure that it properly reflected our market for executive talent and the financial characteristics of the Company. An in-depth review of compensation peer group and benchmarking was presented to the HRCC by the Compensation Consultant. The HRCC approved the Comparator Group to be used to establish 2021 compensation using the following filtering criteria:</w:t>
      </w:r>
    </w:p>
    <w:p>
      <w:pPr>
        <w:spacing w:after="0" w:line="80" w:lineRule="exact"/>
        <w:rPr>
          <w:sz w:val="20"/>
          <w:szCs w:val="20"/>
          <w:color w:val="auto"/>
        </w:rPr>
      </w:pPr>
    </w:p>
    <w:p>
      <w:pPr>
        <w:jc w:val="both"/>
        <w:ind w:left="1880" w:right="1499" w:hanging="137"/>
        <w:spacing w:after="0" w:line="270" w:lineRule="auto"/>
        <w:tabs>
          <w:tab w:leader="none" w:pos="18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company size and financial performance (e.g., revenue, market capitalization, earnings before interest and taxes (EBIT) margin and other financial indicators which align with Celestica’s strategic direction);</w:t>
      </w:r>
    </w:p>
    <w:p>
      <w:pPr>
        <w:spacing w:after="0" w:line="23" w:lineRule="exact"/>
        <w:rPr>
          <w:rFonts w:ascii="Arial" w:cs="Arial" w:eastAsia="Arial" w:hAnsi="Arial"/>
          <w:sz w:val="13"/>
          <w:szCs w:val="13"/>
          <w:color w:val="auto"/>
        </w:rPr>
      </w:pPr>
    </w:p>
    <w:p>
      <w:pPr>
        <w:ind w:left="1880" w:hanging="137"/>
        <w:spacing w:after="0"/>
        <w:tabs>
          <w:tab w:leader="none" w:pos="18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industry;</w:t>
      </w:r>
    </w:p>
    <w:p>
      <w:pPr>
        <w:spacing w:after="0" w:line="69" w:lineRule="exact"/>
        <w:rPr>
          <w:rFonts w:ascii="Arial" w:cs="Arial" w:eastAsia="Arial" w:hAnsi="Arial"/>
          <w:sz w:val="13"/>
          <w:szCs w:val="13"/>
          <w:color w:val="auto"/>
        </w:rPr>
      </w:pPr>
    </w:p>
    <w:p>
      <w:pPr>
        <w:ind w:left="1880" w:hanging="137"/>
        <w:spacing w:after="0"/>
        <w:tabs>
          <w:tab w:leader="none" w:pos="18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analysis of the comparator groups of certain peer companies within the EMS industry; and</w:t>
      </w:r>
    </w:p>
    <w:p>
      <w:pPr>
        <w:spacing w:after="0" w:line="69" w:lineRule="exact"/>
        <w:rPr>
          <w:rFonts w:ascii="Arial" w:cs="Arial" w:eastAsia="Arial" w:hAnsi="Arial"/>
          <w:sz w:val="13"/>
          <w:szCs w:val="13"/>
          <w:color w:val="auto"/>
        </w:rPr>
      </w:pPr>
    </w:p>
    <w:p>
      <w:pPr>
        <w:ind w:left="1880" w:right="1499" w:hanging="137"/>
        <w:spacing w:after="0" w:line="285" w:lineRule="auto"/>
        <w:tabs>
          <w:tab w:leader="none" w:pos="18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perspectives of management regarding which organizations were most relevant from a business operations and talent competitor perspective.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6" w:name="page57"/>
    <w:bookmarkEnd w:id="56"/>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97"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The following table includes the Comparator Group used to determine 2020 compensation as well as the</w:t>
      </w:r>
    </w:p>
    <w:p>
      <w:pPr>
        <w:spacing w:after="0" w:line="19"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Comparator Group approved in 2020 by the HRCC and used to establish 2021 compensation:</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Table 11: Comparator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1191260</wp:posOffset>
            </wp:positionH>
            <wp:positionV relativeFrom="paragraph">
              <wp:posOffset>52070</wp:posOffset>
            </wp:positionV>
            <wp:extent cx="3337560" cy="18840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337560" cy="1884045"/>
                    </a:xfrm>
                    <a:prstGeom prst="rect">
                      <a:avLst/>
                    </a:prstGeom>
                    <a:noFill/>
                  </pic:spPr>
                </pic:pic>
              </a:graphicData>
            </a:graphic>
          </wp:anchor>
        </w:drawing>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Comparator Group</w:t>
      </w:r>
    </w:p>
    <w:p>
      <w:pPr>
        <w:spacing w:after="0" w:line="12" w:lineRule="exact"/>
        <w:rPr>
          <w:sz w:val="20"/>
          <w:szCs w:val="20"/>
          <w:color w:val="auto"/>
        </w:rPr>
      </w:pPr>
    </w:p>
    <w:tbl>
      <w:tblPr>
        <w:tblLayout w:type="fixed"/>
        <w:tblInd w:w="1880" w:type="dxa"/>
        <w:tblCellMar>
          <w:top w:w="0" w:type="dxa"/>
          <w:left w:w="0" w:type="dxa"/>
          <w:bottom w:w="0" w:type="dxa"/>
          <w:right w:w="0" w:type="dxa"/>
        </w:tblCellMar>
      </w:tblPr>
      <w:tr>
        <w:trPr>
          <w:trHeight w:val="158"/>
        </w:trPr>
        <w:tc>
          <w:tcPr>
            <w:tcW w:w="40" w:type="dxa"/>
            <w:vAlign w:val="bottom"/>
            <w:tcBorders>
              <w:top w:val="single" w:sz="8" w:color="auto"/>
              <w:bottom w:val="single" w:sz="8" w:color="auto"/>
            </w:tcBorders>
          </w:tcPr>
          <w:p>
            <w:pPr>
              <w:spacing w:after="0"/>
              <w:rPr>
                <w:sz w:val="13"/>
                <w:szCs w:val="13"/>
                <w:color w:val="auto"/>
              </w:rPr>
            </w:pPr>
          </w:p>
        </w:tc>
        <w:tc>
          <w:tcPr>
            <w:tcW w:w="2600" w:type="dxa"/>
            <w:vAlign w:val="bottom"/>
            <w:tcBorders>
              <w:top w:val="single" w:sz="8" w:color="auto"/>
              <w:bottom w:val="single" w:sz="8" w:color="auto"/>
              <w:right w:val="single" w:sz="8" w:color="auto"/>
            </w:tcBorders>
            <w:shd w:val="clear" w:color="auto" w:fill="CCCCCC"/>
          </w:tcPr>
          <w:p>
            <w:pPr>
              <w:ind w:left="640"/>
              <w:spacing w:after="0"/>
              <w:rPr>
                <w:sz w:val="20"/>
                <w:szCs w:val="20"/>
                <w:color w:val="auto"/>
              </w:rPr>
            </w:pPr>
            <w:r>
              <w:rPr>
                <w:rFonts w:ascii="Arial" w:cs="Arial" w:eastAsia="Arial" w:hAnsi="Arial"/>
                <w:sz w:val="11"/>
                <w:szCs w:val="11"/>
                <w:b w:val="1"/>
                <w:bCs w:val="1"/>
                <w:color w:val="auto"/>
              </w:rPr>
              <w:t>Used for 2020 Compensation</w:t>
            </w:r>
          </w:p>
        </w:tc>
        <w:tc>
          <w:tcPr>
            <w:tcW w:w="2600" w:type="dxa"/>
            <w:vAlign w:val="bottom"/>
            <w:tcBorders>
              <w:top w:val="single" w:sz="8" w:color="auto"/>
              <w:bottom w:val="single" w:sz="8" w:color="auto"/>
            </w:tcBorders>
            <w:shd w:val="clear" w:color="auto" w:fill="CCCCCC"/>
          </w:tcPr>
          <w:p>
            <w:pPr>
              <w:ind w:left="680"/>
              <w:spacing w:after="0"/>
              <w:rPr>
                <w:sz w:val="20"/>
                <w:szCs w:val="20"/>
                <w:color w:val="auto"/>
              </w:rPr>
            </w:pPr>
            <w:r>
              <w:rPr>
                <w:rFonts w:ascii="Arial" w:cs="Arial" w:eastAsia="Arial" w:hAnsi="Arial"/>
                <w:sz w:val="11"/>
                <w:szCs w:val="11"/>
                <w:b w:val="1"/>
                <w:bCs w:val="1"/>
                <w:color w:val="auto"/>
              </w:rPr>
              <w:t>Used for 2021 Compensation</w:t>
            </w:r>
          </w:p>
        </w:tc>
        <w:tc>
          <w:tcPr>
            <w:tcW w:w="20" w:type="dxa"/>
            <w:vAlign w:val="bottom"/>
            <w:tcBorders>
              <w:top w:val="single" w:sz="8" w:color="auto"/>
              <w:bottom w:val="single" w:sz="8" w:color="auto"/>
            </w:tcBorders>
          </w:tcPr>
          <w:p>
            <w:pPr>
              <w:spacing w:after="0"/>
              <w:rPr>
                <w:sz w:val="13"/>
                <w:szCs w:val="13"/>
                <w:color w:val="auto"/>
              </w:rPr>
            </w:pPr>
          </w:p>
        </w:tc>
      </w:tr>
      <w:tr>
        <w:trPr>
          <w:trHeight w:val="159"/>
        </w:trPr>
        <w:tc>
          <w:tcPr>
            <w:tcW w:w="40" w:type="dxa"/>
            <w:vAlign w:val="bottom"/>
          </w:tcPr>
          <w:p>
            <w:pPr>
              <w:spacing w:after="0"/>
              <w:rPr>
                <w:sz w:val="13"/>
                <w:szCs w:val="13"/>
                <w:color w:val="auto"/>
              </w:rPr>
            </w:pPr>
          </w:p>
        </w:tc>
        <w:tc>
          <w:tcPr>
            <w:tcW w:w="2600" w:type="dxa"/>
            <w:vAlign w:val="bottom"/>
            <w:tcBorders>
              <w:right w:val="single" w:sz="8" w:color="auto"/>
            </w:tcBorders>
          </w:tcPr>
          <w:p>
            <w:pPr>
              <w:jc w:val="center"/>
              <w:ind w:right="74"/>
              <w:spacing w:after="0"/>
              <w:rPr>
                <w:sz w:val="20"/>
                <w:szCs w:val="20"/>
                <w:color w:val="auto"/>
              </w:rPr>
            </w:pPr>
            <w:r>
              <w:rPr>
                <w:rFonts w:ascii="Arial" w:cs="Arial" w:eastAsia="Arial" w:hAnsi="Arial"/>
                <w:sz w:val="13"/>
                <w:szCs w:val="13"/>
                <w:color w:val="auto"/>
                <w:w w:val="99"/>
              </w:rPr>
              <w:t>Advanced Micro Devices, Inc.</w:t>
            </w:r>
          </w:p>
        </w:tc>
        <w:tc>
          <w:tcPr>
            <w:tcW w:w="2600" w:type="dxa"/>
            <w:vAlign w:val="bottom"/>
          </w:tcPr>
          <w:p>
            <w:pPr>
              <w:jc w:val="center"/>
              <w:spacing w:after="0"/>
              <w:rPr>
                <w:sz w:val="20"/>
                <w:szCs w:val="20"/>
                <w:color w:val="auto"/>
              </w:rPr>
            </w:pPr>
            <w:r>
              <w:rPr>
                <w:rFonts w:ascii="Arial" w:cs="Arial" w:eastAsia="Arial" w:hAnsi="Arial"/>
                <w:sz w:val="13"/>
                <w:szCs w:val="13"/>
                <w:color w:val="auto"/>
                <w:w w:val="98"/>
              </w:rPr>
              <w:t>Benchmark Electronics, Inc.</w:t>
            </w:r>
          </w:p>
        </w:tc>
        <w:tc>
          <w:tcPr>
            <w:tcW w:w="20" w:type="dxa"/>
            <w:vAlign w:val="bottom"/>
          </w:tcPr>
          <w:p>
            <w:pPr>
              <w:spacing w:after="0"/>
              <w:rPr>
                <w:sz w:val="13"/>
                <w:szCs w:val="13"/>
                <w:color w:val="auto"/>
              </w:rPr>
            </w:pPr>
          </w:p>
        </w:tc>
      </w:tr>
      <w:tr>
        <w:trPr>
          <w:trHeight w:val="159"/>
        </w:trPr>
        <w:tc>
          <w:tcPr>
            <w:tcW w:w="40" w:type="dxa"/>
            <w:vAlign w:val="bottom"/>
          </w:tcPr>
          <w:p>
            <w:pPr>
              <w:spacing w:after="0"/>
              <w:rPr>
                <w:sz w:val="13"/>
                <w:szCs w:val="13"/>
                <w:color w:val="auto"/>
              </w:rPr>
            </w:pPr>
          </w:p>
        </w:tc>
        <w:tc>
          <w:tcPr>
            <w:tcW w:w="2600" w:type="dxa"/>
            <w:vAlign w:val="bottom"/>
            <w:tcBorders>
              <w:right w:val="single" w:sz="8" w:color="auto"/>
            </w:tcBorders>
          </w:tcPr>
          <w:p>
            <w:pPr>
              <w:jc w:val="center"/>
              <w:ind w:right="54"/>
              <w:spacing w:after="0"/>
              <w:rPr>
                <w:sz w:val="20"/>
                <w:szCs w:val="20"/>
                <w:color w:val="auto"/>
              </w:rPr>
            </w:pPr>
            <w:r>
              <w:rPr>
                <w:rFonts w:ascii="Arial" w:cs="Arial" w:eastAsia="Arial" w:hAnsi="Arial"/>
                <w:sz w:val="13"/>
                <w:szCs w:val="13"/>
                <w:color w:val="auto"/>
                <w:w w:val="99"/>
              </w:rPr>
              <w:t>Agilent Technologies Inc.</w:t>
            </w:r>
          </w:p>
        </w:tc>
        <w:tc>
          <w:tcPr>
            <w:tcW w:w="2600" w:type="dxa"/>
            <w:vAlign w:val="bottom"/>
          </w:tcPr>
          <w:p>
            <w:pPr>
              <w:jc w:val="center"/>
              <w:spacing w:after="0"/>
              <w:rPr>
                <w:sz w:val="20"/>
                <w:szCs w:val="20"/>
                <w:color w:val="auto"/>
              </w:rPr>
            </w:pPr>
            <w:r>
              <w:rPr>
                <w:rFonts w:ascii="Arial" w:cs="Arial" w:eastAsia="Arial" w:hAnsi="Arial"/>
                <w:sz w:val="13"/>
                <w:szCs w:val="13"/>
                <w:color w:val="auto"/>
                <w:w w:val="95"/>
              </w:rPr>
              <w:t>Ciena Corp.</w:t>
            </w:r>
          </w:p>
        </w:tc>
        <w:tc>
          <w:tcPr>
            <w:tcW w:w="20" w:type="dxa"/>
            <w:vAlign w:val="bottom"/>
          </w:tcPr>
          <w:p>
            <w:pPr>
              <w:spacing w:after="0"/>
              <w:rPr>
                <w:sz w:val="13"/>
                <w:szCs w:val="13"/>
                <w:color w:val="auto"/>
              </w:rPr>
            </w:pPr>
          </w:p>
        </w:tc>
      </w:tr>
      <w:tr>
        <w:trPr>
          <w:trHeight w:val="159"/>
        </w:trPr>
        <w:tc>
          <w:tcPr>
            <w:tcW w:w="40" w:type="dxa"/>
            <w:vAlign w:val="bottom"/>
          </w:tcPr>
          <w:p>
            <w:pPr>
              <w:spacing w:after="0"/>
              <w:rPr>
                <w:sz w:val="13"/>
                <w:szCs w:val="13"/>
                <w:color w:val="auto"/>
              </w:rPr>
            </w:pPr>
          </w:p>
        </w:tc>
        <w:tc>
          <w:tcPr>
            <w:tcW w:w="2600" w:type="dxa"/>
            <w:vAlign w:val="bottom"/>
            <w:tcBorders>
              <w:right w:val="single" w:sz="8" w:color="auto"/>
            </w:tcBorders>
          </w:tcPr>
          <w:p>
            <w:pPr>
              <w:jc w:val="center"/>
              <w:ind w:right="54"/>
              <w:spacing w:after="0"/>
              <w:rPr>
                <w:sz w:val="20"/>
                <w:szCs w:val="20"/>
                <w:color w:val="auto"/>
              </w:rPr>
            </w:pPr>
            <w:r>
              <w:rPr>
                <w:rFonts w:ascii="Arial" w:cs="Arial" w:eastAsia="Arial" w:hAnsi="Arial"/>
                <w:sz w:val="13"/>
                <w:szCs w:val="13"/>
                <w:color w:val="auto"/>
                <w:w w:val="98"/>
              </w:rPr>
              <w:t>Amphenol Corporation</w:t>
            </w:r>
          </w:p>
        </w:tc>
        <w:tc>
          <w:tcPr>
            <w:tcW w:w="2600" w:type="dxa"/>
            <w:vAlign w:val="bottom"/>
          </w:tcPr>
          <w:p>
            <w:pPr>
              <w:jc w:val="center"/>
              <w:spacing w:after="0"/>
              <w:rPr>
                <w:sz w:val="20"/>
                <w:szCs w:val="20"/>
                <w:color w:val="auto"/>
              </w:rPr>
            </w:pPr>
            <w:r>
              <w:rPr>
                <w:rFonts w:ascii="Arial" w:cs="Arial" w:eastAsia="Arial" w:hAnsi="Arial"/>
                <w:sz w:val="13"/>
                <w:szCs w:val="13"/>
                <w:color w:val="auto"/>
                <w:w w:val="96"/>
              </w:rPr>
              <w:t>CommScope Holdings Company, Inc.</w:t>
            </w:r>
          </w:p>
        </w:tc>
        <w:tc>
          <w:tcPr>
            <w:tcW w:w="20" w:type="dxa"/>
            <w:vAlign w:val="bottom"/>
          </w:tcPr>
          <w:p>
            <w:pPr>
              <w:spacing w:after="0"/>
              <w:rPr>
                <w:sz w:val="13"/>
                <w:szCs w:val="13"/>
                <w:color w:val="auto"/>
              </w:rPr>
            </w:pPr>
          </w:p>
        </w:tc>
      </w:tr>
      <w:tr>
        <w:trPr>
          <w:trHeight w:val="159"/>
        </w:trPr>
        <w:tc>
          <w:tcPr>
            <w:tcW w:w="40" w:type="dxa"/>
            <w:vAlign w:val="bottom"/>
          </w:tcPr>
          <w:p>
            <w:pPr>
              <w:spacing w:after="0"/>
              <w:rPr>
                <w:sz w:val="13"/>
                <w:szCs w:val="13"/>
                <w:color w:val="auto"/>
              </w:rPr>
            </w:pPr>
          </w:p>
        </w:tc>
        <w:tc>
          <w:tcPr>
            <w:tcW w:w="2600" w:type="dxa"/>
            <w:vAlign w:val="bottom"/>
            <w:tcBorders>
              <w:right w:val="single" w:sz="8" w:color="auto"/>
            </w:tcBorders>
          </w:tcPr>
          <w:p>
            <w:pPr>
              <w:jc w:val="center"/>
              <w:ind w:right="74"/>
              <w:spacing w:after="0"/>
              <w:rPr>
                <w:sz w:val="20"/>
                <w:szCs w:val="20"/>
                <w:color w:val="auto"/>
              </w:rPr>
            </w:pPr>
            <w:r>
              <w:rPr>
                <w:rFonts w:ascii="Arial" w:cs="Arial" w:eastAsia="Arial" w:hAnsi="Arial"/>
                <w:sz w:val="13"/>
                <w:szCs w:val="13"/>
                <w:color w:val="auto"/>
                <w:w w:val="98"/>
              </w:rPr>
              <w:t>Benchmark Electronics, Inc.</w:t>
            </w:r>
          </w:p>
        </w:tc>
        <w:tc>
          <w:tcPr>
            <w:tcW w:w="2600" w:type="dxa"/>
            <w:vAlign w:val="bottom"/>
          </w:tcPr>
          <w:p>
            <w:pPr>
              <w:jc w:val="center"/>
              <w:spacing w:after="0"/>
              <w:rPr>
                <w:sz w:val="20"/>
                <w:szCs w:val="20"/>
                <w:color w:val="auto"/>
              </w:rPr>
            </w:pPr>
            <w:r>
              <w:rPr>
                <w:rFonts w:ascii="Arial" w:cs="Arial" w:eastAsia="Arial" w:hAnsi="Arial"/>
                <w:sz w:val="13"/>
                <w:szCs w:val="13"/>
                <w:color w:val="auto"/>
              </w:rPr>
              <w:t>Curtiss-Wright Corporation</w:t>
            </w:r>
          </w:p>
        </w:tc>
        <w:tc>
          <w:tcPr>
            <w:tcW w:w="20" w:type="dxa"/>
            <w:vAlign w:val="bottom"/>
          </w:tcPr>
          <w:p>
            <w:pPr>
              <w:spacing w:after="0"/>
              <w:rPr>
                <w:sz w:val="13"/>
                <w:szCs w:val="13"/>
                <w:color w:val="auto"/>
              </w:rPr>
            </w:pPr>
          </w:p>
        </w:tc>
      </w:tr>
      <w:tr>
        <w:trPr>
          <w:trHeight w:val="159"/>
        </w:trPr>
        <w:tc>
          <w:tcPr>
            <w:tcW w:w="40" w:type="dxa"/>
            <w:vAlign w:val="bottom"/>
          </w:tcPr>
          <w:p>
            <w:pPr>
              <w:spacing w:after="0"/>
              <w:rPr>
                <w:sz w:val="13"/>
                <w:szCs w:val="13"/>
                <w:color w:val="auto"/>
              </w:rPr>
            </w:pPr>
          </w:p>
        </w:tc>
        <w:tc>
          <w:tcPr>
            <w:tcW w:w="2600" w:type="dxa"/>
            <w:vAlign w:val="bottom"/>
            <w:tcBorders>
              <w:right w:val="single" w:sz="8" w:color="auto"/>
            </w:tcBorders>
          </w:tcPr>
          <w:p>
            <w:pPr>
              <w:jc w:val="center"/>
              <w:ind w:right="74"/>
              <w:spacing w:after="0"/>
              <w:rPr>
                <w:sz w:val="20"/>
                <w:szCs w:val="20"/>
                <w:color w:val="auto"/>
              </w:rPr>
            </w:pPr>
            <w:r>
              <w:rPr>
                <w:rFonts w:ascii="Arial" w:cs="Arial" w:eastAsia="Arial" w:hAnsi="Arial"/>
                <w:sz w:val="13"/>
                <w:szCs w:val="13"/>
                <w:color w:val="auto"/>
                <w:w w:val="99"/>
              </w:rPr>
              <w:t>Corning Inc.</w:t>
            </w:r>
          </w:p>
        </w:tc>
        <w:tc>
          <w:tcPr>
            <w:tcW w:w="2600" w:type="dxa"/>
            <w:vAlign w:val="bottom"/>
          </w:tcPr>
          <w:p>
            <w:pPr>
              <w:jc w:val="center"/>
              <w:spacing w:after="0"/>
              <w:rPr>
                <w:sz w:val="20"/>
                <w:szCs w:val="20"/>
                <w:color w:val="auto"/>
              </w:rPr>
            </w:pPr>
            <w:r>
              <w:rPr>
                <w:rFonts w:ascii="Arial" w:cs="Arial" w:eastAsia="Arial" w:hAnsi="Arial"/>
                <w:sz w:val="13"/>
                <w:szCs w:val="13"/>
                <w:color w:val="auto"/>
              </w:rPr>
              <w:t>Diebold Nixdorff, Incorporated</w:t>
            </w:r>
          </w:p>
        </w:tc>
        <w:tc>
          <w:tcPr>
            <w:tcW w:w="20" w:type="dxa"/>
            <w:vAlign w:val="bottom"/>
          </w:tcPr>
          <w:p>
            <w:pPr>
              <w:spacing w:after="0"/>
              <w:rPr>
                <w:sz w:val="13"/>
                <w:szCs w:val="13"/>
                <w:color w:val="auto"/>
              </w:rPr>
            </w:pPr>
          </w:p>
        </w:tc>
      </w:tr>
      <w:tr>
        <w:trPr>
          <w:trHeight w:val="159"/>
        </w:trPr>
        <w:tc>
          <w:tcPr>
            <w:tcW w:w="40" w:type="dxa"/>
            <w:vAlign w:val="bottom"/>
          </w:tcPr>
          <w:p>
            <w:pPr>
              <w:spacing w:after="0"/>
              <w:rPr>
                <w:sz w:val="13"/>
                <w:szCs w:val="13"/>
                <w:color w:val="auto"/>
              </w:rPr>
            </w:pPr>
          </w:p>
        </w:tc>
        <w:tc>
          <w:tcPr>
            <w:tcW w:w="2600" w:type="dxa"/>
            <w:vAlign w:val="bottom"/>
            <w:tcBorders>
              <w:right w:val="single" w:sz="8" w:color="auto"/>
            </w:tcBorders>
          </w:tcPr>
          <w:p>
            <w:pPr>
              <w:jc w:val="center"/>
              <w:ind w:right="54"/>
              <w:spacing w:after="0"/>
              <w:rPr>
                <w:sz w:val="20"/>
                <w:szCs w:val="20"/>
                <w:color w:val="auto"/>
              </w:rPr>
            </w:pPr>
            <w:r>
              <w:rPr>
                <w:rFonts w:ascii="Arial" w:cs="Arial" w:eastAsia="Arial" w:hAnsi="Arial"/>
                <w:sz w:val="13"/>
                <w:szCs w:val="13"/>
                <w:color w:val="auto"/>
              </w:rPr>
              <w:t>Flex Ltd.</w:t>
            </w:r>
          </w:p>
        </w:tc>
        <w:tc>
          <w:tcPr>
            <w:tcW w:w="2600" w:type="dxa"/>
            <w:vAlign w:val="bottom"/>
          </w:tcPr>
          <w:p>
            <w:pPr>
              <w:jc w:val="center"/>
              <w:spacing w:after="0"/>
              <w:rPr>
                <w:sz w:val="20"/>
                <w:szCs w:val="20"/>
                <w:color w:val="auto"/>
              </w:rPr>
            </w:pPr>
            <w:r>
              <w:rPr>
                <w:rFonts w:ascii="Arial" w:cs="Arial" w:eastAsia="Arial" w:hAnsi="Arial"/>
                <w:sz w:val="13"/>
                <w:szCs w:val="13"/>
                <w:color w:val="auto"/>
                <w:w w:val="97"/>
              </w:rPr>
              <w:t>Juniper Networks, Inc.</w:t>
            </w:r>
          </w:p>
        </w:tc>
        <w:tc>
          <w:tcPr>
            <w:tcW w:w="20" w:type="dxa"/>
            <w:vAlign w:val="bottom"/>
          </w:tcPr>
          <w:p>
            <w:pPr>
              <w:spacing w:after="0"/>
              <w:rPr>
                <w:sz w:val="13"/>
                <w:szCs w:val="13"/>
                <w:color w:val="auto"/>
              </w:rPr>
            </w:pPr>
          </w:p>
        </w:tc>
      </w:tr>
      <w:tr>
        <w:trPr>
          <w:trHeight w:val="159"/>
        </w:trPr>
        <w:tc>
          <w:tcPr>
            <w:tcW w:w="40" w:type="dxa"/>
            <w:vAlign w:val="bottom"/>
          </w:tcPr>
          <w:p>
            <w:pPr>
              <w:spacing w:after="0"/>
              <w:rPr>
                <w:sz w:val="13"/>
                <w:szCs w:val="13"/>
                <w:color w:val="auto"/>
              </w:rPr>
            </w:pPr>
          </w:p>
        </w:tc>
        <w:tc>
          <w:tcPr>
            <w:tcW w:w="2600" w:type="dxa"/>
            <w:vAlign w:val="bottom"/>
            <w:tcBorders>
              <w:right w:val="single" w:sz="8" w:color="auto"/>
            </w:tcBorders>
          </w:tcPr>
          <w:p>
            <w:pPr>
              <w:jc w:val="center"/>
              <w:ind w:right="54"/>
              <w:spacing w:after="0"/>
              <w:rPr>
                <w:sz w:val="20"/>
                <w:szCs w:val="20"/>
                <w:color w:val="auto"/>
              </w:rPr>
            </w:pPr>
            <w:r>
              <w:rPr>
                <w:rFonts w:ascii="Arial" w:cs="Arial" w:eastAsia="Arial" w:hAnsi="Arial"/>
                <w:sz w:val="13"/>
                <w:szCs w:val="13"/>
                <w:color w:val="auto"/>
                <w:w w:val="97"/>
              </w:rPr>
              <w:t>Harris Corporation</w:t>
            </w:r>
          </w:p>
        </w:tc>
        <w:tc>
          <w:tcPr>
            <w:tcW w:w="2600" w:type="dxa"/>
            <w:vAlign w:val="bottom"/>
          </w:tcPr>
          <w:p>
            <w:pPr>
              <w:jc w:val="center"/>
              <w:spacing w:after="0"/>
              <w:rPr>
                <w:sz w:val="20"/>
                <w:szCs w:val="20"/>
                <w:color w:val="auto"/>
              </w:rPr>
            </w:pPr>
            <w:r>
              <w:rPr>
                <w:rFonts w:ascii="Arial" w:cs="Arial" w:eastAsia="Arial" w:hAnsi="Arial"/>
                <w:sz w:val="13"/>
                <w:szCs w:val="13"/>
                <w:color w:val="auto"/>
                <w:w w:val="97"/>
              </w:rPr>
              <w:t>Keysight Technologies Inc.</w:t>
            </w:r>
          </w:p>
        </w:tc>
        <w:tc>
          <w:tcPr>
            <w:tcW w:w="20" w:type="dxa"/>
            <w:vAlign w:val="bottom"/>
          </w:tcPr>
          <w:p>
            <w:pPr>
              <w:spacing w:after="0"/>
              <w:rPr>
                <w:sz w:val="13"/>
                <w:szCs w:val="13"/>
                <w:color w:val="auto"/>
              </w:rPr>
            </w:pPr>
          </w:p>
        </w:tc>
      </w:tr>
      <w:tr>
        <w:trPr>
          <w:trHeight w:val="159"/>
        </w:trPr>
        <w:tc>
          <w:tcPr>
            <w:tcW w:w="40" w:type="dxa"/>
            <w:vAlign w:val="bottom"/>
          </w:tcPr>
          <w:p>
            <w:pPr>
              <w:spacing w:after="0"/>
              <w:rPr>
                <w:sz w:val="13"/>
                <w:szCs w:val="13"/>
                <w:color w:val="auto"/>
              </w:rPr>
            </w:pPr>
          </w:p>
        </w:tc>
        <w:tc>
          <w:tcPr>
            <w:tcW w:w="2600" w:type="dxa"/>
            <w:vAlign w:val="bottom"/>
            <w:tcBorders>
              <w:right w:val="single" w:sz="8" w:color="auto"/>
            </w:tcBorders>
          </w:tcPr>
          <w:p>
            <w:pPr>
              <w:jc w:val="center"/>
              <w:ind w:right="54"/>
              <w:spacing w:after="0"/>
              <w:rPr>
                <w:sz w:val="20"/>
                <w:szCs w:val="20"/>
                <w:color w:val="auto"/>
              </w:rPr>
            </w:pPr>
            <w:r>
              <w:rPr>
                <w:rFonts w:ascii="Arial" w:cs="Arial" w:eastAsia="Arial" w:hAnsi="Arial"/>
                <w:sz w:val="13"/>
                <w:szCs w:val="13"/>
                <w:color w:val="auto"/>
              </w:rPr>
              <w:t>Jabil Inc.</w:t>
            </w:r>
          </w:p>
        </w:tc>
        <w:tc>
          <w:tcPr>
            <w:tcW w:w="2600" w:type="dxa"/>
            <w:vAlign w:val="bottom"/>
          </w:tcPr>
          <w:p>
            <w:pPr>
              <w:jc w:val="center"/>
              <w:spacing w:after="0"/>
              <w:rPr>
                <w:sz w:val="20"/>
                <w:szCs w:val="20"/>
                <w:color w:val="auto"/>
              </w:rPr>
            </w:pPr>
            <w:r>
              <w:rPr>
                <w:rFonts w:ascii="Arial" w:cs="Arial" w:eastAsia="Arial" w:hAnsi="Arial"/>
                <w:sz w:val="13"/>
                <w:szCs w:val="13"/>
                <w:color w:val="auto"/>
                <w:w w:val="98"/>
              </w:rPr>
              <w:t>NCR Corporation</w:t>
            </w:r>
          </w:p>
        </w:tc>
        <w:tc>
          <w:tcPr>
            <w:tcW w:w="20" w:type="dxa"/>
            <w:vAlign w:val="bottom"/>
          </w:tcPr>
          <w:p>
            <w:pPr>
              <w:spacing w:after="0"/>
              <w:rPr>
                <w:sz w:val="13"/>
                <w:szCs w:val="13"/>
                <w:color w:val="auto"/>
              </w:rPr>
            </w:pPr>
          </w:p>
        </w:tc>
      </w:tr>
      <w:tr>
        <w:trPr>
          <w:trHeight w:val="159"/>
        </w:trPr>
        <w:tc>
          <w:tcPr>
            <w:tcW w:w="40" w:type="dxa"/>
            <w:vAlign w:val="bottom"/>
          </w:tcPr>
          <w:p>
            <w:pPr>
              <w:spacing w:after="0"/>
              <w:rPr>
                <w:sz w:val="13"/>
                <w:szCs w:val="13"/>
                <w:color w:val="auto"/>
              </w:rPr>
            </w:pPr>
          </w:p>
        </w:tc>
        <w:tc>
          <w:tcPr>
            <w:tcW w:w="2600" w:type="dxa"/>
            <w:vAlign w:val="bottom"/>
            <w:tcBorders>
              <w:right w:val="single" w:sz="8" w:color="auto"/>
            </w:tcBorders>
          </w:tcPr>
          <w:p>
            <w:pPr>
              <w:jc w:val="center"/>
              <w:ind w:right="74"/>
              <w:spacing w:after="0"/>
              <w:rPr>
                <w:sz w:val="20"/>
                <w:szCs w:val="20"/>
                <w:color w:val="auto"/>
              </w:rPr>
            </w:pPr>
            <w:r>
              <w:rPr>
                <w:rFonts w:ascii="Arial" w:cs="Arial" w:eastAsia="Arial" w:hAnsi="Arial"/>
                <w:sz w:val="13"/>
                <w:szCs w:val="13"/>
                <w:color w:val="auto"/>
                <w:w w:val="97"/>
              </w:rPr>
              <w:t>Juniper Networks, Inc.</w:t>
            </w:r>
          </w:p>
        </w:tc>
        <w:tc>
          <w:tcPr>
            <w:tcW w:w="2600" w:type="dxa"/>
            <w:vAlign w:val="bottom"/>
          </w:tcPr>
          <w:p>
            <w:pPr>
              <w:jc w:val="center"/>
              <w:spacing w:after="0"/>
              <w:rPr>
                <w:sz w:val="20"/>
                <w:szCs w:val="20"/>
                <w:color w:val="auto"/>
              </w:rPr>
            </w:pPr>
            <w:r>
              <w:rPr>
                <w:rFonts w:ascii="Arial" w:cs="Arial" w:eastAsia="Arial" w:hAnsi="Arial"/>
                <w:sz w:val="13"/>
                <w:szCs w:val="13"/>
                <w:color w:val="auto"/>
              </w:rPr>
              <w:t>NetApp, Inc.</w:t>
            </w:r>
          </w:p>
        </w:tc>
        <w:tc>
          <w:tcPr>
            <w:tcW w:w="20" w:type="dxa"/>
            <w:vAlign w:val="bottom"/>
          </w:tcPr>
          <w:p>
            <w:pPr>
              <w:spacing w:after="0"/>
              <w:rPr>
                <w:sz w:val="13"/>
                <w:szCs w:val="13"/>
                <w:color w:val="auto"/>
              </w:rPr>
            </w:pPr>
          </w:p>
        </w:tc>
      </w:tr>
      <w:tr>
        <w:trPr>
          <w:trHeight w:val="159"/>
        </w:trPr>
        <w:tc>
          <w:tcPr>
            <w:tcW w:w="40" w:type="dxa"/>
            <w:vAlign w:val="bottom"/>
          </w:tcPr>
          <w:p>
            <w:pPr>
              <w:spacing w:after="0"/>
              <w:rPr>
                <w:sz w:val="13"/>
                <w:szCs w:val="13"/>
                <w:color w:val="auto"/>
              </w:rPr>
            </w:pPr>
          </w:p>
        </w:tc>
        <w:tc>
          <w:tcPr>
            <w:tcW w:w="2600" w:type="dxa"/>
            <w:vAlign w:val="bottom"/>
            <w:tcBorders>
              <w:right w:val="single" w:sz="8" w:color="auto"/>
            </w:tcBorders>
          </w:tcPr>
          <w:p>
            <w:pPr>
              <w:jc w:val="center"/>
              <w:ind w:right="54"/>
              <w:spacing w:after="0"/>
              <w:rPr>
                <w:sz w:val="20"/>
                <w:szCs w:val="20"/>
                <w:color w:val="auto"/>
              </w:rPr>
            </w:pPr>
            <w:r>
              <w:rPr>
                <w:rFonts w:ascii="Arial" w:cs="Arial" w:eastAsia="Arial" w:hAnsi="Arial"/>
                <w:sz w:val="13"/>
                <w:szCs w:val="13"/>
                <w:color w:val="auto"/>
                <w:w w:val="99"/>
              </w:rPr>
              <w:t>LAM Research Corporation</w:t>
            </w:r>
          </w:p>
        </w:tc>
        <w:tc>
          <w:tcPr>
            <w:tcW w:w="2600" w:type="dxa"/>
            <w:vAlign w:val="bottom"/>
          </w:tcPr>
          <w:p>
            <w:pPr>
              <w:jc w:val="center"/>
              <w:spacing w:after="0"/>
              <w:rPr>
                <w:sz w:val="20"/>
                <w:szCs w:val="20"/>
                <w:color w:val="auto"/>
              </w:rPr>
            </w:pPr>
            <w:r>
              <w:rPr>
                <w:rFonts w:ascii="Arial" w:cs="Arial" w:eastAsia="Arial" w:hAnsi="Arial"/>
                <w:sz w:val="13"/>
                <w:szCs w:val="13"/>
                <w:color w:val="auto"/>
                <w:w w:val="98"/>
              </w:rPr>
              <w:t>ON Semiconductor Corporation</w:t>
            </w:r>
          </w:p>
        </w:tc>
        <w:tc>
          <w:tcPr>
            <w:tcW w:w="20" w:type="dxa"/>
            <w:vAlign w:val="bottom"/>
          </w:tcPr>
          <w:p>
            <w:pPr>
              <w:spacing w:after="0"/>
              <w:rPr>
                <w:sz w:val="13"/>
                <w:szCs w:val="13"/>
                <w:color w:val="auto"/>
              </w:rPr>
            </w:pPr>
          </w:p>
        </w:tc>
      </w:tr>
      <w:tr>
        <w:trPr>
          <w:trHeight w:val="159"/>
        </w:trPr>
        <w:tc>
          <w:tcPr>
            <w:tcW w:w="40" w:type="dxa"/>
            <w:vAlign w:val="bottom"/>
          </w:tcPr>
          <w:p>
            <w:pPr>
              <w:spacing w:after="0"/>
              <w:rPr>
                <w:sz w:val="13"/>
                <w:szCs w:val="13"/>
                <w:color w:val="auto"/>
              </w:rPr>
            </w:pPr>
          </w:p>
        </w:tc>
        <w:tc>
          <w:tcPr>
            <w:tcW w:w="2600" w:type="dxa"/>
            <w:vAlign w:val="bottom"/>
            <w:tcBorders>
              <w:right w:val="single" w:sz="8" w:color="auto"/>
            </w:tcBorders>
          </w:tcPr>
          <w:p>
            <w:pPr>
              <w:jc w:val="center"/>
              <w:ind w:right="54"/>
              <w:spacing w:after="0"/>
              <w:rPr>
                <w:sz w:val="20"/>
                <w:szCs w:val="20"/>
                <w:color w:val="auto"/>
              </w:rPr>
            </w:pPr>
            <w:r>
              <w:rPr>
                <w:rFonts w:ascii="Arial" w:cs="Arial" w:eastAsia="Arial" w:hAnsi="Arial"/>
                <w:sz w:val="13"/>
                <w:szCs w:val="13"/>
                <w:color w:val="auto"/>
              </w:rPr>
              <w:t>Motorola Solutions, Inc.</w:t>
            </w:r>
          </w:p>
        </w:tc>
        <w:tc>
          <w:tcPr>
            <w:tcW w:w="2600" w:type="dxa"/>
            <w:vAlign w:val="bottom"/>
          </w:tcPr>
          <w:p>
            <w:pPr>
              <w:jc w:val="center"/>
              <w:spacing w:after="0"/>
              <w:rPr>
                <w:sz w:val="20"/>
                <w:szCs w:val="20"/>
                <w:color w:val="auto"/>
              </w:rPr>
            </w:pPr>
            <w:r>
              <w:rPr>
                <w:rFonts w:ascii="Arial" w:cs="Arial" w:eastAsia="Arial" w:hAnsi="Arial"/>
                <w:sz w:val="13"/>
                <w:szCs w:val="13"/>
                <w:color w:val="auto"/>
                <w:w w:val="97"/>
              </w:rPr>
              <w:t>Plexus Inc.</w:t>
            </w:r>
          </w:p>
        </w:tc>
        <w:tc>
          <w:tcPr>
            <w:tcW w:w="20" w:type="dxa"/>
            <w:vAlign w:val="bottom"/>
          </w:tcPr>
          <w:p>
            <w:pPr>
              <w:spacing w:after="0"/>
              <w:rPr>
                <w:sz w:val="13"/>
                <w:szCs w:val="13"/>
                <w:color w:val="auto"/>
              </w:rPr>
            </w:pPr>
          </w:p>
        </w:tc>
      </w:tr>
      <w:tr>
        <w:trPr>
          <w:trHeight w:val="159"/>
        </w:trPr>
        <w:tc>
          <w:tcPr>
            <w:tcW w:w="40" w:type="dxa"/>
            <w:vAlign w:val="bottom"/>
          </w:tcPr>
          <w:p>
            <w:pPr>
              <w:spacing w:after="0"/>
              <w:rPr>
                <w:sz w:val="13"/>
                <w:szCs w:val="13"/>
                <w:color w:val="auto"/>
              </w:rPr>
            </w:pPr>
          </w:p>
        </w:tc>
        <w:tc>
          <w:tcPr>
            <w:tcW w:w="2600" w:type="dxa"/>
            <w:vAlign w:val="bottom"/>
            <w:tcBorders>
              <w:right w:val="single" w:sz="8" w:color="auto"/>
            </w:tcBorders>
          </w:tcPr>
          <w:p>
            <w:pPr>
              <w:jc w:val="center"/>
              <w:ind w:right="54"/>
              <w:spacing w:after="0"/>
              <w:rPr>
                <w:sz w:val="20"/>
                <w:szCs w:val="20"/>
                <w:color w:val="auto"/>
              </w:rPr>
            </w:pPr>
            <w:r>
              <w:rPr>
                <w:rFonts w:ascii="Arial" w:cs="Arial" w:eastAsia="Arial" w:hAnsi="Arial"/>
                <w:sz w:val="13"/>
                <w:szCs w:val="13"/>
                <w:color w:val="auto"/>
              </w:rPr>
              <w:t>NCR Corp.</w:t>
            </w:r>
          </w:p>
        </w:tc>
        <w:tc>
          <w:tcPr>
            <w:tcW w:w="2600" w:type="dxa"/>
            <w:vAlign w:val="bottom"/>
          </w:tcPr>
          <w:p>
            <w:pPr>
              <w:jc w:val="center"/>
              <w:spacing w:after="0"/>
              <w:rPr>
                <w:sz w:val="20"/>
                <w:szCs w:val="20"/>
                <w:color w:val="auto"/>
              </w:rPr>
            </w:pPr>
            <w:r>
              <w:rPr>
                <w:rFonts w:ascii="Arial" w:cs="Arial" w:eastAsia="Arial" w:hAnsi="Arial"/>
                <w:sz w:val="13"/>
                <w:szCs w:val="13"/>
                <w:color w:val="auto"/>
                <w:w w:val="96"/>
              </w:rPr>
              <w:t>Sanmina Corporation</w:t>
            </w:r>
          </w:p>
        </w:tc>
        <w:tc>
          <w:tcPr>
            <w:tcW w:w="20" w:type="dxa"/>
            <w:vAlign w:val="bottom"/>
          </w:tcPr>
          <w:p>
            <w:pPr>
              <w:spacing w:after="0"/>
              <w:rPr>
                <w:sz w:val="13"/>
                <w:szCs w:val="13"/>
                <w:color w:val="auto"/>
              </w:rPr>
            </w:pPr>
          </w:p>
        </w:tc>
      </w:tr>
      <w:tr>
        <w:trPr>
          <w:trHeight w:val="159"/>
        </w:trPr>
        <w:tc>
          <w:tcPr>
            <w:tcW w:w="40" w:type="dxa"/>
            <w:vAlign w:val="bottom"/>
          </w:tcPr>
          <w:p>
            <w:pPr>
              <w:spacing w:after="0"/>
              <w:rPr>
                <w:sz w:val="13"/>
                <w:szCs w:val="13"/>
                <w:color w:val="auto"/>
              </w:rPr>
            </w:pPr>
          </w:p>
        </w:tc>
        <w:tc>
          <w:tcPr>
            <w:tcW w:w="2600" w:type="dxa"/>
            <w:vAlign w:val="bottom"/>
            <w:tcBorders>
              <w:right w:val="single" w:sz="8" w:color="auto"/>
            </w:tcBorders>
          </w:tcPr>
          <w:p>
            <w:pPr>
              <w:jc w:val="center"/>
              <w:ind w:right="54"/>
              <w:spacing w:after="0"/>
              <w:rPr>
                <w:sz w:val="20"/>
                <w:szCs w:val="20"/>
                <w:color w:val="auto"/>
              </w:rPr>
            </w:pPr>
            <w:r>
              <w:rPr>
                <w:rFonts w:ascii="Arial" w:cs="Arial" w:eastAsia="Arial" w:hAnsi="Arial"/>
                <w:sz w:val="13"/>
                <w:szCs w:val="13"/>
                <w:color w:val="auto"/>
              </w:rPr>
              <w:t>NetApp, Inc.</w:t>
            </w:r>
          </w:p>
        </w:tc>
        <w:tc>
          <w:tcPr>
            <w:tcW w:w="2600" w:type="dxa"/>
            <w:vAlign w:val="bottom"/>
          </w:tcPr>
          <w:p>
            <w:pPr>
              <w:jc w:val="center"/>
              <w:spacing w:after="0"/>
              <w:rPr>
                <w:sz w:val="20"/>
                <w:szCs w:val="20"/>
                <w:color w:val="auto"/>
              </w:rPr>
            </w:pPr>
            <w:r>
              <w:rPr>
                <w:rFonts w:ascii="Arial" w:cs="Arial" w:eastAsia="Arial" w:hAnsi="Arial"/>
                <w:sz w:val="13"/>
                <w:szCs w:val="13"/>
                <w:color w:val="auto"/>
                <w:w w:val="94"/>
              </w:rPr>
              <w:t>ScanSource Inc.</w:t>
            </w:r>
          </w:p>
        </w:tc>
        <w:tc>
          <w:tcPr>
            <w:tcW w:w="20" w:type="dxa"/>
            <w:vAlign w:val="bottom"/>
          </w:tcPr>
          <w:p>
            <w:pPr>
              <w:spacing w:after="0"/>
              <w:rPr>
                <w:sz w:val="13"/>
                <w:szCs w:val="13"/>
                <w:color w:val="auto"/>
              </w:rPr>
            </w:pPr>
          </w:p>
        </w:tc>
      </w:tr>
      <w:tr>
        <w:trPr>
          <w:trHeight w:val="159"/>
        </w:trPr>
        <w:tc>
          <w:tcPr>
            <w:tcW w:w="40" w:type="dxa"/>
            <w:vAlign w:val="bottom"/>
          </w:tcPr>
          <w:p>
            <w:pPr>
              <w:spacing w:after="0"/>
              <w:rPr>
                <w:sz w:val="13"/>
                <w:szCs w:val="13"/>
                <w:color w:val="auto"/>
              </w:rPr>
            </w:pPr>
          </w:p>
        </w:tc>
        <w:tc>
          <w:tcPr>
            <w:tcW w:w="2600" w:type="dxa"/>
            <w:vAlign w:val="bottom"/>
            <w:tcBorders>
              <w:right w:val="single" w:sz="8" w:color="auto"/>
            </w:tcBorders>
          </w:tcPr>
          <w:p>
            <w:pPr>
              <w:jc w:val="center"/>
              <w:ind w:right="54"/>
              <w:spacing w:after="0"/>
              <w:rPr>
                <w:sz w:val="20"/>
                <w:szCs w:val="20"/>
                <w:color w:val="auto"/>
              </w:rPr>
            </w:pPr>
            <w:r>
              <w:rPr>
                <w:rFonts w:ascii="Arial" w:cs="Arial" w:eastAsia="Arial" w:hAnsi="Arial"/>
                <w:sz w:val="13"/>
                <w:szCs w:val="13"/>
                <w:color w:val="auto"/>
              </w:rPr>
              <w:t>NVIDIA Corp.</w:t>
            </w:r>
          </w:p>
        </w:tc>
        <w:tc>
          <w:tcPr>
            <w:tcW w:w="2600" w:type="dxa"/>
            <w:vAlign w:val="bottom"/>
          </w:tcPr>
          <w:p>
            <w:pPr>
              <w:jc w:val="center"/>
              <w:spacing w:after="0"/>
              <w:rPr>
                <w:sz w:val="20"/>
                <w:szCs w:val="20"/>
                <w:color w:val="auto"/>
              </w:rPr>
            </w:pPr>
            <w:r>
              <w:rPr>
                <w:rFonts w:ascii="Arial" w:cs="Arial" w:eastAsia="Arial" w:hAnsi="Arial"/>
                <w:sz w:val="13"/>
                <w:szCs w:val="13"/>
                <w:color w:val="auto"/>
                <w:w w:val="94"/>
              </w:rPr>
              <w:t>Seagate Technology PLC</w:t>
            </w:r>
          </w:p>
        </w:tc>
        <w:tc>
          <w:tcPr>
            <w:tcW w:w="20" w:type="dxa"/>
            <w:vAlign w:val="bottom"/>
          </w:tcPr>
          <w:p>
            <w:pPr>
              <w:spacing w:after="0"/>
              <w:rPr>
                <w:sz w:val="13"/>
                <w:szCs w:val="13"/>
                <w:color w:val="auto"/>
              </w:rPr>
            </w:pPr>
          </w:p>
        </w:tc>
      </w:tr>
      <w:tr>
        <w:trPr>
          <w:trHeight w:val="159"/>
        </w:trPr>
        <w:tc>
          <w:tcPr>
            <w:tcW w:w="40" w:type="dxa"/>
            <w:vAlign w:val="bottom"/>
          </w:tcPr>
          <w:p>
            <w:pPr>
              <w:spacing w:after="0"/>
              <w:rPr>
                <w:sz w:val="13"/>
                <w:szCs w:val="13"/>
                <w:color w:val="auto"/>
              </w:rPr>
            </w:pPr>
          </w:p>
        </w:tc>
        <w:tc>
          <w:tcPr>
            <w:tcW w:w="2600" w:type="dxa"/>
            <w:vAlign w:val="bottom"/>
            <w:tcBorders>
              <w:right w:val="single" w:sz="8" w:color="auto"/>
            </w:tcBorders>
          </w:tcPr>
          <w:p>
            <w:pPr>
              <w:jc w:val="center"/>
              <w:ind w:right="54"/>
              <w:spacing w:after="0"/>
              <w:rPr>
                <w:sz w:val="20"/>
                <w:szCs w:val="20"/>
                <w:color w:val="auto"/>
              </w:rPr>
            </w:pPr>
            <w:r>
              <w:rPr>
                <w:rFonts w:ascii="Arial" w:cs="Arial" w:eastAsia="Arial" w:hAnsi="Arial"/>
                <w:sz w:val="13"/>
                <w:szCs w:val="13"/>
                <w:color w:val="auto"/>
                <w:w w:val="96"/>
              </w:rPr>
              <w:t>Plexus Corp.</w:t>
            </w:r>
          </w:p>
        </w:tc>
        <w:tc>
          <w:tcPr>
            <w:tcW w:w="2600" w:type="dxa"/>
            <w:vAlign w:val="bottom"/>
          </w:tcPr>
          <w:p>
            <w:pPr>
              <w:jc w:val="center"/>
              <w:spacing w:after="0"/>
              <w:rPr>
                <w:sz w:val="20"/>
                <w:szCs w:val="20"/>
                <w:color w:val="auto"/>
              </w:rPr>
            </w:pPr>
            <w:r>
              <w:rPr>
                <w:rFonts w:ascii="Arial" w:cs="Arial" w:eastAsia="Arial" w:hAnsi="Arial"/>
                <w:sz w:val="13"/>
                <w:szCs w:val="13"/>
                <w:color w:val="auto"/>
              </w:rPr>
              <w:t>Trimble Inc.</w:t>
            </w:r>
          </w:p>
        </w:tc>
        <w:tc>
          <w:tcPr>
            <w:tcW w:w="20" w:type="dxa"/>
            <w:vAlign w:val="bottom"/>
          </w:tcPr>
          <w:p>
            <w:pPr>
              <w:spacing w:after="0"/>
              <w:rPr>
                <w:sz w:val="13"/>
                <w:szCs w:val="13"/>
                <w:color w:val="auto"/>
              </w:rPr>
            </w:pPr>
          </w:p>
        </w:tc>
      </w:tr>
      <w:tr>
        <w:trPr>
          <w:trHeight w:val="178"/>
        </w:trPr>
        <w:tc>
          <w:tcPr>
            <w:tcW w:w="40" w:type="dxa"/>
            <w:vAlign w:val="bottom"/>
            <w:tcBorders>
              <w:bottom w:val="single" w:sz="8" w:color="auto"/>
            </w:tcBorders>
          </w:tcPr>
          <w:p>
            <w:pPr>
              <w:spacing w:after="0"/>
              <w:rPr>
                <w:sz w:val="15"/>
                <w:szCs w:val="15"/>
                <w:color w:val="auto"/>
              </w:rPr>
            </w:pPr>
          </w:p>
        </w:tc>
        <w:tc>
          <w:tcPr>
            <w:tcW w:w="2600" w:type="dxa"/>
            <w:vAlign w:val="bottom"/>
            <w:tcBorders>
              <w:bottom w:val="single" w:sz="8" w:color="auto"/>
              <w:right w:val="single" w:sz="8" w:color="auto"/>
            </w:tcBorders>
          </w:tcPr>
          <w:p>
            <w:pPr>
              <w:jc w:val="center"/>
              <w:ind w:right="34"/>
              <w:spacing w:after="0"/>
              <w:rPr>
                <w:sz w:val="20"/>
                <w:szCs w:val="20"/>
                <w:color w:val="auto"/>
              </w:rPr>
            </w:pPr>
            <w:r>
              <w:rPr>
                <w:rFonts w:ascii="Arial" w:cs="Arial" w:eastAsia="Arial" w:hAnsi="Arial"/>
                <w:sz w:val="13"/>
                <w:szCs w:val="13"/>
                <w:color w:val="auto"/>
                <w:w w:val="96"/>
              </w:rPr>
              <w:t>Sanmina Corporation</w:t>
            </w: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Xerox Holdings Corporation</w:t>
            </w:r>
          </w:p>
        </w:tc>
        <w:tc>
          <w:tcPr>
            <w:tcW w:w="20" w:type="dxa"/>
            <w:vAlign w:val="bottom"/>
            <w:tcBorders>
              <w:bottom w:val="single" w:sz="8" w:color="auto"/>
            </w:tcBorders>
          </w:tcPr>
          <w:p>
            <w:pPr>
              <w:spacing w:after="0"/>
              <w:rPr>
                <w:sz w:val="15"/>
                <w:szCs w:val="15"/>
                <w:color w:val="auto"/>
              </w:rPr>
            </w:pPr>
          </w:p>
        </w:tc>
      </w:tr>
    </w:tbl>
    <w:p>
      <w:pPr>
        <w:spacing w:after="0" w:line="81" w:lineRule="exact"/>
        <w:rPr>
          <w:sz w:val="20"/>
          <w:szCs w:val="20"/>
          <w:color w:val="auto"/>
        </w:rPr>
      </w:pPr>
    </w:p>
    <w:p>
      <w:pPr>
        <w:jc w:val="both"/>
        <w:ind w:left="1480" w:right="1499"/>
        <w:spacing w:after="0" w:line="263" w:lineRule="auto"/>
        <w:rPr>
          <w:sz w:val="20"/>
          <w:szCs w:val="20"/>
          <w:color w:val="auto"/>
        </w:rPr>
      </w:pPr>
      <w:r>
        <w:rPr>
          <w:rFonts w:ascii="Arial" w:cs="Arial" w:eastAsia="Arial" w:hAnsi="Arial"/>
          <w:sz w:val="13"/>
          <w:szCs w:val="13"/>
          <w:color w:val="auto"/>
        </w:rPr>
        <w:t>Additionally, broader market compensation survey data for other similarly-sized organizations as well as U.S. technology companies and Canadian general industry companies with global operations provided by the Compensation Consultant is analyzed in accordance with a process approved by the HRCC. The HRCC considered proxy disclosure for companies in the Comparator Group, as well as survey data, among other factors, in making compensation decisions for the CEO and the other NEOs.</w:t>
      </w:r>
    </w:p>
    <w:p>
      <w:pPr>
        <w:spacing w:after="0" w:line="131"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Anti-Hedging and Anti-Pledging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38100</wp:posOffset>
            </wp:positionV>
            <wp:extent cx="3843655" cy="6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843655" cy="635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50800</wp:posOffset>
            </wp:positionV>
            <wp:extent cx="3843655"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210" w:lineRule="exact"/>
        <w:rPr>
          <w:sz w:val="20"/>
          <w:szCs w:val="20"/>
          <w:color w:val="auto"/>
        </w:rPr>
      </w:pPr>
    </w:p>
    <w:p>
      <w:pPr>
        <w:jc w:val="both"/>
        <w:ind w:left="1480" w:right="1499"/>
        <w:spacing w:after="0" w:line="259" w:lineRule="auto"/>
        <w:rPr>
          <w:sz w:val="20"/>
          <w:szCs w:val="20"/>
          <w:color w:val="auto"/>
        </w:rPr>
      </w:pPr>
      <w:r>
        <w:rPr>
          <w:rFonts w:ascii="Arial" w:cs="Arial" w:eastAsia="Arial" w:hAnsi="Arial"/>
          <w:sz w:val="13"/>
          <w:szCs w:val="13"/>
          <w:color w:val="auto"/>
        </w:rPr>
        <w:t>Our Insider Trading Policy prohibits executives from, among other things, entering into speculative transactions and transactions designed to hedge or offset a decrease in the market value of securities of the Corporation. Accordingly, executive officers may not sell short the Corporation’s securities, buy or sell put or call options on the Corporation’s securities, or purchase financial instruments (including prepaid variable contracts, equity swaps, collars or units of exchange funds) which are designed to hedge or offset a decrease in the market value of the Corporation’s securities. Executive officers are also prohibited from purchasing the Corporation’s securities on margin, borrowing against the Corporation’s securities held in a margin account, or pledging the Corporation’s securities as collateral for a loan. The directors of the Corporation also must comply with the provisions of the Insider Trading policy which prohibit hedging and/or pledging of the Corporation’s securities.</w:t>
      </w:r>
    </w:p>
    <w:p>
      <w:pPr>
        <w:spacing w:after="0" w:line="143"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“Clawback”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38100</wp:posOffset>
            </wp:positionV>
            <wp:extent cx="3843655" cy="63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843655" cy="635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50800</wp:posOffset>
            </wp:positionV>
            <wp:extent cx="3843655" cy="63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210" w:lineRule="exact"/>
        <w:rPr>
          <w:sz w:val="20"/>
          <w:szCs w:val="20"/>
          <w:color w:val="auto"/>
        </w:rPr>
      </w:pPr>
    </w:p>
    <w:p>
      <w:pPr>
        <w:jc w:val="both"/>
        <w:ind w:left="1480" w:right="1499"/>
        <w:spacing w:after="0" w:line="260" w:lineRule="auto"/>
        <w:rPr>
          <w:sz w:val="20"/>
          <w:szCs w:val="20"/>
          <w:color w:val="auto"/>
        </w:rPr>
      </w:pPr>
      <w:r>
        <w:rPr>
          <w:rFonts w:ascii="Arial" w:cs="Arial" w:eastAsia="Arial" w:hAnsi="Arial"/>
          <w:sz w:val="13"/>
          <w:szCs w:val="13"/>
          <w:color w:val="auto"/>
        </w:rPr>
        <w:t>The Corporation is subject to the “clawback” provisions of the Sarbanes-Oxley Act of 2002. Accordingly, if the Corporation is required to restate financial results due to material non-compliance with financial reporting requirements as a result of misconduct, the CEO and CFO would be required to reimburse the Corporation for any bonuses or incentive-based compensation they had received during the 12-month period following the first public issuance or filing with the SEC (whichever is earlier) of a financial document embodying such financial reporting requirement, as well as any profits they had realized from the sale of securities of the Corporation during that 12-month period.</w:t>
      </w:r>
    </w:p>
    <w:p>
      <w:pPr>
        <w:spacing w:after="0" w:line="61" w:lineRule="exact"/>
        <w:rPr>
          <w:sz w:val="20"/>
          <w:szCs w:val="20"/>
          <w:color w:val="auto"/>
        </w:rPr>
      </w:pPr>
    </w:p>
    <w:p>
      <w:pPr>
        <w:jc w:val="both"/>
        <w:ind w:left="1480" w:right="1499"/>
        <w:spacing w:after="0" w:line="329" w:lineRule="auto"/>
        <w:rPr>
          <w:sz w:val="20"/>
          <w:szCs w:val="20"/>
          <w:color w:val="auto"/>
        </w:rPr>
      </w:pPr>
      <w:r>
        <w:rPr>
          <w:rFonts w:ascii="Arial" w:cs="Arial" w:eastAsia="Arial" w:hAnsi="Arial"/>
          <w:sz w:val="12"/>
          <w:szCs w:val="12"/>
          <w:color w:val="auto"/>
        </w:rPr>
        <w:t>In addition, under the terms of the stock option grants and the PSU and RSU grants made under the LTIP and the CSUP, a NEO is required by the Corporation to repay an amount equal to the market value of the</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7" w:name="page58"/>
    <w:bookmarkEnd w:id="57"/>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97" w:lineRule="exact"/>
        <w:rPr>
          <w:sz w:val="20"/>
          <w:szCs w:val="20"/>
          <w:color w:val="auto"/>
        </w:rPr>
      </w:pPr>
    </w:p>
    <w:p>
      <w:pPr>
        <w:ind w:left="1480" w:right="1499"/>
        <w:spacing w:after="0" w:line="285" w:lineRule="auto"/>
        <w:rPr>
          <w:sz w:val="20"/>
          <w:szCs w:val="20"/>
          <w:color w:val="auto"/>
        </w:rPr>
      </w:pPr>
      <w:r>
        <w:rPr>
          <w:rFonts w:ascii="Arial" w:cs="Arial" w:eastAsia="Arial" w:hAnsi="Arial"/>
          <w:sz w:val="13"/>
          <w:szCs w:val="13"/>
          <w:color w:val="auto"/>
        </w:rPr>
        <w:t>shares (or in the case of options, the intrinsic value realized by the executive) at the time of release, net of taxes, if, within 12 months of the release date, the executive:</w:t>
      </w:r>
    </w:p>
    <w:p>
      <w:pPr>
        <w:spacing w:after="0" w:line="43" w:lineRule="exact"/>
        <w:rPr>
          <w:sz w:val="20"/>
          <w:szCs w:val="20"/>
          <w:color w:val="auto"/>
        </w:rPr>
      </w:pPr>
    </w:p>
    <w:p>
      <w:pPr>
        <w:ind w:left="1880" w:right="1499" w:hanging="137"/>
        <w:spacing w:after="0" w:line="285" w:lineRule="auto"/>
        <w:tabs>
          <w:tab w:leader="none" w:pos="18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accepts employment with, or accepts an engagement to supply services, directly or indirectly to, a third party that is in competition with the Corporation or any of its subsidiaries; or</w:t>
      </w:r>
    </w:p>
    <w:p>
      <w:pPr>
        <w:spacing w:after="0" w:line="3" w:lineRule="exact"/>
        <w:rPr>
          <w:rFonts w:ascii="Arial" w:cs="Arial" w:eastAsia="Arial" w:hAnsi="Arial"/>
          <w:sz w:val="13"/>
          <w:szCs w:val="13"/>
          <w:color w:val="auto"/>
        </w:rPr>
      </w:pPr>
    </w:p>
    <w:p>
      <w:pPr>
        <w:jc w:val="both"/>
        <w:ind w:left="1880" w:right="1499" w:hanging="137"/>
        <w:spacing w:after="0" w:line="270" w:lineRule="auto"/>
        <w:tabs>
          <w:tab w:leader="none" w:pos="18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fails to comply with, or otherwise breaches, the terms and conditions of a confidentiality agreement or non-disclosure agreement with, or confidentiality obligations to, the Corporation or any of its subsidiaries; or</w:t>
      </w:r>
    </w:p>
    <w:p>
      <w:pPr>
        <w:spacing w:after="0" w:line="13" w:lineRule="exact"/>
        <w:rPr>
          <w:rFonts w:ascii="Arial" w:cs="Arial" w:eastAsia="Arial" w:hAnsi="Arial"/>
          <w:sz w:val="13"/>
          <w:szCs w:val="13"/>
          <w:color w:val="auto"/>
        </w:rPr>
      </w:pPr>
    </w:p>
    <w:p>
      <w:pPr>
        <w:jc w:val="both"/>
        <w:ind w:left="1880" w:right="1499" w:hanging="137"/>
        <w:spacing w:after="0" w:line="270" w:lineRule="auto"/>
        <w:tabs>
          <w:tab w:leader="none" w:pos="18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on his or her behalf or on another’s behalf, directly or indirectly recruits, induces or solicits, or attempts to recruit, induce or solicit any current employee or other individual who is/was supplying services to the Corporation or any of its subsidiaries.</w:t>
      </w:r>
    </w:p>
    <w:p>
      <w:pPr>
        <w:spacing w:after="0" w:line="53" w:lineRule="exact"/>
        <w:rPr>
          <w:sz w:val="20"/>
          <w:szCs w:val="20"/>
          <w:color w:val="auto"/>
        </w:rPr>
      </w:pPr>
    </w:p>
    <w:p>
      <w:pPr>
        <w:jc w:val="both"/>
        <w:ind w:left="1480" w:right="1499"/>
        <w:spacing w:after="0" w:line="285" w:lineRule="auto"/>
        <w:rPr>
          <w:sz w:val="20"/>
          <w:szCs w:val="20"/>
          <w:color w:val="auto"/>
        </w:rPr>
      </w:pPr>
      <w:r>
        <w:rPr>
          <w:rFonts w:ascii="Arial" w:cs="Arial" w:eastAsia="Arial" w:hAnsi="Arial"/>
          <w:sz w:val="13"/>
          <w:szCs w:val="13"/>
          <w:color w:val="auto"/>
        </w:rPr>
        <w:t>Executives who are terminated for cause also forfeit all unvested RSUs, PSUs and stock options as well as all vested and unexercised stock options.</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Executive Share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38100</wp:posOffset>
            </wp:positionV>
            <wp:extent cx="3843655" cy="63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843655" cy="635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50800</wp:posOffset>
            </wp:positionV>
            <wp:extent cx="3843655" cy="63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206" w:lineRule="exact"/>
        <w:rPr>
          <w:sz w:val="20"/>
          <w:szCs w:val="20"/>
          <w:color w:val="auto"/>
        </w:rPr>
      </w:pPr>
    </w:p>
    <w:p>
      <w:pPr>
        <w:jc w:val="both"/>
        <w:ind w:left="1480" w:right="1499"/>
        <w:spacing w:after="0" w:line="285" w:lineRule="auto"/>
        <w:rPr>
          <w:sz w:val="20"/>
          <w:szCs w:val="20"/>
          <w:color w:val="auto"/>
        </w:rPr>
      </w:pPr>
      <w:r>
        <w:rPr>
          <w:rFonts w:ascii="Arial" w:cs="Arial" w:eastAsia="Arial" w:hAnsi="Arial"/>
          <w:sz w:val="12"/>
          <w:szCs w:val="12"/>
          <w:color w:val="auto"/>
        </w:rPr>
        <w:t>The Corporation has executive share ownership guidelines (the “</w:t>
      </w:r>
      <w:r>
        <w:rPr>
          <w:rFonts w:ascii="Arial" w:cs="Arial" w:eastAsia="Arial" w:hAnsi="Arial"/>
          <w:sz w:val="12"/>
          <w:szCs w:val="12"/>
          <w:b w:val="1"/>
          <w:bCs w:val="1"/>
          <w:color w:val="auto"/>
        </w:rPr>
        <w:t>Executive Share Ownership Guidelines</w:t>
      </w:r>
      <w:r>
        <w:rPr>
          <w:rFonts w:ascii="Arial" w:cs="Arial" w:eastAsia="Arial" w:hAnsi="Arial"/>
          <w:sz w:val="12"/>
          <w:szCs w:val="12"/>
          <w:color w:val="auto"/>
        </w:rPr>
        <w:t>”) which require specified executives to hold a multiple of their base salary in securities of the Corporation as shown in Table 12. Executives subject to the Executive Share Ownership Guidelines are expected to achieve the specified ownership within a period of five years following the later of: (i) the date of hire, or (ii) the date of promotion to a level subject to the ownership guidelines. Compliance is reviewed annually as of December 31 of each year. The HRCC reviewed the Executive Share Ownership Guidelines in July 2020 and no policy changes were made. The table below sets forth the compliance status of the applicable NEOs with the Executive Share Ownership Guidelines as of December 31, 2020:</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Table 12: Executive Share Ownership Guidelines</w:t>
      </w:r>
    </w:p>
    <w:p>
      <w:pPr>
        <w:spacing w:after="0" w:line="27" w:lineRule="exact"/>
        <w:rPr>
          <w:sz w:val="20"/>
          <w:szCs w:val="20"/>
          <w:color w:val="auto"/>
        </w:rPr>
      </w:pPr>
    </w:p>
    <w:tbl>
      <w:tblPr>
        <w:tblLayout w:type="fixed"/>
        <w:tblInd w:w="1490" w:type="dxa"/>
        <w:tblCellMar>
          <w:top w:w="0" w:type="dxa"/>
          <w:left w:w="0" w:type="dxa"/>
          <w:bottom w:w="0" w:type="dxa"/>
          <w:right w:w="0" w:type="dxa"/>
        </w:tblCellMar>
      </w:tblPr>
      <w:tr>
        <w:trPr>
          <w:trHeight w:val="45"/>
        </w:trPr>
        <w:tc>
          <w:tcPr>
            <w:tcW w:w="1540" w:type="dxa"/>
            <w:vAlign w:val="bottom"/>
            <w:tcBorders>
              <w:top w:val="single" w:sz="8" w:color="auto"/>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c>
          <w:tcPr>
            <w:tcW w:w="148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r>
      <w:tr>
        <w:trPr>
          <w:trHeight w:val="152"/>
        </w:trPr>
        <w:tc>
          <w:tcPr>
            <w:tcW w:w="1540" w:type="dxa"/>
            <w:vAlign w:val="bottom"/>
            <w:tcBorders>
              <w:left w:val="single" w:sz="8" w:color="auto"/>
              <w:right w:val="single" w:sz="8" w:color="auto"/>
            </w:tcBorders>
          </w:tcPr>
          <w:p>
            <w:pPr>
              <w:spacing w:after="0"/>
              <w:rPr>
                <w:sz w:val="13"/>
                <w:szCs w:val="13"/>
                <w:color w:val="auto"/>
              </w:rPr>
            </w:pPr>
          </w:p>
        </w:tc>
        <w:tc>
          <w:tcPr>
            <w:tcW w:w="1500" w:type="dxa"/>
            <w:vAlign w:val="bottom"/>
            <w:tcBorders>
              <w:right w:val="single" w:sz="8" w:color="auto"/>
            </w:tcBorders>
          </w:tcPr>
          <w:p>
            <w:pPr>
              <w:spacing w:after="0"/>
              <w:rPr>
                <w:sz w:val="13"/>
                <w:szCs w:val="13"/>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84"/>
              </w:rPr>
              <w:t>Share and Share Unit</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84"/>
              </w:rPr>
              <w:t>Share and Share Unit</w:t>
            </w:r>
          </w:p>
        </w:tc>
        <w:tc>
          <w:tcPr>
            <w:tcW w:w="40" w:type="dxa"/>
            <w:vAlign w:val="bottom"/>
            <w:tcBorders>
              <w:right w:val="single" w:sz="8" w:color="auto"/>
            </w:tcBorders>
          </w:tcPr>
          <w:p>
            <w:pPr>
              <w:spacing w:after="0"/>
              <w:rPr>
                <w:sz w:val="13"/>
                <w:szCs w:val="13"/>
                <w:color w:val="auto"/>
              </w:rPr>
            </w:pPr>
          </w:p>
        </w:tc>
      </w:tr>
      <w:tr>
        <w:trPr>
          <w:trHeight w:val="117"/>
        </w:trPr>
        <w:tc>
          <w:tcPr>
            <w:tcW w:w="1540" w:type="dxa"/>
            <w:vAlign w:val="bottom"/>
            <w:tcBorders>
              <w:left w:val="single" w:sz="8" w:color="auto"/>
              <w:right w:val="single" w:sz="8" w:color="auto"/>
            </w:tcBorders>
          </w:tcPr>
          <w:p>
            <w:pPr>
              <w:spacing w:after="0"/>
              <w:rPr>
                <w:sz w:val="10"/>
                <w:szCs w:val="10"/>
                <w:color w:val="auto"/>
              </w:rPr>
            </w:pPr>
          </w:p>
        </w:tc>
        <w:tc>
          <w:tcPr>
            <w:tcW w:w="1500" w:type="dxa"/>
            <w:vAlign w:val="bottom"/>
            <w:tcBorders>
              <w:right w:val="single" w:sz="8" w:color="auto"/>
            </w:tcBorders>
          </w:tcPr>
          <w:p>
            <w:pPr>
              <w:jc w:val="center"/>
              <w:ind w:right="21"/>
              <w:spacing w:after="0" w:line="117" w:lineRule="exact"/>
              <w:rPr>
                <w:sz w:val="20"/>
                <w:szCs w:val="20"/>
                <w:color w:val="auto"/>
              </w:rPr>
            </w:pPr>
            <w:r>
              <w:rPr>
                <w:rFonts w:ascii="Arial" w:cs="Arial" w:eastAsia="Arial" w:hAnsi="Arial"/>
                <w:sz w:val="11"/>
                <w:szCs w:val="11"/>
                <w:b w:val="1"/>
                <w:bCs w:val="1"/>
                <w:color w:val="auto"/>
                <w:w w:val="82"/>
              </w:rPr>
              <w:t>Executive Share</w:t>
            </w:r>
          </w:p>
        </w:tc>
        <w:tc>
          <w:tcPr>
            <w:tcW w:w="1500" w:type="dxa"/>
            <w:vAlign w:val="bottom"/>
            <w:tcBorders>
              <w:right w:val="single" w:sz="8" w:color="auto"/>
            </w:tcBorders>
          </w:tcPr>
          <w:p>
            <w:pPr>
              <w:jc w:val="center"/>
              <w:ind w:right="3"/>
              <w:spacing w:after="0" w:line="117" w:lineRule="exact"/>
              <w:rPr>
                <w:sz w:val="20"/>
                <w:szCs w:val="20"/>
                <w:color w:val="auto"/>
              </w:rPr>
            </w:pPr>
            <w:r>
              <w:rPr>
                <w:rFonts w:ascii="Arial" w:cs="Arial" w:eastAsia="Arial" w:hAnsi="Arial"/>
                <w:sz w:val="11"/>
                <w:szCs w:val="11"/>
                <w:b w:val="1"/>
                <w:bCs w:val="1"/>
                <w:color w:val="auto"/>
                <w:w w:val="84"/>
              </w:rPr>
              <w:t>Ownership</w:t>
            </w:r>
          </w:p>
        </w:tc>
        <w:tc>
          <w:tcPr>
            <w:tcW w:w="148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w w:val="84"/>
              </w:rPr>
              <w:t>Ownership</w:t>
            </w:r>
          </w:p>
        </w:tc>
        <w:tc>
          <w:tcPr>
            <w:tcW w:w="40" w:type="dxa"/>
            <w:vAlign w:val="bottom"/>
            <w:tcBorders>
              <w:right w:val="single" w:sz="8" w:color="auto"/>
            </w:tcBorders>
          </w:tcPr>
          <w:p>
            <w:pPr>
              <w:spacing w:after="0"/>
              <w:rPr>
                <w:sz w:val="10"/>
                <w:szCs w:val="10"/>
                <w:color w:val="auto"/>
              </w:rPr>
            </w:pPr>
          </w:p>
        </w:tc>
      </w:tr>
      <w:tr>
        <w:trPr>
          <w:trHeight w:val="169"/>
        </w:trPr>
        <w:tc>
          <w:tcPr>
            <w:tcW w:w="15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1"/>
                <w:szCs w:val="11"/>
                <w:b w:val="1"/>
                <w:bCs w:val="1"/>
                <w:color w:val="auto"/>
              </w:rPr>
              <w:t>Name</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4"/>
              </w:rPr>
              <w:t>Ownership Guidelines</w:t>
            </w:r>
          </w:p>
        </w:tc>
        <w:tc>
          <w:tcPr>
            <w:tcW w:w="1500" w:type="dxa"/>
            <w:vAlign w:val="bottom"/>
            <w:tcBorders>
              <w:bottom w:val="single" w:sz="8" w:color="auto"/>
              <w:right w:val="single" w:sz="8" w:color="auto"/>
            </w:tcBorders>
          </w:tcPr>
          <w:p>
            <w:pPr>
              <w:jc w:val="center"/>
              <w:spacing w:after="0" w:line="169" w:lineRule="exact"/>
              <w:rPr>
                <w:sz w:val="20"/>
                <w:szCs w:val="20"/>
                <w:color w:val="auto"/>
              </w:rPr>
            </w:pPr>
            <w:r>
              <w:rPr>
                <w:rFonts w:ascii="Arial" w:cs="Arial" w:eastAsia="Arial" w:hAnsi="Arial"/>
                <w:sz w:val="11"/>
                <w:szCs w:val="11"/>
                <w:b w:val="1"/>
                <w:bCs w:val="1"/>
                <w:color w:val="auto"/>
                <w:w w:val="81"/>
              </w:rPr>
              <w:t>(Value)</w:t>
            </w:r>
            <w:r>
              <w:rPr>
                <w:rFonts w:ascii="Arial" w:cs="Arial" w:eastAsia="Arial" w:hAnsi="Arial"/>
                <w:sz w:val="15"/>
                <w:szCs w:val="15"/>
                <w:b w:val="1"/>
                <w:bCs w:val="1"/>
                <w:color w:val="auto"/>
                <w:w w:val="81"/>
                <w:vertAlign w:val="superscript"/>
              </w:rPr>
              <w:t>(1)</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5"/>
              </w:rPr>
              <w:t>(Multiple of Salary)</w:t>
            </w:r>
          </w:p>
        </w:tc>
        <w:tc>
          <w:tcPr>
            <w:tcW w:w="40" w:type="dxa"/>
            <w:vAlign w:val="bottom"/>
            <w:tcBorders>
              <w:right w:val="single" w:sz="8" w:color="auto"/>
            </w:tcBorders>
          </w:tcPr>
          <w:p>
            <w:pPr>
              <w:spacing w:after="0"/>
              <w:rPr>
                <w:sz w:val="14"/>
                <w:szCs w:val="14"/>
                <w:color w:val="auto"/>
              </w:rPr>
            </w:pPr>
          </w:p>
        </w:tc>
      </w:tr>
      <w:tr>
        <w:trPr>
          <w:trHeight w:val="162"/>
        </w:trPr>
        <w:tc>
          <w:tcPr>
            <w:tcW w:w="1540" w:type="dxa"/>
            <w:vAlign w:val="bottom"/>
            <w:tcBorders>
              <w:left w:val="single" w:sz="8" w:color="auto"/>
              <w:right w:val="single" w:sz="8" w:color="auto"/>
            </w:tcBorders>
          </w:tcPr>
          <w:p>
            <w:pPr>
              <w:ind w:left="100"/>
              <w:spacing w:after="0" w:line="163" w:lineRule="exact"/>
              <w:rPr>
                <w:sz w:val="20"/>
                <w:szCs w:val="20"/>
                <w:color w:val="auto"/>
              </w:rPr>
            </w:pPr>
            <w:r>
              <w:rPr>
                <w:rFonts w:ascii="Arial" w:cs="Arial" w:eastAsia="Arial" w:hAnsi="Arial"/>
                <w:sz w:val="12"/>
                <w:szCs w:val="12"/>
                <w:color w:val="auto"/>
              </w:rPr>
              <w:t>Robert A. Mionis</w:t>
            </w:r>
            <w:r>
              <w:rPr>
                <w:rFonts w:ascii="Arial" w:cs="Arial" w:eastAsia="Arial" w:hAnsi="Arial"/>
                <w:sz w:val="18"/>
                <w:szCs w:val="18"/>
                <w:color w:val="auto"/>
                <w:vertAlign w:val="superscript"/>
              </w:rPr>
              <w:t>(2)</w:t>
            </w:r>
          </w:p>
        </w:tc>
        <w:tc>
          <w:tcPr>
            <w:tcW w:w="1500" w:type="dxa"/>
            <w:vAlign w:val="bottom"/>
            <w:tcBorders>
              <w:right w:val="single" w:sz="8" w:color="auto"/>
            </w:tcBorders>
          </w:tcPr>
          <w:p>
            <w:pPr>
              <w:jc w:val="center"/>
              <w:ind w:right="1"/>
              <w:spacing w:after="0"/>
              <w:rPr>
                <w:sz w:val="20"/>
                <w:szCs w:val="20"/>
                <w:color w:val="auto"/>
              </w:rPr>
            </w:pPr>
            <w:r>
              <w:rPr>
                <w:rFonts w:ascii="Arial" w:cs="Arial" w:eastAsia="Arial" w:hAnsi="Arial"/>
                <w:sz w:val="12"/>
                <w:szCs w:val="12"/>
                <w:color w:val="auto"/>
                <w:w w:val="93"/>
              </w:rPr>
              <w:t>$4,750,000</w:t>
            </w:r>
          </w:p>
        </w:tc>
        <w:tc>
          <w:tcPr>
            <w:tcW w:w="1500" w:type="dxa"/>
            <w:vAlign w:val="bottom"/>
            <w:tcBorders>
              <w:right w:val="single" w:sz="8" w:color="auto"/>
            </w:tcBorders>
          </w:tcPr>
          <w:p>
            <w:pPr>
              <w:jc w:val="right"/>
              <w:ind w:right="403"/>
              <w:spacing w:after="0"/>
              <w:rPr>
                <w:sz w:val="20"/>
                <w:szCs w:val="20"/>
                <w:color w:val="auto"/>
              </w:rPr>
            </w:pPr>
            <w:r>
              <w:rPr>
                <w:rFonts w:ascii="Arial" w:cs="Arial" w:eastAsia="Arial" w:hAnsi="Arial"/>
                <w:sz w:val="12"/>
                <w:szCs w:val="12"/>
                <w:color w:val="auto"/>
              </w:rPr>
              <w:t>$10,588,437</w:t>
            </w:r>
          </w:p>
        </w:tc>
        <w:tc>
          <w:tcPr>
            <w:tcW w:w="1480" w:type="dxa"/>
            <w:vAlign w:val="bottom"/>
            <w:tcBorders>
              <w:right w:val="single" w:sz="8" w:color="auto"/>
            </w:tcBorders>
          </w:tcPr>
          <w:p>
            <w:pPr>
              <w:jc w:val="right"/>
              <w:ind w:right="543"/>
              <w:spacing w:after="0"/>
              <w:rPr>
                <w:sz w:val="20"/>
                <w:szCs w:val="20"/>
                <w:color w:val="auto"/>
              </w:rPr>
            </w:pPr>
            <w:r>
              <w:rPr>
                <w:rFonts w:ascii="Arial" w:cs="Arial" w:eastAsia="Arial" w:hAnsi="Arial"/>
                <w:sz w:val="12"/>
                <w:szCs w:val="12"/>
                <w:color w:val="auto"/>
              </w:rPr>
              <w:t>11.1x</w:t>
            </w:r>
          </w:p>
        </w:tc>
        <w:tc>
          <w:tcPr>
            <w:tcW w:w="40" w:type="dxa"/>
            <w:vAlign w:val="bottom"/>
            <w:tcBorders>
              <w:right w:val="single" w:sz="8" w:color="auto"/>
            </w:tcBorders>
          </w:tcPr>
          <w:p>
            <w:pPr>
              <w:spacing w:after="0"/>
              <w:rPr>
                <w:sz w:val="14"/>
                <w:szCs w:val="14"/>
                <w:color w:val="auto"/>
              </w:rPr>
            </w:pPr>
          </w:p>
        </w:tc>
      </w:tr>
      <w:tr>
        <w:trPr>
          <w:trHeight w:val="159"/>
        </w:trPr>
        <w:tc>
          <w:tcPr>
            <w:tcW w:w="1540" w:type="dxa"/>
            <w:vAlign w:val="bottom"/>
            <w:tcBorders>
              <w:left w:val="single" w:sz="8" w:color="auto"/>
              <w:bottom w:val="single" w:sz="8" w:color="auto"/>
              <w:right w:val="single" w:sz="8" w:color="auto"/>
            </w:tcBorders>
          </w:tcPr>
          <w:p>
            <w:pPr>
              <w:spacing w:after="0"/>
              <w:rPr>
                <w:sz w:val="13"/>
                <w:szCs w:val="13"/>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4"/>
              </w:rPr>
              <w:t>(5× salary)</w:t>
            </w:r>
          </w:p>
        </w:tc>
        <w:tc>
          <w:tcPr>
            <w:tcW w:w="1500" w:type="dxa"/>
            <w:vAlign w:val="bottom"/>
            <w:tcBorders>
              <w:bottom w:val="single" w:sz="8" w:color="auto"/>
              <w:right w:val="single" w:sz="8" w:color="auto"/>
            </w:tcBorders>
          </w:tcPr>
          <w:p>
            <w:pPr>
              <w:spacing w:after="0"/>
              <w:rPr>
                <w:sz w:val="13"/>
                <w:szCs w:val="13"/>
                <w:color w:val="auto"/>
              </w:rPr>
            </w:pPr>
          </w:p>
        </w:tc>
        <w:tc>
          <w:tcPr>
            <w:tcW w:w="1480" w:type="dxa"/>
            <w:vAlign w:val="bottom"/>
            <w:tcBorders>
              <w:bottom w:val="single" w:sz="8" w:color="auto"/>
              <w:right w:val="single" w:sz="8" w:color="auto"/>
            </w:tcBorders>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r>
      <w:tr>
        <w:trPr>
          <w:trHeight w:val="169"/>
        </w:trPr>
        <w:tc>
          <w:tcPr>
            <w:tcW w:w="1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Mandeep Chawla</w:t>
            </w:r>
          </w:p>
        </w:tc>
        <w:tc>
          <w:tcPr>
            <w:tcW w:w="1500" w:type="dxa"/>
            <w:vAlign w:val="bottom"/>
            <w:tcBorders>
              <w:right w:val="single" w:sz="8" w:color="auto"/>
            </w:tcBorders>
          </w:tcPr>
          <w:p>
            <w:pPr>
              <w:jc w:val="center"/>
              <w:ind w:right="1"/>
              <w:spacing w:after="0"/>
              <w:rPr>
                <w:sz w:val="20"/>
                <w:szCs w:val="20"/>
                <w:color w:val="auto"/>
              </w:rPr>
            </w:pPr>
            <w:r>
              <w:rPr>
                <w:rFonts w:ascii="Arial" w:cs="Arial" w:eastAsia="Arial" w:hAnsi="Arial"/>
                <w:sz w:val="12"/>
                <w:szCs w:val="12"/>
                <w:color w:val="auto"/>
                <w:w w:val="93"/>
              </w:rPr>
              <w:t>$1,500,000</w:t>
            </w:r>
          </w:p>
        </w:tc>
        <w:tc>
          <w:tcPr>
            <w:tcW w:w="1500" w:type="dxa"/>
            <w:vAlign w:val="bottom"/>
            <w:tcBorders>
              <w:right w:val="single" w:sz="8" w:color="auto"/>
            </w:tcBorders>
          </w:tcPr>
          <w:p>
            <w:pPr>
              <w:jc w:val="right"/>
              <w:ind w:right="403"/>
              <w:spacing w:after="0"/>
              <w:rPr>
                <w:sz w:val="20"/>
                <w:szCs w:val="20"/>
                <w:color w:val="auto"/>
              </w:rPr>
            </w:pPr>
            <w:r>
              <w:rPr>
                <w:rFonts w:ascii="Arial" w:cs="Arial" w:eastAsia="Arial" w:hAnsi="Arial"/>
                <w:sz w:val="12"/>
                <w:szCs w:val="12"/>
                <w:color w:val="auto"/>
              </w:rPr>
              <w:t>$1,932,483</w:t>
            </w:r>
          </w:p>
        </w:tc>
        <w:tc>
          <w:tcPr>
            <w:tcW w:w="1480" w:type="dxa"/>
            <w:vAlign w:val="bottom"/>
            <w:tcBorders>
              <w:right w:val="single" w:sz="8" w:color="auto"/>
            </w:tcBorders>
          </w:tcPr>
          <w:p>
            <w:pPr>
              <w:jc w:val="right"/>
              <w:ind w:right="543"/>
              <w:spacing w:after="0"/>
              <w:rPr>
                <w:sz w:val="20"/>
                <w:szCs w:val="20"/>
                <w:color w:val="auto"/>
              </w:rPr>
            </w:pPr>
            <w:r>
              <w:rPr>
                <w:rFonts w:ascii="Arial" w:cs="Arial" w:eastAsia="Arial" w:hAnsi="Arial"/>
                <w:sz w:val="12"/>
                <w:szCs w:val="12"/>
                <w:color w:val="auto"/>
              </w:rPr>
              <w:t>3.9x</w:t>
            </w:r>
          </w:p>
        </w:tc>
        <w:tc>
          <w:tcPr>
            <w:tcW w:w="40" w:type="dxa"/>
            <w:vAlign w:val="bottom"/>
            <w:tcBorders>
              <w:right w:val="single" w:sz="8" w:color="auto"/>
            </w:tcBorders>
          </w:tcPr>
          <w:p>
            <w:pPr>
              <w:spacing w:after="0"/>
              <w:rPr>
                <w:sz w:val="14"/>
                <w:szCs w:val="14"/>
                <w:color w:val="auto"/>
              </w:rPr>
            </w:pPr>
          </w:p>
        </w:tc>
      </w:tr>
      <w:tr>
        <w:trPr>
          <w:trHeight w:val="159"/>
        </w:trPr>
        <w:tc>
          <w:tcPr>
            <w:tcW w:w="1540" w:type="dxa"/>
            <w:vAlign w:val="bottom"/>
            <w:tcBorders>
              <w:left w:val="single" w:sz="8" w:color="auto"/>
              <w:bottom w:val="single" w:sz="8" w:color="auto"/>
              <w:right w:val="single" w:sz="8" w:color="auto"/>
            </w:tcBorders>
          </w:tcPr>
          <w:p>
            <w:pPr>
              <w:spacing w:after="0"/>
              <w:rPr>
                <w:sz w:val="13"/>
                <w:szCs w:val="13"/>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2"/>
              </w:rPr>
              <w:t>(3 × salary)</w:t>
            </w:r>
          </w:p>
        </w:tc>
        <w:tc>
          <w:tcPr>
            <w:tcW w:w="1500" w:type="dxa"/>
            <w:vAlign w:val="bottom"/>
            <w:tcBorders>
              <w:bottom w:val="single" w:sz="8" w:color="auto"/>
              <w:right w:val="single" w:sz="8" w:color="auto"/>
            </w:tcBorders>
          </w:tcPr>
          <w:p>
            <w:pPr>
              <w:spacing w:after="0"/>
              <w:rPr>
                <w:sz w:val="13"/>
                <w:szCs w:val="13"/>
                <w:color w:val="auto"/>
              </w:rPr>
            </w:pPr>
          </w:p>
        </w:tc>
        <w:tc>
          <w:tcPr>
            <w:tcW w:w="1480" w:type="dxa"/>
            <w:vAlign w:val="bottom"/>
            <w:tcBorders>
              <w:bottom w:val="single" w:sz="8" w:color="auto"/>
              <w:right w:val="single" w:sz="8" w:color="auto"/>
            </w:tcBorders>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r>
      <w:tr>
        <w:trPr>
          <w:trHeight w:val="169"/>
        </w:trPr>
        <w:tc>
          <w:tcPr>
            <w:tcW w:w="1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Jason Phillips</w:t>
            </w:r>
          </w:p>
        </w:tc>
        <w:tc>
          <w:tcPr>
            <w:tcW w:w="1500" w:type="dxa"/>
            <w:vAlign w:val="bottom"/>
            <w:tcBorders>
              <w:right w:val="single" w:sz="8" w:color="auto"/>
            </w:tcBorders>
          </w:tcPr>
          <w:p>
            <w:pPr>
              <w:jc w:val="center"/>
              <w:ind w:right="1"/>
              <w:spacing w:after="0"/>
              <w:rPr>
                <w:sz w:val="20"/>
                <w:szCs w:val="20"/>
                <w:color w:val="auto"/>
              </w:rPr>
            </w:pPr>
            <w:r>
              <w:rPr>
                <w:rFonts w:ascii="Arial" w:cs="Arial" w:eastAsia="Arial" w:hAnsi="Arial"/>
                <w:sz w:val="12"/>
                <w:szCs w:val="12"/>
                <w:color w:val="auto"/>
                <w:w w:val="93"/>
              </w:rPr>
              <w:t>$1,380,000</w:t>
            </w:r>
          </w:p>
        </w:tc>
        <w:tc>
          <w:tcPr>
            <w:tcW w:w="1500" w:type="dxa"/>
            <w:vAlign w:val="bottom"/>
            <w:tcBorders>
              <w:right w:val="single" w:sz="8" w:color="auto"/>
            </w:tcBorders>
          </w:tcPr>
          <w:p>
            <w:pPr>
              <w:jc w:val="right"/>
              <w:ind w:right="403"/>
              <w:spacing w:after="0"/>
              <w:rPr>
                <w:sz w:val="20"/>
                <w:szCs w:val="20"/>
                <w:color w:val="auto"/>
              </w:rPr>
            </w:pPr>
            <w:r>
              <w:rPr>
                <w:rFonts w:ascii="Arial" w:cs="Arial" w:eastAsia="Arial" w:hAnsi="Arial"/>
                <w:sz w:val="12"/>
                <w:szCs w:val="12"/>
                <w:color w:val="auto"/>
              </w:rPr>
              <w:t>$1,923,549</w:t>
            </w:r>
          </w:p>
        </w:tc>
        <w:tc>
          <w:tcPr>
            <w:tcW w:w="1480" w:type="dxa"/>
            <w:vAlign w:val="bottom"/>
            <w:tcBorders>
              <w:right w:val="single" w:sz="8" w:color="auto"/>
            </w:tcBorders>
          </w:tcPr>
          <w:p>
            <w:pPr>
              <w:jc w:val="right"/>
              <w:ind w:right="543"/>
              <w:spacing w:after="0"/>
              <w:rPr>
                <w:sz w:val="20"/>
                <w:szCs w:val="20"/>
                <w:color w:val="auto"/>
              </w:rPr>
            </w:pPr>
            <w:r>
              <w:rPr>
                <w:rFonts w:ascii="Arial" w:cs="Arial" w:eastAsia="Arial" w:hAnsi="Arial"/>
                <w:sz w:val="12"/>
                <w:szCs w:val="12"/>
                <w:color w:val="auto"/>
              </w:rPr>
              <w:t>4.2x</w:t>
            </w:r>
          </w:p>
        </w:tc>
        <w:tc>
          <w:tcPr>
            <w:tcW w:w="40" w:type="dxa"/>
            <w:vAlign w:val="bottom"/>
            <w:tcBorders>
              <w:right w:val="single" w:sz="8" w:color="auto"/>
            </w:tcBorders>
          </w:tcPr>
          <w:p>
            <w:pPr>
              <w:spacing w:after="0"/>
              <w:rPr>
                <w:sz w:val="14"/>
                <w:szCs w:val="14"/>
                <w:color w:val="auto"/>
              </w:rPr>
            </w:pPr>
          </w:p>
        </w:tc>
      </w:tr>
      <w:tr>
        <w:trPr>
          <w:trHeight w:val="159"/>
        </w:trPr>
        <w:tc>
          <w:tcPr>
            <w:tcW w:w="1540" w:type="dxa"/>
            <w:vAlign w:val="bottom"/>
            <w:tcBorders>
              <w:left w:val="single" w:sz="8" w:color="auto"/>
              <w:bottom w:val="single" w:sz="8" w:color="auto"/>
              <w:right w:val="single" w:sz="8" w:color="auto"/>
            </w:tcBorders>
          </w:tcPr>
          <w:p>
            <w:pPr>
              <w:spacing w:after="0"/>
              <w:rPr>
                <w:sz w:val="13"/>
                <w:szCs w:val="13"/>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2"/>
              </w:rPr>
              <w:t>(3 × salary)</w:t>
            </w:r>
          </w:p>
        </w:tc>
        <w:tc>
          <w:tcPr>
            <w:tcW w:w="1500" w:type="dxa"/>
            <w:vAlign w:val="bottom"/>
            <w:tcBorders>
              <w:bottom w:val="single" w:sz="8" w:color="auto"/>
              <w:right w:val="single" w:sz="8" w:color="auto"/>
            </w:tcBorders>
          </w:tcPr>
          <w:p>
            <w:pPr>
              <w:spacing w:after="0"/>
              <w:rPr>
                <w:sz w:val="13"/>
                <w:szCs w:val="13"/>
                <w:color w:val="auto"/>
              </w:rPr>
            </w:pPr>
          </w:p>
        </w:tc>
        <w:tc>
          <w:tcPr>
            <w:tcW w:w="1480" w:type="dxa"/>
            <w:vAlign w:val="bottom"/>
            <w:tcBorders>
              <w:bottom w:val="single" w:sz="8" w:color="auto"/>
              <w:right w:val="single" w:sz="8" w:color="auto"/>
            </w:tcBorders>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r>
      <w:tr>
        <w:trPr>
          <w:trHeight w:val="169"/>
        </w:trPr>
        <w:tc>
          <w:tcPr>
            <w:tcW w:w="1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Jack J. Lawless</w:t>
            </w:r>
          </w:p>
        </w:tc>
        <w:tc>
          <w:tcPr>
            <w:tcW w:w="1500" w:type="dxa"/>
            <w:vAlign w:val="bottom"/>
            <w:tcBorders>
              <w:right w:val="single" w:sz="8" w:color="auto"/>
            </w:tcBorders>
          </w:tcPr>
          <w:p>
            <w:pPr>
              <w:jc w:val="center"/>
              <w:ind w:right="1"/>
              <w:spacing w:after="0"/>
              <w:rPr>
                <w:sz w:val="20"/>
                <w:szCs w:val="20"/>
                <w:color w:val="auto"/>
              </w:rPr>
            </w:pPr>
            <w:r>
              <w:rPr>
                <w:rFonts w:ascii="Arial" w:cs="Arial" w:eastAsia="Arial" w:hAnsi="Arial"/>
                <w:sz w:val="12"/>
                <w:szCs w:val="12"/>
                <w:color w:val="auto"/>
                <w:w w:val="93"/>
              </w:rPr>
              <w:t>$1,380,000</w:t>
            </w:r>
          </w:p>
        </w:tc>
        <w:tc>
          <w:tcPr>
            <w:tcW w:w="1500" w:type="dxa"/>
            <w:vAlign w:val="bottom"/>
            <w:tcBorders>
              <w:right w:val="single" w:sz="8" w:color="auto"/>
            </w:tcBorders>
          </w:tcPr>
          <w:p>
            <w:pPr>
              <w:jc w:val="right"/>
              <w:ind w:right="403"/>
              <w:spacing w:after="0"/>
              <w:rPr>
                <w:sz w:val="20"/>
                <w:szCs w:val="20"/>
                <w:color w:val="auto"/>
              </w:rPr>
            </w:pPr>
            <w:r>
              <w:rPr>
                <w:rFonts w:ascii="Arial" w:cs="Arial" w:eastAsia="Arial" w:hAnsi="Arial"/>
                <w:sz w:val="12"/>
                <w:szCs w:val="12"/>
                <w:color w:val="auto"/>
              </w:rPr>
              <w:t>$2,505,275</w:t>
            </w:r>
          </w:p>
        </w:tc>
        <w:tc>
          <w:tcPr>
            <w:tcW w:w="1480" w:type="dxa"/>
            <w:vAlign w:val="bottom"/>
            <w:tcBorders>
              <w:right w:val="single" w:sz="8" w:color="auto"/>
            </w:tcBorders>
          </w:tcPr>
          <w:p>
            <w:pPr>
              <w:jc w:val="right"/>
              <w:ind w:right="543"/>
              <w:spacing w:after="0"/>
              <w:rPr>
                <w:sz w:val="20"/>
                <w:szCs w:val="20"/>
                <w:color w:val="auto"/>
              </w:rPr>
            </w:pPr>
            <w:r>
              <w:rPr>
                <w:rFonts w:ascii="Arial" w:cs="Arial" w:eastAsia="Arial" w:hAnsi="Arial"/>
                <w:sz w:val="12"/>
                <w:szCs w:val="12"/>
                <w:color w:val="auto"/>
              </w:rPr>
              <w:t>5.4x</w:t>
            </w:r>
          </w:p>
        </w:tc>
        <w:tc>
          <w:tcPr>
            <w:tcW w:w="40" w:type="dxa"/>
            <w:vAlign w:val="bottom"/>
            <w:tcBorders>
              <w:right w:val="single" w:sz="8" w:color="auto"/>
            </w:tcBorders>
          </w:tcPr>
          <w:p>
            <w:pPr>
              <w:spacing w:after="0"/>
              <w:rPr>
                <w:sz w:val="14"/>
                <w:szCs w:val="14"/>
                <w:color w:val="auto"/>
              </w:rPr>
            </w:pPr>
          </w:p>
        </w:tc>
      </w:tr>
      <w:tr>
        <w:trPr>
          <w:trHeight w:val="159"/>
        </w:trPr>
        <w:tc>
          <w:tcPr>
            <w:tcW w:w="1540" w:type="dxa"/>
            <w:vAlign w:val="bottom"/>
            <w:tcBorders>
              <w:left w:val="single" w:sz="8" w:color="auto"/>
              <w:bottom w:val="single" w:sz="8" w:color="auto"/>
              <w:right w:val="single" w:sz="8" w:color="auto"/>
            </w:tcBorders>
          </w:tcPr>
          <w:p>
            <w:pPr>
              <w:spacing w:after="0"/>
              <w:rPr>
                <w:sz w:val="13"/>
                <w:szCs w:val="13"/>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2"/>
              </w:rPr>
              <w:t>(3 × salary)</w:t>
            </w:r>
          </w:p>
        </w:tc>
        <w:tc>
          <w:tcPr>
            <w:tcW w:w="1500" w:type="dxa"/>
            <w:vAlign w:val="bottom"/>
            <w:tcBorders>
              <w:bottom w:val="single" w:sz="8" w:color="auto"/>
              <w:right w:val="single" w:sz="8" w:color="auto"/>
            </w:tcBorders>
          </w:tcPr>
          <w:p>
            <w:pPr>
              <w:spacing w:after="0"/>
              <w:rPr>
                <w:sz w:val="13"/>
                <w:szCs w:val="13"/>
                <w:color w:val="auto"/>
              </w:rPr>
            </w:pPr>
          </w:p>
        </w:tc>
        <w:tc>
          <w:tcPr>
            <w:tcW w:w="1480" w:type="dxa"/>
            <w:vAlign w:val="bottom"/>
            <w:tcBorders>
              <w:bottom w:val="single" w:sz="8" w:color="auto"/>
              <w:right w:val="single" w:sz="8" w:color="auto"/>
            </w:tcBorders>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r>
      <w:tr>
        <w:trPr>
          <w:trHeight w:val="169"/>
        </w:trPr>
        <w:tc>
          <w:tcPr>
            <w:tcW w:w="15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Todd C. Cooper</w:t>
            </w:r>
          </w:p>
        </w:tc>
        <w:tc>
          <w:tcPr>
            <w:tcW w:w="1500" w:type="dxa"/>
            <w:vAlign w:val="bottom"/>
            <w:tcBorders>
              <w:right w:val="single" w:sz="8" w:color="auto"/>
            </w:tcBorders>
          </w:tcPr>
          <w:p>
            <w:pPr>
              <w:jc w:val="center"/>
              <w:ind w:right="1"/>
              <w:spacing w:after="0"/>
              <w:rPr>
                <w:sz w:val="20"/>
                <w:szCs w:val="20"/>
                <w:color w:val="auto"/>
              </w:rPr>
            </w:pPr>
            <w:r>
              <w:rPr>
                <w:rFonts w:ascii="Arial" w:cs="Arial" w:eastAsia="Arial" w:hAnsi="Arial"/>
                <w:sz w:val="12"/>
                <w:szCs w:val="12"/>
                <w:color w:val="auto"/>
                <w:w w:val="93"/>
              </w:rPr>
              <w:t>$1,380,000</w:t>
            </w:r>
          </w:p>
        </w:tc>
        <w:tc>
          <w:tcPr>
            <w:tcW w:w="1500" w:type="dxa"/>
            <w:vAlign w:val="bottom"/>
            <w:tcBorders>
              <w:right w:val="single" w:sz="8" w:color="auto"/>
            </w:tcBorders>
          </w:tcPr>
          <w:p>
            <w:pPr>
              <w:jc w:val="right"/>
              <w:ind w:right="403"/>
              <w:spacing w:after="0"/>
              <w:rPr>
                <w:sz w:val="20"/>
                <w:szCs w:val="20"/>
                <w:color w:val="auto"/>
              </w:rPr>
            </w:pPr>
            <w:r>
              <w:rPr>
                <w:rFonts w:ascii="Arial" w:cs="Arial" w:eastAsia="Arial" w:hAnsi="Arial"/>
                <w:sz w:val="12"/>
                <w:szCs w:val="12"/>
                <w:color w:val="auto"/>
              </w:rPr>
              <w:t>$2,733,721</w:t>
            </w:r>
          </w:p>
        </w:tc>
        <w:tc>
          <w:tcPr>
            <w:tcW w:w="1480" w:type="dxa"/>
            <w:vAlign w:val="bottom"/>
            <w:tcBorders>
              <w:right w:val="single" w:sz="8" w:color="auto"/>
            </w:tcBorders>
          </w:tcPr>
          <w:p>
            <w:pPr>
              <w:jc w:val="right"/>
              <w:ind w:right="543"/>
              <w:spacing w:after="0"/>
              <w:rPr>
                <w:sz w:val="20"/>
                <w:szCs w:val="20"/>
                <w:color w:val="auto"/>
              </w:rPr>
            </w:pPr>
            <w:r>
              <w:rPr>
                <w:rFonts w:ascii="Arial" w:cs="Arial" w:eastAsia="Arial" w:hAnsi="Arial"/>
                <w:sz w:val="12"/>
                <w:szCs w:val="12"/>
                <w:color w:val="auto"/>
              </w:rPr>
              <w:t>5.9x</w:t>
            </w:r>
          </w:p>
        </w:tc>
        <w:tc>
          <w:tcPr>
            <w:tcW w:w="40" w:type="dxa"/>
            <w:vAlign w:val="bottom"/>
            <w:tcBorders>
              <w:right w:val="single" w:sz="8" w:color="auto"/>
            </w:tcBorders>
          </w:tcPr>
          <w:p>
            <w:pPr>
              <w:spacing w:after="0"/>
              <w:rPr>
                <w:sz w:val="14"/>
                <w:szCs w:val="14"/>
                <w:color w:val="auto"/>
              </w:rPr>
            </w:pPr>
          </w:p>
        </w:tc>
      </w:tr>
      <w:tr>
        <w:trPr>
          <w:trHeight w:val="159"/>
        </w:trPr>
        <w:tc>
          <w:tcPr>
            <w:tcW w:w="1540" w:type="dxa"/>
            <w:vAlign w:val="bottom"/>
            <w:tcBorders>
              <w:left w:val="single" w:sz="8" w:color="auto"/>
              <w:bottom w:val="single" w:sz="8" w:color="auto"/>
              <w:right w:val="single" w:sz="8" w:color="auto"/>
            </w:tcBorders>
          </w:tcPr>
          <w:p>
            <w:pPr>
              <w:spacing w:after="0"/>
              <w:rPr>
                <w:sz w:val="13"/>
                <w:szCs w:val="13"/>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(3 × salary)</w:t>
            </w:r>
          </w:p>
        </w:tc>
        <w:tc>
          <w:tcPr>
            <w:tcW w:w="1500" w:type="dxa"/>
            <w:vAlign w:val="bottom"/>
            <w:tcBorders>
              <w:bottom w:val="single" w:sz="8" w:color="auto"/>
              <w:right w:val="single" w:sz="8" w:color="auto"/>
            </w:tcBorders>
          </w:tcPr>
          <w:p>
            <w:pPr>
              <w:spacing w:after="0"/>
              <w:rPr>
                <w:sz w:val="13"/>
                <w:szCs w:val="13"/>
                <w:color w:val="auto"/>
              </w:rPr>
            </w:pPr>
          </w:p>
        </w:tc>
        <w:tc>
          <w:tcPr>
            <w:tcW w:w="1480" w:type="dxa"/>
            <w:vAlign w:val="bottom"/>
            <w:tcBorders>
              <w:bottom w:val="single" w:sz="8" w:color="auto"/>
              <w:right w:val="single" w:sz="8" w:color="auto"/>
            </w:tcBorders>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both"/>
        <w:ind w:left="1740" w:right="1499" w:hanging="262"/>
        <w:spacing w:after="0" w:line="222" w:lineRule="auto"/>
        <w:tabs>
          <w:tab w:leader="none" w:pos="1740" w:val="left"/>
        </w:tabs>
        <w:numPr>
          <w:ilvl w:val="0"/>
          <w:numId w:val="81"/>
        </w:numPr>
        <w:rPr>
          <w:rFonts w:ascii="Arial" w:cs="Arial" w:eastAsia="Arial" w:hAnsi="Arial"/>
          <w:sz w:val="16"/>
          <w:szCs w:val="16"/>
          <w:color w:val="auto"/>
          <w:vertAlign w:val="superscript"/>
        </w:rPr>
      </w:pPr>
      <w:r>
        <w:rPr>
          <w:rFonts w:ascii="Arial" w:cs="Arial" w:eastAsia="Arial" w:hAnsi="Arial"/>
          <w:sz w:val="11"/>
          <w:szCs w:val="11"/>
          <w:color w:val="auto"/>
        </w:rPr>
        <w:t>Consists of: (i) SVS beneficially owned as of December 31, 2020, (ii) all unvested RSUs held as of December 31, 2020, and (iii) PSUs that vested on January 30, 2021 at 26% of target, which, on December 31, 2020, was the Corporation’s anticipated payout and at vesting was the actual payout; the value of which was determined using a share price of $8.07, the closing price of SVS on the NYSE on December 31, 2020.</w:t>
      </w:r>
    </w:p>
    <w:p>
      <w:pPr>
        <w:spacing w:after="0" w:line="1" w:lineRule="exact"/>
        <w:rPr>
          <w:rFonts w:ascii="Arial" w:cs="Arial" w:eastAsia="Arial" w:hAnsi="Arial"/>
          <w:sz w:val="16"/>
          <w:szCs w:val="16"/>
          <w:color w:val="auto"/>
          <w:vertAlign w:val="superscript"/>
        </w:rPr>
      </w:pPr>
    </w:p>
    <w:p>
      <w:pPr>
        <w:ind w:left="1740" w:hanging="262"/>
        <w:spacing w:after="0" w:line="235" w:lineRule="auto"/>
        <w:tabs>
          <w:tab w:leader="none" w:pos="1740" w:val="left"/>
        </w:tabs>
        <w:numPr>
          <w:ilvl w:val="0"/>
          <w:numId w:val="81"/>
        </w:numPr>
        <w:rPr>
          <w:rFonts w:ascii="Arial" w:cs="Arial" w:eastAsia="Arial" w:hAnsi="Arial"/>
          <w:sz w:val="15"/>
          <w:szCs w:val="15"/>
          <w:color w:val="auto"/>
          <w:vertAlign w:val="superscript"/>
        </w:rPr>
      </w:pPr>
      <w:r>
        <w:rPr>
          <w:rFonts w:ascii="Arial" w:cs="Arial" w:eastAsia="Arial" w:hAnsi="Arial"/>
          <w:sz w:val="10"/>
          <w:szCs w:val="10"/>
          <w:color w:val="auto"/>
        </w:rPr>
        <w:t xml:space="preserve">For additional details regarding Mr. Mionis’ share and share unit ownership, see his biography above under </w:t>
      </w:r>
      <w:r>
        <w:rPr>
          <w:rFonts w:ascii="Arial" w:cs="Arial" w:eastAsia="Arial" w:hAnsi="Arial"/>
          <w:sz w:val="10"/>
          <w:szCs w:val="10"/>
          <w:i w:val="1"/>
          <w:iCs w:val="1"/>
          <w:color w:val="auto"/>
        </w:rPr>
        <w:t>Election of Directors</w:t>
      </w:r>
    </w:p>
    <w:p>
      <w:pPr>
        <w:spacing w:after="0" w:line="3" w:lineRule="exact"/>
        <w:rPr>
          <w:rFonts w:ascii="Arial" w:cs="Arial" w:eastAsia="Arial" w:hAnsi="Arial"/>
          <w:sz w:val="15"/>
          <w:szCs w:val="15"/>
          <w:color w:val="auto"/>
          <w:vertAlign w:val="superscript"/>
        </w:rPr>
      </w:pPr>
    </w:p>
    <w:p>
      <w:pPr>
        <w:ind w:left="1740"/>
        <w:spacing w:after="0"/>
        <w:rPr>
          <w:rFonts w:ascii="Arial" w:cs="Arial" w:eastAsia="Arial" w:hAnsi="Arial"/>
          <w:sz w:val="15"/>
          <w:szCs w:val="15"/>
          <w:color w:val="auto"/>
          <w:vertAlign w:val="superscript"/>
        </w:rPr>
      </w:pPr>
      <w:r>
        <w:rPr>
          <w:rFonts w:ascii="Arial" w:cs="Arial" w:eastAsia="Arial" w:hAnsi="Arial"/>
          <w:sz w:val="11"/>
          <w:szCs w:val="11"/>
          <w:i w:val="1"/>
          <w:iCs w:val="1"/>
          <w:color w:val="auto"/>
        </w:rPr>
        <w:t>— Nominees for Election as Director — Robert A. Mionis</w:t>
      </w:r>
      <w:r>
        <w:rPr>
          <w:rFonts w:ascii="Arial" w:cs="Arial" w:eastAsia="Arial" w:hAnsi="Arial"/>
          <w:sz w:val="11"/>
          <w:szCs w:val="11"/>
          <w:color w:val="auto"/>
        </w:rPr>
        <w:t>.</w:t>
      </w:r>
    </w:p>
    <w:p>
      <w:pPr>
        <w:spacing w:after="0" w:line="69" w:lineRule="exact"/>
        <w:rPr>
          <w:sz w:val="20"/>
          <w:szCs w:val="20"/>
          <w:color w:val="auto"/>
        </w:rPr>
      </w:pPr>
    </w:p>
    <w:p>
      <w:pPr>
        <w:jc w:val="both"/>
        <w:ind w:left="1480" w:right="1499"/>
        <w:spacing w:after="0" w:line="265" w:lineRule="auto"/>
        <w:rPr>
          <w:sz w:val="20"/>
          <w:szCs w:val="20"/>
          <w:color w:val="auto"/>
        </w:rPr>
      </w:pPr>
      <w:r>
        <w:rPr>
          <w:rFonts w:ascii="Arial" w:cs="Arial" w:eastAsia="Arial" w:hAnsi="Arial"/>
          <w:sz w:val="13"/>
          <w:szCs w:val="13"/>
          <w:color w:val="auto"/>
        </w:rPr>
        <w:t>The CEO Employment Agreement provides that, in the event of the cessation of Mr. Mionis’ employment with the Corporation for any reason, he will be required to retain the share ownership level set out in the Executive Share Ownership Guidelines on his termination date for the 12-month period immediately following his termination date.</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8" w:name="page59"/>
    <w:bookmarkEnd w:id="58"/>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71"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Compensation Elements for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38100</wp:posOffset>
            </wp:positionV>
            <wp:extent cx="3843655" cy="63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843655" cy="635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50800</wp:posOffset>
            </wp:positionV>
            <wp:extent cx="3843655" cy="63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210"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The compensation of the NEOs in 2020 was comprised of the following elements:</w:t>
      </w:r>
    </w:p>
    <w:p>
      <w:pPr>
        <w:spacing w:after="0" w:line="128" w:lineRule="exact"/>
        <w:rPr>
          <w:sz w:val="20"/>
          <w:szCs w:val="20"/>
          <w:color w:val="auto"/>
        </w:rPr>
      </w:pPr>
    </w:p>
    <w:tbl>
      <w:tblPr>
        <w:tblLayout w:type="fixed"/>
        <w:tblInd w:w="1740" w:type="dxa"/>
        <w:tblCellMar>
          <w:top w:w="0" w:type="dxa"/>
          <w:left w:w="0" w:type="dxa"/>
          <w:bottom w:w="0" w:type="dxa"/>
          <w:right w:w="0" w:type="dxa"/>
        </w:tblCellMar>
      </w:tblPr>
      <w:tr>
        <w:trPr>
          <w:trHeight w:val="169"/>
        </w:trPr>
        <w:tc>
          <w:tcPr>
            <w:tcW w:w="1380" w:type="dxa"/>
            <w:vAlign w:val="bottom"/>
            <w:gridSpan w:val="2"/>
            <w:shd w:val="clear" w:color="auto" w:fill="CCCCCC"/>
          </w:tcPr>
          <w:p>
            <w:pPr>
              <w:ind w:left="80"/>
              <w:spacing w:after="0"/>
              <w:rPr>
                <w:sz w:val="20"/>
                <w:szCs w:val="20"/>
                <w:color w:val="auto"/>
              </w:rPr>
            </w:pPr>
            <w:r>
              <w:rPr>
                <w:rFonts w:ascii="Arial" w:cs="Arial" w:eastAsia="Arial" w:hAnsi="Arial"/>
                <w:sz w:val="12"/>
                <w:szCs w:val="12"/>
                <w:b w:val="1"/>
                <w:bCs w:val="1"/>
                <w:color w:val="auto"/>
              </w:rPr>
              <w:t>Elements</w:t>
            </w:r>
          </w:p>
        </w:tc>
        <w:tc>
          <w:tcPr>
            <w:tcW w:w="4140" w:type="dxa"/>
            <w:vAlign w:val="bottom"/>
            <w:shd w:val="clear" w:color="auto" w:fill="CCCCCC"/>
          </w:tcPr>
          <w:p>
            <w:pPr>
              <w:ind w:left="80"/>
              <w:spacing w:after="0"/>
              <w:rPr>
                <w:sz w:val="20"/>
                <w:szCs w:val="20"/>
                <w:color w:val="auto"/>
              </w:rPr>
            </w:pPr>
            <w:r>
              <w:rPr>
                <w:rFonts w:ascii="Arial" w:cs="Arial" w:eastAsia="Arial" w:hAnsi="Arial"/>
                <w:sz w:val="12"/>
                <w:szCs w:val="12"/>
                <w:b w:val="1"/>
                <w:bCs w:val="1"/>
                <w:color w:val="auto"/>
              </w:rPr>
              <w:t>Rationale</w:t>
            </w:r>
          </w:p>
        </w:tc>
      </w:tr>
      <w:tr>
        <w:trPr>
          <w:trHeight w:val="152"/>
        </w:trPr>
        <w:tc>
          <w:tcPr>
            <w:tcW w:w="1380" w:type="dxa"/>
            <w:vAlign w:val="bottom"/>
            <w:gridSpan w:val="2"/>
          </w:tcPr>
          <w:p>
            <w:pPr>
              <w:ind w:left="80"/>
              <w:spacing w:after="0"/>
              <w:rPr>
                <w:sz w:val="20"/>
                <w:szCs w:val="20"/>
                <w:color w:val="auto"/>
              </w:rPr>
            </w:pPr>
            <w:r>
              <w:rPr>
                <w:rFonts w:ascii="Arial" w:cs="Arial" w:eastAsia="Arial" w:hAnsi="Arial"/>
                <w:sz w:val="12"/>
                <w:szCs w:val="12"/>
                <w:color w:val="auto"/>
              </w:rPr>
              <w:t>Base Salary</w:t>
            </w:r>
          </w:p>
        </w:tc>
        <w:tc>
          <w:tcPr>
            <w:tcW w:w="4140" w:type="dxa"/>
            <w:vAlign w:val="bottom"/>
          </w:tcPr>
          <w:p>
            <w:pPr>
              <w:ind w:left="80"/>
              <w:spacing w:after="0"/>
              <w:rPr>
                <w:sz w:val="20"/>
                <w:szCs w:val="20"/>
                <w:color w:val="auto"/>
              </w:rPr>
            </w:pPr>
            <w:r>
              <w:rPr>
                <w:rFonts w:ascii="Arial" w:cs="Arial" w:eastAsia="Arial" w:hAnsi="Arial"/>
                <w:sz w:val="12"/>
                <w:szCs w:val="12"/>
                <w:color w:val="auto"/>
              </w:rPr>
              <w:t>Provides a fixed level of compensation intended to reflect the scope of an</w:t>
            </w:r>
          </w:p>
        </w:tc>
      </w:tr>
      <w:tr>
        <w:trPr>
          <w:trHeight w:val="139"/>
        </w:trPr>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140" w:type="dxa"/>
            <w:vAlign w:val="bottom"/>
          </w:tcPr>
          <w:p>
            <w:pPr>
              <w:ind w:left="80"/>
              <w:spacing w:after="0"/>
              <w:rPr>
                <w:sz w:val="20"/>
                <w:szCs w:val="20"/>
                <w:color w:val="auto"/>
              </w:rPr>
            </w:pPr>
            <w:r>
              <w:rPr>
                <w:rFonts w:ascii="Arial" w:cs="Arial" w:eastAsia="Arial" w:hAnsi="Arial"/>
                <w:sz w:val="12"/>
                <w:szCs w:val="12"/>
                <w:color w:val="auto"/>
              </w:rPr>
              <w:t>executive’s responsibilities and level of experience and to reward sustained</w:t>
            </w:r>
          </w:p>
        </w:tc>
      </w:tr>
      <w:tr>
        <w:trPr>
          <w:trHeight w:val="139"/>
        </w:trPr>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140" w:type="dxa"/>
            <w:vAlign w:val="bottom"/>
          </w:tcPr>
          <w:p>
            <w:pPr>
              <w:ind w:left="80"/>
              <w:spacing w:after="0"/>
              <w:rPr>
                <w:sz w:val="20"/>
                <w:szCs w:val="20"/>
                <w:color w:val="auto"/>
              </w:rPr>
            </w:pPr>
            <w:r>
              <w:rPr>
                <w:rFonts w:ascii="Arial" w:cs="Arial" w:eastAsia="Arial" w:hAnsi="Arial"/>
                <w:sz w:val="12"/>
                <w:szCs w:val="12"/>
                <w:color w:val="auto"/>
              </w:rPr>
              <w:t>performance over time, as well as to approximate competitive base salary</w:t>
            </w:r>
          </w:p>
        </w:tc>
      </w:tr>
      <w:tr>
        <w:trPr>
          <w:trHeight w:val="154"/>
        </w:trPr>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140" w:type="dxa"/>
            <w:vAlign w:val="bottom"/>
          </w:tcPr>
          <w:p>
            <w:pPr>
              <w:ind w:left="80"/>
              <w:spacing w:after="0"/>
              <w:rPr>
                <w:sz w:val="20"/>
                <w:szCs w:val="20"/>
                <w:color w:val="auto"/>
              </w:rPr>
            </w:pPr>
            <w:r>
              <w:rPr>
                <w:rFonts w:ascii="Arial" w:cs="Arial" w:eastAsia="Arial" w:hAnsi="Arial"/>
                <w:sz w:val="12"/>
                <w:szCs w:val="12"/>
                <w:color w:val="auto"/>
              </w:rPr>
              <w:t>levels</w:t>
            </w:r>
          </w:p>
        </w:tc>
      </w:tr>
      <w:tr>
        <w:trPr>
          <w:trHeight w:val="154"/>
        </w:trPr>
        <w:tc>
          <w:tcPr>
            <w:tcW w:w="1380" w:type="dxa"/>
            <w:vAlign w:val="bottom"/>
            <w:gridSpan w:val="2"/>
            <w:shd w:val="clear" w:color="auto" w:fill="E5E5E5"/>
          </w:tcPr>
          <w:p>
            <w:pPr>
              <w:ind w:left="80"/>
              <w:spacing w:after="0"/>
              <w:rPr>
                <w:sz w:val="20"/>
                <w:szCs w:val="20"/>
                <w:color w:val="auto"/>
              </w:rPr>
            </w:pPr>
            <w:r>
              <w:rPr>
                <w:rFonts w:ascii="Arial" w:cs="Arial" w:eastAsia="Arial" w:hAnsi="Arial"/>
                <w:sz w:val="12"/>
                <w:szCs w:val="12"/>
                <w:color w:val="auto"/>
              </w:rPr>
              <w:t>Annual Cash Incentives</w:t>
            </w:r>
          </w:p>
        </w:tc>
        <w:tc>
          <w:tcPr>
            <w:tcW w:w="4140" w:type="dxa"/>
            <w:vAlign w:val="bottom"/>
            <w:shd w:val="clear" w:color="auto" w:fill="E5E5E5"/>
          </w:tcPr>
          <w:p>
            <w:pPr>
              <w:ind w:left="80"/>
              <w:spacing w:after="0"/>
              <w:rPr>
                <w:sz w:val="20"/>
                <w:szCs w:val="20"/>
                <w:color w:val="auto"/>
              </w:rPr>
            </w:pPr>
            <w:r>
              <w:rPr>
                <w:rFonts w:ascii="Arial" w:cs="Arial" w:eastAsia="Arial" w:hAnsi="Arial"/>
                <w:sz w:val="12"/>
                <w:szCs w:val="12"/>
                <w:color w:val="auto"/>
              </w:rPr>
              <w:t>Aligns executive performance with the Corporation’s annual goals and</w:t>
            </w:r>
          </w:p>
        </w:tc>
      </w:tr>
      <w:tr>
        <w:trPr>
          <w:trHeight w:val="156"/>
        </w:trPr>
        <w:tc>
          <w:tcPr>
            <w:tcW w:w="260" w:type="dxa"/>
            <w:vAlign w:val="bottom"/>
            <w:shd w:val="clear" w:color="auto" w:fill="E5E5E5"/>
          </w:tcPr>
          <w:p>
            <w:pPr>
              <w:spacing w:after="0"/>
              <w:rPr>
                <w:sz w:val="13"/>
                <w:szCs w:val="13"/>
                <w:color w:val="auto"/>
              </w:rPr>
            </w:pPr>
          </w:p>
        </w:tc>
        <w:tc>
          <w:tcPr>
            <w:tcW w:w="1120" w:type="dxa"/>
            <w:vAlign w:val="bottom"/>
            <w:shd w:val="clear" w:color="auto" w:fill="E5E5E5"/>
          </w:tcPr>
          <w:p>
            <w:pPr>
              <w:spacing w:after="0"/>
              <w:rPr>
                <w:sz w:val="13"/>
                <w:szCs w:val="13"/>
                <w:color w:val="auto"/>
              </w:rPr>
            </w:pPr>
          </w:p>
        </w:tc>
        <w:tc>
          <w:tcPr>
            <w:tcW w:w="4140" w:type="dxa"/>
            <w:vAlign w:val="bottom"/>
            <w:shd w:val="clear" w:color="auto" w:fill="E5E5E5"/>
          </w:tcPr>
          <w:p>
            <w:pPr>
              <w:ind w:left="80"/>
              <w:spacing w:after="0"/>
              <w:rPr>
                <w:sz w:val="20"/>
                <w:szCs w:val="20"/>
                <w:color w:val="auto"/>
              </w:rPr>
            </w:pPr>
            <w:r>
              <w:rPr>
                <w:rFonts w:ascii="Arial" w:cs="Arial" w:eastAsia="Arial" w:hAnsi="Arial"/>
                <w:sz w:val="12"/>
                <w:szCs w:val="12"/>
                <w:color w:val="auto"/>
              </w:rPr>
              <w:t>objectives</w:t>
            </w:r>
          </w:p>
        </w:tc>
      </w:tr>
      <w:tr>
        <w:trPr>
          <w:trHeight w:val="165"/>
        </w:trPr>
        <w:tc>
          <w:tcPr>
            <w:tcW w:w="1380" w:type="dxa"/>
            <w:vAlign w:val="bottom"/>
            <w:gridSpan w:val="2"/>
          </w:tcPr>
          <w:p>
            <w:pPr>
              <w:ind w:left="80"/>
              <w:spacing w:after="0"/>
              <w:rPr>
                <w:sz w:val="20"/>
                <w:szCs w:val="20"/>
                <w:color w:val="auto"/>
              </w:rPr>
            </w:pPr>
            <w:r>
              <w:rPr>
                <w:rFonts w:ascii="Arial" w:cs="Arial" w:eastAsia="Arial" w:hAnsi="Arial"/>
                <w:sz w:val="12"/>
                <w:szCs w:val="12"/>
                <w:color w:val="auto"/>
                <w:w w:val="99"/>
              </w:rPr>
              <w:t>Equity-Based Incentives</w:t>
            </w:r>
          </w:p>
        </w:tc>
        <w:tc>
          <w:tcPr>
            <w:tcW w:w="4140" w:type="dxa"/>
            <w:vAlign w:val="bottom"/>
          </w:tcPr>
          <w:p>
            <w:pPr>
              <w:spacing w:after="0"/>
              <w:rPr>
                <w:sz w:val="14"/>
                <w:szCs w:val="14"/>
                <w:color w:val="auto"/>
              </w:rPr>
            </w:pPr>
          </w:p>
        </w:tc>
      </w:tr>
      <w:tr>
        <w:trPr>
          <w:trHeight w:val="169"/>
        </w:trPr>
        <w:tc>
          <w:tcPr>
            <w:tcW w:w="260" w:type="dxa"/>
            <w:vAlign w:val="bottom"/>
          </w:tcPr>
          <w:p>
            <w:pPr>
              <w:ind w:left="200"/>
              <w:spacing w:after="0"/>
              <w:rPr>
                <w:sz w:val="20"/>
                <w:szCs w:val="20"/>
                <w:color w:val="auto"/>
              </w:rPr>
            </w:pPr>
            <w:r>
              <w:rPr>
                <w:rFonts w:ascii="Arial" w:cs="Arial" w:eastAsia="Arial" w:hAnsi="Arial"/>
                <w:sz w:val="12"/>
                <w:szCs w:val="12"/>
                <w:color w:val="auto"/>
                <w:w w:val="94"/>
              </w:rPr>
              <w:t>•</w:t>
            </w:r>
          </w:p>
        </w:tc>
        <w:tc>
          <w:tcPr>
            <w:tcW w:w="1120" w:type="dxa"/>
            <w:vAlign w:val="bottom"/>
          </w:tcPr>
          <w:p>
            <w:pPr>
              <w:ind w:left="40"/>
              <w:spacing w:after="0"/>
              <w:rPr>
                <w:sz w:val="20"/>
                <w:szCs w:val="20"/>
                <w:color w:val="auto"/>
              </w:rPr>
            </w:pPr>
            <w:r>
              <w:rPr>
                <w:rFonts w:ascii="Arial" w:cs="Arial" w:eastAsia="Arial" w:hAnsi="Arial"/>
                <w:sz w:val="12"/>
                <w:szCs w:val="12"/>
                <w:color w:val="auto"/>
              </w:rPr>
              <w:t>RSUs</w:t>
            </w:r>
          </w:p>
        </w:tc>
        <w:tc>
          <w:tcPr>
            <w:tcW w:w="4140" w:type="dxa"/>
            <w:vAlign w:val="bottom"/>
          </w:tcPr>
          <w:p>
            <w:pPr>
              <w:ind w:left="80"/>
              <w:spacing w:after="0"/>
              <w:rPr>
                <w:sz w:val="20"/>
                <w:szCs w:val="20"/>
                <w:color w:val="auto"/>
              </w:rPr>
            </w:pPr>
            <w:r>
              <w:rPr>
                <w:rFonts w:ascii="Arial" w:cs="Arial" w:eastAsia="Arial" w:hAnsi="Arial"/>
                <w:sz w:val="12"/>
                <w:szCs w:val="12"/>
                <w:color w:val="auto"/>
              </w:rPr>
              <w:t>Provides a strong incentive for long-term executive retention</w:t>
            </w:r>
          </w:p>
        </w:tc>
      </w:tr>
      <w:tr>
        <w:trPr>
          <w:trHeight w:val="156"/>
        </w:trPr>
        <w:tc>
          <w:tcPr>
            <w:tcW w:w="260" w:type="dxa"/>
            <w:vAlign w:val="bottom"/>
          </w:tcPr>
          <w:p>
            <w:pPr>
              <w:ind w:left="200"/>
              <w:spacing w:after="0"/>
              <w:rPr>
                <w:sz w:val="20"/>
                <w:szCs w:val="20"/>
                <w:color w:val="auto"/>
              </w:rPr>
            </w:pPr>
            <w:r>
              <w:rPr>
                <w:rFonts w:ascii="Arial" w:cs="Arial" w:eastAsia="Arial" w:hAnsi="Arial"/>
                <w:sz w:val="12"/>
                <w:szCs w:val="12"/>
                <w:color w:val="auto"/>
                <w:w w:val="94"/>
              </w:rPr>
              <w:t>•</w:t>
            </w:r>
          </w:p>
        </w:tc>
        <w:tc>
          <w:tcPr>
            <w:tcW w:w="1120" w:type="dxa"/>
            <w:vAlign w:val="bottom"/>
          </w:tcPr>
          <w:p>
            <w:pPr>
              <w:ind w:left="40"/>
              <w:spacing w:after="0"/>
              <w:rPr>
                <w:sz w:val="20"/>
                <w:szCs w:val="20"/>
                <w:color w:val="auto"/>
              </w:rPr>
            </w:pPr>
            <w:r>
              <w:rPr>
                <w:rFonts w:ascii="Arial" w:cs="Arial" w:eastAsia="Arial" w:hAnsi="Arial"/>
                <w:sz w:val="12"/>
                <w:szCs w:val="12"/>
                <w:color w:val="auto"/>
              </w:rPr>
              <w:t>PSUs</w:t>
            </w:r>
          </w:p>
        </w:tc>
        <w:tc>
          <w:tcPr>
            <w:tcW w:w="4140" w:type="dxa"/>
            <w:vAlign w:val="bottom"/>
          </w:tcPr>
          <w:p>
            <w:pPr>
              <w:ind w:left="80"/>
              <w:spacing w:after="0"/>
              <w:rPr>
                <w:sz w:val="20"/>
                <w:szCs w:val="20"/>
                <w:color w:val="auto"/>
              </w:rPr>
            </w:pPr>
            <w:r>
              <w:rPr>
                <w:rFonts w:ascii="Arial" w:cs="Arial" w:eastAsia="Arial" w:hAnsi="Arial"/>
                <w:sz w:val="12"/>
                <w:szCs w:val="12"/>
                <w:color w:val="auto"/>
                <w:w w:val="97"/>
              </w:rPr>
              <w:t>Aligns executives’ interests with shareholder interests and provides incentives</w:t>
            </w:r>
          </w:p>
        </w:tc>
      </w:tr>
      <w:tr>
        <w:trPr>
          <w:trHeight w:val="154"/>
        </w:trPr>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140" w:type="dxa"/>
            <w:vAlign w:val="bottom"/>
          </w:tcPr>
          <w:p>
            <w:pPr>
              <w:ind w:left="80"/>
              <w:spacing w:after="0"/>
              <w:rPr>
                <w:sz w:val="20"/>
                <w:szCs w:val="20"/>
                <w:color w:val="auto"/>
              </w:rPr>
            </w:pPr>
            <w:r>
              <w:rPr>
                <w:rFonts w:ascii="Arial" w:cs="Arial" w:eastAsia="Arial" w:hAnsi="Arial"/>
                <w:sz w:val="12"/>
                <w:szCs w:val="12"/>
                <w:color w:val="auto"/>
              </w:rPr>
              <w:t>for long-term performance</w:t>
            </w:r>
          </w:p>
        </w:tc>
      </w:tr>
      <w:tr>
        <w:trPr>
          <w:trHeight w:val="171"/>
        </w:trPr>
        <w:tc>
          <w:tcPr>
            <w:tcW w:w="1380" w:type="dxa"/>
            <w:vAlign w:val="bottom"/>
            <w:gridSpan w:val="2"/>
            <w:shd w:val="clear" w:color="auto" w:fill="E5E5E5"/>
          </w:tcPr>
          <w:p>
            <w:pPr>
              <w:ind w:left="80"/>
              <w:spacing w:after="0"/>
              <w:rPr>
                <w:sz w:val="20"/>
                <w:szCs w:val="20"/>
                <w:color w:val="auto"/>
              </w:rPr>
            </w:pPr>
            <w:r>
              <w:rPr>
                <w:rFonts w:ascii="Arial" w:cs="Arial" w:eastAsia="Arial" w:hAnsi="Arial"/>
                <w:sz w:val="12"/>
                <w:szCs w:val="12"/>
                <w:color w:val="auto"/>
              </w:rPr>
              <w:t>Benefits</w:t>
            </w:r>
          </w:p>
        </w:tc>
        <w:tc>
          <w:tcPr>
            <w:tcW w:w="4140" w:type="dxa"/>
            <w:vAlign w:val="bottom"/>
            <w:shd w:val="clear" w:color="auto" w:fill="E5E5E5"/>
          </w:tcPr>
          <w:p>
            <w:pPr>
              <w:ind w:left="80"/>
              <w:spacing w:after="0"/>
              <w:rPr>
                <w:sz w:val="20"/>
                <w:szCs w:val="20"/>
                <w:color w:val="auto"/>
              </w:rPr>
            </w:pPr>
            <w:r>
              <w:rPr>
                <w:rFonts w:ascii="Arial" w:cs="Arial" w:eastAsia="Arial" w:hAnsi="Arial"/>
                <w:sz w:val="12"/>
                <w:szCs w:val="12"/>
                <w:color w:val="auto"/>
              </w:rPr>
              <w:t>Designed to help ensure the health and wellness of executives</w:t>
            </w:r>
          </w:p>
        </w:tc>
      </w:tr>
      <w:tr>
        <w:trPr>
          <w:trHeight w:val="167"/>
        </w:trPr>
        <w:tc>
          <w:tcPr>
            <w:tcW w:w="1380" w:type="dxa"/>
            <w:vAlign w:val="bottom"/>
            <w:gridSpan w:val="2"/>
          </w:tcPr>
          <w:p>
            <w:pPr>
              <w:ind w:left="80"/>
              <w:spacing w:after="0"/>
              <w:rPr>
                <w:sz w:val="20"/>
                <w:szCs w:val="20"/>
                <w:color w:val="auto"/>
              </w:rPr>
            </w:pPr>
            <w:r>
              <w:rPr>
                <w:rFonts w:ascii="Arial" w:cs="Arial" w:eastAsia="Arial" w:hAnsi="Arial"/>
                <w:sz w:val="12"/>
                <w:szCs w:val="12"/>
                <w:color w:val="auto"/>
              </w:rPr>
              <w:t>Pension</w:t>
            </w:r>
          </w:p>
        </w:tc>
        <w:tc>
          <w:tcPr>
            <w:tcW w:w="4140" w:type="dxa"/>
            <w:vAlign w:val="bottom"/>
          </w:tcPr>
          <w:p>
            <w:pPr>
              <w:ind w:left="80"/>
              <w:spacing w:after="0"/>
              <w:rPr>
                <w:sz w:val="20"/>
                <w:szCs w:val="20"/>
                <w:color w:val="auto"/>
              </w:rPr>
            </w:pPr>
            <w:r>
              <w:rPr>
                <w:rFonts w:ascii="Arial" w:cs="Arial" w:eastAsia="Arial" w:hAnsi="Arial"/>
                <w:sz w:val="12"/>
                <w:szCs w:val="12"/>
                <w:color w:val="auto"/>
              </w:rPr>
              <w:t>Designed to assist executives in saving for their retirement</w:t>
            </w:r>
          </w:p>
        </w:tc>
      </w:tr>
      <w:tr>
        <w:trPr>
          <w:trHeight w:val="154"/>
        </w:trPr>
        <w:tc>
          <w:tcPr>
            <w:tcW w:w="1380" w:type="dxa"/>
            <w:vAlign w:val="bottom"/>
            <w:gridSpan w:val="2"/>
            <w:shd w:val="clear" w:color="auto" w:fill="E5E5E5"/>
          </w:tcPr>
          <w:p>
            <w:pPr>
              <w:ind w:left="80"/>
              <w:spacing w:after="0"/>
              <w:rPr>
                <w:sz w:val="20"/>
                <w:szCs w:val="20"/>
                <w:color w:val="auto"/>
              </w:rPr>
            </w:pPr>
            <w:r>
              <w:rPr>
                <w:rFonts w:ascii="Arial" w:cs="Arial" w:eastAsia="Arial" w:hAnsi="Arial"/>
                <w:sz w:val="12"/>
                <w:szCs w:val="12"/>
                <w:color w:val="auto"/>
              </w:rPr>
              <w:t>Perquisites</w:t>
            </w:r>
          </w:p>
        </w:tc>
        <w:tc>
          <w:tcPr>
            <w:tcW w:w="4140" w:type="dxa"/>
            <w:vAlign w:val="bottom"/>
            <w:shd w:val="clear" w:color="auto" w:fill="E5E5E5"/>
          </w:tcPr>
          <w:p>
            <w:pPr>
              <w:ind w:left="80"/>
              <w:spacing w:after="0"/>
              <w:rPr>
                <w:sz w:val="20"/>
                <w:szCs w:val="20"/>
                <w:color w:val="auto"/>
              </w:rPr>
            </w:pPr>
            <w:r>
              <w:rPr>
                <w:rFonts w:ascii="Arial" w:cs="Arial" w:eastAsia="Arial" w:hAnsi="Arial"/>
                <w:sz w:val="12"/>
                <w:szCs w:val="12"/>
                <w:color w:val="auto"/>
                <w:w w:val="97"/>
              </w:rPr>
              <w:t>Perquisites are provided to executives on a case-by-case basis as considered</w:t>
            </w:r>
          </w:p>
        </w:tc>
      </w:tr>
      <w:tr>
        <w:trPr>
          <w:trHeight w:val="166"/>
        </w:trPr>
        <w:tc>
          <w:tcPr>
            <w:tcW w:w="260" w:type="dxa"/>
            <w:vAlign w:val="bottom"/>
            <w:shd w:val="clear" w:color="auto" w:fill="E5E5E5"/>
          </w:tcPr>
          <w:p>
            <w:pPr>
              <w:spacing w:after="0"/>
              <w:rPr>
                <w:sz w:val="14"/>
                <w:szCs w:val="14"/>
                <w:color w:val="auto"/>
              </w:rPr>
            </w:pPr>
          </w:p>
        </w:tc>
        <w:tc>
          <w:tcPr>
            <w:tcW w:w="1120" w:type="dxa"/>
            <w:vAlign w:val="bottom"/>
            <w:shd w:val="clear" w:color="auto" w:fill="E5E5E5"/>
          </w:tcPr>
          <w:p>
            <w:pPr>
              <w:spacing w:after="0"/>
              <w:rPr>
                <w:sz w:val="14"/>
                <w:szCs w:val="14"/>
                <w:color w:val="auto"/>
              </w:rPr>
            </w:pPr>
          </w:p>
        </w:tc>
        <w:tc>
          <w:tcPr>
            <w:tcW w:w="4140" w:type="dxa"/>
            <w:vAlign w:val="bottom"/>
            <w:shd w:val="clear" w:color="auto" w:fill="E5E5E5"/>
          </w:tcPr>
          <w:p>
            <w:pPr>
              <w:ind w:left="80"/>
              <w:spacing w:after="0"/>
              <w:rPr>
                <w:sz w:val="20"/>
                <w:szCs w:val="20"/>
                <w:color w:val="auto"/>
              </w:rPr>
            </w:pPr>
            <w:r>
              <w:rPr>
                <w:rFonts w:ascii="Arial" w:cs="Arial" w:eastAsia="Arial" w:hAnsi="Arial"/>
                <w:sz w:val="12"/>
                <w:szCs w:val="12"/>
                <w:color w:val="auto"/>
              </w:rPr>
              <w:t>appropriate and in the interests of the Corporation</w:t>
            </w:r>
          </w:p>
        </w:tc>
      </w:tr>
    </w:tbl>
    <w:p>
      <w:pPr>
        <w:spacing w:after="0" w:line="174"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auto"/>
        </w:rPr>
        <w:t>Compensation Element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38100</wp:posOffset>
            </wp:positionV>
            <wp:extent cx="3502025" cy="63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502025" cy="6350"/>
                    </a:xfrm>
                    <a:prstGeom prst="rect">
                      <a:avLst/>
                    </a:prstGeom>
                    <a:noFill/>
                  </pic:spPr>
                </pic:pic>
              </a:graphicData>
            </a:graphic>
          </wp:anchor>
        </w:drawing>
      </w:r>
    </w:p>
    <w:p>
      <w:pPr>
        <w:spacing w:after="0" w:line="131" w:lineRule="exact"/>
        <w:rPr>
          <w:sz w:val="20"/>
          <w:szCs w:val="20"/>
          <w:color w:val="auto"/>
        </w:rPr>
      </w:pPr>
    </w:p>
    <w:p>
      <w:pPr>
        <w:jc w:val="both"/>
        <w:ind w:left="1480" w:right="1499"/>
        <w:spacing w:after="0" w:line="281" w:lineRule="auto"/>
        <w:rPr>
          <w:sz w:val="20"/>
          <w:szCs w:val="20"/>
          <w:color w:val="auto"/>
        </w:rPr>
      </w:pPr>
      <w:r>
        <w:rPr>
          <w:rFonts w:ascii="Arial" w:cs="Arial" w:eastAsia="Arial" w:hAnsi="Arial"/>
          <w:sz w:val="12"/>
          <w:szCs w:val="12"/>
          <w:color w:val="auto"/>
        </w:rPr>
        <w:t>In order to ensure that our executive compensation program is market competitive, we annually review the program design and pay levels of companies in the Comparator Group and other competitive market data. We assess total target direct compensation (base salary, annual cash incentive and equity grants) as well as specific elements of compensation when reviewing market information relative to our executive compensation program. The HRCC uses the median of the Comparator Group as a guideline when determining total target direct compensation but is not bound to any target percentile for any specific element of compensation. In addition to the Comparator Group, we also consider executive compensation relative to internal peers where responsibilities and experience vary and we conduct a vertical compensation analysis in which we look at various internal business organizations or functions and compare levels of compensation with a view to succession within such organization or function. In determining appropriate positioning relative to the Comparator Group and internal peers, we utilize a multi-year approach for setting and transitioning target compensation for executives who are new in their role.</w:t>
      </w:r>
    </w:p>
    <w:p>
      <w:pPr>
        <w:spacing w:after="0" w:line="52" w:lineRule="exact"/>
        <w:rPr>
          <w:sz w:val="20"/>
          <w:szCs w:val="20"/>
          <w:color w:val="auto"/>
        </w:rPr>
      </w:pPr>
    </w:p>
    <w:p>
      <w:pPr>
        <w:jc w:val="both"/>
        <w:ind w:left="1480" w:right="1499"/>
        <w:spacing w:after="0" w:line="261" w:lineRule="auto"/>
        <w:rPr>
          <w:sz w:val="20"/>
          <w:szCs w:val="20"/>
          <w:color w:val="auto"/>
        </w:rPr>
      </w:pPr>
      <w:r>
        <w:rPr>
          <w:rFonts w:ascii="Arial" w:cs="Arial" w:eastAsia="Arial" w:hAnsi="Arial"/>
          <w:sz w:val="13"/>
          <w:szCs w:val="13"/>
          <w:color w:val="auto"/>
        </w:rPr>
        <w:t>The at-risk portion of total compensation varies by role and executive level, but has the highest weighting at the most senior levels of management. CTI awards and certain equity-based incentive plan awards are contingent upon the Corporation’s financial and operational performance and are therefore at-risk. By making a significant portion of total target direct compensation variable, the Corporation intends to continue to align NEO compensation with shareholder interests. The relative weighting of the compensation elements for the CEO and the other NEOs (average) for 2020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1405890</wp:posOffset>
            </wp:positionH>
            <wp:positionV relativeFrom="paragraph">
              <wp:posOffset>56515</wp:posOffset>
            </wp:positionV>
            <wp:extent cx="3135630" cy="109347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135630" cy="1093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9" w:name="page60"/>
    <w:bookmarkEnd w:id="59"/>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71"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auto"/>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38100</wp:posOffset>
            </wp:positionV>
            <wp:extent cx="3502025" cy="63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502025" cy="6350"/>
                    </a:xfrm>
                    <a:prstGeom prst="rect">
                      <a:avLst/>
                    </a:prstGeom>
                    <a:noFill/>
                  </pic:spPr>
                </pic:pic>
              </a:graphicData>
            </a:graphic>
          </wp:anchor>
        </w:drawing>
      </w:r>
    </w:p>
    <w:p>
      <w:pPr>
        <w:spacing w:after="0" w:line="131" w:lineRule="exact"/>
        <w:rPr>
          <w:sz w:val="20"/>
          <w:szCs w:val="20"/>
          <w:color w:val="auto"/>
        </w:rPr>
      </w:pPr>
    </w:p>
    <w:p>
      <w:pPr>
        <w:jc w:val="both"/>
        <w:ind w:left="1480" w:right="1499"/>
        <w:spacing w:after="0" w:line="265" w:lineRule="auto"/>
        <w:rPr>
          <w:sz w:val="20"/>
          <w:szCs w:val="20"/>
          <w:color w:val="auto"/>
        </w:rPr>
      </w:pPr>
      <w:r>
        <w:rPr>
          <w:rFonts w:ascii="Arial" w:cs="Arial" w:eastAsia="Arial" w:hAnsi="Arial"/>
          <w:sz w:val="13"/>
          <w:szCs w:val="13"/>
          <w:color w:val="auto"/>
        </w:rPr>
        <w:t>The objective of base salary is to attract, reward and retain top talent. Base salaries for executive positions are determined with consideration given to the market median of the Comparator Group. Base salaries are reviewed annually and adjusted if appropriate, to reflect individual performance, relevant knowledge, experience and the executive’s level of responsibility within the Corporation.</w:t>
      </w:r>
    </w:p>
    <w:p>
      <w:pPr>
        <w:spacing w:after="0" w:line="140"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auto"/>
        </w:rPr>
        <w:t>Celestica Team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38100</wp:posOffset>
            </wp:positionV>
            <wp:extent cx="3502025" cy="63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502025" cy="6350"/>
                    </a:xfrm>
                    <a:prstGeom prst="rect">
                      <a:avLst/>
                    </a:prstGeom>
                    <a:noFill/>
                  </pic:spPr>
                </pic:pic>
              </a:graphicData>
            </a:graphic>
          </wp:anchor>
        </w:drawing>
      </w:r>
    </w:p>
    <w:p>
      <w:pPr>
        <w:spacing w:after="0" w:line="131" w:lineRule="exact"/>
        <w:rPr>
          <w:sz w:val="20"/>
          <w:szCs w:val="20"/>
          <w:color w:val="auto"/>
        </w:rPr>
      </w:pPr>
    </w:p>
    <w:p>
      <w:pPr>
        <w:jc w:val="both"/>
        <w:ind w:left="1480" w:right="1499"/>
        <w:spacing w:after="0" w:line="263" w:lineRule="auto"/>
        <w:rPr>
          <w:sz w:val="20"/>
          <w:szCs w:val="20"/>
          <w:color w:val="auto"/>
        </w:rPr>
      </w:pPr>
      <w:r>
        <w:rPr>
          <w:rFonts w:ascii="Arial" w:cs="Arial" w:eastAsia="Arial" w:hAnsi="Arial"/>
          <w:sz w:val="13"/>
          <w:szCs w:val="13"/>
          <w:color w:val="auto"/>
        </w:rPr>
        <w:t>The objective of the CTI is to reward all eligible employees, including the NEOs, for the achievement of annual objectives. CTI awards for the NEOs are based on the achievement of pre-determined corporate performance factor (“</w:t>
      </w:r>
      <w:r>
        <w:rPr>
          <w:rFonts w:ascii="Arial" w:cs="Arial" w:eastAsia="Arial" w:hAnsi="Arial"/>
          <w:sz w:val="13"/>
          <w:szCs w:val="13"/>
          <w:b w:val="1"/>
          <w:bCs w:val="1"/>
          <w:color w:val="auto"/>
        </w:rPr>
        <w:t>CPF</w:t>
      </w:r>
      <w:r>
        <w:rPr>
          <w:rFonts w:ascii="Arial" w:cs="Arial" w:eastAsia="Arial" w:hAnsi="Arial"/>
          <w:sz w:val="13"/>
          <w:szCs w:val="13"/>
          <w:color w:val="auto"/>
        </w:rPr>
        <w:t>”) and individual performance factor (“</w:t>
      </w:r>
      <w:r>
        <w:rPr>
          <w:rFonts w:ascii="Arial" w:cs="Arial" w:eastAsia="Arial" w:hAnsi="Arial"/>
          <w:sz w:val="13"/>
          <w:szCs w:val="13"/>
          <w:b w:val="1"/>
          <w:bCs w:val="1"/>
          <w:color w:val="auto"/>
        </w:rPr>
        <w:t>IPF</w:t>
      </w:r>
      <w:r>
        <w:rPr>
          <w:rFonts w:ascii="Arial" w:cs="Arial" w:eastAsia="Arial" w:hAnsi="Arial"/>
          <w:sz w:val="13"/>
          <w:szCs w:val="13"/>
          <w:color w:val="auto"/>
        </w:rPr>
        <w:t>”) goals and are paid in cash. Payouts can vary from 0% for performance below a threshold up to a maximum capped at 200% of the Target Award (defined below). Awards are determined in accordance with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1165860</wp:posOffset>
            </wp:positionH>
            <wp:positionV relativeFrom="paragraph">
              <wp:posOffset>73025</wp:posOffset>
            </wp:positionV>
            <wp:extent cx="3388360" cy="4489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388360" cy="448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560" w:type="dxa"/>
        <w:tblCellMar>
          <w:top w:w="0" w:type="dxa"/>
          <w:left w:w="0" w:type="dxa"/>
          <w:bottom w:w="0" w:type="dxa"/>
          <w:right w:w="0" w:type="dxa"/>
        </w:tblCellMar>
      </w:tblPr>
      <w:tr>
        <w:trPr>
          <w:trHeight w:val="200"/>
        </w:trPr>
        <w:tc>
          <w:tcPr>
            <w:tcW w:w="940" w:type="dxa"/>
            <w:vAlign w:val="bottom"/>
            <w:tcBorders>
              <w:right w:val="single" w:sz="8" w:color="auto"/>
            </w:tcBorders>
          </w:tcPr>
          <w:p>
            <w:pPr>
              <w:spacing w:after="0"/>
              <w:rPr>
                <w:sz w:val="17"/>
                <w:szCs w:val="17"/>
                <w:color w:val="auto"/>
              </w:rPr>
            </w:pPr>
          </w:p>
        </w:tc>
        <w:tc>
          <w:tcPr>
            <w:tcW w:w="14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CPF</w:t>
            </w:r>
          </w:p>
        </w:tc>
        <w:tc>
          <w:tcPr>
            <w:tcW w:w="464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The CPF is based on certain corporate financial targets established at the</w:t>
            </w:r>
          </w:p>
        </w:tc>
        <w:tc>
          <w:tcPr>
            <w:tcW w:w="920" w:type="dxa"/>
            <w:vAlign w:val="bottom"/>
          </w:tcPr>
          <w:p>
            <w:pPr>
              <w:spacing w:after="0"/>
              <w:rPr>
                <w:sz w:val="17"/>
                <w:szCs w:val="17"/>
                <w:color w:val="auto"/>
              </w:rPr>
            </w:pPr>
          </w:p>
        </w:tc>
      </w:tr>
      <w:tr>
        <w:trPr>
          <w:trHeight w:val="159"/>
        </w:trPr>
        <w:tc>
          <w:tcPr>
            <w:tcW w:w="94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464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beginning of the performance period and approved by the HRCC and can vary</w:t>
            </w:r>
          </w:p>
        </w:tc>
        <w:tc>
          <w:tcPr>
            <w:tcW w:w="920" w:type="dxa"/>
            <w:vAlign w:val="bottom"/>
          </w:tcPr>
          <w:p>
            <w:pPr>
              <w:spacing w:after="0"/>
              <w:rPr>
                <w:sz w:val="13"/>
                <w:szCs w:val="13"/>
                <w:color w:val="auto"/>
              </w:rPr>
            </w:pPr>
          </w:p>
        </w:tc>
      </w:tr>
      <w:tr>
        <w:trPr>
          <w:trHeight w:val="168"/>
        </w:trPr>
        <w:tc>
          <w:tcPr>
            <w:tcW w:w="94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464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from 0% to 200% of target.</w:t>
            </w:r>
          </w:p>
        </w:tc>
        <w:tc>
          <w:tcPr>
            <w:tcW w:w="920" w:type="dxa"/>
            <w:vAlign w:val="bottom"/>
          </w:tcPr>
          <w:p>
            <w:pPr>
              <w:spacing w:after="0"/>
              <w:rPr>
                <w:sz w:val="14"/>
                <w:szCs w:val="14"/>
                <w:color w:val="auto"/>
              </w:rPr>
            </w:pPr>
          </w:p>
        </w:tc>
      </w:tr>
      <w:tr>
        <w:trPr>
          <w:trHeight w:val="220"/>
        </w:trPr>
        <w:tc>
          <w:tcPr>
            <w:tcW w:w="94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464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w w:val="99"/>
              </w:rPr>
              <w:t>Actual results relative to the targets are used in the determination of the amount</w:t>
            </w:r>
          </w:p>
        </w:tc>
        <w:tc>
          <w:tcPr>
            <w:tcW w:w="920" w:type="dxa"/>
            <w:vAlign w:val="bottom"/>
          </w:tcPr>
          <w:p>
            <w:pPr>
              <w:spacing w:after="0"/>
              <w:rPr>
                <w:sz w:val="19"/>
                <w:szCs w:val="19"/>
                <w:color w:val="auto"/>
              </w:rPr>
            </w:pPr>
          </w:p>
        </w:tc>
      </w:tr>
      <w:tr>
        <w:trPr>
          <w:trHeight w:val="155"/>
        </w:trPr>
        <w:tc>
          <w:tcPr>
            <w:tcW w:w="94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464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of the annual incentive and are subject to the following two parameters (the</w:t>
            </w:r>
          </w:p>
        </w:tc>
        <w:tc>
          <w:tcPr>
            <w:tcW w:w="920" w:type="dxa"/>
            <w:vAlign w:val="bottom"/>
          </w:tcPr>
          <w:p>
            <w:pPr>
              <w:spacing w:after="0"/>
              <w:rPr>
                <w:sz w:val="13"/>
                <w:szCs w:val="13"/>
                <w:color w:val="auto"/>
              </w:rPr>
            </w:pPr>
          </w:p>
        </w:tc>
      </w:tr>
      <w:tr>
        <w:trPr>
          <w:trHeight w:val="172"/>
        </w:trPr>
        <w:tc>
          <w:tcPr>
            <w:tcW w:w="94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464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CTI Parameters</w:t>
            </w:r>
            <w:r>
              <w:rPr>
                <w:rFonts w:ascii="Arial" w:cs="Arial" w:eastAsia="Arial" w:hAnsi="Arial"/>
                <w:sz w:val="13"/>
                <w:szCs w:val="13"/>
                <w:color w:val="auto"/>
              </w:rPr>
              <w:t>”):</w:t>
            </w:r>
          </w:p>
        </w:tc>
        <w:tc>
          <w:tcPr>
            <w:tcW w:w="920" w:type="dxa"/>
            <w:vAlign w:val="bottom"/>
          </w:tcPr>
          <w:p>
            <w:pPr>
              <w:spacing w:after="0"/>
              <w:rPr>
                <w:sz w:val="14"/>
                <w:szCs w:val="14"/>
                <w:color w:val="auto"/>
              </w:rPr>
            </w:pPr>
          </w:p>
        </w:tc>
      </w:tr>
      <w:tr>
        <w:trPr>
          <w:trHeight w:val="220"/>
        </w:trPr>
        <w:tc>
          <w:tcPr>
            <w:tcW w:w="94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464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(1)  a minimum corporate profitability requirement must be achieved for the</w:t>
            </w:r>
          </w:p>
        </w:tc>
        <w:tc>
          <w:tcPr>
            <w:tcW w:w="920" w:type="dxa"/>
            <w:vAlign w:val="bottom"/>
          </w:tcPr>
          <w:p>
            <w:pPr>
              <w:spacing w:after="0"/>
              <w:rPr>
                <w:sz w:val="19"/>
                <w:szCs w:val="19"/>
                <w:color w:val="auto"/>
              </w:rPr>
            </w:pPr>
          </w:p>
        </w:tc>
      </w:tr>
      <w:tr>
        <w:trPr>
          <w:trHeight w:val="168"/>
        </w:trPr>
        <w:tc>
          <w:tcPr>
            <w:tcW w:w="94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4640" w:type="dxa"/>
            <w:vAlign w:val="bottom"/>
            <w:tcBorders>
              <w:right w:val="single" w:sz="8" w:color="auto"/>
            </w:tcBorders>
          </w:tcPr>
          <w:p>
            <w:pPr>
              <w:ind w:left="320"/>
              <w:spacing w:after="0"/>
              <w:rPr>
                <w:sz w:val="20"/>
                <w:szCs w:val="20"/>
                <w:color w:val="auto"/>
              </w:rPr>
            </w:pPr>
            <w:r>
              <w:rPr>
                <w:rFonts w:ascii="Arial" w:cs="Arial" w:eastAsia="Arial" w:hAnsi="Arial"/>
                <w:sz w:val="13"/>
                <w:szCs w:val="13"/>
                <w:color w:val="auto"/>
              </w:rPr>
              <w:t>CPF to exceed zero; and</w:t>
            </w:r>
          </w:p>
        </w:tc>
        <w:tc>
          <w:tcPr>
            <w:tcW w:w="920" w:type="dxa"/>
            <w:vAlign w:val="bottom"/>
          </w:tcPr>
          <w:p>
            <w:pPr>
              <w:spacing w:after="0"/>
              <w:rPr>
                <w:sz w:val="14"/>
                <w:szCs w:val="14"/>
                <w:color w:val="auto"/>
              </w:rPr>
            </w:pPr>
          </w:p>
        </w:tc>
      </w:tr>
      <w:tr>
        <w:trPr>
          <w:trHeight w:val="210"/>
        </w:trPr>
        <w:tc>
          <w:tcPr>
            <w:tcW w:w="9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464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(2)  target non-IFRS operating margin must be achieved for other measures</w:t>
            </w:r>
          </w:p>
        </w:tc>
        <w:tc>
          <w:tcPr>
            <w:tcW w:w="920" w:type="dxa"/>
            <w:vAlign w:val="bottom"/>
          </w:tcPr>
          <w:p>
            <w:pPr>
              <w:spacing w:after="0"/>
              <w:rPr>
                <w:sz w:val="18"/>
                <w:szCs w:val="18"/>
                <w:color w:val="auto"/>
              </w:rPr>
            </w:pPr>
          </w:p>
        </w:tc>
      </w:tr>
      <w:tr>
        <w:trPr>
          <w:trHeight w:val="168"/>
        </w:trPr>
        <w:tc>
          <w:tcPr>
            <w:tcW w:w="94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4640" w:type="dxa"/>
            <w:vAlign w:val="bottom"/>
            <w:tcBorders>
              <w:right w:val="single" w:sz="8" w:color="auto"/>
            </w:tcBorders>
          </w:tcPr>
          <w:p>
            <w:pPr>
              <w:ind w:left="320"/>
              <w:spacing w:after="0"/>
              <w:rPr>
                <w:sz w:val="20"/>
                <w:szCs w:val="20"/>
                <w:color w:val="auto"/>
              </w:rPr>
            </w:pPr>
            <w:r>
              <w:rPr>
                <w:rFonts w:ascii="Arial" w:cs="Arial" w:eastAsia="Arial" w:hAnsi="Arial"/>
                <w:sz w:val="13"/>
                <w:szCs w:val="13"/>
                <w:color w:val="auto"/>
              </w:rPr>
              <w:t>under the CPF to pay above target.</w:t>
            </w:r>
          </w:p>
        </w:tc>
        <w:tc>
          <w:tcPr>
            <w:tcW w:w="920" w:type="dxa"/>
            <w:vAlign w:val="bottom"/>
          </w:tcPr>
          <w:p>
            <w:pPr>
              <w:spacing w:after="0"/>
              <w:rPr>
                <w:sz w:val="14"/>
                <w:szCs w:val="14"/>
                <w:color w:val="auto"/>
              </w:rPr>
            </w:pPr>
          </w:p>
        </w:tc>
      </w:tr>
      <w:tr>
        <w:trPr>
          <w:trHeight w:val="220"/>
        </w:trPr>
        <w:tc>
          <w:tcPr>
            <w:tcW w:w="94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464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w w:val="98"/>
              </w:rPr>
              <w:t>The CTI Parameters are set in addition to the CPF thresholds in order to ensure</w:t>
            </w:r>
          </w:p>
        </w:tc>
        <w:tc>
          <w:tcPr>
            <w:tcW w:w="920" w:type="dxa"/>
            <w:vAlign w:val="bottom"/>
          </w:tcPr>
          <w:p>
            <w:pPr>
              <w:spacing w:after="0"/>
              <w:rPr>
                <w:sz w:val="19"/>
                <w:szCs w:val="19"/>
                <w:color w:val="auto"/>
              </w:rPr>
            </w:pPr>
          </w:p>
        </w:tc>
      </w:tr>
      <w:tr>
        <w:trPr>
          <w:trHeight w:val="168"/>
        </w:trPr>
        <w:tc>
          <w:tcPr>
            <w:tcW w:w="94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464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challenging limits reflective of our current business environment.</w:t>
            </w:r>
          </w:p>
        </w:tc>
        <w:tc>
          <w:tcPr>
            <w:tcW w:w="920" w:type="dxa"/>
            <w:vAlign w:val="bottom"/>
          </w:tcPr>
          <w:p>
            <w:pPr>
              <w:spacing w:after="0"/>
              <w:rPr>
                <w:sz w:val="14"/>
                <w:szCs w:val="14"/>
                <w:color w:val="auto"/>
              </w:rPr>
            </w:pPr>
          </w:p>
        </w:tc>
      </w:tr>
      <w:tr>
        <w:trPr>
          <w:trHeight w:val="220"/>
        </w:trPr>
        <w:tc>
          <w:tcPr>
            <w:tcW w:w="94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464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The CPF must be greater than zero for an executive to be entitled to any CTI</w:t>
            </w:r>
          </w:p>
        </w:tc>
        <w:tc>
          <w:tcPr>
            <w:tcW w:w="920" w:type="dxa"/>
            <w:vAlign w:val="bottom"/>
          </w:tcPr>
          <w:p>
            <w:pPr>
              <w:spacing w:after="0"/>
              <w:rPr>
                <w:sz w:val="19"/>
                <w:szCs w:val="19"/>
                <w:color w:val="auto"/>
              </w:rPr>
            </w:pPr>
          </w:p>
        </w:tc>
      </w:tr>
      <w:tr>
        <w:trPr>
          <w:trHeight w:val="168"/>
        </w:trPr>
        <w:tc>
          <w:tcPr>
            <w:tcW w:w="94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464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payment.</w:t>
            </w:r>
          </w:p>
        </w:tc>
        <w:tc>
          <w:tcPr>
            <w:tcW w:w="920" w:type="dxa"/>
            <w:vAlign w:val="bottom"/>
          </w:tcPr>
          <w:p>
            <w:pPr>
              <w:spacing w:after="0"/>
              <w:rPr>
                <w:sz w:val="14"/>
                <w:szCs w:val="14"/>
                <w:color w:val="auto"/>
              </w:rPr>
            </w:pPr>
          </w:p>
        </w:tc>
      </w:tr>
      <w:tr>
        <w:trPr>
          <w:trHeight w:val="40"/>
        </w:trPr>
        <w:tc>
          <w:tcPr>
            <w:tcW w:w="940" w:type="dxa"/>
            <w:vAlign w:val="bottom"/>
            <w:tcBorders>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4640" w:type="dxa"/>
            <w:vAlign w:val="bottom"/>
            <w:tcBorders>
              <w:bottom w:val="single" w:sz="8" w:color="auto"/>
              <w:right w:val="single" w:sz="8" w:color="auto"/>
            </w:tcBorders>
          </w:tcPr>
          <w:p>
            <w:pPr>
              <w:spacing w:after="0"/>
              <w:rPr>
                <w:sz w:val="3"/>
                <w:szCs w:val="3"/>
                <w:color w:val="auto"/>
              </w:rPr>
            </w:pPr>
          </w:p>
        </w:tc>
        <w:tc>
          <w:tcPr>
            <w:tcW w:w="920" w:type="dxa"/>
            <w:vAlign w:val="bottom"/>
          </w:tcPr>
          <w:p>
            <w:pPr>
              <w:spacing w:after="0"/>
              <w:rPr>
                <w:sz w:val="3"/>
                <w:szCs w:val="3"/>
                <w:color w:val="auto"/>
              </w:rPr>
            </w:pPr>
          </w:p>
        </w:tc>
      </w:tr>
      <w:tr>
        <w:trPr>
          <w:trHeight w:val="150"/>
        </w:trPr>
        <w:tc>
          <w:tcPr>
            <w:tcW w:w="94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rPr>
              <w:t>IPF</w:t>
            </w:r>
          </w:p>
        </w:tc>
        <w:tc>
          <w:tcPr>
            <w:tcW w:w="464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Individual contribution is recognized through the IPF component of the CTI.</w:t>
            </w:r>
          </w:p>
        </w:tc>
        <w:tc>
          <w:tcPr>
            <w:tcW w:w="920" w:type="dxa"/>
            <w:vAlign w:val="bottom"/>
          </w:tcPr>
          <w:p>
            <w:pPr>
              <w:spacing w:after="0"/>
              <w:rPr>
                <w:sz w:val="13"/>
                <w:szCs w:val="13"/>
                <w:color w:val="auto"/>
              </w:rPr>
            </w:pPr>
          </w:p>
        </w:tc>
      </w:tr>
      <w:tr>
        <w:trPr>
          <w:trHeight w:val="159"/>
        </w:trPr>
        <w:tc>
          <w:tcPr>
            <w:tcW w:w="94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464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The IPF is determined through the annual performance review process and is</w:t>
            </w:r>
          </w:p>
        </w:tc>
        <w:tc>
          <w:tcPr>
            <w:tcW w:w="920" w:type="dxa"/>
            <w:vAlign w:val="bottom"/>
          </w:tcPr>
          <w:p>
            <w:pPr>
              <w:spacing w:after="0"/>
              <w:rPr>
                <w:sz w:val="13"/>
                <w:szCs w:val="13"/>
                <w:color w:val="auto"/>
              </w:rPr>
            </w:pPr>
          </w:p>
        </w:tc>
      </w:tr>
      <w:tr>
        <w:trPr>
          <w:trHeight w:val="159"/>
        </w:trPr>
        <w:tc>
          <w:tcPr>
            <w:tcW w:w="94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464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based on an evaluation of the NEO’s performance measured against specific</w:t>
            </w:r>
          </w:p>
        </w:tc>
        <w:tc>
          <w:tcPr>
            <w:tcW w:w="920" w:type="dxa"/>
            <w:vAlign w:val="bottom"/>
          </w:tcPr>
          <w:p>
            <w:pPr>
              <w:spacing w:after="0"/>
              <w:rPr>
                <w:sz w:val="13"/>
                <w:szCs w:val="13"/>
                <w:color w:val="auto"/>
              </w:rPr>
            </w:pPr>
          </w:p>
        </w:tc>
      </w:tr>
      <w:tr>
        <w:trPr>
          <w:trHeight w:val="159"/>
        </w:trPr>
        <w:tc>
          <w:tcPr>
            <w:tcW w:w="94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464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criteria established at the beginning of each year. The criteria may include</w:t>
            </w:r>
          </w:p>
        </w:tc>
        <w:tc>
          <w:tcPr>
            <w:tcW w:w="920" w:type="dxa"/>
            <w:vAlign w:val="bottom"/>
          </w:tcPr>
          <w:p>
            <w:pPr>
              <w:spacing w:after="0"/>
              <w:rPr>
                <w:sz w:val="13"/>
                <w:szCs w:val="13"/>
                <w:color w:val="auto"/>
              </w:rPr>
            </w:pPr>
          </w:p>
        </w:tc>
      </w:tr>
      <w:tr>
        <w:trPr>
          <w:trHeight w:val="159"/>
        </w:trPr>
        <w:tc>
          <w:tcPr>
            <w:tcW w:w="94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464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factors such as the NEO’s individual performance relative to segment or</w:t>
            </w:r>
          </w:p>
        </w:tc>
        <w:tc>
          <w:tcPr>
            <w:tcW w:w="920" w:type="dxa"/>
            <w:vAlign w:val="bottom"/>
          </w:tcPr>
          <w:p>
            <w:pPr>
              <w:spacing w:after="0"/>
              <w:rPr>
                <w:sz w:val="13"/>
                <w:szCs w:val="13"/>
                <w:color w:val="auto"/>
              </w:rPr>
            </w:pPr>
          </w:p>
        </w:tc>
      </w:tr>
      <w:tr>
        <w:trPr>
          <w:trHeight w:val="159"/>
        </w:trPr>
        <w:tc>
          <w:tcPr>
            <w:tcW w:w="94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464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company business results, teamwork, scope of responsibilities and the</w:t>
            </w:r>
          </w:p>
        </w:tc>
        <w:tc>
          <w:tcPr>
            <w:tcW w:w="920" w:type="dxa"/>
            <w:vAlign w:val="bottom"/>
          </w:tcPr>
          <w:p>
            <w:pPr>
              <w:spacing w:after="0"/>
              <w:rPr>
                <w:sz w:val="13"/>
                <w:szCs w:val="13"/>
                <w:color w:val="auto"/>
              </w:rPr>
            </w:pPr>
          </w:p>
        </w:tc>
      </w:tr>
      <w:tr>
        <w:trPr>
          <w:trHeight w:val="159"/>
        </w:trPr>
        <w:tc>
          <w:tcPr>
            <w:tcW w:w="94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464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w w:val="98"/>
              </w:rPr>
              <w:t>executive’s key accomplishments. The IPF can increase an NEO’s CTI award by</w:t>
            </w:r>
          </w:p>
        </w:tc>
        <w:tc>
          <w:tcPr>
            <w:tcW w:w="920" w:type="dxa"/>
            <w:vAlign w:val="bottom"/>
          </w:tcPr>
          <w:p>
            <w:pPr>
              <w:spacing w:after="0"/>
              <w:rPr>
                <w:sz w:val="13"/>
                <w:szCs w:val="13"/>
                <w:color w:val="auto"/>
              </w:rPr>
            </w:pPr>
          </w:p>
        </w:tc>
      </w:tr>
      <w:tr>
        <w:trPr>
          <w:trHeight w:val="159"/>
        </w:trPr>
        <w:tc>
          <w:tcPr>
            <w:tcW w:w="94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464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 factor of up to 1.5x or reduce an NEO’s CTI award to zero depending on</w:t>
            </w:r>
          </w:p>
        </w:tc>
        <w:tc>
          <w:tcPr>
            <w:tcW w:w="920" w:type="dxa"/>
            <w:vAlign w:val="bottom"/>
          </w:tcPr>
          <w:p>
            <w:pPr>
              <w:spacing w:after="0"/>
              <w:rPr>
                <w:sz w:val="13"/>
                <w:szCs w:val="13"/>
                <w:color w:val="auto"/>
              </w:rPr>
            </w:pPr>
          </w:p>
        </w:tc>
      </w:tr>
      <w:tr>
        <w:trPr>
          <w:trHeight w:val="159"/>
        </w:trPr>
        <w:tc>
          <w:tcPr>
            <w:tcW w:w="94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464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individual performance. An IPF of less than 1.0 will result in a reduction of the</w:t>
            </w:r>
          </w:p>
        </w:tc>
        <w:tc>
          <w:tcPr>
            <w:tcW w:w="920" w:type="dxa"/>
            <w:vAlign w:val="bottom"/>
          </w:tcPr>
          <w:p>
            <w:pPr>
              <w:spacing w:after="0"/>
              <w:rPr>
                <w:sz w:val="13"/>
                <w:szCs w:val="13"/>
                <w:color w:val="auto"/>
              </w:rPr>
            </w:pPr>
          </w:p>
        </w:tc>
      </w:tr>
      <w:tr>
        <w:trPr>
          <w:trHeight w:val="178"/>
        </w:trPr>
        <w:tc>
          <w:tcPr>
            <w:tcW w:w="940" w:type="dxa"/>
            <w:vAlign w:val="bottom"/>
            <w:tcBorders>
              <w:right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spacing w:after="0"/>
              <w:rPr>
                <w:sz w:val="15"/>
                <w:szCs w:val="15"/>
                <w:color w:val="auto"/>
              </w:rPr>
            </w:pPr>
          </w:p>
        </w:tc>
        <w:tc>
          <w:tcPr>
            <w:tcW w:w="4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CTI award otherwise payable.</w:t>
            </w:r>
          </w:p>
        </w:tc>
        <w:tc>
          <w:tcPr>
            <w:tcW w:w="920" w:type="dxa"/>
            <w:vAlign w:val="bottom"/>
          </w:tcPr>
          <w:p>
            <w:pPr>
              <w:spacing w:after="0"/>
              <w:rPr>
                <w:sz w:val="15"/>
                <w:szCs w:val="15"/>
                <w:color w:val="auto"/>
              </w:rPr>
            </w:pPr>
          </w:p>
        </w:tc>
      </w:tr>
      <w:tr>
        <w:trPr>
          <w:trHeight w:val="160"/>
        </w:trPr>
        <w:tc>
          <w:tcPr>
            <w:tcW w:w="94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rPr>
              <w:t>Target Award</w:t>
            </w:r>
          </w:p>
        </w:tc>
        <w:tc>
          <w:tcPr>
            <w:tcW w:w="464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The target award is calculated as each NEO’s Eligible Earnings (</w:t>
            </w:r>
            <w:r>
              <w:rPr>
                <w:rFonts w:ascii="Arial" w:cs="Arial" w:eastAsia="Arial" w:hAnsi="Arial"/>
                <w:sz w:val="13"/>
                <w:szCs w:val="13"/>
                <w:i w:val="1"/>
                <w:iCs w:val="1"/>
                <w:color w:val="auto"/>
              </w:rPr>
              <w:t>i.e.</w:t>
            </w:r>
            <w:r>
              <w:rPr>
                <w:rFonts w:ascii="Arial" w:cs="Arial" w:eastAsia="Arial" w:hAnsi="Arial"/>
                <w:sz w:val="13"/>
                <w:szCs w:val="13"/>
                <w:color w:val="auto"/>
              </w:rPr>
              <w:t>, base</w:t>
            </w:r>
          </w:p>
        </w:tc>
        <w:tc>
          <w:tcPr>
            <w:tcW w:w="920" w:type="dxa"/>
            <w:vAlign w:val="bottom"/>
          </w:tcPr>
          <w:p>
            <w:pPr>
              <w:spacing w:after="0"/>
              <w:rPr>
                <w:sz w:val="13"/>
                <w:szCs w:val="13"/>
                <w:color w:val="auto"/>
              </w:rPr>
            </w:pPr>
          </w:p>
        </w:tc>
      </w:tr>
      <w:tr>
        <w:trPr>
          <w:trHeight w:val="155"/>
        </w:trPr>
        <w:tc>
          <w:tcPr>
            <w:tcW w:w="94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464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salary) multiplied by the Target Incentive (expressed as a percentage of base</w:t>
            </w:r>
          </w:p>
        </w:tc>
        <w:tc>
          <w:tcPr>
            <w:tcW w:w="920" w:type="dxa"/>
            <w:vAlign w:val="bottom"/>
          </w:tcPr>
          <w:p>
            <w:pPr>
              <w:spacing w:after="0"/>
              <w:rPr>
                <w:sz w:val="13"/>
                <w:szCs w:val="13"/>
                <w:color w:val="auto"/>
              </w:rPr>
            </w:pPr>
          </w:p>
        </w:tc>
      </w:tr>
      <w:tr>
        <w:trPr>
          <w:trHeight w:val="182"/>
        </w:trPr>
        <w:tc>
          <w:tcPr>
            <w:tcW w:w="940" w:type="dxa"/>
            <w:vAlign w:val="bottom"/>
            <w:tcBorders>
              <w:right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spacing w:after="0"/>
              <w:rPr>
                <w:sz w:val="15"/>
                <w:szCs w:val="15"/>
                <w:color w:val="auto"/>
              </w:rPr>
            </w:pPr>
          </w:p>
        </w:tc>
        <w:tc>
          <w:tcPr>
            <w:tcW w:w="4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salary in the applicable plan year) (the “</w:t>
            </w:r>
            <w:r>
              <w:rPr>
                <w:rFonts w:ascii="Arial" w:cs="Arial" w:eastAsia="Arial" w:hAnsi="Arial"/>
                <w:sz w:val="13"/>
                <w:szCs w:val="13"/>
                <w:b w:val="1"/>
                <w:bCs w:val="1"/>
                <w:color w:val="auto"/>
              </w:rPr>
              <w:t>Target Award</w:t>
            </w:r>
            <w:r>
              <w:rPr>
                <w:rFonts w:ascii="Arial" w:cs="Arial" w:eastAsia="Arial" w:hAnsi="Arial"/>
                <w:sz w:val="13"/>
                <w:szCs w:val="13"/>
                <w:color w:val="auto"/>
              </w:rPr>
              <w:t>”).</w:t>
            </w:r>
          </w:p>
        </w:tc>
        <w:tc>
          <w:tcPr>
            <w:tcW w:w="920" w:type="dxa"/>
            <w:vAlign w:val="bottom"/>
          </w:tcPr>
          <w:p>
            <w:pPr>
              <w:spacing w:after="0"/>
              <w:rPr>
                <w:sz w:val="15"/>
                <w:szCs w:val="15"/>
                <w:color w:val="auto"/>
              </w:rPr>
            </w:pPr>
          </w:p>
        </w:tc>
      </w:tr>
      <w:tr>
        <w:trPr>
          <w:trHeight w:val="160"/>
        </w:trPr>
        <w:tc>
          <w:tcPr>
            <w:tcW w:w="94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rPr>
              <w:t>Maximum Award</w:t>
            </w:r>
          </w:p>
        </w:tc>
        <w:tc>
          <w:tcPr>
            <w:tcW w:w="464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All awards are subject to an overall maximum CTI payment of two times the</w:t>
            </w:r>
          </w:p>
        </w:tc>
        <w:tc>
          <w:tcPr>
            <w:tcW w:w="920" w:type="dxa"/>
            <w:vAlign w:val="bottom"/>
          </w:tcPr>
          <w:p>
            <w:pPr>
              <w:spacing w:after="0"/>
              <w:rPr>
                <w:sz w:val="13"/>
                <w:szCs w:val="13"/>
                <w:color w:val="auto"/>
              </w:rPr>
            </w:pPr>
          </w:p>
        </w:tc>
      </w:tr>
      <w:tr>
        <w:trPr>
          <w:trHeight w:val="178"/>
        </w:trPr>
        <w:tc>
          <w:tcPr>
            <w:tcW w:w="940" w:type="dxa"/>
            <w:vAlign w:val="bottom"/>
            <w:tcBorders>
              <w:right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spacing w:after="0"/>
              <w:rPr>
                <w:sz w:val="15"/>
                <w:szCs w:val="15"/>
                <w:color w:val="auto"/>
              </w:rPr>
            </w:pPr>
          </w:p>
        </w:tc>
        <w:tc>
          <w:tcPr>
            <w:tcW w:w="4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Target Award.</w:t>
            </w:r>
          </w:p>
        </w:tc>
        <w:tc>
          <w:tcPr>
            <w:tcW w:w="920" w:type="dxa"/>
            <w:vAlign w:val="bottom"/>
          </w:tcPr>
          <w:p>
            <w:pPr>
              <w:spacing w:after="0"/>
              <w:rPr>
                <w:sz w:val="15"/>
                <w:szCs w:val="15"/>
                <w:color w:val="auto"/>
              </w:rPr>
            </w:pPr>
          </w:p>
        </w:tc>
      </w:tr>
      <w:tr>
        <w:trPr>
          <w:trHeight w:val="468"/>
        </w:trPr>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40" w:type="dxa"/>
            <w:vAlign w:val="bottom"/>
          </w:tcPr>
          <w:p>
            <w:pPr>
              <w:ind w:left="1520"/>
              <w:spacing w:after="0"/>
              <w:rPr>
                <w:sz w:val="20"/>
                <w:szCs w:val="20"/>
                <w:color w:val="auto"/>
              </w:rPr>
            </w:pPr>
            <w:r>
              <w:rPr>
                <w:rFonts w:ascii="Arial" w:cs="Arial" w:eastAsia="Arial" w:hAnsi="Arial"/>
                <w:sz w:val="13"/>
                <w:szCs w:val="13"/>
                <w:color w:val="auto"/>
              </w:rPr>
              <w:t>51</w:t>
            </w:r>
          </w:p>
        </w:tc>
        <w:tc>
          <w:tcPr>
            <w:tcW w:w="920" w:type="dxa"/>
            <w:vAlign w:val="bottom"/>
          </w:tcPr>
          <w:p>
            <w:pPr>
              <w:spacing w:after="0"/>
              <w:rPr>
                <w:sz w:val="24"/>
                <w:szCs w:val="24"/>
                <w:color w:val="auto"/>
              </w:rPr>
            </w:pPr>
          </w:p>
        </w:tc>
      </w:tr>
      <w:tr>
        <w:trPr>
          <w:trHeight w:val="289"/>
        </w:trPr>
        <w:tc>
          <w:tcPr>
            <w:tcW w:w="9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5363210</wp:posOffset>
            </wp:positionH>
            <wp:positionV relativeFrom="paragraph">
              <wp:posOffset>-5715</wp:posOffset>
            </wp:positionV>
            <wp:extent cx="6350" cy="63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350520</wp:posOffset>
            </wp:positionH>
            <wp:positionV relativeFrom="paragraph">
              <wp:posOffset>-12065</wp:posOffset>
            </wp:positionV>
            <wp:extent cx="6350" cy="127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35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0" w:name="page61"/>
    <w:bookmarkEnd w:id="60"/>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72"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auto"/>
        </w:rPr>
        <w:t>Equity-Based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38100</wp:posOffset>
            </wp:positionV>
            <wp:extent cx="3502025" cy="63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502025" cy="6350"/>
                    </a:xfrm>
                    <a:prstGeom prst="rect">
                      <a:avLst/>
                    </a:prstGeom>
                    <a:noFill/>
                  </pic:spPr>
                </pic:pic>
              </a:graphicData>
            </a:graphic>
          </wp:anchor>
        </w:drawing>
      </w:r>
    </w:p>
    <w:p>
      <w:pPr>
        <w:spacing w:after="0" w:line="111" w:lineRule="exact"/>
        <w:rPr>
          <w:sz w:val="20"/>
          <w:szCs w:val="20"/>
          <w:color w:val="auto"/>
        </w:rPr>
      </w:pPr>
    </w:p>
    <w:p>
      <w:pPr>
        <w:ind w:left="1480" w:right="1499"/>
        <w:spacing w:after="0" w:line="269" w:lineRule="auto"/>
        <w:rPr>
          <w:sz w:val="20"/>
          <w:szCs w:val="20"/>
          <w:color w:val="auto"/>
        </w:rPr>
      </w:pPr>
      <w:r>
        <w:rPr>
          <w:rFonts w:ascii="Arial" w:cs="Arial" w:eastAsia="Arial" w:hAnsi="Arial"/>
          <w:sz w:val="13"/>
          <w:szCs w:val="13"/>
          <w:color w:val="auto"/>
        </w:rPr>
        <w:t>The Corporation’s equity- based incentives for the NEOs consist of RSUs, PSUs and/or stock options. The objectives of equity-based compensation are to:</w:t>
      </w:r>
    </w:p>
    <w:p>
      <w:pPr>
        <w:spacing w:after="0" w:line="43" w:lineRule="exact"/>
        <w:rPr>
          <w:sz w:val="20"/>
          <w:szCs w:val="20"/>
          <w:color w:val="auto"/>
        </w:rPr>
      </w:pPr>
    </w:p>
    <w:p>
      <w:pPr>
        <w:ind w:left="1880" w:right="1499" w:hanging="137"/>
        <w:spacing w:after="0" w:line="285" w:lineRule="auto"/>
        <w:tabs>
          <w:tab w:leader="none" w:pos="18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align the NEOs’ interests with those of shareholders and incent appropriate behaviour for long-term performance;</w:t>
      </w:r>
    </w:p>
    <w:p>
      <w:pPr>
        <w:spacing w:after="0" w:line="43" w:lineRule="exact"/>
        <w:rPr>
          <w:rFonts w:ascii="Arial" w:cs="Arial" w:eastAsia="Arial" w:hAnsi="Arial"/>
          <w:sz w:val="13"/>
          <w:szCs w:val="13"/>
          <w:color w:val="auto"/>
        </w:rPr>
      </w:pPr>
    </w:p>
    <w:p>
      <w:pPr>
        <w:ind w:left="1880" w:hanging="137"/>
        <w:spacing w:after="0"/>
        <w:tabs>
          <w:tab w:leader="none" w:pos="18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reward the NEOs’ contributions to the Corporation’s long-term success; and</w:t>
      </w:r>
    </w:p>
    <w:p>
      <w:pPr>
        <w:spacing w:after="0" w:line="89" w:lineRule="exact"/>
        <w:rPr>
          <w:rFonts w:ascii="Arial" w:cs="Arial" w:eastAsia="Arial" w:hAnsi="Arial"/>
          <w:sz w:val="13"/>
          <w:szCs w:val="13"/>
          <w:color w:val="auto"/>
        </w:rPr>
      </w:pPr>
    </w:p>
    <w:p>
      <w:pPr>
        <w:ind w:left="1880" w:hanging="137"/>
        <w:spacing w:after="0"/>
        <w:tabs>
          <w:tab w:leader="none" w:pos="18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enable the Corporation to attract, motivate and retain qualified and experienced employees.</w:t>
      </w:r>
    </w:p>
    <w:p>
      <w:pPr>
        <w:spacing w:after="0" w:line="89" w:lineRule="exact"/>
        <w:rPr>
          <w:sz w:val="20"/>
          <w:szCs w:val="20"/>
          <w:color w:val="auto"/>
        </w:rPr>
      </w:pPr>
    </w:p>
    <w:p>
      <w:pPr>
        <w:jc w:val="both"/>
        <w:ind w:left="1480" w:right="1499"/>
        <w:spacing w:after="0" w:line="268" w:lineRule="auto"/>
        <w:rPr>
          <w:sz w:val="20"/>
          <w:szCs w:val="20"/>
          <w:color w:val="auto"/>
        </w:rPr>
      </w:pPr>
      <w:r>
        <w:rPr>
          <w:rFonts w:ascii="Arial" w:cs="Arial" w:eastAsia="Arial" w:hAnsi="Arial"/>
          <w:sz w:val="12"/>
          <w:szCs w:val="12"/>
          <w:color w:val="auto"/>
        </w:rPr>
        <w:t>At the January meeting, the HRCC determines the dollar value and mix of the equity-based grants to be awarded to the NEOs, if any. On the grant date, the dollar value is converted into the number of units that will be granted using the closing price of the SVS on the day prior to the grant date. The annual grants are made following the blackout period that ends not less than 48 hours after the Corporation’s year- end results have been released. The mix of equity-based incentives is reviewed and approved by the HRCC each year, and is based on factors including competitive grant practices, balance between performance incentive and retention value, and the effectiveness of each equity vehicle for motivating and retaining critical leaders.</w:t>
      </w:r>
    </w:p>
    <w:p>
      <w:pPr>
        <w:spacing w:after="0" w:line="46" w:lineRule="exact"/>
        <w:rPr>
          <w:sz w:val="20"/>
          <w:szCs w:val="20"/>
          <w:color w:val="auto"/>
        </w:rPr>
      </w:pPr>
    </w:p>
    <w:p>
      <w:pPr>
        <w:jc w:val="both"/>
        <w:ind w:left="1480" w:right="1499"/>
        <w:spacing w:after="0" w:line="265" w:lineRule="auto"/>
        <w:rPr>
          <w:sz w:val="20"/>
          <w:szCs w:val="20"/>
          <w:color w:val="auto"/>
        </w:rPr>
      </w:pPr>
      <w:r>
        <w:rPr>
          <w:rFonts w:ascii="Arial" w:cs="Arial" w:eastAsia="Arial" w:hAnsi="Arial"/>
          <w:sz w:val="12"/>
          <w:szCs w:val="12"/>
          <w:color w:val="auto"/>
        </w:rPr>
        <w:t>Target equity-based incentives are determined using a variety of factors, including, the median awards of the Comparator Group as well as individual performance, experience and anticipated contribution to the Corporation’s strategy. In establishing the grant value of the annual equity awards for each of the NEOs, we start by assessing the median total target direct compensation of the equivalent position at companies in the Comparator Group. This data is then compared over a number of years for additional context and market trends. The HRCC also considers individual performance, the need to retain experienced and talented leaders to execute the Corporation’s business strategies and the executive’s potential to contribute to long-term shareholder value. Also considered are the executive’s role and responsibilities, internal equity and the level of previous long-term incentive awards. Once all of these factors are taken into consideration, the grant value of the annual equity-based awards for the NEOs is set.</w:t>
      </w:r>
    </w:p>
    <w:p>
      <w:pPr>
        <w:spacing w:after="0" w:line="49" w:lineRule="exact"/>
        <w:rPr>
          <w:sz w:val="20"/>
          <w:szCs w:val="20"/>
          <w:color w:val="auto"/>
        </w:rPr>
      </w:pPr>
    </w:p>
    <w:p>
      <w:pPr>
        <w:jc w:val="both"/>
        <w:ind w:left="1480" w:right="1499"/>
        <w:spacing w:after="0" w:line="247" w:lineRule="auto"/>
        <w:rPr>
          <w:sz w:val="20"/>
          <w:szCs w:val="20"/>
          <w:color w:val="auto"/>
        </w:rPr>
      </w:pPr>
      <w:r>
        <w:rPr>
          <w:rFonts w:ascii="Arial" w:cs="Arial" w:eastAsia="Arial" w:hAnsi="Arial"/>
          <w:sz w:val="13"/>
          <w:szCs w:val="13"/>
          <w:color w:val="auto"/>
        </w:rPr>
        <w:t xml:space="preserve">In addition to the annual equity grants, management may award equity-based incentives in order to attract new executive hires and to retain current executives in special circumstances. Such grants are reviewed in advance with the Chairs of the Board and HRCC, and are subject to ratification by the HRCC. No such grants were made to NEOs in 2020, with the exception of a one -time award to Mr. Phillips of 44,994 PSUs — see </w:t>
      </w:r>
      <w:r>
        <w:rPr>
          <w:rFonts w:ascii="Arial" w:cs="Arial" w:eastAsia="Arial" w:hAnsi="Arial"/>
          <w:sz w:val="13"/>
          <w:szCs w:val="13"/>
          <w:i w:val="1"/>
          <w:iCs w:val="1"/>
          <w:color w:val="auto"/>
        </w:rPr>
        <w:t>2020 Compensation Decisions</w:t>
      </w:r>
      <w:r>
        <w:rPr>
          <w:rFonts w:ascii="Arial" w:cs="Arial" w:eastAsia="Arial" w:hAnsi="Arial"/>
          <w:sz w:val="13"/>
          <w:szCs w:val="13"/>
          <w:color w:val="auto"/>
        </w:rPr>
        <w:t xml:space="preserve"> below for a description of this award.</w:t>
      </w:r>
    </w:p>
    <w:p>
      <w:pPr>
        <w:spacing w:after="0" w:line="135" w:lineRule="exact"/>
        <w:rPr>
          <w:sz w:val="20"/>
          <w:szCs w:val="20"/>
          <w:color w:val="auto"/>
        </w:rPr>
      </w:pPr>
    </w:p>
    <w:p>
      <w:pPr>
        <w:ind w:left="1740"/>
        <w:spacing w:after="0"/>
        <w:rPr>
          <w:sz w:val="20"/>
          <w:szCs w:val="20"/>
          <w:color w:val="auto"/>
        </w:rPr>
      </w:pPr>
      <w:r>
        <w:rPr>
          <w:rFonts w:ascii="Arial" w:cs="Arial" w:eastAsia="Arial" w:hAnsi="Arial"/>
          <w:sz w:val="15"/>
          <w:szCs w:val="15"/>
          <w:b w:val="1"/>
          <w:bCs w:val="1"/>
          <w:u w:val="single" w:color="auto"/>
          <w:color w:val="auto"/>
        </w:rPr>
        <w:t>RSUs</w:t>
      </w:r>
    </w:p>
    <w:p>
      <w:pPr>
        <w:spacing w:after="0" w:line="168" w:lineRule="exact"/>
        <w:rPr>
          <w:sz w:val="20"/>
          <w:szCs w:val="20"/>
          <w:color w:val="auto"/>
        </w:rPr>
      </w:pPr>
    </w:p>
    <w:p>
      <w:pPr>
        <w:jc w:val="both"/>
        <w:ind w:left="1480" w:right="1499"/>
        <w:spacing w:after="0" w:line="265" w:lineRule="auto"/>
        <w:rPr>
          <w:sz w:val="20"/>
          <w:szCs w:val="20"/>
          <w:color w:val="auto"/>
        </w:rPr>
      </w:pPr>
      <w:r>
        <w:rPr>
          <w:rFonts w:ascii="Arial" w:cs="Arial" w:eastAsia="Arial" w:hAnsi="Arial"/>
          <w:sz w:val="12"/>
          <w:szCs w:val="12"/>
          <w:color w:val="auto"/>
        </w:rPr>
        <w:t xml:space="preserve">NEOs may be granted RSUs under either the LTIP or the CSUP as part of the Corporation’s annual equity grant. Such awards may be subject to vesting requirements, including time-based or other conditions as may be determined by the HRCC in its discretion. RSUs granted by the Corporation generally vest in instalments of one-third per year, over three years, based on continued employment with the Corporation. The payout value of the award is based on the number of RSUs being released and the market price of the SVS at the time of release. The Corporation has the right under the CSUP to settle RSUs in either cash or SVS. Under the LTIP, the Corporation may, at the time of grant, authorize grantees to settle vested RSUs either in cash or in SVS (on a one-for- one basis). Absent such permitted election, grants under the LTIP will be settled in SVS. If the Corporation has authorized a settlement in SVS or cash, the holder can choose which of these the holder receives. See </w:t>
      </w:r>
      <w:r>
        <w:rPr>
          <w:rFonts w:ascii="Arial" w:cs="Arial" w:eastAsia="Arial" w:hAnsi="Arial"/>
          <w:sz w:val="12"/>
          <w:szCs w:val="12"/>
          <w:i w:val="1"/>
          <w:iCs w:val="1"/>
          <w:color w:val="auto"/>
        </w:rPr>
        <w:t>Compensation of Named Executive Officers — Equity Compensation Plans</w:t>
      </w:r>
      <w:r>
        <w:rPr>
          <w:rFonts w:ascii="Arial" w:cs="Arial" w:eastAsia="Arial" w:hAnsi="Arial"/>
          <w:sz w:val="12"/>
          <w:szCs w:val="12"/>
          <w:color w:val="auto"/>
        </w:rPr>
        <w:t>.</w:t>
      </w:r>
    </w:p>
    <w:p>
      <w:pPr>
        <w:spacing w:after="0" w:line="127" w:lineRule="exact"/>
        <w:rPr>
          <w:sz w:val="20"/>
          <w:szCs w:val="20"/>
          <w:color w:val="auto"/>
        </w:rPr>
      </w:pPr>
    </w:p>
    <w:p>
      <w:pPr>
        <w:ind w:left="1740"/>
        <w:spacing w:after="0"/>
        <w:rPr>
          <w:sz w:val="20"/>
          <w:szCs w:val="20"/>
          <w:color w:val="auto"/>
        </w:rPr>
      </w:pPr>
      <w:r>
        <w:rPr>
          <w:rFonts w:ascii="Arial" w:cs="Arial" w:eastAsia="Arial" w:hAnsi="Arial"/>
          <w:sz w:val="15"/>
          <w:szCs w:val="15"/>
          <w:b w:val="1"/>
          <w:bCs w:val="1"/>
          <w:u w:val="single" w:color="auto"/>
          <w:color w:val="auto"/>
        </w:rPr>
        <w:t>PSUs</w:t>
      </w:r>
    </w:p>
    <w:p>
      <w:pPr>
        <w:spacing w:after="0" w:line="168" w:lineRule="exact"/>
        <w:rPr>
          <w:sz w:val="20"/>
          <w:szCs w:val="20"/>
          <w:color w:val="auto"/>
        </w:rPr>
      </w:pPr>
    </w:p>
    <w:p>
      <w:pPr>
        <w:jc w:val="both"/>
        <w:ind w:left="1480" w:right="1499"/>
        <w:spacing w:after="0" w:line="244" w:lineRule="auto"/>
        <w:rPr>
          <w:sz w:val="20"/>
          <w:szCs w:val="20"/>
          <w:color w:val="auto"/>
        </w:rPr>
      </w:pPr>
      <w:r>
        <w:rPr>
          <w:rFonts w:ascii="Arial" w:cs="Arial" w:eastAsia="Arial" w:hAnsi="Arial"/>
          <w:sz w:val="13"/>
          <w:szCs w:val="13"/>
          <w:color w:val="auto"/>
        </w:rPr>
        <w:t>NEOs may be granted PSUs under the LTIP or the CSUP as part of the Corporation’s annual equity grant. The vesting of such awards requires the achievement of specified performance-based conditions over a specified time period, as determined by the HRCC in its discretion. PSUs granted by the Corporation generally vest at the end of a three-year performance period subject to pre-determined performance criteria. The payout value of the award is based on the number of PSUs that vest (which ranges from 0% to 200% of the target amount granted) and the market price of the SVS at the time of release. The Corporation has the right under the CSUP to settle vested PSUs in either cash or SVS (on a one-for-one-basis). Under the LTIP, the</w:t>
      </w: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1" w:name="page62"/>
    <w:bookmarkEnd w:id="61"/>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97" w:lineRule="exact"/>
        <w:rPr>
          <w:sz w:val="20"/>
          <w:szCs w:val="20"/>
          <w:color w:val="auto"/>
        </w:rPr>
      </w:pPr>
    </w:p>
    <w:p>
      <w:pPr>
        <w:jc w:val="both"/>
        <w:ind w:left="1480" w:right="1499"/>
        <w:spacing w:after="0" w:line="265" w:lineRule="auto"/>
        <w:rPr>
          <w:sz w:val="20"/>
          <w:szCs w:val="20"/>
          <w:color w:val="auto"/>
        </w:rPr>
      </w:pPr>
      <w:r>
        <w:rPr>
          <w:rFonts w:ascii="Arial" w:cs="Arial" w:eastAsia="Arial" w:hAnsi="Arial"/>
          <w:sz w:val="13"/>
          <w:szCs w:val="13"/>
          <w:color w:val="auto"/>
        </w:rPr>
        <w:t xml:space="preserve">Corporation may, at the time of grant, authorize grantees to settle PSUs either in cash or in SVS. Absent such permitted election, grants under the LTIP will be settled in SVS. If the Corporation has authorized a settlement in SVS or cash, the holder can choose which of these the holder receives. See </w:t>
      </w:r>
      <w:r>
        <w:rPr>
          <w:rFonts w:ascii="Arial" w:cs="Arial" w:eastAsia="Arial" w:hAnsi="Arial"/>
          <w:sz w:val="13"/>
          <w:szCs w:val="13"/>
          <w:i w:val="1"/>
          <w:iCs w:val="1"/>
          <w:color w:val="auto"/>
        </w:rPr>
        <w:t>Compensation of</w:t>
      </w:r>
      <w:r>
        <w:rPr>
          <w:rFonts w:ascii="Arial" w:cs="Arial" w:eastAsia="Arial" w:hAnsi="Arial"/>
          <w:sz w:val="13"/>
          <w:szCs w:val="13"/>
          <w:color w:val="auto"/>
        </w:rPr>
        <w:t xml:space="preserve"> </w:t>
      </w:r>
      <w:r>
        <w:rPr>
          <w:rFonts w:ascii="Arial" w:cs="Arial" w:eastAsia="Arial" w:hAnsi="Arial"/>
          <w:sz w:val="13"/>
          <w:szCs w:val="13"/>
          <w:i w:val="1"/>
          <w:iCs w:val="1"/>
          <w:color w:val="auto"/>
        </w:rPr>
        <w:t>Named Executive Officers — Equity Compensation Plans</w:t>
      </w:r>
      <w:r>
        <w:rPr>
          <w:rFonts w:ascii="Arial" w:cs="Arial" w:eastAsia="Arial" w:hAnsi="Arial"/>
          <w:sz w:val="13"/>
          <w:szCs w:val="13"/>
          <w:color w:val="auto"/>
        </w:rPr>
        <w:t>.</w:t>
      </w:r>
    </w:p>
    <w:p>
      <w:pPr>
        <w:spacing w:after="0" w:line="134" w:lineRule="exact"/>
        <w:rPr>
          <w:sz w:val="20"/>
          <w:szCs w:val="20"/>
          <w:color w:val="auto"/>
        </w:rPr>
      </w:pPr>
    </w:p>
    <w:p>
      <w:pPr>
        <w:ind w:left="1740"/>
        <w:spacing w:after="0"/>
        <w:rPr>
          <w:sz w:val="20"/>
          <w:szCs w:val="20"/>
          <w:color w:val="auto"/>
        </w:rPr>
      </w:pPr>
      <w:r>
        <w:rPr>
          <w:rFonts w:ascii="Arial" w:cs="Arial" w:eastAsia="Arial" w:hAnsi="Arial"/>
          <w:sz w:val="15"/>
          <w:szCs w:val="15"/>
          <w:b w:val="1"/>
          <w:bCs w:val="1"/>
          <w:u w:val="single" w:color="auto"/>
          <w:color w:val="auto"/>
        </w:rPr>
        <w:t>Stock Options</w:t>
      </w:r>
    </w:p>
    <w:p>
      <w:pPr>
        <w:spacing w:after="0" w:line="188" w:lineRule="exact"/>
        <w:rPr>
          <w:sz w:val="20"/>
          <w:szCs w:val="20"/>
          <w:color w:val="auto"/>
        </w:rPr>
      </w:pPr>
    </w:p>
    <w:p>
      <w:pPr>
        <w:jc w:val="both"/>
        <w:ind w:left="1480" w:right="1499"/>
        <w:spacing w:after="0" w:line="263" w:lineRule="auto"/>
        <w:rPr>
          <w:sz w:val="20"/>
          <w:szCs w:val="20"/>
          <w:color w:val="auto"/>
        </w:rPr>
      </w:pPr>
      <w:r>
        <w:rPr>
          <w:rFonts w:ascii="Arial" w:cs="Arial" w:eastAsia="Arial" w:hAnsi="Arial"/>
          <w:sz w:val="13"/>
          <w:szCs w:val="13"/>
          <w:color w:val="auto"/>
        </w:rPr>
        <w:t>NEOs may be granted stock options under the LTIP (no stock options have been granted after 2015). The exercise price of a stock option is the closing market price on the business day prior to the date of the grant. Stock options granted by the Corporation generally vest at a rate of 25% annually on each of the first four anniversaries of the date of grant and expire after a ten-year term. The LTIP is not an evergreen plan and no stock options have been re-priced.</w:t>
      </w:r>
    </w:p>
    <w:p>
      <w:pPr>
        <w:spacing w:after="0" w:line="131"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auto"/>
        </w:rPr>
        <w:t>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38100</wp:posOffset>
            </wp:positionV>
            <wp:extent cx="3502025" cy="63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502025" cy="6350"/>
                    </a:xfrm>
                    <a:prstGeom prst="rect">
                      <a:avLst/>
                    </a:prstGeom>
                    <a:noFill/>
                  </pic:spPr>
                </pic:pic>
              </a:graphicData>
            </a:graphic>
          </wp:anchor>
        </w:drawing>
      </w:r>
    </w:p>
    <w:p>
      <w:pPr>
        <w:spacing w:after="0" w:line="99" w:lineRule="exact"/>
        <w:rPr>
          <w:sz w:val="20"/>
          <w:szCs w:val="20"/>
          <w:color w:val="auto"/>
        </w:rPr>
      </w:pPr>
    </w:p>
    <w:p>
      <w:pPr>
        <w:ind w:left="1740"/>
        <w:spacing w:after="0"/>
        <w:rPr>
          <w:sz w:val="20"/>
          <w:szCs w:val="20"/>
          <w:color w:val="auto"/>
        </w:rPr>
      </w:pPr>
      <w:r>
        <w:rPr>
          <w:rFonts w:ascii="Arial" w:cs="Arial" w:eastAsia="Arial" w:hAnsi="Arial"/>
          <w:sz w:val="15"/>
          <w:szCs w:val="15"/>
          <w:b w:val="1"/>
          <w:bCs w:val="1"/>
          <w:u w:val="single" w:color="auto"/>
          <w:color w:val="auto"/>
        </w:rPr>
        <w:t>Benefits</w:t>
      </w:r>
    </w:p>
    <w:p>
      <w:pPr>
        <w:spacing w:after="0" w:line="178" w:lineRule="exact"/>
        <w:rPr>
          <w:sz w:val="20"/>
          <w:szCs w:val="20"/>
          <w:color w:val="auto"/>
        </w:rPr>
      </w:pPr>
    </w:p>
    <w:p>
      <w:pPr>
        <w:jc w:val="both"/>
        <w:ind w:left="1480" w:right="1499"/>
        <w:spacing w:after="0" w:line="270" w:lineRule="auto"/>
        <w:rPr>
          <w:sz w:val="20"/>
          <w:szCs w:val="20"/>
          <w:color w:val="auto"/>
        </w:rPr>
      </w:pPr>
      <w:r>
        <w:rPr>
          <w:rFonts w:ascii="Arial" w:cs="Arial" w:eastAsia="Arial" w:hAnsi="Arial"/>
          <w:sz w:val="13"/>
          <w:szCs w:val="13"/>
          <w:color w:val="auto"/>
        </w:rPr>
        <w:t>NEOs participate in the Corporation’s health, dental, pension, life insurance and long-term disability programs. Benefit programs are determined with consideration given to market median levels in the local geographic region.</w:t>
      </w:r>
    </w:p>
    <w:p>
      <w:pPr>
        <w:spacing w:after="0" w:line="141" w:lineRule="exact"/>
        <w:rPr>
          <w:sz w:val="20"/>
          <w:szCs w:val="20"/>
          <w:color w:val="auto"/>
        </w:rPr>
      </w:pPr>
    </w:p>
    <w:p>
      <w:pPr>
        <w:ind w:left="1740"/>
        <w:spacing w:after="0"/>
        <w:rPr>
          <w:sz w:val="20"/>
          <w:szCs w:val="20"/>
          <w:color w:val="auto"/>
        </w:rPr>
      </w:pPr>
      <w:r>
        <w:rPr>
          <w:rFonts w:ascii="Arial" w:cs="Arial" w:eastAsia="Arial" w:hAnsi="Arial"/>
          <w:sz w:val="15"/>
          <w:szCs w:val="15"/>
          <w:b w:val="1"/>
          <w:bCs w:val="1"/>
          <w:u w:val="single" w:color="auto"/>
          <w:color w:val="auto"/>
        </w:rPr>
        <w:t>Perquisites</w:t>
      </w:r>
    </w:p>
    <w:p>
      <w:pPr>
        <w:spacing w:after="0" w:line="178" w:lineRule="exact"/>
        <w:rPr>
          <w:sz w:val="20"/>
          <w:szCs w:val="20"/>
          <w:color w:val="auto"/>
        </w:rPr>
      </w:pPr>
    </w:p>
    <w:p>
      <w:pPr>
        <w:jc w:val="both"/>
        <w:ind w:left="1480" w:right="1499"/>
        <w:spacing w:after="0" w:line="258" w:lineRule="auto"/>
        <w:rPr>
          <w:sz w:val="20"/>
          <w:szCs w:val="20"/>
          <w:color w:val="auto"/>
        </w:rPr>
      </w:pPr>
      <w:r>
        <w:rPr>
          <w:rFonts w:ascii="Arial" w:cs="Arial" w:eastAsia="Arial" w:hAnsi="Arial"/>
          <w:sz w:val="13"/>
          <w:szCs w:val="13"/>
          <w:color w:val="auto"/>
        </w:rPr>
        <w:t>Perquisites are provided to executives on a case-by-case basis as considered appropriate in the interests of the Corporation. NEOs are entitled to an annual comprehensive medical examination at a private health clinic. Where applicable, tax equalization is provided to certain NEOs as an integral part of the Corporation’s Short-Term Business Travel Program and is designed to maintain an individual’s tax burden at approximately the same level it would have otherwise been had they remained in their home country. Due largely to variables such as timing and tax rate differences between Canada and the U.S., tax equalization amounts may vary from year to year. While the Corporation is incorporated and headquartered in Canada, our business is global, we compete for executive talent worldwide and our executives are often required to travel extensively. As a result, we believe it is appropriate to make tax equalization payments in order to attract and retain non-Canadian executive officers with specific capabilities as well as to ensure that our executives do not incur any additional tax burden as a result of the business travel necessitated by the global nature of our business.</w:t>
      </w:r>
    </w:p>
    <w:p>
      <w:pPr>
        <w:spacing w:after="0" w:line="146"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2020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38100</wp:posOffset>
            </wp:positionV>
            <wp:extent cx="3843655" cy="63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843655" cy="635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50800</wp:posOffset>
            </wp:positionV>
            <wp:extent cx="3843655" cy="63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220" w:lineRule="exact"/>
        <w:rPr>
          <w:sz w:val="20"/>
          <w:szCs w:val="20"/>
          <w:color w:val="auto"/>
        </w:rPr>
      </w:pPr>
    </w:p>
    <w:p>
      <w:pPr>
        <w:jc w:val="both"/>
        <w:ind w:left="1480" w:right="1499"/>
        <w:spacing w:after="0" w:line="265" w:lineRule="auto"/>
        <w:rPr>
          <w:sz w:val="20"/>
          <w:szCs w:val="20"/>
          <w:color w:val="auto"/>
        </w:rPr>
      </w:pPr>
      <w:r>
        <w:rPr>
          <w:rFonts w:ascii="Arial" w:cs="Arial" w:eastAsia="Arial" w:hAnsi="Arial"/>
          <w:sz w:val="13"/>
          <w:szCs w:val="13"/>
          <w:color w:val="auto"/>
        </w:rPr>
        <w:t>Each element of compensation is considered independently of the other elements. However, the total package is reviewed to ensure that the achievement of target levels of corporate and individual performance will result in total compensation that is generally comparable to the median total compensation of the Comparator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2" w:name="page63"/>
    <w:bookmarkEnd w:id="62"/>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71"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auto"/>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38100</wp:posOffset>
            </wp:positionV>
            <wp:extent cx="3502025" cy="63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502025" cy="6350"/>
                    </a:xfrm>
                    <a:prstGeom prst="rect">
                      <a:avLst/>
                    </a:prstGeom>
                    <a:noFill/>
                  </pic:spPr>
                </pic:pic>
              </a:graphicData>
            </a:graphic>
          </wp:anchor>
        </w:drawing>
      </w:r>
    </w:p>
    <w:p>
      <w:pPr>
        <w:spacing w:after="0" w:line="111" w:lineRule="exact"/>
        <w:rPr>
          <w:sz w:val="20"/>
          <w:szCs w:val="20"/>
          <w:color w:val="auto"/>
        </w:rPr>
      </w:pPr>
    </w:p>
    <w:p>
      <w:pPr>
        <w:jc w:val="both"/>
        <w:ind w:left="1480" w:right="1499"/>
        <w:spacing w:after="0" w:line="254" w:lineRule="auto"/>
        <w:rPr>
          <w:sz w:val="20"/>
          <w:szCs w:val="20"/>
          <w:color w:val="auto"/>
        </w:rPr>
      </w:pPr>
      <w:r>
        <w:rPr>
          <w:rFonts w:ascii="Arial" w:cs="Arial" w:eastAsia="Arial" w:hAnsi="Arial"/>
          <w:sz w:val="13"/>
          <w:szCs w:val="13"/>
          <w:color w:val="auto"/>
        </w:rPr>
        <w:t>The base salaries for the NEOs were reviewed during 2020, taking into account individual performance and experience, level of responsibility and median competitive data. The following table sets forth the annual base salary for the NEOs for the years ended December 31, 2018 through December 31, 2020:</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Table 13: NEO Base Salary Changes</w:t>
      </w:r>
    </w:p>
    <w:p>
      <w:pPr>
        <w:spacing w:after="0" w:line="67" w:lineRule="exact"/>
        <w:rPr>
          <w:sz w:val="20"/>
          <w:szCs w:val="20"/>
          <w:color w:val="auto"/>
        </w:rPr>
      </w:pPr>
    </w:p>
    <w:tbl>
      <w:tblPr>
        <w:tblLayout w:type="fixed"/>
        <w:tblInd w:w="3010" w:type="dxa"/>
        <w:tblCellMar>
          <w:top w:w="0" w:type="dxa"/>
          <w:left w:w="0" w:type="dxa"/>
          <w:bottom w:w="0" w:type="dxa"/>
          <w:right w:w="0" w:type="dxa"/>
        </w:tblCellMar>
      </w:tblPr>
      <w:tr>
        <w:trPr>
          <w:trHeight w:val="45"/>
        </w:trPr>
        <w:tc>
          <w:tcPr>
            <w:tcW w:w="80" w:type="dxa"/>
            <w:vAlign w:val="bottom"/>
            <w:tcBorders>
              <w:top w:val="single" w:sz="8" w:color="auto"/>
              <w:left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400" w:type="dxa"/>
            <w:vAlign w:val="bottom"/>
            <w:tcBorders>
              <w:top w:val="single" w:sz="8" w:color="auto"/>
              <w:bottom w:val="single" w:sz="8" w:color="auto"/>
            </w:tcBorders>
          </w:tcPr>
          <w:p>
            <w:pPr>
              <w:spacing w:after="0"/>
              <w:rPr>
                <w:sz w:val="3"/>
                <w:szCs w:val="3"/>
                <w:color w:val="auto"/>
              </w:rPr>
            </w:pPr>
          </w:p>
        </w:tc>
        <w:tc>
          <w:tcPr>
            <w:tcW w:w="58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r>
      <w:tr>
        <w:trPr>
          <w:trHeight w:val="152"/>
        </w:trPr>
        <w:tc>
          <w:tcPr>
            <w:tcW w:w="80" w:type="dxa"/>
            <w:vAlign w:val="bottom"/>
            <w:tcBorders>
              <w:left w:val="single" w:sz="8" w:color="auto"/>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580" w:type="dxa"/>
            <w:vAlign w:val="bottom"/>
            <w:tcBorders>
              <w:right w:val="single" w:sz="8" w:color="auto"/>
            </w:tcBorders>
          </w:tcPr>
          <w:p>
            <w:pPr>
              <w:ind w:left="120"/>
              <w:spacing w:after="0"/>
              <w:rPr>
                <w:sz w:val="20"/>
                <w:szCs w:val="20"/>
                <w:color w:val="auto"/>
              </w:rPr>
            </w:pPr>
            <w:r>
              <w:rPr>
                <w:rFonts w:ascii="Arial" w:cs="Arial" w:eastAsia="Arial" w:hAnsi="Arial"/>
                <w:sz w:val="11"/>
                <w:szCs w:val="11"/>
                <w:b w:val="1"/>
                <w:bCs w:val="1"/>
                <w:color w:val="auto"/>
              </w:rPr>
              <w:t>Salary</w:t>
            </w:r>
          </w:p>
        </w:tc>
        <w:tc>
          <w:tcPr>
            <w:tcW w:w="40" w:type="dxa"/>
            <w:vAlign w:val="bottom"/>
            <w:tcBorders>
              <w:right w:val="single" w:sz="8" w:color="auto"/>
            </w:tcBorders>
          </w:tcPr>
          <w:p>
            <w:pPr>
              <w:spacing w:after="0"/>
              <w:rPr>
                <w:sz w:val="13"/>
                <w:szCs w:val="13"/>
                <w:color w:val="auto"/>
              </w:rPr>
            </w:pPr>
          </w:p>
        </w:tc>
      </w:tr>
      <w:tr>
        <w:trPr>
          <w:trHeight w:val="147"/>
        </w:trPr>
        <w:tc>
          <w:tcPr>
            <w:tcW w:w="80" w:type="dxa"/>
            <w:vAlign w:val="bottom"/>
            <w:tcBorders>
              <w:left w:val="single" w:sz="8" w:color="auto"/>
              <w:right w:val="single" w:sz="8" w:color="auto"/>
            </w:tcBorders>
          </w:tcPr>
          <w:p>
            <w:pPr>
              <w:spacing w:after="0"/>
              <w:rPr>
                <w:sz w:val="12"/>
                <w:szCs w:val="12"/>
                <w:color w:val="auto"/>
              </w:rPr>
            </w:pP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NEO</w:t>
            </w:r>
          </w:p>
        </w:tc>
        <w:tc>
          <w:tcPr>
            <w:tcW w:w="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3"/>
              </w:rPr>
              <w:t>Year</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w:t>
            </w:r>
          </w:p>
        </w:tc>
        <w:tc>
          <w:tcPr>
            <w:tcW w:w="40" w:type="dxa"/>
            <w:vAlign w:val="bottom"/>
            <w:tcBorders>
              <w:right w:val="single" w:sz="8" w:color="auto"/>
            </w:tcBorders>
          </w:tcPr>
          <w:p>
            <w:pPr>
              <w:spacing w:after="0"/>
              <w:rPr>
                <w:sz w:val="12"/>
                <w:szCs w:val="12"/>
                <w:color w:val="auto"/>
              </w:rPr>
            </w:pPr>
          </w:p>
        </w:tc>
      </w:tr>
      <w:tr>
        <w:trPr>
          <w:trHeight w:val="181"/>
        </w:trPr>
        <w:tc>
          <w:tcPr>
            <w:tcW w:w="80" w:type="dxa"/>
            <w:vAlign w:val="bottom"/>
            <w:tcBorders>
              <w:left w:val="single" w:sz="8" w:color="auto"/>
              <w:right w:val="single" w:sz="8" w:color="auto"/>
            </w:tcBorders>
          </w:tcPr>
          <w:p>
            <w:pPr>
              <w:spacing w:after="0"/>
              <w:rPr>
                <w:sz w:val="15"/>
                <w:szCs w:val="15"/>
                <w:color w:val="auto"/>
              </w:rPr>
            </w:pP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Robert A. Mionis</w:t>
            </w:r>
          </w:p>
        </w:tc>
        <w:tc>
          <w:tcPr>
            <w:tcW w:w="4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2020</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$950,000</w:t>
            </w:r>
          </w:p>
        </w:tc>
        <w:tc>
          <w:tcPr>
            <w:tcW w:w="40" w:type="dxa"/>
            <w:vAlign w:val="bottom"/>
            <w:tcBorders>
              <w:right w:val="single" w:sz="8" w:color="auto"/>
            </w:tcBorders>
          </w:tcPr>
          <w:p>
            <w:pPr>
              <w:spacing w:after="0"/>
              <w:rPr>
                <w:sz w:val="15"/>
                <w:szCs w:val="15"/>
                <w:color w:val="auto"/>
              </w:rPr>
            </w:pPr>
          </w:p>
        </w:tc>
      </w:tr>
      <w:tr>
        <w:trPr>
          <w:trHeight w:val="152"/>
        </w:trPr>
        <w:tc>
          <w:tcPr>
            <w:tcW w:w="80" w:type="dxa"/>
            <w:vAlign w:val="bottom"/>
            <w:tcBorders>
              <w:left w:val="single" w:sz="8" w:color="auto"/>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4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2019</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$950,000</w:t>
            </w:r>
          </w:p>
        </w:tc>
        <w:tc>
          <w:tcPr>
            <w:tcW w:w="40" w:type="dxa"/>
            <w:vAlign w:val="bottom"/>
            <w:tcBorders>
              <w:right w:val="single" w:sz="8" w:color="auto"/>
            </w:tcBorders>
          </w:tcPr>
          <w:p>
            <w:pPr>
              <w:spacing w:after="0"/>
              <w:rPr>
                <w:sz w:val="13"/>
                <w:szCs w:val="13"/>
                <w:color w:val="auto"/>
              </w:rPr>
            </w:pPr>
          </w:p>
        </w:tc>
      </w:tr>
      <w:tr>
        <w:trPr>
          <w:trHeight w:val="166"/>
        </w:trPr>
        <w:tc>
          <w:tcPr>
            <w:tcW w:w="80" w:type="dxa"/>
            <w:vAlign w:val="bottom"/>
            <w:tcBorders>
              <w:left w:val="single" w:sz="8" w:color="auto"/>
              <w:right w:val="single" w:sz="8" w:color="auto"/>
            </w:tcBorders>
          </w:tcPr>
          <w:p>
            <w:pPr>
              <w:spacing w:after="0"/>
              <w:rPr>
                <w:sz w:val="14"/>
                <w:szCs w:val="14"/>
                <w:color w:val="auto"/>
              </w:rPr>
            </w:pPr>
          </w:p>
        </w:tc>
        <w:tc>
          <w:tcPr>
            <w:tcW w:w="186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2018</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$950,000</w:t>
            </w:r>
          </w:p>
        </w:tc>
        <w:tc>
          <w:tcPr>
            <w:tcW w:w="40" w:type="dxa"/>
            <w:vAlign w:val="bottom"/>
            <w:tcBorders>
              <w:right w:val="single" w:sz="8" w:color="auto"/>
            </w:tcBorders>
          </w:tcPr>
          <w:p>
            <w:pPr>
              <w:spacing w:after="0"/>
              <w:rPr>
                <w:sz w:val="14"/>
                <w:szCs w:val="14"/>
                <w:color w:val="auto"/>
              </w:rPr>
            </w:pPr>
          </w:p>
        </w:tc>
      </w:tr>
      <w:tr>
        <w:trPr>
          <w:trHeight w:val="179"/>
        </w:trPr>
        <w:tc>
          <w:tcPr>
            <w:tcW w:w="80" w:type="dxa"/>
            <w:vAlign w:val="bottom"/>
            <w:tcBorders>
              <w:left w:val="single" w:sz="8" w:color="auto"/>
              <w:right w:val="single" w:sz="8" w:color="auto"/>
            </w:tcBorders>
          </w:tcPr>
          <w:p>
            <w:pPr>
              <w:spacing w:after="0"/>
              <w:rPr>
                <w:sz w:val="15"/>
                <w:szCs w:val="15"/>
                <w:color w:val="auto"/>
              </w:rPr>
            </w:pP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Mandeep Chawla</w:t>
            </w:r>
          </w:p>
        </w:tc>
        <w:tc>
          <w:tcPr>
            <w:tcW w:w="4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2020</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$500,000</w:t>
            </w:r>
          </w:p>
        </w:tc>
        <w:tc>
          <w:tcPr>
            <w:tcW w:w="40" w:type="dxa"/>
            <w:vAlign w:val="bottom"/>
            <w:tcBorders>
              <w:right w:val="single" w:sz="8" w:color="auto"/>
            </w:tcBorders>
          </w:tcPr>
          <w:p>
            <w:pPr>
              <w:spacing w:after="0"/>
              <w:rPr>
                <w:sz w:val="15"/>
                <w:szCs w:val="15"/>
                <w:color w:val="auto"/>
              </w:rPr>
            </w:pPr>
          </w:p>
        </w:tc>
      </w:tr>
      <w:tr>
        <w:trPr>
          <w:trHeight w:val="152"/>
        </w:trPr>
        <w:tc>
          <w:tcPr>
            <w:tcW w:w="80" w:type="dxa"/>
            <w:vAlign w:val="bottom"/>
            <w:tcBorders>
              <w:left w:val="single" w:sz="8" w:color="auto"/>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4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2019</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$460,000</w:t>
            </w:r>
          </w:p>
        </w:tc>
        <w:tc>
          <w:tcPr>
            <w:tcW w:w="40" w:type="dxa"/>
            <w:vAlign w:val="bottom"/>
            <w:tcBorders>
              <w:right w:val="single" w:sz="8" w:color="auto"/>
            </w:tcBorders>
          </w:tcPr>
          <w:p>
            <w:pPr>
              <w:spacing w:after="0"/>
              <w:rPr>
                <w:sz w:val="13"/>
                <w:szCs w:val="13"/>
                <w:color w:val="auto"/>
              </w:rPr>
            </w:pPr>
          </w:p>
        </w:tc>
      </w:tr>
      <w:tr>
        <w:trPr>
          <w:trHeight w:val="166"/>
        </w:trPr>
        <w:tc>
          <w:tcPr>
            <w:tcW w:w="80" w:type="dxa"/>
            <w:vAlign w:val="bottom"/>
            <w:tcBorders>
              <w:left w:val="single" w:sz="8" w:color="auto"/>
              <w:right w:val="single" w:sz="8" w:color="auto"/>
            </w:tcBorders>
          </w:tcPr>
          <w:p>
            <w:pPr>
              <w:spacing w:after="0"/>
              <w:rPr>
                <w:sz w:val="14"/>
                <w:szCs w:val="14"/>
                <w:color w:val="auto"/>
              </w:rPr>
            </w:pPr>
          </w:p>
        </w:tc>
        <w:tc>
          <w:tcPr>
            <w:tcW w:w="186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2018</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$450,000</w:t>
            </w:r>
          </w:p>
        </w:tc>
        <w:tc>
          <w:tcPr>
            <w:tcW w:w="40" w:type="dxa"/>
            <w:vAlign w:val="bottom"/>
            <w:tcBorders>
              <w:right w:val="single" w:sz="8" w:color="auto"/>
            </w:tcBorders>
          </w:tcPr>
          <w:p>
            <w:pPr>
              <w:spacing w:after="0"/>
              <w:rPr>
                <w:sz w:val="14"/>
                <w:szCs w:val="14"/>
                <w:color w:val="auto"/>
              </w:rPr>
            </w:pPr>
          </w:p>
        </w:tc>
      </w:tr>
      <w:tr>
        <w:trPr>
          <w:trHeight w:val="179"/>
        </w:trPr>
        <w:tc>
          <w:tcPr>
            <w:tcW w:w="80" w:type="dxa"/>
            <w:vAlign w:val="bottom"/>
            <w:tcBorders>
              <w:left w:val="single" w:sz="8" w:color="auto"/>
              <w:right w:val="single" w:sz="8" w:color="auto"/>
            </w:tcBorders>
          </w:tcPr>
          <w:p>
            <w:pPr>
              <w:spacing w:after="0"/>
              <w:rPr>
                <w:sz w:val="15"/>
                <w:szCs w:val="15"/>
                <w:color w:val="auto"/>
              </w:rPr>
            </w:pP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Jason Phillips</w:t>
            </w:r>
          </w:p>
        </w:tc>
        <w:tc>
          <w:tcPr>
            <w:tcW w:w="4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2020</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$460,000</w:t>
            </w:r>
          </w:p>
        </w:tc>
        <w:tc>
          <w:tcPr>
            <w:tcW w:w="40" w:type="dxa"/>
            <w:vAlign w:val="bottom"/>
            <w:tcBorders>
              <w:right w:val="single" w:sz="8" w:color="auto"/>
            </w:tcBorders>
          </w:tcPr>
          <w:p>
            <w:pPr>
              <w:spacing w:after="0"/>
              <w:rPr>
                <w:sz w:val="15"/>
                <w:szCs w:val="15"/>
                <w:color w:val="auto"/>
              </w:rPr>
            </w:pPr>
          </w:p>
        </w:tc>
      </w:tr>
      <w:tr>
        <w:trPr>
          <w:trHeight w:val="152"/>
        </w:trPr>
        <w:tc>
          <w:tcPr>
            <w:tcW w:w="80" w:type="dxa"/>
            <w:vAlign w:val="bottom"/>
            <w:tcBorders>
              <w:left w:val="single" w:sz="8" w:color="auto"/>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4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2019</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$460,000</w:t>
            </w:r>
          </w:p>
        </w:tc>
        <w:tc>
          <w:tcPr>
            <w:tcW w:w="40" w:type="dxa"/>
            <w:vAlign w:val="bottom"/>
            <w:tcBorders>
              <w:right w:val="single" w:sz="8" w:color="auto"/>
            </w:tcBorders>
          </w:tcPr>
          <w:p>
            <w:pPr>
              <w:spacing w:after="0"/>
              <w:rPr>
                <w:sz w:val="13"/>
                <w:szCs w:val="13"/>
                <w:color w:val="auto"/>
              </w:rPr>
            </w:pPr>
          </w:p>
        </w:tc>
      </w:tr>
      <w:tr>
        <w:trPr>
          <w:trHeight w:val="166"/>
        </w:trPr>
        <w:tc>
          <w:tcPr>
            <w:tcW w:w="80" w:type="dxa"/>
            <w:vAlign w:val="bottom"/>
            <w:tcBorders>
              <w:left w:val="single" w:sz="8" w:color="auto"/>
              <w:right w:val="single" w:sz="8" w:color="auto"/>
            </w:tcBorders>
          </w:tcPr>
          <w:p>
            <w:pPr>
              <w:spacing w:after="0"/>
              <w:rPr>
                <w:sz w:val="14"/>
                <w:szCs w:val="14"/>
                <w:color w:val="auto"/>
              </w:rPr>
            </w:pPr>
          </w:p>
        </w:tc>
        <w:tc>
          <w:tcPr>
            <w:tcW w:w="186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2018</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$350,000</w:t>
            </w:r>
          </w:p>
        </w:tc>
        <w:tc>
          <w:tcPr>
            <w:tcW w:w="40" w:type="dxa"/>
            <w:vAlign w:val="bottom"/>
            <w:tcBorders>
              <w:right w:val="single" w:sz="8" w:color="auto"/>
            </w:tcBorders>
          </w:tcPr>
          <w:p>
            <w:pPr>
              <w:spacing w:after="0"/>
              <w:rPr>
                <w:sz w:val="14"/>
                <w:szCs w:val="14"/>
                <w:color w:val="auto"/>
              </w:rPr>
            </w:pPr>
          </w:p>
        </w:tc>
      </w:tr>
      <w:tr>
        <w:trPr>
          <w:trHeight w:val="179"/>
        </w:trPr>
        <w:tc>
          <w:tcPr>
            <w:tcW w:w="80" w:type="dxa"/>
            <w:vAlign w:val="bottom"/>
            <w:tcBorders>
              <w:left w:val="single" w:sz="8" w:color="auto"/>
              <w:right w:val="single" w:sz="8" w:color="auto"/>
            </w:tcBorders>
          </w:tcPr>
          <w:p>
            <w:pPr>
              <w:spacing w:after="0"/>
              <w:rPr>
                <w:sz w:val="15"/>
                <w:szCs w:val="15"/>
                <w:color w:val="auto"/>
              </w:rPr>
            </w:pP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Jack J. Lawless</w:t>
            </w:r>
          </w:p>
        </w:tc>
        <w:tc>
          <w:tcPr>
            <w:tcW w:w="4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2020</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$460,000</w:t>
            </w:r>
          </w:p>
        </w:tc>
        <w:tc>
          <w:tcPr>
            <w:tcW w:w="40" w:type="dxa"/>
            <w:vAlign w:val="bottom"/>
            <w:tcBorders>
              <w:right w:val="single" w:sz="8" w:color="auto"/>
            </w:tcBorders>
          </w:tcPr>
          <w:p>
            <w:pPr>
              <w:spacing w:after="0"/>
              <w:rPr>
                <w:sz w:val="15"/>
                <w:szCs w:val="15"/>
                <w:color w:val="auto"/>
              </w:rPr>
            </w:pPr>
          </w:p>
        </w:tc>
      </w:tr>
      <w:tr>
        <w:trPr>
          <w:trHeight w:val="152"/>
        </w:trPr>
        <w:tc>
          <w:tcPr>
            <w:tcW w:w="80" w:type="dxa"/>
            <w:vAlign w:val="bottom"/>
            <w:tcBorders>
              <w:left w:val="single" w:sz="8" w:color="auto"/>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4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2019</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$460,000</w:t>
            </w:r>
          </w:p>
        </w:tc>
        <w:tc>
          <w:tcPr>
            <w:tcW w:w="40" w:type="dxa"/>
            <w:vAlign w:val="bottom"/>
            <w:tcBorders>
              <w:right w:val="single" w:sz="8" w:color="auto"/>
            </w:tcBorders>
          </w:tcPr>
          <w:p>
            <w:pPr>
              <w:spacing w:after="0"/>
              <w:rPr>
                <w:sz w:val="13"/>
                <w:szCs w:val="13"/>
                <w:color w:val="auto"/>
              </w:rPr>
            </w:pPr>
          </w:p>
        </w:tc>
      </w:tr>
      <w:tr>
        <w:trPr>
          <w:trHeight w:val="166"/>
        </w:trPr>
        <w:tc>
          <w:tcPr>
            <w:tcW w:w="80" w:type="dxa"/>
            <w:vAlign w:val="bottom"/>
            <w:tcBorders>
              <w:left w:val="single" w:sz="8" w:color="auto"/>
              <w:right w:val="single" w:sz="8" w:color="auto"/>
            </w:tcBorders>
          </w:tcPr>
          <w:p>
            <w:pPr>
              <w:spacing w:after="0"/>
              <w:rPr>
                <w:sz w:val="14"/>
                <w:szCs w:val="14"/>
                <w:color w:val="auto"/>
              </w:rPr>
            </w:pPr>
          </w:p>
        </w:tc>
        <w:tc>
          <w:tcPr>
            <w:tcW w:w="186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2018</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$460,000</w:t>
            </w:r>
          </w:p>
        </w:tc>
        <w:tc>
          <w:tcPr>
            <w:tcW w:w="40" w:type="dxa"/>
            <w:vAlign w:val="bottom"/>
            <w:tcBorders>
              <w:right w:val="single" w:sz="8" w:color="auto"/>
            </w:tcBorders>
          </w:tcPr>
          <w:p>
            <w:pPr>
              <w:spacing w:after="0"/>
              <w:rPr>
                <w:sz w:val="14"/>
                <w:szCs w:val="14"/>
                <w:color w:val="auto"/>
              </w:rPr>
            </w:pPr>
          </w:p>
        </w:tc>
      </w:tr>
      <w:tr>
        <w:trPr>
          <w:trHeight w:val="179"/>
        </w:trPr>
        <w:tc>
          <w:tcPr>
            <w:tcW w:w="80" w:type="dxa"/>
            <w:vAlign w:val="bottom"/>
            <w:tcBorders>
              <w:left w:val="single" w:sz="8" w:color="auto"/>
              <w:right w:val="single" w:sz="8" w:color="auto"/>
            </w:tcBorders>
          </w:tcPr>
          <w:p>
            <w:pPr>
              <w:spacing w:after="0"/>
              <w:rPr>
                <w:sz w:val="15"/>
                <w:szCs w:val="15"/>
                <w:color w:val="auto"/>
              </w:rPr>
            </w:pP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Todd C. Cooper</w:t>
            </w:r>
          </w:p>
        </w:tc>
        <w:tc>
          <w:tcPr>
            <w:tcW w:w="4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2020</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$460,000</w:t>
            </w:r>
          </w:p>
        </w:tc>
        <w:tc>
          <w:tcPr>
            <w:tcW w:w="40" w:type="dxa"/>
            <w:vAlign w:val="bottom"/>
            <w:tcBorders>
              <w:right w:val="single" w:sz="8" w:color="auto"/>
            </w:tcBorders>
          </w:tcPr>
          <w:p>
            <w:pPr>
              <w:spacing w:after="0"/>
              <w:rPr>
                <w:sz w:val="15"/>
                <w:szCs w:val="15"/>
                <w:color w:val="auto"/>
              </w:rPr>
            </w:pPr>
          </w:p>
        </w:tc>
      </w:tr>
      <w:tr>
        <w:trPr>
          <w:trHeight w:val="152"/>
        </w:trPr>
        <w:tc>
          <w:tcPr>
            <w:tcW w:w="80" w:type="dxa"/>
            <w:vAlign w:val="bottom"/>
            <w:tcBorders>
              <w:left w:val="single" w:sz="8" w:color="auto"/>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4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2019</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$460,000</w:t>
            </w:r>
          </w:p>
        </w:tc>
        <w:tc>
          <w:tcPr>
            <w:tcW w:w="40" w:type="dxa"/>
            <w:vAlign w:val="bottom"/>
            <w:tcBorders>
              <w:right w:val="single" w:sz="8" w:color="auto"/>
            </w:tcBorders>
          </w:tcPr>
          <w:p>
            <w:pPr>
              <w:spacing w:after="0"/>
              <w:rPr>
                <w:sz w:val="13"/>
                <w:szCs w:val="13"/>
                <w:color w:val="auto"/>
              </w:rPr>
            </w:pPr>
          </w:p>
        </w:tc>
      </w:tr>
      <w:tr>
        <w:trPr>
          <w:trHeight w:val="166"/>
        </w:trPr>
        <w:tc>
          <w:tcPr>
            <w:tcW w:w="80" w:type="dxa"/>
            <w:vAlign w:val="bottom"/>
            <w:tcBorders>
              <w:left w:val="single" w:sz="8" w:color="auto"/>
              <w:right w:val="single" w:sz="8" w:color="auto"/>
            </w:tcBorders>
          </w:tcPr>
          <w:p>
            <w:pPr>
              <w:spacing w:after="0"/>
              <w:rPr>
                <w:sz w:val="14"/>
                <w:szCs w:val="14"/>
                <w:color w:val="auto"/>
              </w:rPr>
            </w:pPr>
          </w:p>
        </w:tc>
        <w:tc>
          <w:tcPr>
            <w:tcW w:w="186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2018</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$460,000</w:t>
            </w:r>
          </w:p>
        </w:tc>
        <w:tc>
          <w:tcPr>
            <w:tcW w:w="40" w:type="dxa"/>
            <w:vAlign w:val="bottom"/>
            <w:tcBorders>
              <w:right w:val="single" w:sz="8" w:color="auto"/>
            </w:tcBorders>
          </w:tcPr>
          <w:p>
            <w:pPr>
              <w:spacing w:after="0"/>
              <w:rPr>
                <w:sz w:val="14"/>
                <w:szCs w:val="14"/>
                <w:color w:val="auto"/>
              </w:rPr>
            </w:pPr>
          </w:p>
        </w:tc>
      </w:tr>
      <w:tr>
        <w:trPr>
          <w:trHeight w:val="20"/>
        </w:trPr>
        <w:tc>
          <w:tcPr>
            <w:tcW w:w="80" w:type="dxa"/>
            <w:vAlign w:val="bottom"/>
            <w:tcBorders>
              <w:left w:val="single" w:sz="8" w:color="auto"/>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96" w:lineRule="exact"/>
        <w:rPr>
          <w:sz w:val="20"/>
          <w:szCs w:val="20"/>
          <w:color w:val="auto"/>
        </w:rPr>
      </w:pPr>
    </w:p>
    <w:p>
      <w:pPr>
        <w:jc w:val="both"/>
        <w:ind w:left="1480" w:right="1499"/>
        <w:spacing w:after="0" w:line="272" w:lineRule="auto"/>
        <w:rPr>
          <w:sz w:val="20"/>
          <w:szCs w:val="20"/>
          <w:color w:val="auto"/>
        </w:rPr>
      </w:pPr>
      <w:r>
        <w:rPr>
          <w:rFonts w:ascii="Arial" w:cs="Arial" w:eastAsia="Arial" w:hAnsi="Arial"/>
          <w:sz w:val="12"/>
          <w:szCs w:val="12"/>
          <w:color w:val="auto"/>
        </w:rPr>
        <w:t>The HRCC reviewed salaries for CFOs within the applicable Comparator Group, median competitive data and historical data concerning CFO base salaries at the Corporation, as well as Mr. Chawla’s experience and scope of responsibilities. In April 2020, the HRCC approved an increase in Mr. Chawla’s base salary from $460,000 to $ 500,000 in order to better align his pay to median base salary of CFOs within the Comparator Group, and to reflect the expanded scope of his responsibilities to include additional functional areas.</w:t>
      </w:r>
    </w:p>
    <w:p>
      <w:pPr>
        <w:spacing w:after="0" w:line="128"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auto"/>
        </w:rPr>
        <w:t>Annual Incentive Award (CTI)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38100</wp:posOffset>
            </wp:positionV>
            <wp:extent cx="3502025" cy="63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502025" cy="6350"/>
                    </a:xfrm>
                    <a:prstGeom prst="rect">
                      <a:avLst/>
                    </a:prstGeom>
                    <a:noFill/>
                  </pic:spPr>
                </pic:pic>
              </a:graphicData>
            </a:graphic>
          </wp:anchor>
        </w:drawing>
      </w:r>
    </w:p>
    <w:p>
      <w:pPr>
        <w:spacing w:after="0" w:line="178" w:lineRule="exact"/>
        <w:rPr>
          <w:sz w:val="20"/>
          <w:szCs w:val="20"/>
          <w:color w:val="auto"/>
        </w:rPr>
      </w:pPr>
    </w:p>
    <w:p>
      <w:pPr>
        <w:ind w:left="1740"/>
        <w:spacing w:after="0"/>
        <w:rPr>
          <w:sz w:val="20"/>
          <w:szCs w:val="20"/>
          <w:color w:val="auto"/>
        </w:rPr>
      </w:pPr>
      <w:r>
        <w:rPr>
          <w:rFonts w:ascii="Arial" w:cs="Arial" w:eastAsia="Arial" w:hAnsi="Arial"/>
          <w:sz w:val="15"/>
          <w:szCs w:val="15"/>
          <w:b w:val="1"/>
          <w:bCs w:val="1"/>
          <w:u w:val="single" w:color="auto"/>
          <w:color w:val="auto"/>
        </w:rPr>
        <w:t>2020 Company Performance Factor</w:t>
      </w:r>
    </w:p>
    <w:p>
      <w:pPr>
        <w:spacing w:after="0" w:line="158" w:lineRule="exact"/>
        <w:rPr>
          <w:sz w:val="20"/>
          <w:szCs w:val="20"/>
          <w:color w:val="auto"/>
        </w:rPr>
      </w:pPr>
    </w:p>
    <w:p>
      <w:pPr>
        <w:jc w:val="both"/>
        <w:ind w:left="1480" w:right="1479"/>
        <w:spacing w:after="0" w:line="241" w:lineRule="auto"/>
        <w:rPr>
          <w:sz w:val="20"/>
          <w:szCs w:val="20"/>
          <w:color w:val="auto"/>
        </w:rPr>
      </w:pPr>
      <w:r>
        <w:rPr>
          <w:rFonts w:ascii="Arial" w:cs="Arial" w:eastAsia="Arial" w:hAnsi="Arial"/>
          <w:sz w:val="13"/>
          <w:szCs w:val="13"/>
          <w:color w:val="auto"/>
        </w:rPr>
        <w:t xml:space="preserve">The CPF component of the CTI calculation for 2020 was based on the achievement of the Corporation relative to specified financial targets for 2020 (“ </w:t>
      </w:r>
      <w:r>
        <w:rPr>
          <w:rFonts w:ascii="Arial" w:cs="Arial" w:eastAsia="Arial" w:hAnsi="Arial"/>
          <w:sz w:val="13"/>
          <w:szCs w:val="13"/>
          <w:b w:val="1"/>
          <w:bCs w:val="1"/>
          <w:color w:val="auto"/>
        </w:rPr>
        <w:t>2020 Targets</w:t>
      </w:r>
      <w:r>
        <w:rPr>
          <w:rFonts w:ascii="Arial" w:cs="Arial" w:eastAsia="Arial" w:hAnsi="Arial"/>
          <w:sz w:val="13"/>
          <w:szCs w:val="13"/>
          <w:color w:val="auto"/>
        </w:rPr>
        <w:t>”). The 2020 Targets were revenue (“</w:t>
      </w:r>
      <w:r>
        <w:rPr>
          <w:rFonts w:ascii="Arial" w:cs="Arial" w:eastAsia="Arial" w:hAnsi="Arial"/>
          <w:sz w:val="13"/>
          <w:szCs w:val="13"/>
          <w:b w:val="1"/>
          <w:bCs w:val="1"/>
          <w:color w:val="auto"/>
        </w:rPr>
        <w:t>Revenue</w:t>
      </w:r>
      <w:r>
        <w:rPr>
          <w:rFonts w:ascii="Arial" w:cs="Arial" w:eastAsia="Arial" w:hAnsi="Arial"/>
          <w:sz w:val="13"/>
          <w:szCs w:val="13"/>
          <w:color w:val="auto"/>
        </w:rPr>
        <w:t xml:space="preserve"> </w:t>
      </w:r>
      <w:r>
        <w:rPr>
          <w:rFonts w:ascii="Arial" w:cs="Arial" w:eastAsia="Arial" w:hAnsi="Arial"/>
          <w:sz w:val="13"/>
          <w:szCs w:val="13"/>
          <w:b w:val="1"/>
          <w:bCs w:val="1"/>
          <w:color w:val="auto"/>
        </w:rPr>
        <w:t>Target</w:t>
      </w:r>
      <w:r>
        <w:rPr>
          <w:rFonts w:ascii="Arial" w:cs="Arial" w:eastAsia="Arial" w:hAnsi="Arial"/>
          <w:sz w:val="13"/>
          <w:szCs w:val="13"/>
          <w:color w:val="auto"/>
        </w:rPr>
        <w:t>”) and non-IFRS operating margin (“</w:t>
      </w:r>
      <w:r>
        <w:rPr>
          <w:rFonts w:ascii="Arial" w:cs="Arial" w:eastAsia="Arial" w:hAnsi="Arial"/>
          <w:sz w:val="13"/>
          <w:szCs w:val="13"/>
          <w:b w:val="1"/>
          <w:bCs w:val="1"/>
          <w:color w:val="auto"/>
        </w:rPr>
        <w:t>OM Target</w:t>
      </w:r>
      <w:r>
        <w:rPr>
          <w:rFonts w:ascii="Arial" w:cs="Arial" w:eastAsia="Arial" w:hAnsi="Arial"/>
          <w:sz w:val="13"/>
          <w:szCs w:val="13"/>
          <w:color w:val="auto"/>
        </w:rPr>
        <w:t>”), which were the same measures used in 2019.</w:t>
      </w:r>
      <w:r>
        <w:rPr>
          <w:rFonts w:ascii="Arial" w:cs="Arial" w:eastAsia="Arial" w:hAnsi="Arial"/>
          <w:sz w:val="13"/>
          <w:szCs w:val="13"/>
          <w:b w:val="1"/>
          <w:bCs w:val="1"/>
          <w:color w:val="auto"/>
        </w:rPr>
        <w:t xml:space="preserve"> </w:t>
      </w:r>
      <w:r>
        <w:rPr>
          <w:rFonts w:ascii="Arial" w:cs="Arial" w:eastAsia="Arial" w:hAnsi="Arial"/>
          <w:sz w:val="13"/>
          <w:szCs w:val="13"/>
          <w:color w:val="auto"/>
        </w:rPr>
        <w:t>These measures were approved by the HRCC as they were determined to be aligned with the Corporation’s key objectives of driving profitable growth on both a “top line” and “bottom line” basis. The specific levels set for the 2020 Targets were based on the Corporation’s Board-approved 2020 AOP (“</w:t>
      </w:r>
      <w:r>
        <w:rPr>
          <w:rFonts w:ascii="Arial" w:cs="Arial" w:eastAsia="Arial" w:hAnsi="Arial"/>
          <w:sz w:val="13"/>
          <w:szCs w:val="13"/>
          <w:b w:val="1"/>
          <w:bCs w:val="1"/>
          <w:color w:val="auto"/>
        </w:rPr>
        <w:t>2020 AOP</w:t>
      </w:r>
      <w:r>
        <w:rPr>
          <w:rFonts w:ascii="Arial" w:cs="Arial" w:eastAsia="Arial" w:hAnsi="Arial"/>
          <w:sz w:val="13"/>
          <w:szCs w:val="13"/>
          <w:color w:val="auto"/>
        </w:rPr>
        <w:t>”) established in January 2020. The focus of the 2020 AOP was to increase revenue from higher value-add offerings, particularly in our ATS segment and HPS business, and to shift revenue away from lower value-add programs. This strategy was expected to adversely impact revenue growth in 2020 and 2021, but was deemed necessary to improve non-IFRS operating margin and profitability in general, and thereby improve value for our shareholders over the long -term. As a result of the anticipated adverse impact on revenue, the 2020 Revenue Target was established at a lower level than the corresponding target in 2019. In addition, as a result of the significant and unexpected downturn in the semiconductor Capital Equipment market throughout 2019, the OM Target was also set at a lower level than the corresponding target in 2019 (but higher than actual 2019 non-IFRS operating margin). If achieved, the 2020 Targets would represent accomplishment of the Corporation’s challenging, yet deemed attainable, goals for 2020 (as set forth in the 2020 AOP).</w:t>
      </w:r>
    </w:p>
    <w:p>
      <w:pPr>
        <w:spacing w:after="0" w:line="66" w:lineRule="exact"/>
        <w:rPr>
          <w:sz w:val="20"/>
          <w:szCs w:val="20"/>
          <w:color w:val="auto"/>
        </w:rPr>
      </w:pPr>
    </w:p>
    <w:p>
      <w:pPr>
        <w:jc w:val="both"/>
        <w:ind w:left="1480" w:right="1499"/>
        <w:spacing w:after="0" w:line="249" w:lineRule="auto"/>
        <w:rPr>
          <w:sz w:val="20"/>
          <w:szCs w:val="20"/>
          <w:color w:val="auto"/>
        </w:rPr>
      </w:pPr>
      <w:r>
        <w:rPr>
          <w:rFonts w:ascii="Arial" w:cs="Arial" w:eastAsia="Arial" w:hAnsi="Arial"/>
          <w:sz w:val="13"/>
          <w:szCs w:val="13"/>
          <w:color w:val="auto"/>
        </w:rPr>
        <w:t>After establishment of the 2020 AOP and the 2020 Targets, and during the remainder of 2020, COVID-19 had a significant adverse impact on certain of our businesses, particularly our A&amp;D and Industrial businesses. However, the pandemic also resulted in revenue improvement in certain other businesses, including our HPS</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3" w:name="page64"/>
    <w:bookmarkEnd w:id="63"/>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97" w:lineRule="exact"/>
        <w:rPr>
          <w:sz w:val="20"/>
          <w:szCs w:val="20"/>
          <w:color w:val="auto"/>
        </w:rPr>
      </w:pPr>
    </w:p>
    <w:p>
      <w:pPr>
        <w:jc w:val="both"/>
        <w:ind w:left="1480" w:right="1499"/>
        <w:spacing w:after="0" w:line="259" w:lineRule="auto"/>
        <w:rPr>
          <w:sz w:val="20"/>
          <w:szCs w:val="20"/>
          <w:color w:val="auto"/>
        </w:rPr>
      </w:pPr>
      <w:r>
        <w:rPr>
          <w:rFonts w:ascii="Arial" w:cs="Arial" w:eastAsia="Arial" w:hAnsi="Arial"/>
          <w:sz w:val="13"/>
          <w:szCs w:val="13"/>
          <w:color w:val="auto"/>
        </w:rPr>
        <w:t>and HealthTech businesses, which experienced unexpected growth as our data center support equipment, diagnostic equipment and PPE was in high demand globally. As a result of these improvements and an improved semiconductor market, as well as our team’s operational agility and strong performance in the face of unprecedented challenges caused by the pandemic, 2020 revenue exceeded the maximum Revenue Target. In addition, due to volume leverage resulting from the revenue improvements described above, as well as benefits from our on-going productivity and portfolio reshaping initiatives, 2020 non-IFRS operating margin exceeded the OM Target. Therefore, despite the high level of volatility in all our end markets due to COVID-19, the HRCC made no adjustments to the 2020 Targets or the overall payout of CTI for 2020.</w:t>
      </w:r>
    </w:p>
    <w:p>
      <w:pPr>
        <w:spacing w:after="0" w:line="61" w:lineRule="exact"/>
        <w:rPr>
          <w:sz w:val="20"/>
          <w:szCs w:val="20"/>
          <w:color w:val="auto"/>
        </w:rPr>
      </w:pPr>
    </w:p>
    <w:p>
      <w:pPr>
        <w:jc w:val="both"/>
        <w:ind w:left="1480" w:right="1499"/>
        <w:spacing w:after="0" w:line="260" w:lineRule="auto"/>
        <w:rPr>
          <w:sz w:val="20"/>
          <w:szCs w:val="20"/>
          <w:color w:val="auto"/>
        </w:rPr>
      </w:pPr>
      <w:r>
        <w:rPr>
          <w:rFonts w:ascii="Arial" w:cs="Arial" w:eastAsia="Arial" w:hAnsi="Arial"/>
          <w:sz w:val="13"/>
          <w:szCs w:val="13"/>
          <w:color w:val="auto"/>
        </w:rPr>
        <w:t>No minimum CTI payments are guaranteed. As described above, a minimum corporate profitability requirement must be achieved in order for CTI to be payable. That requirement was met in 2020 and therefore CTI was payable. A cap applies such that, in order for the revenue component to pay above target, target non-IFRS operating margin must be achieved, which it was. The percentage achievement for each measure was then determined by interpolating between the factor that corresponds to threshold, target and maximum, as applicable. Each achievement factor was then multiplied by its weight (50%) in order to determine the weighted achievement.</w:t>
      </w:r>
    </w:p>
    <w:p>
      <w:pPr>
        <w:spacing w:after="0" w:line="61"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The CPF for 2020 was 182% based on the results in the following table: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Table 14: Company Performance Factor</w:t>
      </w:r>
    </w:p>
    <w:p>
      <w:pPr>
        <w:spacing w:after="0" w:line="77" w:lineRule="exact"/>
        <w:rPr>
          <w:sz w:val="20"/>
          <w:szCs w:val="20"/>
          <w:color w:val="auto"/>
        </w:rPr>
      </w:pPr>
    </w:p>
    <w:tbl>
      <w:tblPr>
        <w:tblLayout w:type="fixed"/>
        <w:tblInd w:w="1490" w:type="dxa"/>
        <w:tblCellMar>
          <w:top w:w="0" w:type="dxa"/>
          <w:left w:w="0" w:type="dxa"/>
          <w:bottom w:w="0" w:type="dxa"/>
          <w:right w:w="0" w:type="dxa"/>
        </w:tblCellMar>
      </w:tblPr>
      <w:tr>
        <w:trPr>
          <w:trHeight w:val="187"/>
        </w:trPr>
        <w:tc>
          <w:tcPr>
            <w:tcW w:w="2400" w:type="dxa"/>
            <w:vAlign w:val="bottom"/>
            <w:tcBorders>
              <w:top w:val="single" w:sz="8" w:color="auto"/>
              <w:left w:val="single" w:sz="8" w:color="auto"/>
              <w:right w:val="single" w:sz="8" w:color="auto"/>
            </w:tcBorders>
          </w:tcPr>
          <w:p>
            <w:pPr>
              <w:spacing w:after="0"/>
              <w:rPr>
                <w:sz w:val="16"/>
                <w:szCs w:val="16"/>
                <w:color w:val="auto"/>
              </w:rPr>
            </w:pPr>
          </w:p>
        </w:tc>
        <w:tc>
          <w:tcPr>
            <w:tcW w:w="480" w:type="dxa"/>
            <w:vAlign w:val="bottom"/>
            <w:tcBorders>
              <w:top w:val="single" w:sz="8" w:color="auto"/>
              <w:right w:val="single" w:sz="8" w:color="auto"/>
            </w:tcBorders>
          </w:tcPr>
          <w:p>
            <w:pPr>
              <w:spacing w:after="0"/>
              <w:rPr>
                <w:sz w:val="16"/>
                <w:szCs w:val="16"/>
                <w:color w:val="auto"/>
              </w:rPr>
            </w:pPr>
          </w:p>
        </w:tc>
        <w:tc>
          <w:tcPr>
            <w:tcW w:w="600" w:type="dxa"/>
            <w:vAlign w:val="bottom"/>
            <w:tcBorders>
              <w:top w:val="single" w:sz="8" w:color="auto"/>
              <w:right w:val="single" w:sz="8" w:color="auto"/>
            </w:tcBorders>
          </w:tcPr>
          <w:p>
            <w:pPr>
              <w:spacing w:after="0"/>
              <w:rPr>
                <w:sz w:val="16"/>
                <w:szCs w:val="16"/>
                <w:color w:val="auto"/>
              </w:rPr>
            </w:pPr>
          </w:p>
        </w:tc>
        <w:tc>
          <w:tcPr>
            <w:tcW w:w="600" w:type="dxa"/>
            <w:vAlign w:val="bottom"/>
            <w:tcBorders>
              <w:top w:val="single" w:sz="8" w:color="auto"/>
              <w:right w:val="single" w:sz="8" w:color="auto"/>
            </w:tcBorders>
          </w:tcPr>
          <w:p>
            <w:pPr>
              <w:spacing w:after="0"/>
              <w:rPr>
                <w:sz w:val="16"/>
                <w:szCs w:val="16"/>
                <w:color w:val="auto"/>
              </w:rPr>
            </w:pPr>
          </w:p>
        </w:tc>
        <w:tc>
          <w:tcPr>
            <w:tcW w:w="620" w:type="dxa"/>
            <w:vAlign w:val="bottom"/>
            <w:tcBorders>
              <w:top w:val="single" w:sz="8" w:color="auto"/>
              <w:right w:val="single" w:sz="8" w:color="auto"/>
            </w:tcBorders>
          </w:tcPr>
          <w:p>
            <w:pPr>
              <w:spacing w:after="0"/>
              <w:rPr>
                <w:sz w:val="16"/>
                <w:szCs w:val="16"/>
                <w:color w:val="auto"/>
              </w:rPr>
            </w:pPr>
          </w:p>
        </w:tc>
        <w:tc>
          <w:tcPr>
            <w:tcW w:w="620" w:type="dxa"/>
            <w:vAlign w:val="bottom"/>
            <w:tcBorders>
              <w:top w:val="single" w:sz="8" w:color="auto"/>
              <w:right w:val="single" w:sz="8" w:color="auto"/>
            </w:tcBorders>
          </w:tcPr>
          <w:p>
            <w:pPr>
              <w:jc w:val="center"/>
              <w:ind w:right="4"/>
              <w:spacing w:after="0"/>
              <w:rPr>
                <w:sz w:val="20"/>
                <w:szCs w:val="20"/>
                <w:color w:val="auto"/>
              </w:rPr>
            </w:pPr>
            <w:r>
              <w:rPr>
                <w:rFonts w:ascii="Arial" w:cs="Arial" w:eastAsia="Arial" w:hAnsi="Arial"/>
                <w:sz w:val="11"/>
                <w:szCs w:val="11"/>
                <w:b w:val="1"/>
                <w:bCs w:val="1"/>
                <w:color w:val="auto"/>
                <w:w w:val="81"/>
              </w:rPr>
              <w:t>Achieved</w:t>
            </w:r>
          </w:p>
        </w:tc>
        <w:tc>
          <w:tcPr>
            <w:tcW w:w="720" w:type="dxa"/>
            <w:vAlign w:val="bottom"/>
            <w:tcBorders>
              <w:top w:val="single" w:sz="8" w:color="auto"/>
              <w:right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Weighted</w:t>
            </w:r>
          </w:p>
        </w:tc>
      </w:tr>
      <w:tr>
        <w:trPr>
          <w:trHeight w:val="147"/>
        </w:trPr>
        <w:tc>
          <w:tcPr>
            <w:tcW w:w="24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1"/>
                <w:szCs w:val="11"/>
                <w:b w:val="1"/>
                <w:bCs w:val="1"/>
                <w:color w:val="auto"/>
              </w:rPr>
              <w:t>Measure</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Weight</w:t>
            </w:r>
          </w:p>
        </w:tc>
        <w:tc>
          <w:tcPr>
            <w:tcW w:w="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1"/>
                <w:szCs w:val="11"/>
                <w:b w:val="1"/>
                <w:bCs w:val="1"/>
                <w:color w:val="auto"/>
                <w:w w:val="93"/>
              </w:rPr>
              <w:t>Threshold</w:t>
            </w:r>
          </w:p>
        </w:tc>
        <w:tc>
          <w:tcPr>
            <w:tcW w:w="6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1"/>
                <w:szCs w:val="11"/>
                <w:b w:val="1"/>
                <w:bCs w:val="1"/>
                <w:color w:val="auto"/>
              </w:rPr>
              <w:t>Target</w:t>
            </w:r>
          </w:p>
        </w:tc>
        <w:tc>
          <w:tcPr>
            <w:tcW w:w="6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1"/>
                <w:szCs w:val="11"/>
                <w:b w:val="1"/>
                <w:bCs w:val="1"/>
                <w:color w:val="auto"/>
                <w:w w:val="98"/>
              </w:rPr>
              <w:t>Maximum</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0"/>
              </w:rPr>
              <w:t>Results</w:t>
            </w:r>
          </w:p>
        </w:tc>
        <w:tc>
          <w:tcPr>
            <w:tcW w:w="720" w:type="dxa"/>
            <w:vAlign w:val="bottom"/>
            <w:tcBorders>
              <w:bottom w:val="single" w:sz="8" w:color="auto"/>
              <w:right w:val="single" w:sz="8" w:color="auto"/>
            </w:tcBorders>
          </w:tcPr>
          <w:p>
            <w:pPr>
              <w:jc w:val="right"/>
              <w:ind w:right="43"/>
              <w:spacing w:after="0"/>
              <w:rPr>
                <w:sz w:val="20"/>
                <w:szCs w:val="20"/>
                <w:color w:val="auto"/>
              </w:rPr>
            </w:pPr>
            <w:r>
              <w:rPr>
                <w:rFonts w:ascii="Arial" w:cs="Arial" w:eastAsia="Arial" w:hAnsi="Arial"/>
                <w:sz w:val="11"/>
                <w:szCs w:val="11"/>
                <w:b w:val="1"/>
                <w:bCs w:val="1"/>
                <w:color w:val="auto"/>
                <w:w w:val="87"/>
              </w:rPr>
              <w:t>Achievement</w:t>
            </w:r>
          </w:p>
        </w:tc>
      </w:tr>
      <w:tr>
        <w:trPr>
          <w:trHeight w:val="191"/>
        </w:trPr>
        <w:tc>
          <w:tcPr>
            <w:tcW w:w="24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Non-IFRS operating margin</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50%</w:t>
            </w:r>
          </w:p>
        </w:tc>
        <w:tc>
          <w:tcPr>
            <w:tcW w:w="600" w:type="dxa"/>
            <w:vAlign w:val="bottom"/>
            <w:tcBorders>
              <w:bottom w:val="single" w:sz="8" w:color="auto"/>
              <w:right w:val="single" w:sz="8" w:color="auto"/>
            </w:tcBorders>
          </w:tcPr>
          <w:p>
            <w:pPr>
              <w:jc w:val="right"/>
              <w:ind w:right="102"/>
              <w:spacing w:after="0"/>
              <w:rPr>
                <w:sz w:val="20"/>
                <w:szCs w:val="20"/>
                <w:color w:val="auto"/>
              </w:rPr>
            </w:pPr>
            <w:r>
              <w:rPr>
                <w:rFonts w:ascii="Arial" w:cs="Arial" w:eastAsia="Arial" w:hAnsi="Arial"/>
                <w:sz w:val="12"/>
                <w:szCs w:val="12"/>
                <w:color w:val="auto"/>
              </w:rPr>
              <w:t>2.25%</w:t>
            </w:r>
          </w:p>
        </w:tc>
        <w:tc>
          <w:tcPr>
            <w:tcW w:w="600" w:type="dxa"/>
            <w:vAlign w:val="bottom"/>
            <w:tcBorders>
              <w:bottom w:val="single" w:sz="8" w:color="auto"/>
              <w:right w:val="single" w:sz="8" w:color="auto"/>
            </w:tcBorders>
          </w:tcPr>
          <w:p>
            <w:pPr>
              <w:jc w:val="right"/>
              <w:ind w:right="122"/>
              <w:spacing w:after="0"/>
              <w:rPr>
                <w:sz w:val="20"/>
                <w:szCs w:val="20"/>
                <w:color w:val="auto"/>
              </w:rPr>
            </w:pPr>
            <w:r>
              <w:rPr>
                <w:rFonts w:ascii="Arial" w:cs="Arial" w:eastAsia="Arial" w:hAnsi="Arial"/>
                <w:sz w:val="12"/>
                <w:szCs w:val="12"/>
                <w:color w:val="auto"/>
              </w:rPr>
              <w:t>3.0%</w:t>
            </w:r>
          </w:p>
        </w:tc>
        <w:tc>
          <w:tcPr>
            <w:tcW w:w="620" w:type="dxa"/>
            <w:vAlign w:val="bottom"/>
            <w:tcBorders>
              <w:bottom w:val="single" w:sz="8" w:color="auto"/>
              <w:right w:val="single" w:sz="8" w:color="auto"/>
            </w:tcBorders>
          </w:tcPr>
          <w:p>
            <w:pPr>
              <w:jc w:val="right"/>
              <w:ind w:right="102"/>
              <w:spacing w:after="0"/>
              <w:rPr>
                <w:sz w:val="20"/>
                <w:szCs w:val="20"/>
                <w:color w:val="auto"/>
              </w:rPr>
            </w:pPr>
            <w:r>
              <w:rPr>
                <w:rFonts w:ascii="Arial" w:cs="Arial" w:eastAsia="Arial" w:hAnsi="Arial"/>
                <w:sz w:val="12"/>
                <w:szCs w:val="12"/>
                <w:color w:val="auto"/>
              </w:rPr>
              <w:t>3.75%</w:t>
            </w:r>
          </w:p>
        </w:tc>
        <w:tc>
          <w:tcPr>
            <w:tcW w:w="620" w:type="dxa"/>
            <w:vAlign w:val="bottom"/>
            <w:tcBorders>
              <w:bottom w:val="single" w:sz="8" w:color="auto"/>
              <w:right w:val="single" w:sz="8" w:color="auto"/>
            </w:tcBorders>
          </w:tcPr>
          <w:p>
            <w:pPr>
              <w:jc w:val="right"/>
              <w:ind w:right="124"/>
              <w:spacing w:after="0"/>
              <w:rPr>
                <w:sz w:val="20"/>
                <w:szCs w:val="20"/>
                <w:color w:val="auto"/>
              </w:rPr>
            </w:pPr>
            <w:r>
              <w:rPr>
                <w:rFonts w:ascii="Arial" w:cs="Arial" w:eastAsia="Arial" w:hAnsi="Arial"/>
                <w:sz w:val="12"/>
                <w:szCs w:val="12"/>
                <w:color w:val="auto"/>
              </w:rPr>
              <w:t>3.46%</w:t>
            </w:r>
          </w:p>
        </w:tc>
        <w:tc>
          <w:tcPr>
            <w:tcW w:w="720" w:type="dxa"/>
            <w:vAlign w:val="bottom"/>
            <w:tcBorders>
              <w:bottom w:val="single" w:sz="8" w:color="auto"/>
              <w:right w:val="single" w:sz="8" w:color="auto"/>
            </w:tcBorders>
          </w:tcPr>
          <w:p>
            <w:pPr>
              <w:jc w:val="right"/>
              <w:ind w:right="183"/>
              <w:spacing w:after="0"/>
              <w:rPr>
                <w:sz w:val="20"/>
                <w:szCs w:val="20"/>
                <w:color w:val="auto"/>
              </w:rPr>
            </w:pPr>
            <w:r>
              <w:rPr>
                <w:rFonts w:ascii="Arial" w:cs="Arial" w:eastAsia="Arial" w:hAnsi="Arial"/>
                <w:sz w:val="12"/>
                <w:szCs w:val="12"/>
                <w:color w:val="auto"/>
              </w:rPr>
              <w:t>82%</w:t>
            </w:r>
          </w:p>
        </w:tc>
      </w:tr>
      <w:tr>
        <w:trPr>
          <w:trHeight w:val="189"/>
        </w:trPr>
        <w:tc>
          <w:tcPr>
            <w:tcW w:w="24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IFRS revenue</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50%</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4"/>
              </w:rPr>
              <w:t>$4,784M</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8"/>
              </w:rPr>
              <w:t>$5,200M</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4"/>
              </w:rPr>
              <w:t>$5,616M</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8"/>
              </w:rPr>
              <w:t>$5,748M</w:t>
            </w:r>
          </w:p>
        </w:tc>
        <w:tc>
          <w:tcPr>
            <w:tcW w:w="720" w:type="dxa"/>
            <w:vAlign w:val="bottom"/>
            <w:tcBorders>
              <w:bottom w:val="single" w:sz="8" w:color="auto"/>
              <w:right w:val="single" w:sz="8" w:color="auto"/>
            </w:tcBorders>
          </w:tcPr>
          <w:p>
            <w:pPr>
              <w:jc w:val="right"/>
              <w:ind w:right="183"/>
              <w:spacing w:after="0"/>
              <w:rPr>
                <w:sz w:val="20"/>
                <w:szCs w:val="20"/>
                <w:color w:val="auto"/>
              </w:rPr>
            </w:pPr>
            <w:r>
              <w:rPr>
                <w:rFonts w:ascii="Arial" w:cs="Arial" w:eastAsia="Arial" w:hAnsi="Arial"/>
                <w:sz w:val="12"/>
                <w:szCs w:val="12"/>
                <w:color w:val="auto"/>
              </w:rPr>
              <w:t>100%</w:t>
            </w:r>
          </w:p>
        </w:tc>
      </w:tr>
      <w:tr>
        <w:trPr>
          <w:trHeight w:val="189"/>
        </w:trPr>
        <w:tc>
          <w:tcPr>
            <w:tcW w:w="24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2"/>
                <w:szCs w:val="12"/>
                <w:b w:val="1"/>
                <w:bCs w:val="1"/>
                <w:color w:val="auto"/>
              </w:rPr>
              <w:t>CPF</w:t>
            </w:r>
          </w:p>
        </w:tc>
        <w:tc>
          <w:tcPr>
            <w:tcW w:w="4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jc w:val="right"/>
              <w:ind w:right="183"/>
              <w:spacing w:after="0"/>
              <w:rPr>
                <w:sz w:val="20"/>
                <w:szCs w:val="20"/>
                <w:color w:val="auto"/>
              </w:rPr>
            </w:pPr>
            <w:r>
              <w:rPr>
                <w:rFonts w:ascii="Arial" w:cs="Arial" w:eastAsia="Arial" w:hAnsi="Arial"/>
                <w:sz w:val="12"/>
                <w:szCs w:val="12"/>
                <w:b w:val="1"/>
                <w:bCs w:val="1"/>
                <w:color w:val="auto"/>
              </w:rPr>
              <w:t>182%</w:t>
            </w:r>
          </w:p>
        </w:tc>
      </w:tr>
      <w:tr>
        <w:trPr>
          <w:trHeight w:val="20"/>
        </w:trPr>
        <w:tc>
          <w:tcPr>
            <w:tcW w:w="2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1740"/>
        <w:spacing w:after="0"/>
        <w:rPr>
          <w:sz w:val="20"/>
          <w:szCs w:val="20"/>
          <w:color w:val="auto"/>
        </w:rPr>
      </w:pPr>
      <w:r>
        <w:rPr>
          <w:rFonts w:ascii="Arial" w:cs="Arial" w:eastAsia="Arial" w:hAnsi="Arial"/>
          <w:sz w:val="15"/>
          <w:szCs w:val="15"/>
          <w:b w:val="1"/>
          <w:bCs w:val="1"/>
          <w:u w:val="single" w:color="auto"/>
          <w:color w:val="auto"/>
        </w:rPr>
        <w:t>2020 Individual Performance Factor</w:t>
      </w:r>
    </w:p>
    <w:p>
      <w:pPr>
        <w:spacing w:after="0" w:line="178" w:lineRule="exact"/>
        <w:rPr>
          <w:sz w:val="20"/>
          <w:szCs w:val="20"/>
          <w:color w:val="auto"/>
        </w:rPr>
      </w:pPr>
    </w:p>
    <w:p>
      <w:pPr>
        <w:jc w:val="both"/>
        <w:ind w:left="1480" w:right="1499"/>
        <w:spacing w:after="0" w:line="265" w:lineRule="auto"/>
        <w:rPr>
          <w:sz w:val="20"/>
          <w:szCs w:val="20"/>
          <w:color w:val="auto"/>
        </w:rPr>
      </w:pPr>
      <w:r>
        <w:rPr>
          <w:rFonts w:ascii="Arial" w:cs="Arial" w:eastAsia="Arial" w:hAnsi="Arial"/>
          <w:sz w:val="13"/>
          <w:szCs w:val="13"/>
          <w:color w:val="auto"/>
        </w:rPr>
        <w:t>The IPF can increase an executive’s CTI award by a factor of up to 1.5x or reduce the CTI award to zero depending on individual performance (an IPF of less than 1.0 will result in a reduction of the CTI award otherwise payable). Notwithstanding the foregoing, CTI payments are subject to an overall maximum cap of 200% of the Target Award. The IPF is determined through the annual performance review process.</w:t>
      </w:r>
    </w:p>
    <w:p>
      <w:pPr>
        <w:spacing w:after="0" w:line="56" w:lineRule="exact"/>
        <w:rPr>
          <w:sz w:val="20"/>
          <w:szCs w:val="20"/>
          <w:color w:val="auto"/>
        </w:rPr>
      </w:pPr>
    </w:p>
    <w:p>
      <w:pPr>
        <w:jc w:val="both"/>
        <w:ind w:left="1480" w:right="1499"/>
        <w:spacing w:after="0" w:line="261" w:lineRule="auto"/>
        <w:rPr>
          <w:sz w:val="20"/>
          <w:szCs w:val="20"/>
          <w:color w:val="auto"/>
        </w:rPr>
      </w:pPr>
      <w:r>
        <w:rPr>
          <w:rFonts w:ascii="Arial" w:cs="Arial" w:eastAsia="Arial" w:hAnsi="Arial"/>
          <w:sz w:val="13"/>
          <w:szCs w:val="13"/>
          <w:color w:val="auto"/>
        </w:rPr>
        <w:t>At the beginning of each year, the HRCC and the CEO agree on performance goals for the CEO that are then approved by the Board. Goals for the other NEOs that align with the CEO’s goals are then established and agreed to between the CEO and the respective NEOs. The performance of the CEO and the other NEOs is measured against the established goals, but also contains subjective elements, such that criteria for, and the amount of, the IPF remains at the discretion of the HRCC. However, the CPF must be greater than zero for an executive to be entitled to any CTI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4" w:name="page65"/>
    <w:bookmarkEnd w:id="64"/>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97" w:lineRule="exact"/>
        <w:rPr>
          <w:sz w:val="20"/>
          <w:szCs w:val="20"/>
          <w:color w:val="auto"/>
        </w:rPr>
      </w:pPr>
    </w:p>
    <w:p>
      <w:pPr>
        <w:ind w:left="1480"/>
        <w:spacing w:after="0"/>
        <w:rPr>
          <w:sz w:val="20"/>
          <w:szCs w:val="20"/>
          <w:color w:val="auto"/>
        </w:rPr>
      </w:pPr>
      <w:r>
        <w:rPr>
          <w:rFonts w:ascii="Arial" w:cs="Arial" w:eastAsia="Arial" w:hAnsi="Arial"/>
          <w:sz w:val="13"/>
          <w:szCs w:val="13"/>
          <w:b w:val="1"/>
          <w:bCs w:val="1"/>
          <w:i w:val="1"/>
          <w:iCs w:val="1"/>
          <w:color w:val="auto"/>
        </w:rPr>
        <w:t>CEO</w:t>
      </w:r>
    </w:p>
    <w:p>
      <w:pPr>
        <w:spacing w:after="0" w:line="89" w:lineRule="exact"/>
        <w:rPr>
          <w:sz w:val="20"/>
          <w:szCs w:val="20"/>
          <w:color w:val="auto"/>
        </w:rPr>
      </w:pPr>
    </w:p>
    <w:p>
      <w:pPr>
        <w:jc w:val="both"/>
        <w:ind w:left="1480" w:right="1499"/>
        <w:spacing w:after="0" w:line="249" w:lineRule="auto"/>
        <w:rPr>
          <w:sz w:val="20"/>
          <w:szCs w:val="20"/>
          <w:color w:val="auto"/>
        </w:rPr>
      </w:pPr>
      <w:r>
        <w:rPr>
          <w:rFonts w:ascii="Arial" w:cs="Arial" w:eastAsia="Arial" w:hAnsi="Arial"/>
          <w:sz w:val="13"/>
          <w:szCs w:val="13"/>
          <w:color w:val="auto"/>
        </w:rPr>
        <w:t>In assessing Mr. Mionis’ individual performance, the HRCC considers the Corporation’s objectives and results achieved, personal performance objectives as determined annually, as well as other factors the Committee considers relevant to the role of CEO. Key results that were considered in determining Mr. Mionis’ IPF for 2020 are included below:</w:t>
      </w:r>
    </w:p>
    <w:p>
      <w:pPr>
        <w:spacing w:after="0" w:line="65" w:lineRule="exact"/>
        <w:rPr>
          <w:sz w:val="20"/>
          <w:szCs w:val="20"/>
          <w:color w:val="auto"/>
        </w:rPr>
      </w:pPr>
    </w:p>
    <w:tbl>
      <w:tblPr>
        <w:tblLayout w:type="fixed"/>
        <w:tblInd w:w="1490" w:type="dxa"/>
        <w:tblCellMar>
          <w:top w:w="0" w:type="dxa"/>
          <w:left w:w="0" w:type="dxa"/>
          <w:bottom w:w="0" w:type="dxa"/>
          <w:right w:w="0" w:type="dxa"/>
        </w:tblCellMar>
      </w:tblPr>
      <w:tr>
        <w:trPr>
          <w:trHeight w:val="190"/>
        </w:trPr>
        <w:tc>
          <w:tcPr>
            <w:tcW w:w="96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1"/>
                <w:szCs w:val="11"/>
                <w:b w:val="1"/>
                <w:bCs w:val="1"/>
                <w:color w:val="auto"/>
              </w:rPr>
              <w:t>Objective</w:t>
            </w:r>
          </w:p>
        </w:tc>
        <w:tc>
          <w:tcPr>
            <w:tcW w:w="126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1"/>
                <w:szCs w:val="11"/>
                <w:b w:val="1"/>
                <w:bCs w:val="1"/>
                <w:color w:val="auto"/>
              </w:rPr>
              <w:t>Metric</w:t>
            </w:r>
          </w:p>
        </w:tc>
        <w:tc>
          <w:tcPr>
            <w:tcW w:w="3840" w:type="dxa"/>
            <w:vAlign w:val="bottom"/>
            <w:tcBorders>
              <w:top w:val="single" w:sz="8" w:color="auto"/>
              <w:bottom w:val="single" w:sz="8" w:color="auto"/>
              <w:right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2020 Result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right w:val="single" w:sz="8" w:color="auto"/>
            </w:tcBorders>
          </w:tcPr>
          <w:p>
            <w:pPr>
              <w:spacing w:after="0"/>
              <w:rPr>
                <w:sz w:val="14"/>
                <w:szCs w:val="14"/>
                <w:color w:val="auto"/>
              </w:rPr>
            </w:pPr>
          </w:p>
        </w:tc>
        <w:tc>
          <w:tcPr>
            <w:tcW w:w="12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Financial Targets</w:t>
            </w: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Non-IFRS operating margin improved 80 basis points compared to</w:t>
            </w:r>
          </w:p>
        </w:tc>
        <w:tc>
          <w:tcPr>
            <w:tcW w:w="0" w:type="dxa"/>
            <w:vAlign w:val="bottom"/>
          </w:tcPr>
          <w:p>
            <w:pPr>
              <w:spacing w:after="0"/>
              <w:rPr>
                <w:sz w:val="1"/>
                <w:szCs w:val="1"/>
                <w:color w:val="auto"/>
              </w:rPr>
            </w:pPr>
          </w:p>
        </w:tc>
      </w:tr>
      <w:tr>
        <w:trPr>
          <w:trHeight w:val="152"/>
        </w:trPr>
        <w:tc>
          <w:tcPr>
            <w:tcW w:w="960" w:type="dxa"/>
            <w:vAlign w:val="bottom"/>
            <w:tcBorders>
              <w:left w:val="single" w:sz="8" w:color="auto"/>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2019</w:t>
            </w:r>
          </w:p>
        </w:tc>
        <w:tc>
          <w:tcPr>
            <w:tcW w:w="0" w:type="dxa"/>
            <w:vAlign w:val="bottom"/>
          </w:tcPr>
          <w:p>
            <w:pPr>
              <w:spacing w:after="0"/>
              <w:rPr>
                <w:sz w:val="1"/>
                <w:szCs w:val="1"/>
                <w:color w:val="auto"/>
              </w:rPr>
            </w:pPr>
          </w:p>
        </w:tc>
      </w:tr>
      <w:tr>
        <w:trPr>
          <w:trHeight w:val="156"/>
        </w:trPr>
        <w:tc>
          <w:tcPr>
            <w:tcW w:w="960" w:type="dxa"/>
            <w:vAlign w:val="bottom"/>
            <w:tcBorders>
              <w:left w:val="single" w:sz="8" w:color="auto"/>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6"/>
              </w:rPr>
              <w:t>Expanded non-IFRS adjusted EPS by approximately 80% compared to</w:t>
            </w:r>
          </w:p>
        </w:tc>
        <w:tc>
          <w:tcPr>
            <w:tcW w:w="0" w:type="dxa"/>
            <w:vAlign w:val="bottom"/>
          </w:tcPr>
          <w:p>
            <w:pPr>
              <w:spacing w:after="0"/>
              <w:rPr>
                <w:sz w:val="1"/>
                <w:szCs w:val="1"/>
                <w:color w:val="auto"/>
              </w:rPr>
            </w:pPr>
          </w:p>
        </w:tc>
      </w:tr>
      <w:tr>
        <w:trPr>
          <w:trHeight w:val="149"/>
        </w:trPr>
        <w:tc>
          <w:tcPr>
            <w:tcW w:w="96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2019</w:t>
            </w:r>
          </w:p>
        </w:tc>
        <w:tc>
          <w:tcPr>
            <w:tcW w:w="0" w:type="dxa"/>
            <w:vAlign w:val="bottom"/>
          </w:tcPr>
          <w:p>
            <w:pPr>
              <w:spacing w:after="0"/>
              <w:rPr>
                <w:sz w:val="1"/>
                <w:szCs w:val="1"/>
                <w:color w:val="auto"/>
              </w:rPr>
            </w:pPr>
          </w:p>
        </w:tc>
      </w:tr>
      <w:tr>
        <w:trPr>
          <w:trHeight w:val="159"/>
        </w:trPr>
        <w:tc>
          <w:tcPr>
            <w:tcW w:w="960" w:type="dxa"/>
            <w:vAlign w:val="bottom"/>
            <w:tcBorders>
              <w:left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w:t>
            </w:r>
          </w:p>
        </w:tc>
        <w:tc>
          <w:tcPr>
            <w:tcW w:w="3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Celestica generated $126 million in non-IFRS free cash flow</w:t>
            </w:r>
          </w:p>
        </w:tc>
        <w:tc>
          <w:tcPr>
            <w:tcW w:w="0" w:type="dxa"/>
            <w:vAlign w:val="bottom"/>
          </w:tcPr>
          <w:p>
            <w:pPr>
              <w:spacing w:after="0"/>
              <w:rPr>
                <w:sz w:val="1"/>
                <w:szCs w:val="1"/>
                <w:color w:val="auto"/>
              </w:rPr>
            </w:pPr>
          </w:p>
        </w:tc>
      </w:tr>
      <w:tr>
        <w:trPr>
          <w:trHeight w:val="169"/>
        </w:trPr>
        <w:tc>
          <w:tcPr>
            <w:tcW w:w="9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Meet</w:t>
            </w:r>
          </w:p>
        </w:tc>
        <w:tc>
          <w:tcPr>
            <w:tcW w:w="12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Bookings</w:t>
            </w: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4"/>
              </w:rPr>
              <w:t>Strong bookings momentum across ATS and CCS segments marked by</w:t>
            </w:r>
          </w:p>
        </w:tc>
        <w:tc>
          <w:tcPr>
            <w:tcW w:w="0" w:type="dxa"/>
            <w:vAlign w:val="bottom"/>
          </w:tcPr>
          <w:p>
            <w:pPr>
              <w:spacing w:after="0"/>
              <w:rPr>
                <w:sz w:val="1"/>
                <w:szCs w:val="1"/>
                <w:color w:val="auto"/>
              </w:rPr>
            </w:pPr>
          </w:p>
        </w:tc>
      </w:tr>
      <w:tr>
        <w:trPr>
          <w:trHeight w:val="139"/>
        </w:trPr>
        <w:tc>
          <w:tcPr>
            <w:tcW w:w="9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Commitments</w:t>
            </w:r>
          </w:p>
        </w:tc>
        <w:tc>
          <w:tcPr>
            <w:tcW w:w="12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expansion of our customer base and market share gains; record</w:t>
            </w:r>
          </w:p>
        </w:tc>
        <w:tc>
          <w:tcPr>
            <w:tcW w:w="0" w:type="dxa"/>
            <w:vAlign w:val="bottom"/>
          </w:tcPr>
          <w:p>
            <w:pPr>
              <w:spacing w:after="0"/>
              <w:rPr>
                <w:sz w:val="1"/>
                <w:szCs w:val="1"/>
                <w:color w:val="auto"/>
              </w:rPr>
            </w:pPr>
          </w:p>
        </w:tc>
      </w:tr>
      <w:tr>
        <w:trPr>
          <w:trHeight w:val="159"/>
        </w:trPr>
        <w:tc>
          <w:tcPr>
            <w:tcW w:w="960" w:type="dxa"/>
            <w:vAlign w:val="bottom"/>
            <w:tcBorders>
              <w:left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bookings achieved in HPS</w:t>
            </w:r>
          </w:p>
        </w:tc>
        <w:tc>
          <w:tcPr>
            <w:tcW w:w="0" w:type="dxa"/>
            <w:vAlign w:val="bottom"/>
          </w:tcPr>
          <w:p>
            <w:pPr>
              <w:spacing w:after="0"/>
              <w:rPr>
                <w:sz w:val="1"/>
                <w:szCs w:val="1"/>
                <w:color w:val="auto"/>
              </w:rPr>
            </w:pPr>
          </w:p>
        </w:tc>
      </w:tr>
      <w:tr>
        <w:trPr>
          <w:trHeight w:val="169"/>
        </w:trPr>
        <w:tc>
          <w:tcPr>
            <w:tcW w:w="960" w:type="dxa"/>
            <w:vAlign w:val="bottom"/>
            <w:tcBorders>
              <w:left w:val="single" w:sz="8" w:color="auto"/>
              <w:right w:val="single" w:sz="8" w:color="auto"/>
            </w:tcBorders>
          </w:tcPr>
          <w:p>
            <w:pPr>
              <w:spacing w:after="0"/>
              <w:rPr>
                <w:sz w:val="14"/>
                <w:szCs w:val="14"/>
                <w:color w:val="auto"/>
              </w:rPr>
            </w:pPr>
          </w:p>
        </w:tc>
        <w:tc>
          <w:tcPr>
            <w:tcW w:w="12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8"/>
              </w:rPr>
              <w:t>Customer Satisfaction</w:t>
            </w: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5"/>
              </w:rPr>
              <w:t>More than 90% of participating customers ranked Celestica either #1 or</w:t>
            </w:r>
          </w:p>
        </w:tc>
        <w:tc>
          <w:tcPr>
            <w:tcW w:w="0" w:type="dxa"/>
            <w:vAlign w:val="bottom"/>
          </w:tcPr>
          <w:p>
            <w:pPr>
              <w:spacing w:after="0"/>
              <w:rPr>
                <w:sz w:val="1"/>
                <w:szCs w:val="1"/>
                <w:color w:val="auto"/>
              </w:rPr>
            </w:pPr>
          </w:p>
        </w:tc>
      </w:tr>
      <w:tr>
        <w:trPr>
          <w:trHeight w:val="152"/>
        </w:trPr>
        <w:tc>
          <w:tcPr>
            <w:tcW w:w="960" w:type="dxa"/>
            <w:vAlign w:val="bottom"/>
            <w:tcBorders>
              <w:left w:val="single" w:sz="8" w:color="auto"/>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#2 on their 2020 year-end customer scorecards</w:t>
            </w:r>
          </w:p>
        </w:tc>
        <w:tc>
          <w:tcPr>
            <w:tcW w:w="0" w:type="dxa"/>
            <w:vAlign w:val="bottom"/>
          </w:tcPr>
          <w:p>
            <w:pPr>
              <w:spacing w:after="0"/>
              <w:rPr>
                <w:sz w:val="1"/>
                <w:szCs w:val="1"/>
                <w:color w:val="auto"/>
              </w:rPr>
            </w:pPr>
          </w:p>
        </w:tc>
      </w:tr>
      <w:tr>
        <w:trPr>
          <w:trHeight w:val="156"/>
        </w:trPr>
        <w:tc>
          <w:tcPr>
            <w:tcW w:w="960" w:type="dxa"/>
            <w:vAlign w:val="bottom"/>
            <w:tcBorders>
              <w:left w:val="single" w:sz="8" w:color="auto"/>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Deployed “Flawless Launch” program which drives improved</w:t>
            </w:r>
          </w:p>
        </w:tc>
        <w:tc>
          <w:tcPr>
            <w:tcW w:w="0" w:type="dxa"/>
            <w:vAlign w:val="bottom"/>
          </w:tcPr>
          <w:p>
            <w:pPr>
              <w:spacing w:after="0"/>
              <w:rPr>
                <w:sz w:val="1"/>
                <w:szCs w:val="1"/>
                <w:color w:val="auto"/>
              </w:rPr>
            </w:pPr>
          </w:p>
        </w:tc>
      </w:tr>
      <w:tr>
        <w:trPr>
          <w:trHeight w:val="159"/>
        </w:trPr>
        <w:tc>
          <w:tcPr>
            <w:tcW w:w="960" w:type="dxa"/>
            <w:vAlign w:val="bottom"/>
            <w:tcBorders>
              <w:left w:val="single" w:sz="8" w:color="auto"/>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performance</w:t>
            </w:r>
          </w:p>
        </w:tc>
        <w:tc>
          <w:tcPr>
            <w:tcW w:w="0" w:type="dxa"/>
            <w:vAlign w:val="bottom"/>
          </w:tcPr>
          <w:p>
            <w:pPr>
              <w:spacing w:after="0"/>
              <w:rPr>
                <w:sz w:val="1"/>
                <w:szCs w:val="1"/>
                <w:color w:val="auto"/>
              </w:rPr>
            </w:pPr>
          </w:p>
        </w:tc>
      </w:tr>
      <w:tr>
        <w:trPr>
          <w:trHeight w:val="169"/>
        </w:trPr>
        <w:tc>
          <w:tcPr>
            <w:tcW w:w="96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2"/>
                <w:szCs w:val="12"/>
                <w:color w:val="auto"/>
              </w:rPr>
              <w:t>Proactively</w:t>
            </w:r>
          </w:p>
        </w:tc>
        <w:tc>
          <w:tcPr>
            <w:tcW w:w="12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Expand ATS</w:t>
            </w: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8"/>
              </w:rPr>
              <w:t>Expanded core ATS capabilities with increased focus on engineering-</w:t>
            </w:r>
          </w:p>
        </w:tc>
        <w:tc>
          <w:tcPr>
            <w:tcW w:w="0" w:type="dxa"/>
            <w:vAlign w:val="bottom"/>
          </w:tcPr>
          <w:p>
            <w:pPr>
              <w:spacing w:after="0"/>
              <w:rPr>
                <w:sz w:val="1"/>
                <w:szCs w:val="1"/>
                <w:color w:val="auto"/>
              </w:rPr>
            </w:pPr>
          </w:p>
        </w:tc>
      </w:tr>
      <w:tr>
        <w:trPr>
          <w:trHeight w:val="90"/>
        </w:trPr>
        <w:tc>
          <w:tcPr>
            <w:tcW w:w="960" w:type="dxa"/>
            <w:vAlign w:val="bottom"/>
            <w:tcBorders>
              <w:left w:val="single" w:sz="8" w:color="auto"/>
              <w:right w:val="single" w:sz="8" w:color="auto"/>
            </w:tcBorders>
            <w:vMerge w:val="continue"/>
          </w:tcPr>
          <w:p>
            <w:pPr>
              <w:spacing w:after="0"/>
              <w:rPr>
                <w:sz w:val="7"/>
                <w:szCs w:val="7"/>
                <w:color w:val="auto"/>
              </w:rPr>
            </w:pPr>
          </w:p>
        </w:tc>
        <w:tc>
          <w:tcPr>
            <w:tcW w:w="1260" w:type="dxa"/>
            <w:vAlign w:val="bottom"/>
            <w:tcBorders>
              <w:right w:val="single" w:sz="8" w:color="auto"/>
            </w:tcBorders>
            <w:vMerge w:val="restart"/>
          </w:tcPr>
          <w:p>
            <w:pPr>
              <w:ind w:left="60"/>
              <w:spacing w:after="0"/>
              <w:rPr>
                <w:sz w:val="20"/>
                <w:szCs w:val="20"/>
                <w:color w:val="auto"/>
              </w:rPr>
            </w:pPr>
            <w:r>
              <w:rPr>
                <w:rFonts w:ascii="Arial" w:cs="Arial" w:eastAsia="Arial" w:hAnsi="Arial"/>
                <w:sz w:val="12"/>
                <w:szCs w:val="12"/>
                <w:color w:val="auto"/>
              </w:rPr>
              <w:t>Capabilities</w:t>
            </w:r>
          </w:p>
        </w:tc>
        <w:tc>
          <w:tcPr>
            <w:tcW w:w="140" w:type="dxa"/>
            <w:vAlign w:val="bottom"/>
          </w:tcPr>
          <w:p>
            <w:pPr>
              <w:spacing w:after="0"/>
              <w:rPr>
                <w:sz w:val="7"/>
                <w:szCs w:val="7"/>
                <w:color w:val="auto"/>
              </w:rPr>
            </w:pPr>
          </w:p>
        </w:tc>
        <w:tc>
          <w:tcPr>
            <w:tcW w:w="370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color w:val="auto"/>
              </w:rPr>
              <w:t>led opportunities that include engineering and design services</w:t>
            </w:r>
          </w:p>
        </w:tc>
        <w:tc>
          <w:tcPr>
            <w:tcW w:w="0" w:type="dxa"/>
            <w:vAlign w:val="bottom"/>
          </w:tcPr>
          <w:p>
            <w:pPr>
              <w:spacing w:after="0"/>
              <w:rPr>
                <w:sz w:val="1"/>
                <w:szCs w:val="1"/>
                <w:color w:val="auto"/>
              </w:rPr>
            </w:pPr>
          </w:p>
        </w:tc>
      </w:tr>
      <w:tr>
        <w:trPr>
          <w:trHeight w:val="67"/>
        </w:trPr>
        <w:tc>
          <w:tcPr>
            <w:tcW w:w="96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2"/>
                <w:szCs w:val="12"/>
                <w:color w:val="auto"/>
              </w:rPr>
              <w:t>Manage</w:t>
            </w:r>
          </w:p>
        </w:tc>
        <w:tc>
          <w:tcPr>
            <w:tcW w:w="1260" w:type="dxa"/>
            <w:vAlign w:val="bottom"/>
            <w:tcBorders>
              <w:bottom w:val="single" w:sz="8" w:color="auto"/>
              <w:right w:val="single" w:sz="8" w:color="auto"/>
            </w:tcBorders>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70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960" w:type="dxa"/>
            <w:vAlign w:val="bottom"/>
            <w:tcBorders>
              <w:left w:val="single" w:sz="8" w:color="auto"/>
              <w:right w:val="single" w:sz="8" w:color="auto"/>
            </w:tcBorders>
            <w:vMerge w:val="continue"/>
          </w:tcPr>
          <w:p>
            <w:pPr>
              <w:spacing w:after="0"/>
              <w:rPr>
                <w:sz w:val="4"/>
                <w:szCs w:val="4"/>
                <w:color w:val="auto"/>
              </w:rPr>
            </w:pPr>
          </w:p>
        </w:tc>
        <w:tc>
          <w:tcPr>
            <w:tcW w:w="1260" w:type="dxa"/>
            <w:vAlign w:val="bottom"/>
            <w:tcBorders>
              <w:right w:val="single" w:sz="8" w:color="auto"/>
            </w:tcBorders>
            <w:vMerge w:val="restart"/>
          </w:tcPr>
          <w:p>
            <w:pPr>
              <w:ind w:left="60"/>
              <w:spacing w:after="0"/>
              <w:rPr>
                <w:sz w:val="20"/>
                <w:szCs w:val="20"/>
                <w:color w:val="auto"/>
              </w:rPr>
            </w:pPr>
            <w:r>
              <w:rPr>
                <w:rFonts w:ascii="Arial" w:cs="Arial" w:eastAsia="Arial" w:hAnsi="Arial"/>
                <w:sz w:val="12"/>
                <w:szCs w:val="12"/>
                <w:color w:val="auto"/>
              </w:rPr>
              <w:t>Continue CCS</w:t>
            </w:r>
          </w:p>
        </w:tc>
        <w:tc>
          <w:tcPr>
            <w:tcW w:w="140" w:type="dxa"/>
            <w:vAlign w:val="bottom"/>
            <w:vMerge w:val="restart"/>
          </w:tcPr>
          <w:p>
            <w:pPr>
              <w:ind w:left="60"/>
              <w:spacing w:after="0"/>
              <w:rPr>
                <w:sz w:val="20"/>
                <w:szCs w:val="20"/>
                <w:color w:val="auto"/>
              </w:rPr>
            </w:pPr>
            <w:r>
              <w:rPr>
                <w:rFonts w:ascii="Arial" w:cs="Arial" w:eastAsia="Arial" w:hAnsi="Arial"/>
                <w:sz w:val="12"/>
                <w:szCs w:val="12"/>
                <w:color w:val="auto"/>
              </w:rPr>
              <w:t>•</w:t>
            </w:r>
          </w:p>
        </w:tc>
        <w:tc>
          <w:tcPr>
            <w:tcW w:w="370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color w:val="auto"/>
              </w:rPr>
              <w:t>Progress on strategic initiatives and portfolio reshaping, including</w:t>
            </w: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ind w:left="60"/>
              <w:spacing w:after="0" w:line="120" w:lineRule="exact"/>
              <w:rPr>
                <w:sz w:val="20"/>
                <w:szCs w:val="20"/>
                <w:color w:val="auto"/>
              </w:rPr>
            </w:pPr>
            <w:r>
              <w:rPr>
                <w:rFonts w:ascii="Arial" w:cs="Arial" w:eastAsia="Arial" w:hAnsi="Arial"/>
                <w:sz w:val="12"/>
                <w:szCs w:val="12"/>
                <w:color w:val="auto"/>
              </w:rPr>
              <w:t>Business</w:t>
            </w:r>
          </w:p>
        </w:tc>
        <w:tc>
          <w:tcPr>
            <w:tcW w:w="1260" w:type="dxa"/>
            <w:vAlign w:val="bottom"/>
            <w:tcBorders>
              <w:right w:val="single" w:sz="8" w:color="auto"/>
            </w:tcBorders>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37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9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Portfolio</w:t>
            </w:r>
          </w:p>
        </w:tc>
        <w:tc>
          <w:tcPr>
            <w:tcW w:w="12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Portfolio Shaping</w:t>
            </w:r>
          </w:p>
        </w:tc>
        <w:tc>
          <w:tcPr>
            <w:tcW w:w="140" w:type="dxa"/>
            <w:vAlign w:val="bottom"/>
          </w:tcPr>
          <w:p>
            <w:pPr>
              <w:spacing w:after="0"/>
              <w:rPr>
                <w:sz w:val="13"/>
                <w:szCs w:val="13"/>
                <w:color w:val="auto"/>
              </w:rPr>
            </w:pP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successful completion of planned customer disengagement</w:t>
            </w:r>
          </w:p>
        </w:tc>
        <w:tc>
          <w:tcPr>
            <w:tcW w:w="0" w:type="dxa"/>
            <w:vAlign w:val="bottom"/>
          </w:tcPr>
          <w:p>
            <w:pPr>
              <w:spacing w:after="0"/>
              <w:rPr>
                <w:sz w:val="1"/>
                <w:szCs w:val="1"/>
                <w:color w:val="auto"/>
              </w:rPr>
            </w:pPr>
          </w:p>
        </w:tc>
      </w:tr>
      <w:tr>
        <w:trPr>
          <w:trHeight w:val="154"/>
        </w:trPr>
        <w:tc>
          <w:tcPr>
            <w:tcW w:w="960" w:type="dxa"/>
            <w:vAlign w:val="bottom"/>
            <w:tcBorders>
              <w:left w:val="single" w:sz="8" w:color="auto"/>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w:t>
            </w:r>
          </w:p>
        </w:tc>
        <w:tc>
          <w:tcPr>
            <w:tcW w:w="3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Grew HPS revenue by 80% from 2019</w:t>
            </w:r>
          </w:p>
        </w:tc>
        <w:tc>
          <w:tcPr>
            <w:tcW w:w="0" w:type="dxa"/>
            <w:vAlign w:val="bottom"/>
          </w:tcPr>
          <w:p>
            <w:pPr>
              <w:spacing w:after="0"/>
              <w:rPr>
                <w:sz w:val="1"/>
                <w:szCs w:val="1"/>
                <w:color w:val="auto"/>
              </w:rPr>
            </w:pPr>
          </w:p>
        </w:tc>
      </w:tr>
      <w:tr>
        <w:trPr>
          <w:trHeight w:val="164"/>
        </w:trPr>
        <w:tc>
          <w:tcPr>
            <w:tcW w:w="96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2"/>
                <w:szCs w:val="12"/>
                <w:color w:val="auto"/>
              </w:rPr>
              <w:t>Drive Towards</w:t>
            </w:r>
          </w:p>
        </w:tc>
        <w:tc>
          <w:tcPr>
            <w:tcW w:w="12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Quality and Cost</w:t>
            </w: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8"/>
              </w:rPr>
              <w:t>Adjusted cost base to better align with anticipated demand levels and</w:t>
            </w:r>
          </w:p>
        </w:tc>
        <w:tc>
          <w:tcPr>
            <w:tcW w:w="0" w:type="dxa"/>
            <w:vAlign w:val="bottom"/>
          </w:tcPr>
          <w:p>
            <w:pPr>
              <w:spacing w:after="0"/>
              <w:rPr>
                <w:sz w:val="1"/>
                <w:szCs w:val="1"/>
                <w:color w:val="auto"/>
              </w:rPr>
            </w:pPr>
          </w:p>
        </w:tc>
      </w:tr>
      <w:tr>
        <w:trPr>
          <w:trHeight w:val="116"/>
        </w:trPr>
        <w:tc>
          <w:tcPr>
            <w:tcW w:w="960" w:type="dxa"/>
            <w:vAlign w:val="bottom"/>
            <w:tcBorders>
              <w:left w:val="single" w:sz="8" w:color="auto"/>
              <w:right w:val="single" w:sz="8" w:color="auto"/>
            </w:tcBorders>
            <w:vMerge w:val="continue"/>
          </w:tcPr>
          <w:p>
            <w:pPr>
              <w:spacing w:after="0"/>
              <w:rPr>
                <w:sz w:val="10"/>
                <w:szCs w:val="10"/>
                <w:color w:val="auto"/>
              </w:rPr>
            </w:pPr>
          </w:p>
        </w:tc>
        <w:tc>
          <w:tcPr>
            <w:tcW w:w="1260" w:type="dxa"/>
            <w:vAlign w:val="bottom"/>
            <w:tcBorders>
              <w:right w:val="single" w:sz="8" w:color="auto"/>
            </w:tcBorders>
          </w:tcPr>
          <w:p>
            <w:pPr>
              <w:ind w:left="60"/>
              <w:spacing w:after="0" w:line="117" w:lineRule="exact"/>
              <w:rPr>
                <w:sz w:val="20"/>
                <w:szCs w:val="20"/>
                <w:color w:val="auto"/>
              </w:rPr>
            </w:pPr>
            <w:r>
              <w:rPr>
                <w:rFonts w:ascii="Arial" w:cs="Arial" w:eastAsia="Arial" w:hAnsi="Arial"/>
                <w:sz w:val="12"/>
                <w:szCs w:val="12"/>
                <w:color w:val="auto"/>
              </w:rPr>
              <w:t>Productivity</w:t>
            </w:r>
          </w:p>
        </w:tc>
        <w:tc>
          <w:tcPr>
            <w:tcW w:w="140" w:type="dxa"/>
            <w:vAlign w:val="bottom"/>
          </w:tcPr>
          <w:p>
            <w:pPr>
              <w:spacing w:after="0"/>
              <w:rPr>
                <w:sz w:val="10"/>
                <w:szCs w:val="10"/>
                <w:color w:val="auto"/>
              </w:rPr>
            </w:pPr>
          </w:p>
        </w:tc>
        <w:tc>
          <w:tcPr>
            <w:tcW w:w="3700" w:type="dxa"/>
            <w:vAlign w:val="bottom"/>
            <w:tcBorders>
              <w:right w:val="single" w:sz="8" w:color="auto"/>
            </w:tcBorders>
          </w:tcPr>
          <w:p>
            <w:pPr>
              <w:ind w:left="40"/>
              <w:spacing w:after="0" w:line="117" w:lineRule="exact"/>
              <w:rPr>
                <w:sz w:val="20"/>
                <w:szCs w:val="20"/>
                <w:color w:val="auto"/>
              </w:rPr>
            </w:pPr>
            <w:r>
              <w:rPr>
                <w:rFonts w:ascii="Arial" w:cs="Arial" w:eastAsia="Arial" w:hAnsi="Arial"/>
                <w:sz w:val="12"/>
                <w:szCs w:val="12"/>
                <w:color w:val="auto"/>
              </w:rPr>
              <w:t>achieved cost productivity targets</w:t>
            </w:r>
          </w:p>
        </w:tc>
        <w:tc>
          <w:tcPr>
            <w:tcW w:w="0" w:type="dxa"/>
            <w:vAlign w:val="bottom"/>
          </w:tcPr>
          <w:p>
            <w:pPr>
              <w:spacing w:after="0"/>
              <w:rPr>
                <w:sz w:val="1"/>
                <w:szCs w:val="1"/>
                <w:color w:val="auto"/>
              </w:rPr>
            </w:pPr>
          </w:p>
        </w:tc>
      </w:tr>
      <w:tr>
        <w:trPr>
          <w:trHeight w:val="50"/>
        </w:trPr>
        <w:tc>
          <w:tcPr>
            <w:tcW w:w="960" w:type="dxa"/>
            <w:vAlign w:val="bottom"/>
            <w:tcBorders>
              <w:left w:val="single" w:sz="8" w:color="auto"/>
              <w:right w:val="single" w:sz="8" w:color="auto"/>
            </w:tcBorders>
            <w:vMerge w:val="restart"/>
          </w:tcPr>
          <w:p>
            <w:pPr>
              <w:ind w:left="60"/>
              <w:spacing w:after="0" w:line="133" w:lineRule="exact"/>
              <w:rPr>
                <w:sz w:val="20"/>
                <w:szCs w:val="20"/>
                <w:color w:val="auto"/>
              </w:rPr>
            </w:pPr>
            <w:r>
              <w:rPr>
                <w:rFonts w:ascii="Arial" w:cs="Arial" w:eastAsia="Arial" w:hAnsi="Arial"/>
                <w:sz w:val="12"/>
                <w:szCs w:val="12"/>
                <w:color w:val="auto"/>
              </w:rPr>
              <w:t>Industry</w:t>
            </w:r>
          </w:p>
        </w:tc>
        <w:tc>
          <w:tcPr>
            <w:tcW w:w="126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960" w:type="dxa"/>
            <w:vAlign w:val="bottom"/>
            <w:tcBorders>
              <w:left w:val="single" w:sz="8" w:color="auto"/>
              <w:right w:val="single" w:sz="8" w:color="auto"/>
            </w:tcBorders>
            <w:vMerge w:val="continue"/>
          </w:tcPr>
          <w:p>
            <w:pPr>
              <w:spacing w:after="0"/>
              <w:rPr>
                <w:sz w:val="5"/>
                <w:szCs w:val="5"/>
                <w:color w:val="auto"/>
              </w:rPr>
            </w:pPr>
          </w:p>
        </w:tc>
        <w:tc>
          <w:tcPr>
            <w:tcW w:w="1260" w:type="dxa"/>
            <w:vAlign w:val="bottom"/>
            <w:tcBorders>
              <w:right w:val="single" w:sz="8" w:color="auto"/>
            </w:tcBorders>
            <w:vMerge w:val="restart"/>
          </w:tcPr>
          <w:p>
            <w:pPr>
              <w:ind w:left="60"/>
              <w:spacing w:after="0"/>
              <w:rPr>
                <w:sz w:val="20"/>
                <w:szCs w:val="20"/>
                <w:color w:val="auto"/>
              </w:rPr>
            </w:pPr>
            <w:r>
              <w:rPr>
                <w:rFonts w:ascii="Arial" w:cs="Arial" w:eastAsia="Arial" w:hAnsi="Arial"/>
                <w:sz w:val="12"/>
                <w:szCs w:val="12"/>
                <w:color w:val="auto"/>
              </w:rPr>
              <w:t>Working Capital</w:t>
            </w:r>
          </w:p>
        </w:tc>
        <w:tc>
          <w:tcPr>
            <w:tcW w:w="140" w:type="dxa"/>
            <w:vAlign w:val="bottom"/>
            <w:vMerge w:val="restart"/>
          </w:tcPr>
          <w:p>
            <w:pPr>
              <w:ind w:left="60"/>
              <w:spacing w:after="0"/>
              <w:rPr>
                <w:sz w:val="20"/>
                <w:szCs w:val="20"/>
                <w:color w:val="auto"/>
              </w:rPr>
            </w:pPr>
            <w:r>
              <w:rPr>
                <w:rFonts w:ascii="Arial" w:cs="Arial" w:eastAsia="Arial" w:hAnsi="Arial"/>
                <w:sz w:val="12"/>
                <w:szCs w:val="12"/>
                <w:color w:val="auto"/>
              </w:rPr>
              <w:t>•</w:t>
            </w:r>
          </w:p>
        </w:tc>
        <w:tc>
          <w:tcPr>
            <w:tcW w:w="370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color w:val="auto"/>
              </w:rPr>
              <w:t>Optimized working capital performance</w:t>
            </w:r>
          </w:p>
        </w:tc>
        <w:tc>
          <w:tcPr>
            <w:tcW w:w="0" w:type="dxa"/>
            <w:vAlign w:val="bottom"/>
          </w:tcPr>
          <w:p>
            <w:pPr>
              <w:spacing w:after="0"/>
              <w:rPr>
                <w:sz w:val="1"/>
                <w:szCs w:val="1"/>
                <w:color w:val="auto"/>
              </w:rPr>
            </w:pPr>
          </w:p>
        </w:tc>
      </w:tr>
      <w:tr>
        <w:trPr>
          <w:trHeight w:val="100"/>
        </w:trPr>
        <w:tc>
          <w:tcPr>
            <w:tcW w:w="96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2"/>
                <w:szCs w:val="12"/>
                <w:color w:val="auto"/>
              </w:rPr>
              <w:t>Leading</w:t>
            </w:r>
          </w:p>
        </w:tc>
        <w:tc>
          <w:tcPr>
            <w:tcW w:w="1260" w:type="dxa"/>
            <w:vAlign w:val="bottom"/>
            <w:tcBorders>
              <w:right w:val="single" w:sz="8" w:color="auto"/>
            </w:tcBorders>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37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960" w:type="dxa"/>
            <w:vAlign w:val="bottom"/>
            <w:tcBorders>
              <w:left w:val="single" w:sz="8" w:color="auto"/>
              <w:right w:val="single" w:sz="8" w:color="auto"/>
            </w:tcBorders>
            <w:vMerge w:val="continue"/>
          </w:tcPr>
          <w:p>
            <w:pPr>
              <w:spacing w:after="0"/>
              <w:rPr>
                <w:sz w:val="3"/>
                <w:szCs w:val="3"/>
                <w:color w:val="auto"/>
              </w:rPr>
            </w:pPr>
          </w:p>
        </w:tc>
        <w:tc>
          <w:tcPr>
            <w:tcW w:w="1260" w:type="dxa"/>
            <w:vAlign w:val="bottom"/>
            <w:tcBorders>
              <w:right w:val="single" w:sz="8" w:color="auto"/>
            </w:tcBorders>
            <w:vMerge w:val="restart"/>
          </w:tcPr>
          <w:p>
            <w:pPr>
              <w:ind w:left="60"/>
              <w:spacing w:after="0"/>
              <w:rPr>
                <w:sz w:val="20"/>
                <w:szCs w:val="20"/>
                <w:color w:val="auto"/>
              </w:rPr>
            </w:pPr>
            <w:r>
              <w:rPr>
                <w:rFonts w:ascii="Arial" w:cs="Arial" w:eastAsia="Arial" w:hAnsi="Arial"/>
                <w:sz w:val="12"/>
                <w:szCs w:val="12"/>
                <w:color w:val="auto"/>
              </w:rPr>
              <w:t>Operations</w:t>
            </w:r>
          </w:p>
        </w:tc>
        <w:tc>
          <w:tcPr>
            <w:tcW w:w="140" w:type="dxa"/>
            <w:vAlign w:val="bottom"/>
          </w:tcPr>
          <w:p>
            <w:pPr>
              <w:spacing w:after="0"/>
              <w:rPr>
                <w:sz w:val="3"/>
                <w:szCs w:val="3"/>
                <w:color w:val="auto"/>
              </w:rPr>
            </w:pPr>
          </w:p>
        </w:tc>
        <w:tc>
          <w:tcPr>
            <w:tcW w:w="370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3"/>
        </w:trPr>
        <w:tc>
          <w:tcPr>
            <w:tcW w:w="96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2"/>
                <w:szCs w:val="12"/>
                <w:color w:val="auto"/>
              </w:rPr>
              <w:t>Operations</w:t>
            </w:r>
          </w:p>
        </w:tc>
        <w:tc>
          <w:tcPr>
            <w:tcW w:w="1260" w:type="dxa"/>
            <w:vAlign w:val="bottom"/>
            <w:tcBorders>
              <w:right w:val="single" w:sz="8" w:color="auto"/>
            </w:tcBorders>
            <w:vMerge w:val="continue"/>
          </w:tcPr>
          <w:p>
            <w:pPr>
              <w:spacing w:after="0"/>
              <w:rPr>
                <w:sz w:val="9"/>
                <w:szCs w:val="9"/>
                <w:color w:val="auto"/>
              </w:rPr>
            </w:pPr>
          </w:p>
        </w:tc>
        <w:tc>
          <w:tcPr>
            <w:tcW w:w="140" w:type="dxa"/>
            <w:vAlign w:val="bottom"/>
            <w:vMerge w:val="restart"/>
          </w:tcPr>
          <w:p>
            <w:pPr>
              <w:ind w:left="60"/>
              <w:spacing w:after="0"/>
              <w:rPr>
                <w:sz w:val="20"/>
                <w:szCs w:val="20"/>
                <w:color w:val="auto"/>
              </w:rPr>
            </w:pPr>
            <w:r>
              <w:rPr>
                <w:rFonts w:ascii="Arial" w:cs="Arial" w:eastAsia="Arial" w:hAnsi="Arial"/>
                <w:sz w:val="12"/>
                <w:szCs w:val="12"/>
                <w:color w:val="auto"/>
              </w:rPr>
              <w:t>•</w:t>
            </w:r>
          </w:p>
        </w:tc>
        <w:tc>
          <w:tcPr>
            <w:tcW w:w="370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color w:val="auto"/>
                <w:w w:val="95"/>
              </w:rPr>
              <w:t>Successfully utilized the Celestica Operating System to standardize key</w:t>
            </w:r>
          </w:p>
        </w:tc>
        <w:tc>
          <w:tcPr>
            <w:tcW w:w="0" w:type="dxa"/>
            <w:vAlign w:val="bottom"/>
          </w:tcPr>
          <w:p>
            <w:pPr>
              <w:spacing w:after="0"/>
              <w:rPr>
                <w:sz w:val="1"/>
                <w:szCs w:val="1"/>
                <w:color w:val="auto"/>
              </w:rPr>
            </w:pPr>
          </w:p>
        </w:tc>
      </w:tr>
      <w:tr>
        <w:trPr>
          <w:trHeight w:val="37"/>
        </w:trPr>
        <w:tc>
          <w:tcPr>
            <w:tcW w:w="960" w:type="dxa"/>
            <w:vAlign w:val="bottom"/>
            <w:tcBorders>
              <w:left w:val="single" w:sz="8" w:color="auto"/>
              <w:right w:val="single" w:sz="8" w:color="auto"/>
            </w:tcBorders>
            <w:vMerge w:val="continue"/>
          </w:tcPr>
          <w:p>
            <w:pPr>
              <w:spacing w:after="0"/>
              <w:rPr>
                <w:sz w:val="3"/>
                <w:szCs w:val="3"/>
                <w:color w:val="auto"/>
              </w:rPr>
            </w:pPr>
          </w:p>
        </w:tc>
        <w:tc>
          <w:tcPr>
            <w:tcW w:w="1260" w:type="dxa"/>
            <w:vAlign w:val="bottom"/>
            <w:tcBorders>
              <w:right w:val="single" w:sz="8" w:color="auto"/>
            </w:tcBorders>
          </w:tcPr>
          <w:p>
            <w:pPr>
              <w:spacing w:after="0"/>
              <w:rPr>
                <w:sz w:val="3"/>
                <w:szCs w:val="3"/>
                <w:color w:val="auto"/>
              </w:rPr>
            </w:pPr>
          </w:p>
        </w:tc>
        <w:tc>
          <w:tcPr>
            <w:tcW w:w="140" w:type="dxa"/>
            <w:vAlign w:val="bottom"/>
            <w:vMerge w:val="continue"/>
          </w:tcPr>
          <w:p>
            <w:pPr>
              <w:spacing w:after="0"/>
              <w:rPr>
                <w:sz w:val="3"/>
                <w:szCs w:val="3"/>
                <w:color w:val="auto"/>
              </w:rPr>
            </w:pPr>
          </w:p>
        </w:tc>
        <w:tc>
          <w:tcPr>
            <w:tcW w:w="370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9"/>
        </w:trPr>
        <w:tc>
          <w:tcPr>
            <w:tcW w:w="960" w:type="dxa"/>
            <w:vAlign w:val="bottom"/>
            <w:tcBorders>
              <w:left w:val="single" w:sz="8" w:color="auto"/>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operations processes across the network</w:t>
            </w:r>
          </w:p>
        </w:tc>
        <w:tc>
          <w:tcPr>
            <w:tcW w:w="0" w:type="dxa"/>
            <w:vAlign w:val="bottom"/>
          </w:tcPr>
          <w:p>
            <w:pPr>
              <w:spacing w:after="0"/>
              <w:rPr>
                <w:sz w:val="1"/>
                <w:szCs w:val="1"/>
                <w:color w:val="auto"/>
              </w:rPr>
            </w:pPr>
          </w:p>
        </w:tc>
      </w:tr>
      <w:tr>
        <w:trPr>
          <w:trHeight w:val="169"/>
        </w:trPr>
        <w:tc>
          <w:tcPr>
            <w:tcW w:w="960" w:type="dxa"/>
            <w:vAlign w:val="bottom"/>
            <w:tcBorders>
              <w:left w:val="single" w:sz="8" w:color="auto"/>
              <w:right w:val="single" w:sz="8" w:color="auto"/>
            </w:tcBorders>
          </w:tcPr>
          <w:p>
            <w:pPr>
              <w:spacing w:after="0"/>
              <w:rPr>
                <w:sz w:val="14"/>
                <w:szCs w:val="14"/>
                <w:color w:val="auto"/>
              </w:rPr>
            </w:pPr>
          </w:p>
        </w:tc>
        <w:tc>
          <w:tcPr>
            <w:tcW w:w="12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Talent</w:t>
            </w: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Enhanced talent and succession practices and improved employee</w:t>
            </w:r>
          </w:p>
        </w:tc>
        <w:tc>
          <w:tcPr>
            <w:tcW w:w="0" w:type="dxa"/>
            <w:vAlign w:val="bottom"/>
          </w:tcPr>
          <w:p>
            <w:pPr>
              <w:spacing w:after="0"/>
              <w:rPr>
                <w:sz w:val="1"/>
                <w:szCs w:val="1"/>
                <w:color w:val="auto"/>
              </w:rPr>
            </w:pPr>
          </w:p>
        </w:tc>
      </w:tr>
      <w:tr>
        <w:trPr>
          <w:trHeight w:val="152"/>
        </w:trPr>
        <w:tc>
          <w:tcPr>
            <w:tcW w:w="960" w:type="dxa"/>
            <w:vAlign w:val="bottom"/>
            <w:tcBorders>
              <w:left w:val="single" w:sz="8" w:color="auto"/>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engagement</w:t>
            </w:r>
          </w:p>
        </w:tc>
        <w:tc>
          <w:tcPr>
            <w:tcW w:w="0" w:type="dxa"/>
            <w:vAlign w:val="bottom"/>
          </w:tcPr>
          <w:p>
            <w:pPr>
              <w:spacing w:after="0"/>
              <w:rPr>
                <w:sz w:val="1"/>
                <w:szCs w:val="1"/>
                <w:color w:val="auto"/>
              </w:rPr>
            </w:pPr>
          </w:p>
        </w:tc>
      </w:tr>
      <w:tr>
        <w:trPr>
          <w:trHeight w:val="156"/>
        </w:trPr>
        <w:tc>
          <w:tcPr>
            <w:tcW w:w="960" w:type="dxa"/>
            <w:vAlign w:val="bottom"/>
            <w:tcBorders>
              <w:left w:val="single" w:sz="8" w:color="auto"/>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Focus on ESG matters, including sustainability actions, COVID-19</w:t>
            </w:r>
          </w:p>
        </w:tc>
        <w:tc>
          <w:tcPr>
            <w:tcW w:w="0" w:type="dxa"/>
            <w:vAlign w:val="bottom"/>
          </w:tcPr>
          <w:p>
            <w:pPr>
              <w:spacing w:after="0"/>
              <w:rPr>
                <w:sz w:val="1"/>
                <w:szCs w:val="1"/>
                <w:color w:val="auto"/>
              </w:rPr>
            </w:pPr>
          </w:p>
        </w:tc>
      </w:tr>
      <w:tr>
        <w:trPr>
          <w:trHeight w:val="146"/>
        </w:trPr>
        <w:tc>
          <w:tcPr>
            <w:tcW w:w="9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Enable the</w:t>
            </w:r>
          </w:p>
        </w:tc>
        <w:tc>
          <w:tcPr>
            <w:tcW w:w="12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8"/>
              </w:rPr>
              <w:t>community relief efforts including “Celestica Cares”, and diversity and</w:t>
            </w:r>
          </w:p>
        </w:tc>
        <w:tc>
          <w:tcPr>
            <w:tcW w:w="0" w:type="dxa"/>
            <w:vAlign w:val="bottom"/>
          </w:tcPr>
          <w:p>
            <w:pPr>
              <w:spacing w:after="0"/>
              <w:rPr>
                <w:sz w:val="1"/>
                <w:szCs w:val="1"/>
                <w:color w:val="auto"/>
              </w:rPr>
            </w:pPr>
          </w:p>
        </w:tc>
      </w:tr>
      <w:tr>
        <w:trPr>
          <w:trHeight w:val="149"/>
        </w:trPr>
        <w:tc>
          <w:tcPr>
            <w:tcW w:w="9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Enterprise</w:t>
            </w:r>
          </w:p>
        </w:tc>
        <w:tc>
          <w:tcPr>
            <w:tcW w:w="1260" w:type="dxa"/>
            <w:vAlign w:val="bottom"/>
            <w:tcBorders>
              <w:bottom w:val="single" w:sz="8" w:color="auto"/>
              <w:right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inclusion initiatives</w:t>
            </w:r>
          </w:p>
        </w:tc>
        <w:tc>
          <w:tcPr>
            <w:tcW w:w="0" w:type="dxa"/>
            <w:vAlign w:val="bottom"/>
          </w:tcPr>
          <w:p>
            <w:pPr>
              <w:spacing w:after="0"/>
              <w:rPr>
                <w:sz w:val="1"/>
                <w:szCs w:val="1"/>
                <w:color w:val="auto"/>
              </w:rPr>
            </w:pPr>
          </w:p>
        </w:tc>
      </w:tr>
      <w:tr>
        <w:trPr>
          <w:trHeight w:val="172"/>
        </w:trPr>
        <w:tc>
          <w:tcPr>
            <w:tcW w:w="960" w:type="dxa"/>
            <w:vAlign w:val="bottom"/>
            <w:tcBorders>
              <w:left w:val="single" w:sz="8" w:color="auto"/>
              <w:right w:val="single" w:sz="8" w:color="auto"/>
            </w:tcBorders>
          </w:tcPr>
          <w:p>
            <w:pPr>
              <w:spacing w:after="0"/>
              <w:rPr>
                <w:sz w:val="14"/>
                <w:szCs w:val="14"/>
                <w:color w:val="auto"/>
              </w:rPr>
            </w:pPr>
          </w:p>
        </w:tc>
        <w:tc>
          <w:tcPr>
            <w:tcW w:w="12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Technology</w:t>
            </w: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Invested in technology infrastructure to modernize our systems</w:t>
            </w:r>
          </w:p>
        </w:tc>
        <w:tc>
          <w:tcPr>
            <w:tcW w:w="0" w:type="dxa"/>
            <w:vAlign w:val="bottom"/>
          </w:tcPr>
          <w:p>
            <w:pPr>
              <w:spacing w:after="0"/>
              <w:rPr>
                <w:sz w:val="1"/>
                <w:szCs w:val="1"/>
                <w:color w:val="auto"/>
              </w:rPr>
            </w:pPr>
          </w:p>
        </w:tc>
      </w:tr>
      <w:tr>
        <w:trPr>
          <w:trHeight w:val="139"/>
        </w:trPr>
        <w:tc>
          <w:tcPr>
            <w:tcW w:w="96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5"/>
              </w:rPr>
              <w:t>Rapidly harnessed global technologies to mitigate the disruptions to the</w:t>
            </w:r>
          </w:p>
        </w:tc>
        <w:tc>
          <w:tcPr>
            <w:tcW w:w="0" w:type="dxa"/>
            <w:vAlign w:val="bottom"/>
          </w:tcPr>
          <w:p>
            <w:pPr>
              <w:spacing w:after="0"/>
              <w:rPr>
                <w:sz w:val="1"/>
                <w:szCs w:val="1"/>
                <w:color w:val="auto"/>
              </w:rPr>
            </w:pPr>
          </w:p>
        </w:tc>
      </w:tr>
      <w:tr>
        <w:trPr>
          <w:trHeight w:val="152"/>
        </w:trPr>
        <w:tc>
          <w:tcPr>
            <w:tcW w:w="960" w:type="dxa"/>
            <w:vAlign w:val="bottom"/>
            <w:tcBorders>
              <w:left w:val="single" w:sz="8" w:color="auto"/>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business caused by the pandemic</w:t>
            </w:r>
          </w:p>
        </w:tc>
        <w:tc>
          <w:tcPr>
            <w:tcW w:w="0" w:type="dxa"/>
            <w:vAlign w:val="bottom"/>
          </w:tcPr>
          <w:p>
            <w:pPr>
              <w:spacing w:after="0"/>
              <w:rPr>
                <w:sz w:val="1"/>
                <w:szCs w:val="1"/>
                <w:color w:val="auto"/>
              </w:rPr>
            </w:pPr>
          </w:p>
        </w:tc>
      </w:tr>
      <w:tr>
        <w:trPr>
          <w:trHeight w:val="64"/>
        </w:trPr>
        <w:tc>
          <w:tcPr>
            <w:tcW w:w="960" w:type="dxa"/>
            <w:vAlign w:val="bottom"/>
            <w:tcBorders>
              <w:left w:val="single" w:sz="8" w:color="auto"/>
              <w:bottom w:val="single" w:sz="8" w:color="auto"/>
              <w:right w:val="single" w:sz="8" w:color="auto"/>
            </w:tcBorders>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jc w:val="both"/>
        <w:ind w:left="1480" w:right="1499"/>
        <w:spacing w:after="0" w:line="243" w:lineRule="auto"/>
        <w:rPr>
          <w:sz w:val="20"/>
          <w:szCs w:val="20"/>
          <w:color w:val="auto"/>
        </w:rPr>
      </w:pPr>
      <w:r>
        <w:rPr>
          <w:rFonts w:ascii="Arial" w:cs="Arial" w:eastAsia="Arial" w:hAnsi="Arial"/>
          <w:sz w:val="13"/>
          <w:szCs w:val="13"/>
          <w:color w:val="auto"/>
        </w:rPr>
        <w:t>Celestica delivered solid results in 2020 under Mr. Mionis’ leadership despite facing unprecedented challenges as a result of COVID-19. Celestica made meaningful progress in a number of strategic areas. Within the ATS segment, the Corporation achieved strong revenue growth in HealthTech and Capital Equipment, and improved ATS segment margin compared to 2019. Despite these successes, demand weakness in commercial aerospace more than offset this strong growth. The HRCC believes that under Mr. Mionis’ leadership, the Corporation adapted quickly to the disruptions caused by the global pandemic and adjusted to ensure that continued progress was made. As a result, the HRCC and the Board believe that an IPF of 1.25 for 2020 for Mr. Mionis appropriately reflects Celestica’s overall performance in 2020, as well as Mr. Mionis’ skill in executing the Corporation’s key strategic initiatives during these challenging times.</w:t>
      </w:r>
    </w:p>
    <w:p>
      <w:pPr>
        <w:spacing w:after="0" w:line="139" w:lineRule="exact"/>
        <w:rPr>
          <w:sz w:val="20"/>
          <w:szCs w:val="20"/>
          <w:color w:val="auto"/>
        </w:rPr>
      </w:pPr>
    </w:p>
    <w:p>
      <w:pPr>
        <w:ind w:left="1480"/>
        <w:spacing w:after="0"/>
        <w:rPr>
          <w:sz w:val="20"/>
          <w:szCs w:val="20"/>
          <w:color w:val="auto"/>
        </w:rPr>
      </w:pPr>
      <w:r>
        <w:rPr>
          <w:rFonts w:ascii="Arial" w:cs="Arial" w:eastAsia="Arial" w:hAnsi="Arial"/>
          <w:sz w:val="13"/>
          <w:szCs w:val="13"/>
          <w:b w:val="1"/>
          <w:bCs w:val="1"/>
          <w:i w:val="1"/>
          <w:iCs w:val="1"/>
          <w:color w:val="auto"/>
        </w:rPr>
        <w:t>Other NEOs</w:t>
      </w:r>
    </w:p>
    <w:p>
      <w:pPr>
        <w:spacing w:after="0" w:line="89" w:lineRule="exact"/>
        <w:rPr>
          <w:sz w:val="20"/>
          <w:szCs w:val="20"/>
          <w:color w:val="auto"/>
        </w:rPr>
      </w:pPr>
    </w:p>
    <w:p>
      <w:pPr>
        <w:jc w:val="both"/>
        <w:ind w:left="1480" w:right="1499"/>
        <w:spacing w:after="0" w:line="245" w:lineRule="auto"/>
        <w:rPr>
          <w:sz w:val="20"/>
          <w:szCs w:val="20"/>
          <w:color w:val="auto"/>
        </w:rPr>
      </w:pPr>
      <w:r>
        <w:rPr>
          <w:rFonts w:ascii="Arial" w:cs="Arial" w:eastAsia="Arial" w:hAnsi="Arial"/>
          <w:sz w:val="13"/>
          <w:szCs w:val="13"/>
          <w:color w:val="auto"/>
        </w:rPr>
        <w:t>The performance of the NEOs (other than the CEO) is assessed at year- end relative to objective measures that align with the targets for the CEO. The CEO assesses each NEO’s contributions to the Corporation’s results, including such NEO’s contributions as a part of the senior leadership team. Based on the CEO’s assessment, the HRCC considered each NEO to have met expectations for 2020 based on each of their individual performance and contribution to corporate goals and objectives. Factors considered in the evaluation of each NEO’s IPF included the following:</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5" w:name="page66"/>
    <w:bookmarkEnd w:id="65"/>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86" w:lineRule="exact"/>
        <w:rPr>
          <w:sz w:val="20"/>
          <w:szCs w:val="20"/>
          <w:color w:val="auto"/>
        </w:rPr>
      </w:pPr>
    </w:p>
    <w:tbl>
      <w:tblPr>
        <w:tblLayout w:type="fixed"/>
        <w:tblInd w:w="1490" w:type="dxa"/>
        <w:tblCellMar>
          <w:top w:w="0" w:type="dxa"/>
          <w:left w:w="0" w:type="dxa"/>
          <w:bottom w:w="0" w:type="dxa"/>
          <w:right w:w="0" w:type="dxa"/>
        </w:tblCellMar>
      </w:tblPr>
      <w:tr>
        <w:trPr>
          <w:trHeight w:val="202"/>
        </w:trPr>
        <w:tc>
          <w:tcPr>
            <w:tcW w:w="116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Mandeep Chawla</w:t>
            </w:r>
          </w:p>
        </w:tc>
        <w:tc>
          <w:tcPr>
            <w:tcW w:w="140" w:type="dxa"/>
            <w:vAlign w:val="bottom"/>
            <w:tcBorders>
              <w:top w:val="single" w:sz="8" w:color="auto"/>
            </w:tcBorders>
          </w:tcPr>
          <w:p>
            <w:pPr>
              <w:ind w:left="60"/>
              <w:spacing w:after="0"/>
              <w:rPr>
                <w:sz w:val="20"/>
                <w:szCs w:val="20"/>
                <w:color w:val="auto"/>
              </w:rPr>
            </w:pPr>
            <w:r>
              <w:rPr>
                <w:rFonts w:ascii="Arial" w:cs="Arial" w:eastAsia="Arial" w:hAnsi="Arial"/>
                <w:sz w:val="12"/>
                <w:szCs w:val="12"/>
                <w:color w:val="auto"/>
              </w:rPr>
              <w:t>•</w:t>
            </w:r>
          </w:p>
        </w:tc>
        <w:tc>
          <w:tcPr>
            <w:tcW w:w="47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2"/>
                <w:szCs w:val="12"/>
                <w:color w:val="auto"/>
                <w:w w:val="97"/>
              </w:rPr>
              <w:t>Delivered on commitments to shareholders by strengthening the balance sheet, generating</w:t>
            </w:r>
          </w:p>
        </w:tc>
      </w:tr>
      <w:tr>
        <w:trPr>
          <w:trHeight w:val="137"/>
        </w:trPr>
        <w:tc>
          <w:tcPr>
            <w:tcW w:w="1160" w:type="dxa"/>
            <w:vAlign w:val="bottom"/>
            <w:tcBorders>
              <w:left w:val="single" w:sz="8" w:color="auto"/>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76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$126 million of non-IFRS free cash flow and launching a new normal course issuer bid</w:t>
            </w:r>
          </w:p>
        </w:tc>
      </w:tr>
      <w:tr>
        <w:trPr>
          <w:trHeight w:val="151"/>
        </w:trPr>
        <w:tc>
          <w:tcPr>
            <w:tcW w:w="1160" w:type="dxa"/>
            <w:vAlign w:val="bottom"/>
            <w:tcBorders>
              <w:left w:val="single" w:sz="8" w:color="auto"/>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76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NCIB</w:t>
            </w:r>
            <w:r>
              <w:rPr>
                <w:rFonts w:ascii="Arial" w:cs="Arial" w:eastAsia="Arial" w:hAnsi="Arial"/>
                <w:sz w:val="12"/>
                <w:szCs w:val="12"/>
                <w:color w:val="auto"/>
              </w:rPr>
              <w:t>”)</w:t>
            </w:r>
          </w:p>
        </w:tc>
      </w:tr>
      <w:tr>
        <w:trPr>
          <w:trHeight w:val="139"/>
        </w:trPr>
        <w:tc>
          <w:tcPr>
            <w:tcW w:w="1160" w:type="dxa"/>
            <w:vAlign w:val="bottom"/>
            <w:tcBorders>
              <w:left w:val="single" w:sz="8" w:color="auto"/>
              <w:right w:val="single" w:sz="8" w:color="auto"/>
            </w:tcBorders>
          </w:tcPr>
          <w:p>
            <w:pPr>
              <w:spacing w:after="0"/>
              <w:rPr>
                <w:sz w:val="12"/>
                <w:szCs w:val="12"/>
                <w:color w:val="auto"/>
              </w:rPr>
            </w:pP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476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8"/>
              </w:rPr>
              <w:t>Improved stakeholder relations by enabling clear, transparent and insightful engagements</w:t>
            </w:r>
          </w:p>
        </w:tc>
      </w:tr>
      <w:tr>
        <w:trPr>
          <w:trHeight w:val="152"/>
        </w:trPr>
        <w:tc>
          <w:tcPr>
            <w:tcW w:w="1160" w:type="dxa"/>
            <w:vAlign w:val="bottom"/>
            <w:tcBorders>
              <w:left w:val="single" w:sz="8" w:color="auto"/>
              <w:right w:val="single" w:sz="8" w:color="auto"/>
            </w:tcBorders>
          </w:tcPr>
          <w:p>
            <w:pPr>
              <w:spacing w:after="0"/>
              <w:rPr>
                <w:sz w:val="13"/>
                <w:szCs w:val="13"/>
                <w:color w:val="auto"/>
              </w:rPr>
            </w:pP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476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Strong business partner to the segment Presidents and Chief Operations Officer</w:t>
            </w:r>
          </w:p>
        </w:tc>
      </w:tr>
      <w:tr>
        <w:trPr>
          <w:trHeight w:val="2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r>
      <w:tr>
        <w:trPr>
          <w:trHeight w:val="162"/>
        </w:trPr>
        <w:tc>
          <w:tcPr>
            <w:tcW w:w="11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Jason Phillips</w:t>
            </w: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476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9"/>
              </w:rPr>
              <w:t>Drove significant HPS revenue growth in 2020 enabling Celestica to deliver higher value-</w:t>
            </w:r>
          </w:p>
        </w:tc>
      </w:tr>
      <w:tr>
        <w:trPr>
          <w:trHeight w:val="139"/>
        </w:trPr>
        <w:tc>
          <w:tcPr>
            <w:tcW w:w="1160" w:type="dxa"/>
            <w:vAlign w:val="bottom"/>
            <w:tcBorders>
              <w:left w:val="single" w:sz="8" w:color="auto"/>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76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add solutions to our customers while providing diversification and differentiation to our</w:t>
            </w:r>
          </w:p>
        </w:tc>
      </w:tr>
      <w:tr>
        <w:trPr>
          <w:trHeight w:val="152"/>
        </w:trPr>
        <w:tc>
          <w:tcPr>
            <w:tcW w:w="1160" w:type="dxa"/>
            <w:vAlign w:val="bottom"/>
            <w:tcBorders>
              <w:left w:val="single" w:sz="8" w:color="auto"/>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76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CCS segment</w:t>
            </w:r>
          </w:p>
        </w:tc>
      </w:tr>
      <w:tr>
        <w:trPr>
          <w:trHeight w:val="146"/>
        </w:trPr>
        <w:tc>
          <w:tcPr>
            <w:tcW w:w="1160" w:type="dxa"/>
            <w:vAlign w:val="bottom"/>
            <w:tcBorders>
              <w:left w:val="single" w:sz="8" w:color="auto"/>
              <w:right w:val="single" w:sz="8" w:color="auto"/>
            </w:tcBorders>
          </w:tcPr>
          <w:p>
            <w:pPr>
              <w:spacing w:after="0"/>
              <w:rPr>
                <w:sz w:val="12"/>
                <w:szCs w:val="12"/>
                <w:color w:val="auto"/>
              </w:rPr>
            </w:pP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476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8"/>
              </w:rPr>
              <w:t>Successfully managed CCS portfolio reshaping activities, including the planned customer</w:t>
            </w:r>
          </w:p>
        </w:tc>
      </w:tr>
      <w:tr>
        <w:trPr>
          <w:trHeight w:val="152"/>
        </w:trPr>
        <w:tc>
          <w:tcPr>
            <w:tcW w:w="1160" w:type="dxa"/>
            <w:vAlign w:val="bottom"/>
            <w:tcBorders>
              <w:left w:val="single" w:sz="8" w:color="auto"/>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76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disengagement</w:t>
            </w:r>
          </w:p>
        </w:tc>
      </w:tr>
      <w:tr>
        <w:trPr>
          <w:trHeight w:val="146"/>
        </w:trPr>
        <w:tc>
          <w:tcPr>
            <w:tcW w:w="1160" w:type="dxa"/>
            <w:vAlign w:val="bottom"/>
            <w:tcBorders>
              <w:left w:val="single" w:sz="8" w:color="auto"/>
              <w:right w:val="single" w:sz="8" w:color="auto"/>
            </w:tcBorders>
          </w:tcPr>
          <w:p>
            <w:pPr>
              <w:spacing w:after="0"/>
              <w:rPr>
                <w:sz w:val="12"/>
                <w:szCs w:val="12"/>
                <w:color w:val="auto"/>
              </w:rPr>
            </w:pP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476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9"/>
              </w:rPr>
              <w:t>Enhanced our ecosystem partnerships to enable the evolution of our HPS roadmaps and</w:t>
            </w:r>
          </w:p>
        </w:tc>
      </w:tr>
      <w:tr>
        <w:trPr>
          <w:trHeight w:val="152"/>
        </w:trPr>
        <w:tc>
          <w:tcPr>
            <w:tcW w:w="1160" w:type="dxa"/>
            <w:vAlign w:val="bottom"/>
            <w:tcBorders>
              <w:left w:val="single" w:sz="8" w:color="auto"/>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76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growth</w:t>
            </w: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r>
      <w:tr>
        <w:trPr>
          <w:trHeight w:val="162"/>
        </w:trPr>
        <w:tc>
          <w:tcPr>
            <w:tcW w:w="11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Jack J. Lawless</w:t>
            </w: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476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6"/>
              </w:rPr>
              <w:t>Despite the adverse demand impacts on the ATS segment as a result of COVID-19 and the</w:t>
            </w:r>
          </w:p>
        </w:tc>
      </w:tr>
      <w:tr>
        <w:trPr>
          <w:trHeight w:val="152"/>
        </w:trPr>
        <w:tc>
          <w:tcPr>
            <w:tcW w:w="1160" w:type="dxa"/>
            <w:vAlign w:val="bottom"/>
            <w:tcBorders>
              <w:left w:val="single" w:sz="8" w:color="auto"/>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76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Boeing 737 Max program halt, ATS segment margin improved year-over-year</w:t>
            </w:r>
          </w:p>
        </w:tc>
      </w:tr>
      <w:tr>
        <w:trPr>
          <w:trHeight w:val="146"/>
        </w:trPr>
        <w:tc>
          <w:tcPr>
            <w:tcW w:w="1160" w:type="dxa"/>
            <w:vAlign w:val="bottom"/>
            <w:tcBorders>
              <w:left w:val="single" w:sz="8" w:color="auto"/>
              <w:right w:val="single" w:sz="8" w:color="auto"/>
            </w:tcBorders>
          </w:tcPr>
          <w:p>
            <w:pPr>
              <w:spacing w:after="0"/>
              <w:rPr>
                <w:sz w:val="12"/>
                <w:szCs w:val="12"/>
                <w:color w:val="auto"/>
              </w:rPr>
            </w:pP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476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7"/>
              </w:rPr>
              <w:t>Revenue growth in HealthTech and Capital Equipment businesses driven by new program</w:t>
            </w:r>
          </w:p>
        </w:tc>
      </w:tr>
      <w:tr>
        <w:trPr>
          <w:trHeight w:val="152"/>
        </w:trPr>
        <w:tc>
          <w:tcPr>
            <w:tcW w:w="1160" w:type="dxa"/>
            <w:vAlign w:val="bottom"/>
            <w:tcBorders>
              <w:left w:val="single" w:sz="8" w:color="auto"/>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76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ramps</w:t>
            </w:r>
          </w:p>
        </w:tc>
      </w:tr>
      <w:tr>
        <w:trPr>
          <w:trHeight w:val="146"/>
        </w:trPr>
        <w:tc>
          <w:tcPr>
            <w:tcW w:w="1160" w:type="dxa"/>
            <w:vAlign w:val="bottom"/>
            <w:tcBorders>
              <w:left w:val="single" w:sz="8" w:color="auto"/>
              <w:right w:val="single" w:sz="8" w:color="auto"/>
            </w:tcBorders>
          </w:tcPr>
          <w:p>
            <w:pPr>
              <w:spacing w:after="0"/>
              <w:rPr>
                <w:sz w:val="12"/>
                <w:szCs w:val="12"/>
                <w:color w:val="auto"/>
              </w:rPr>
            </w:pP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476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Steady, mature and proactive leadership during a year of volatile market conditions</w:t>
            </w:r>
          </w:p>
        </w:tc>
      </w:tr>
      <w:tr>
        <w:trPr>
          <w:trHeight w:val="139"/>
        </w:trPr>
        <w:tc>
          <w:tcPr>
            <w:tcW w:w="1160" w:type="dxa"/>
            <w:vAlign w:val="bottom"/>
            <w:tcBorders>
              <w:left w:val="single" w:sz="8" w:color="auto"/>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76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5"/>
              </w:rPr>
              <w:t>demonstrated by adjusting the cost base in our aerospace and Industrial businesses to align</w:t>
            </w:r>
          </w:p>
        </w:tc>
      </w:tr>
      <w:tr>
        <w:trPr>
          <w:trHeight w:val="152"/>
        </w:trPr>
        <w:tc>
          <w:tcPr>
            <w:tcW w:w="1160" w:type="dxa"/>
            <w:vAlign w:val="bottom"/>
            <w:tcBorders>
              <w:left w:val="single" w:sz="8" w:color="auto"/>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76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with anticipated demand levels</w:t>
            </w: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r>
      <w:tr>
        <w:trPr>
          <w:trHeight w:val="162"/>
        </w:trPr>
        <w:tc>
          <w:tcPr>
            <w:tcW w:w="11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Todd C. Cooper</w:t>
            </w: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476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7"/>
              </w:rPr>
              <w:t>Integral to Celestica’s COVID-19 response efforts to rapidly mitigate the adverse impact on</w:t>
            </w:r>
          </w:p>
        </w:tc>
      </w:tr>
      <w:tr>
        <w:trPr>
          <w:trHeight w:val="139"/>
        </w:trPr>
        <w:tc>
          <w:tcPr>
            <w:tcW w:w="1160" w:type="dxa"/>
            <w:vAlign w:val="bottom"/>
            <w:tcBorders>
              <w:left w:val="single" w:sz="8" w:color="auto"/>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76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the business, including effectively promoting the health and safety of our employees,</w:t>
            </w:r>
          </w:p>
        </w:tc>
      </w:tr>
      <w:tr>
        <w:trPr>
          <w:trHeight w:val="139"/>
        </w:trPr>
        <w:tc>
          <w:tcPr>
            <w:tcW w:w="1160" w:type="dxa"/>
            <w:vAlign w:val="bottom"/>
            <w:tcBorders>
              <w:left w:val="single" w:sz="8" w:color="auto"/>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76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9"/>
              </w:rPr>
              <w:t>meeting customer commitments, and ensuring continuity of supply, while maintaining our</w:t>
            </w: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76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high standards of quality and operational execution</w:t>
            </w:r>
          </w:p>
        </w:tc>
      </w:tr>
      <w:tr>
        <w:trPr>
          <w:trHeight w:val="149"/>
        </w:trPr>
        <w:tc>
          <w:tcPr>
            <w:tcW w:w="1160" w:type="dxa"/>
            <w:vAlign w:val="bottom"/>
            <w:tcBorders>
              <w:left w:val="single" w:sz="8" w:color="auto"/>
              <w:right w:val="single" w:sz="8" w:color="auto"/>
            </w:tcBorders>
          </w:tcPr>
          <w:p>
            <w:pPr>
              <w:spacing w:after="0"/>
              <w:rPr>
                <w:sz w:val="12"/>
                <w:szCs w:val="12"/>
                <w:color w:val="auto"/>
              </w:rPr>
            </w:pPr>
          </w:p>
        </w:tc>
        <w:tc>
          <w:tcPr>
            <w:tcW w:w="4900" w:type="dxa"/>
            <w:vAlign w:val="bottom"/>
            <w:tcBorders>
              <w:right w:val="single" w:sz="8" w:color="auto"/>
            </w:tcBorders>
            <w:gridSpan w:val="2"/>
          </w:tcPr>
          <w:p>
            <w:pPr>
              <w:ind w:left="60"/>
              <w:spacing w:after="0"/>
              <w:rPr>
                <w:sz w:val="20"/>
                <w:szCs w:val="20"/>
                <w:color w:val="auto"/>
              </w:rPr>
            </w:pPr>
            <w:r>
              <w:rPr>
                <w:rFonts w:ascii="Arial" w:cs="Arial" w:eastAsia="Arial" w:hAnsi="Arial"/>
                <w:sz w:val="12"/>
                <w:szCs w:val="12"/>
                <w:color w:val="auto"/>
              </w:rPr>
              <w:t>•  Improved operational and cost productivity as a result of cost reduction initiatives</w:t>
            </w:r>
          </w:p>
        </w:tc>
      </w:tr>
      <w:tr>
        <w:trPr>
          <w:trHeight w:val="139"/>
        </w:trPr>
        <w:tc>
          <w:tcPr>
            <w:tcW w:w="1160" w:type="dxa"/>
            <w:vAlign w:val="bottom"/>
            <w:tcBorders>
              <w:left w:val="single" w:sz="8" w:color="auto"/>
              <w:right w:val="single" w:sz="8" w:color="auto"/>
            </w:tcBorders>
          </w:tcPr>
          <w:p>
            <w:pPr>
              <w:spacing w:after="0"/>
              <w:rPr>
                <w:sz w:val="12"/>
                <w:szCs w:val="12"/>
                <w:color w:val="auto"/>
              </w:rPr>
            </w:pP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476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4"/>
              </w:rPr>
              <w:t>Drove enhanced processes, standardization of best practices, increased analytics and vendor</w:t>
            </w:r>
          </w:p>
        </w:tc>
      </w:tr>
      <w:tr>
        <w:trPr>
          <w:trHeight w:val="152"/>
        </w:trPr>
        <w:tc>
          <w:tcPr>
            <w:tcW w:w="1160" w:type="dxa"/>
            <w:vAlign w:val="bottom"/>
            <w:tcBorders>
              <w:left w:val="single" w:sz="8" w:color="auto"/>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76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relationships throughout the supply chain resulting in robust levels of productivity</w:t>
            </w:r>
          </w:p>
        </w:tc>
      </w:tr>
      <w:tr>
        <w:trPr>
          <w:trHeight w:val="161"/>
        </w:trPr>
        <w:tc>
          <w:tcPr>
            <w:tcW w:w="1160" w:type="dxa"/>
            <w:vAlign w:val="bottom"/>
            <w:tcBorders>
              <w:left w:val="single" w:sz="8" w:color="auto"/>
              <w:bottom w:val="single" w:sz="8" w:color="auto"/>
              <w:right w:val="single" w:sz="8" w:color="auto"/>
            </w:tcBorders>
          </w:tcPr>
          <w:p>
            <w:pPr>
              <w:spacing w:after="0"/>
              <w:rPr>
                <w:sz w:val="14"/>
                <w:szCs w:val="14"/>
                <w:color w:val="auto"/>
              </w:rPr>
            </w:pP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w:t>
            </w:r>
          </w:p>
        </w:tc>
        <w:tc>
          <w:tcPr>
            <w:tcW w:w="47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Executed IT infrastructure and capability upgrades on more than 30 strategic projects</w:t>
            </w:r>
          </w:p>
        </w:tc>
      </w:tr>
    </w:tbl>
    <w:p>
      <w:pPr>
        <w:spacing w:after="0" w:line="129" w:lineRule="exact"/>
        <w:rPr>
          <w:sz w:val="20"/>
          <w:szCs w:val="20"/>
          <w:color w:val="auto"/>
        </w:rPr>
      </w:pPr>
    </w:p>
    <w:p>
      <w:pPr>
        <w:ind w:left="1740"/>
        <w:spacing w:after="0"/>
        <w:rPr>
          <w:sz w:val="20"/>
          <w:szCs w:val="20"/>
          <w:color w:val="auto"/>
        </w:rPr>
      </w:pPr>
      <w:r>
        <w:rPr>
          <w:rFonts w:ascii="Arial" w:cs="Arial" w:eastAsia="Arial" w:hAnsi="Arial"/>
          <w:sz w:val="15"/>
          <w:szCs w:val="15"/>
          <w:b w:val="1"/>
          <w:bCs w:val="1"/>
          <w:u w:val="single" w:color="auto"/>
          <w:color w:val="auto"/>
        </w:rPr>
        <w:t>2020 CTI Awards</w:t>
      </w:r>
    </w:p>
    <w:p>
      <w:pPr>
        <w:spacing w:after="0" w:line="158" w:lineRule="exact"/>
        <w:rPr>
          <w:sz w:val="20"/>
          <w:szCs w:val="20"/>
          <w:color w:val="auto"/>
        </w:rPr>
      </w:pPr>
    </w:p>
    <w:p>
      <w:pPr>
        <w:jc w:val="both"/>
        <w:ind w:left="1480" w:right="1499"/>
        <w:spacing w:after="0" w:line="285" w:lineRule="auto"/>
        <w:rPr>
          <w:sz w:val="20"/>
          <w:szCs w:val="20"/>
          <w:color w:val="auto"/>
        </w:rPr>
      </w:pPr>
      <w:r>
        <w:rPr>
          <w:rFonts w:ascii="Arial" w:cs="Arial" w:eastAsia="Arial" w:hAnsi="Arial"/>
          <w:sz w:val="13"/>
          <w:szCs w:val="13"/>
          <w:color w:val="auto"/>
        </w:rPr>
        <w:t>The following table sets forth information with respect to the potential and actual awards under the CTI for participating NEOs during 2020:</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Table 15: 2020 CTI Awards</w:t>
      </w:r>
    </w:p>
    <w:p>
      <w:pPr>
        <w:spacing w:after="0" w:line="77" w:lineRule="exact"/>
        <w:rPr>
          <w:sz w:val="20"/>
          <w:szCs w:val="20"/>
          <w:color w:val="auto"/>
        </w:rPr>
      </w:pPr>
    </w:p>
    <w:tbl>
      <w:tblPr>
        <w:tblLayout w:type="fixed"/>
        <w:tblInd w:w="1490" w:type="dxa"/>
        <w:tblCellMar>
          <w:top w:w="0" w:type="dxa"/>
          <w:left w:w="0" w:type="dxa"/>
          <w:bottom w:w="0" w:type="dxa"/>
          <w:right w:w="0" w:type="dxa"/>
        </w:tblCellMar>
      </w:tblPr>
      <w:tr>
        <w:trPr>
          <w:trHeight w:val="40"/>
        </w:trPr>
        <w:tc>
          <w:tcPr>
            <w:tcW w:w="1160" w:type="dxa"/>
            <w:vAlign w:val="bottom"/>
            <w:tcBorders>
              <w:top w:val="single" w:sz="8" w:color="auto"/>
              <w:bottom w:val="single" w:sz="8" w:color="auto"/>
            </w:tcBorders>
          </w:tcPr>
          <w:p>
            <w:pPr>
              <w:spacing w:after="0"/>
              <w:rPr>
                <w:sz w:val="3"/>
                <w:szCs w:val="3"/>
                <w:color w:val="auto"/>
              </w:rPr>
            </w:pPr>
          </w:p>
        </w:tc>
        <w:tc>
          <w:tcPr>
            <w:tcW w:w="560" w:type="dxa"/>
            <w:vAlign w:val="bottom"/>
            <w:tcBorders>
              <w:top w:val="single" w:sz="8" w:color="auto"/>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800" w:type="dxa"/>
            <w:vAlign w:val="bottom"/>
            <w:tcBorders>
              <w:top w:val="single" w:sz="8" w:color="auto"/>
              <w:bottom w:val="single" w:sz="8" w:color="auto"/>
            </w:tcBorders>
          </w:tcPr>
          <w:p>
            <w:pPr>
              <w:spacing w:after="0"/>
              <w:rPr>
                <w:sz w:val="3"/>
                <w:szCs w:val="3"/>
                <w:color w:val="auto"/>
              </w:rPr>
            </w:pPr>
          </w:p>
        </w:tc>
        <w:tc>
          <w:tcPr>
            <w:tcW w:w="800" w:type="dxa"/>
            <w:vAlign w:val="bottom"/>
            <w:tcBorders>
              <w:top w:val="single" w:sz="8" w:color="auto"/>
              <w:bottom w:val="single" w:sz="8" w:color="auto"/>
            </w:tcBorders>
          </w:tcPr>
          <w:p>
            <w:pPr>
              <w:spacing w:after="0"/>
              <w:rPr>
                <w:sz w:val="3"/>
                <w:szCs w:val="3"/>
                <w:color w:val="auto"/>
              </w:rPr>
            </w:pPr>
          </w:p>
        </w:tc>
        <w:tc>
          <w:tcPr>
            <w:tcW w:w="720" w:type="dxa"/>
            <w:vAlign w:val="bottom"/>
            <w:tcBorders>
              <w:top w:val="single" w:sz="8" w:color="auto"/>
              <w:bottom w:val="single" w:sz="8" w:color="auto"/>
            </w:tcBorders>
          </w:tcPr>
          <w:p>
            <w:pPr>
              <w:spacing w:after="0"/>
              <w:rPr>
                <w:sz w:val="3"/>
                <w:szCs w:val="3"/>
                <w:color w:val="auto"/>
              </w:rPr>
            </w:pPr>
          </w:p>
        </w:tc>
        <w:tc>
          <w:tcPr>
            <w:tcW w:w="720" w:type="dxa"/>
            <w:vAlign w:val="bottom"/>
            <w:tcBorders>
              <w:top w:val="single" w:sz="8" w:color="auto"/>
              <w:bottom w:val="single" w:sz="8" w:color="auto"/>
            </w:tcBorders>
          </w:tcPr>
          <w:p>
            <w:pPr>
              <w:spacing w:after="0"/>
              <w:rPr>
                <w:sz w:val="3"/>
                <w:szCs w:val="3"/>
                <w:color w:val="auto"/>
              </w:rPr>
            </w:pPr>
          </w:p>
        </w:tc>
        <w:tc>
          <w:tcPr>
            <w:tcW w:w="56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1160" w:type="dxa"/>
            <w:vAlign w:val="bottom"/>
            <w:tcBorders>
              <w:left w:val="single" w:sz="8" w:color="auto"/>
              <w:right w:val="single" w:sz="8" w:color="auto"/>
            </w:tcBorders>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ind w:right="4"/>
              <w:spacing w:after="0"/>
              <w:rPr>
                <w:sz w:val="20"/>
                <w:szCs w:val="20"/>
                <w:color w:val="auto"/>
              </w:rPr>
            </w:pPr>
            <w:r>
              <w:rPr>
                <w:rFonts w:ascii="Arial" w:cs="Arial" w:eastAsia="Arial" w:hAnsi="Arial"/>
                <w:sz w:val="11"/>
                <w:szCs w:val="11"/>
                <w:b w:val="1"/>
                <w:bCs w:val="1"/>
                <w:color w:val="auto"/>
                <w:w w:val="86"/>
              </w:rPr>
              <w:t>Potential</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b w:val="1"/>
                <w:bCs w:val="1"/>
                <w:color w:val="auto"/>
                <w:w w:val="86"/>
              </w:rPr>
              <w:t>Potential</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b w:val="1"/>
                <w:bCs w:val="1"/>
                <w:color w:val="auto"/>
                <w:w w:val="86"/>
              </w:rPr>
              <w:t>Potential</w:t>
            </w:r>
          </w:p>
        </w:tc>
        <w:tc>
          <w:tcPr>
            <w:tcW w:w="7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86"/>
              </w:rPr>
              <w:t>Amount</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160" w:type="dxa"/>
            <w:vAlign w:val="bottom"/>
            <w:tcBorders>
              <w:left w:val="single" w:sz="8" w:color="auto"/>
              <w:right w:val="single" w:sz="8" w:color="auto"/>
            </w:tcBorders>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jc w:val="center"/>
              <w:ind w:right="4"/>
              <w:spacing w:after="0" w:line="110" w:lineRule="exact"/>
              <w:rPr>
                <w:sz w:val="20"/>
                <w:szCs w:val="20"/>
                <w:color w:val="auto"/>
              </w:rPr>
            </w:pPr>
            <w:r>
              <w:rPr>
                <w:rFonts w:ascii="Arial" w:cs="Arial" w:eastAsia="Arial" w:hAnsi="Arial"/>
                <w:sz w:val="11"/>
                <w:szCs w:val="11"/>
                <w:b w:val="1"/>
                <w:bCs w:val="1"/>
                <w:color w:val="auto"/>
                <w:w w:val="85"/>
              </w:rPr>
              <w:t>Award for</w:t>
            </w:r>
          </w:p>
        </w:tc>
        <w:tc>
          <w:tcPr>
            <w:tcW w:w="80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56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1"/>
                <w:szCs w:val="11"/>
                <w:b w:val="1"/>
                <w:bCs w:val="1"/>
                <w:color w:val="auto"/>
                <w:w w:val="86"/>
              </w:rPr>
              <w:t>Awarded</w:t>
            </w: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160" w:type="dxa"/>
            <w:vAlign w:val="bottom"/>
            <w:tcBorders>
              <w:left w:val="single" w:sz="8" w:color="auto"/>
              <w:right w:val="single" w:sz="8" w:color="auto"/>
            </w:tcBorders>
          </w:tcPr>
          <w:p>
            <w:pPr>
              <w:spacing w:after="0"/>
              <w:rPr>
                <w:sz w:val="10"/>
                <w:szCs w:val="10"/>
                <w:color w:val="auto"/>
              </w:rPr>
            </w:pPr>
          </w:p>
        </w:tc>
        <w:tc>
          <w:tcPr>
            <w:tcW w:w="560" w:type="dxa"/>
            <w:vAlign w:val="bottom"/>
            <w:tcBorders>
              <w:right w:val="single" w:sz="8" w:color="auto"/>
            </w:tcBorders>
          </w:tcPr>
          <w:p>
            <w:pPr>
              <w:jc w:val="center"/>
              <w:spacing w:after="0" w:line="120" w:lineRule="exact"/>
              <w:rPr>
                <w:sz w:val="20"/>
                <w:szCs w:val="20"/>
                <w:color w:val="auto"/>
              </w:rPr>
            </w:pPr>
            <w:r>
              <w:rPr>
                <w:rFonts w:ascii="Arial" w:cs="Arial" w:eastAsia="Arial" w:hAnsi="Arial"/>
                <w:sz w:val="11"/>
                <w:szCs w:val="11"/>
                <w:b w:val="1"/>
                <w:bCs w:val="1"/>
                <w:color w:val="auto"/>
                <w:w w:val="83"/>
              </w:rPr>
              <w:t>Target</w:t>
            </w:r>
          </w:p>
        </w:tc>
        <w:tc>
          <w:tcPr>
            <w:tcW w:w="700" w:type="dxa"/>
            <w:vAlign w:val="bottom"/>
            <w:tcBorders>
              <w:right w:val="single" w:sz="8" w:color="auto"/>
            </w:tcBorders>
          </w:tcPr>
          <w:p>
            <w:pPr>
              <w:jc w:val="center"/>
              <w:spacing w:after="0" w:line="120" w:lineRule="exact"/>
              <w:rPr>
                <w:sz w:val="20"/>
                <w:szCs w:val="20"/>
                <w:color w:val="auto"/>
              </w:rPr>
            </w:pPr>
            <w:r>
              <w:rPr>
                <w:rFonts w:ascii="Arial" w:cs="Arial" w:eastAsia="Arial" w:hAnsi="Arial"/>
                <w:sz w:val="11"/>
                <w:szCs w:val="11"/>
                <w:b w:val="1"/>
                <w:bCs w:val="1"/>
                <w:color w:val="auto"/>
                <w:w w:val="80"/>
              </w:rPr>
              <w:t>Below</w:t>
            </w:r>
          </w:p>
        </w:tc>
        <w:tc>
          <w:tcPr>
            <w:tcW w:w="800" w:type="dxa"/>
            <w:vAlign w:val="bottom"/>
            <w:tcBorders>
              <w:right w:val="single" w:sz="8" w:color="auto"/>
            </w:tcBorders>
          </w:tcPr>
          <w:p>
            <w:pPr>
              <w:jc w:val="center"/>
              <w:spacing w:after="0" w:line="120" w:lineRule="exact"/>
              <w:rPr>
                <w:sz w:val="20"/>
                <w:szCs w:val="20"/>
                <w:color w:val="auto"/>
              </w:rPr>
            </w:pPr>
            <w:r>
              <w:rPr>
                <w:rFonts w:ascii="Arial" w:cs="Arial" w:eastAsia="Arial" w:hAnsi="Arial"/>
                <w:sz w:val="11"/>
                <w:szCs w:val="11"/>
                <w:b w:val="1"/>
                <w:bCs w:val="1"/>
                <w:color w:val="auto"/>
                <w:w w:val="85"/>
              </w:rPr>
              <w:t>Award for</w:t>
            </w:r>
          </w:p>
        </w:tc>
        <w:tc>
          <w:tcPr>
            <w:tcW w:w="800" w:type="dxa"/>
            <w:vAlign w:val="bottom"/>
            <w:tcBorders>
              <w:right w:val="single" w:sz="8" w:color="auto"/>
            </w:tcBorders>
          </w:tcPr>
          <w:p>
            <w:pPr>
              <w:jc w:val="center"/>
              <w:spacing w:after="0" w:line="120" w:lineRule="exact"/>
              <w:rPr>
                <w:sz w:val="20"/>
                <w:szCs w:val="20"/>
                <w:color w:val="auto"/>
              </w:rPr>
            </w:pPr>
            <w:r>
              <w:rPr>
                <w:rFonts w:ascii="Arial" w:cs="Arial" w:eastAsia="Arial" w:hAnsi="Arial"/>
                <w:sz w:val="11"/>
                <w:szCs w:val="11"/>
                <w:b w:val="1"/>
                <w:bCs w:val="1"/>
                <w:color w:val="auto"/>
                <w:w w:val="85"/>
              </w:rPr>
              <w:t>Award for</w:t>
            </w:r>
          </w:p>
        </w:tc>
        <w:tc>
          <w:tcPr>
            <w:tcW w:w="720" w:type="dxa"/>
            <w:vAlign w:val="bottom"/>
            <w:tcBorders>
              <w:right w:val="single" w:sz="8" w:color="auto"/>
            </w:tcBorders>
          </w:tcPr>
          <w:p>
            <w:pPr>
              <w:jc w:val="center"/>
              <w:spacing w:after="0" w:line="120" w:lineRule="exact"/>
              <w:rPr>
                <w:sz w:val="20"/>
                <w:szCs w:val="20"/>
                <w:color w:val="auto"/>
              </w:rPr>
            </w:pPr>
            <w:r>
              <w:rPr>
                <w:rFonts w:ascii="Arial" w:cs="Arial" w:eastAsia="Arial" w:hAnsi="Arial"/>
                <w:sz w:val="11"/>
                <w:szCs w:val="11"/>
                <w:b w:val="1"/>
                <w:bCs w:val="1"/>
                <w:color w:val="auto"/>
                <w:w w:val="86"/>
              </w:rPr>
              <w:t>Potential</w:t>
            </w:r>
          </w:p>
        </w:tc>
        <w:tc>
          <w:tcPr>
            <w:tcW w:w="720" w:type="dxa"/>
            <w:vAlign w:val="bottom"/>
            <w:tcBorders>
              <w:right w:val="single" w:sz="8" w:color="auto"/>
            </w:tcBorders>
          </w:tcPr>
          <w:p>
            <w:pPr>
              <w:spacing w:after="0"/>
              <w:rPr>
                <w:sz w:val="10"/>
                <w:szCs w:val="10"/>
                <w:color w:val="auto"/>
              </w:rPr>
            </w:pPr>
          </w:p>
        </w:tc>
        <w:tc>
          <w:tcPr>
            <w:tcW w:w="560" w:type="dxa"/>
            <w:vAlign w:val="bottom"/>
            <w:tcBorders>
              <w:right w:val="single" w:sz="8" w:color="auto"/>
            </w:tcBorders>
          </w:tcPr>
          <w:p>
            <w:pPr>
              <w:jc w:val="center"/>
              <w:spacing w:after="0" w:line="120" w:lineRule="exact"/>
              <w:rPr>
                <w:sz w:val="20"/>
                <w:szCs w:val="20"/>
                <w:color w:val="auto"/>
              </w:rPr>
            </w:pPr>
            <w:r>
              <w:rPr>
                <w:rFonts w:ascii="Arial" w:cs="Arial" w:eastAsia="Arial" w:hAnsi="Arial"/>
                <w:sz w:val="11"/>
                <w:szCs w:val="11"/>
                <w:b w:val="1"/>
                <w:bCs w:val="1"/>
                <w:color w:val="auto"/>
                <w:w w:val="87"/>
              </w:rPr>
              <w:t>as a %</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160" w:type="dxa"/>
            <w:vAlign w:val="bottom"/>
            <w:tcBorders>
              <w:left w:val="single" w:sz="8" w:color="auto"/>
              <w:right w:val="single" w:sz="8" w:color="auto"/>
            </w:tcBorders>
          </w:tcPr>
          <w:p>
            <w:pPr>
              <w:spacing w:after="0"/>
              <w:rPr>
                <w:sz w:val="10"/>
                <w:szCs w:val="10"/>
                <w:color w:val="auto"/>
              </w:rPr>
            </w:pPr>
          </w:p>
        </w:tc>
        <w:tc>
          <w:tcPr>
            <w:tcW w:w="56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w w:val="83"/>
              </w:rPr>
              <w:t>Incentive</w:t>
            </w:r>
          </w:p>
        </w:tc>
        <w:tc>
          <w:tcPr>
            <w:tcW w:w="700" w:type="dxa"/>
            <w:vAlign w:val="bottom"/>
            <w:tcBorders>
              <w:right w:val="single" w:sz="8" w:color="auto"/>
            </w:tcBorders>
          </w:tcPr>
          <w:p>
            <w:pPr>
              <w:jc w:val="center"/>
              <w:ind w:right="4"/>
              <w:spacing w:after="0" w:line="117" w:lineRule="exact"/>
              <w:rPr>
                <w:sz w:val="20"/>
                <w:szCs w:val="20"/>
                <w:color w:val="auto"/>
              </w:rPr>
            </w:pPr>
            <w:r>
              <w:rPr>
                <w:rFonts w:ascii="Arial" w:cs="Arial" w:eastAsia="Arial" w:hAnsi="Arial"/>
                <w:sz w:val="11"/>
                <w:szCs w:val="11"/>
                <w:b w:val="1"/>
                <w:bCs w:val="1"/>
                <w:color w:val="auto"/>
                <w:w w:val="82"/>
              </w:rPr>
              <w:t>Threshold</w:t>
            </w:r>
          </w:p>
        </w:tc>
        <w:tc>
          <w:tcPr>
            <w:tcW w:w="80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w w:val="82"/>
              </w:rPr>
              <w:t>Threshold</w:t>
            </w:r>
          </w:p>
        </w:tc>
        <w:tc>
          <w:tcPr>
            <w:tcW w:w="80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w w:val="83"/>
              </w:rPr>
              <w:t>Target</w:t>
            </w:r>
          </w:p>
        </w:tc>
        <w:tc>
          <w:tcPr>
            <w:tcW w:w="72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w w:val="90"/>
              </w:rPr>
              <w:t>Maximum</w:t>
            </w:r>
          </w:p>
        </w:tc>
        <w:tc>
          <w:tcPr>
            <w:tcW w:w="720" w:type="dxa"/>
            <w:vAlign w:val="bottom"/>
            <w:tcBorders>
              <w:right w:val="single" w:sz="8" w:color="auto"/>
            </w:tcBorders>
          </w:tcPr>
          <w:p>
            <w:pPr>
              <w:ind w:left="160"/>
              <w:spacing w:after="0" w:line="117" w:lineRule="exact"/>
              <w:rPr>
                <w:sz w:val="20"/>
                <w:szCs w:val="20"/>
                <w:color w:val="auto"/>
              </w:rPr>
            </w:pPr>
            <w:r>
              <w:rPr>
                <w:rFonts w:ascii="Arial" w:cs="Arial" w:eastAsia="Arial" w:hAnsi="Arial"/>
                <w:sz w:val="11"/>
                <w:szCs w:val="11"/>
                <w:b w:val="1"/>
                <w:bCs w:val="1"/>
                <w:color w:val="auto"/>
              </w:rPr>
              <w:t>Amount</w:t>
            </w:r>
          </w:p>
        </w:tc>
        <w:tc>
          <w:tcPr>
            <w:tcW w:w="56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w w:val="75"/>
              </w:rPr>
              <w:t>of Base</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1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1"/>
                <w:szCs w:val="11"/>
                <w:b w:val="1"/>
                <w:bCs w:val="1"/>
                <w:color w:val="auto"/>
              </w:rPr>
              <w:t>Name</w:t>
            </w:r>
          </w:p>
        </w:tc>
        <w:tc>
          <w:tcPr>
            <w:tcW w:w="560" w:type="dxa"/>
            <w:vAlign w:val="bottom"/>
            <w:tcBorders>
              <w:bottom w:val="single" w:sz="8" w:color="auto"/>
              <w:right w:val="single" w:sz="8" w:color="auto"/>
            </w:tcBorders>
          </w:tcPr>
          <w:p>
            <w:pPr>
              <w:jc w:val="center"/>
              <w:spacing w:after="0" w:line="169" w:lineRule="exact"/>
              <w:rPr>
                <w:sz w:val="20"/>
                <w:szCs w:val="20"/>
                <w:color w:val="auto"/>
              </w:rPr>
            </w:pPr>
            <w:r>
              <w:rPr>
                <w:rFonts w:ascii="Arial" w:cs="Arial" w:eastAsia="Arial" w:hAnsi="Arial"/>
                <w:sz w:val="19"/>
                <w:szCs w:val="19"/>
                <w:b w:val="1"/>
                <w:bCs w:val="1"/>
                <w:color w:val="auto"/>
                <w:w w:val="90"/>
                <w:vertAlign w:val="subscript"/>
              </w:rPr>
              <w:t>%</w:t>
            </w:r>
            <w:r>
              <w:rPr>
                <w:rFonts w:ascii="Arial" w:cs="Arial" w:eastAsia="Arial" w:hAnsi="Arial"/>
                <w:sz w:val="7"/>
                <w:szCs w:val="7"/>
                <w:b w:val="1"/>
                <w:bCs w:val="1"/>
                <w:color w:val="auto"/>
                <w:w w:val="90"/>
              </w:rPr>
              <w:t>(1)</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3"/>
              </w:rPr>
              <w:t>Performance</w:t>
            </w:r>
          </w:p>
        </w:tc>
        <w:tc>
          <w:tcPr>
            <w:tcW w:w="800" w:type="dxa"/>
            <w:vAlign w:val="bottom"/>
            <w:tcBorders>
              <w:bottom w:val="single" w:sz="8" w:color="auto"/>
              <w:right w:val="single" w:sz="8" w:color="auto"/>
            </w:tcBorders>
          </w:tcPr>
          <w:p>
            <w:pPr>
              <w:jc w:val="center"/>
              <w:spacing w:after="0" w:line="169" w:lineRule="exact"/>
              <w:rPr>
                <w:sz w:val="20"/>
                <w:szCs w:val="20"/>
                <w:color w:val="auto"/>
              </w:rPr>
            </w:pPr>
            <w:r>
              <w:rPr>
                <w:rFonts w:ascii="Arial" w:cs="Arial" w:eastAsia="Arial" w:hAnsi="Arial"/>
                <w:sz w:val="11"/>
                <w:szCs w:val="11"/>
                <w:b w:val="1"/>
                <w:bCs w:val="1"/>
                <w:color w:val="auto"/>
                <w:w w:val="82"/>
              </w:rPr>
              <w:t>Performance</w:t>
            </w:r>
            <w:r>
              <w:rPr>
                <w:rFonts w:ascii="Arial" w:cs="Arial" w:eastAsia="Arial" w:hAnsi="Arial"/>
                <w:sz w:val="15"/>
                <w:szCs w:val="15"/>
                <w:b w:val="1"/>
                <w:bCs w:val="1"/>
                <w:color w:val="auto"/>
                <w:w w:val="82"/>
                <w:vertAlign w:val="superscript"/>
              </w:rPr>
              <w:t>(2)</w:t>
            </w:r>
          </w:p>
        </w:tc>
        <w:tc>
          <w:tcPr>
            <w:tcW w:w="800" w:type="dxa"/>
            <w:vAlign w:val="bottom"/>
            <w:tcBorders>
              <w:bottom w:val="single" w:sz="8" w:color="auto"/>
              <w:right w:val="single" w:sz="8" w:color="auto"/>
            </w:tcBorders>
          </w:tcPr>
          <w:p>
            <w:pPr>
              <w:jc w:val="center"/>
              <w:spacing w:after="0" w:line="169" w:lineRule="exact"/>
              <w:rPr>
                <w:sz w:val="20"/>
                <w:szCs w:val="20"/>
                <w:color w:val="auto"/>
              </w:rPr>
            </w:pPr>
            <w:r>
              <w:rPr>
                <w:rFonts w:ascii="Arial" w:cs="Arial" w:eastAsia="Arial" w:hAnsi="Arial"/>
                <w:sz w:val="11"/>
                <w:szCs w:val="11"/>
                <w:b w:val="1"/>
                <w:bCs w:val="1"/>
                <w:color w:val="auto"/>
                <w:w w:val="82"/>
              </w:rPr>
              <w:t>Performance</w:t>
            </w:r>
            <w:r>
              <w:rPr>
                <w:rFonts w:ascii="Arial" w:cs="Arial" w:eastAsia="Arial" w:hAnsi="Arial"/>
                <w:sz w:val="15"/>
                <w:szCs w:val="15"/>
                <w:b w:val="1"/>
                <w:bCs w:val="1"/>
                <w:color w:val="auto"/>
                <w:w w:val="82"/>
                <w:vertAlign w:val="superscript"/>
              </w:rPr>
              <w:t>(2)</w:t>
            </w:r>
          </w:p>
        </w:tc>
        <w:tc>
          <w:tcPr>
            <w:tcW w:w="720" w:type="dxa"/>
            <w:vAlign w:val="bottom"/>
            <w:tcBorders>
              <w:bottom w:val="single" w:sz="8" w:color="auto"/>
              <w:right w:val="single" w:sz="8" w:color="auto"/>
            </w:tcBorders>
          </w:tcPr>
          <w:p>
            <w:pPr>
              <w:jc w:val="center"/>
              <w:spacing w:after="0" w:line="169" w:lineRule="exact"/>
              <w:rPr>
                <w:sz w:val="20"/>
                <w:szCs w:val="20"/>
                <w:color w:val="auto"/>
              </w:rPr>
            </w:pPr>
            <w:r>
              <w:rPr>
                <w:rFonts w:ascii="Arial" w:cs="Arial" w:eastAsia="Arial" w:hAnsi="Arial"/>
                <w:sz w:val="11"/>
                <w:szCs w:val="11"/>
                <w:b w:val="1"/>
                <w:bCs w:val="1"/>
                <w:color w:val="auto"/>
                <w:w w:val="82"/>
              </w:rPr>
              <w:t>Award</w:t>
            </w:r>
            <w:r>
              <w:rPr>
                <w:rFonts w:ascii="Arial" w:cs="Arial" w:eastAsia="Arial" w:hAnsi="Arial"/>
                <w:sz w:val="15"/>
                <w:szCs w:val="15"/>
                <w:b w:val="1"/>
                <w:bCs w:val="1"/>
                <w:color w:val="auto"/>
                <w:w w:val="82"/>
                <w:vertAlign w:val="superscript"/>
              </w:rPr>
              <w:t>(2)</w:t>
            </w:r>
          </w:p>
        </w:tc>
        <w:tc>
          <w:tcPr>
            <w:tcW w:w="7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1"/>
                <w:szCs w:val="11"/>
                <w:b w:val="1"/>
                <w:bCs w:val="1"/>
                <w:color w:val="auto"/>
              </w:rPr>
              <w:t>Awarded</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4"/>
              </w:rPr>
              <w:t>Salary</w:t>
            </w: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1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Robert A. Mionis</w:t>
            </w:r>
          </w:p>
        </w:tc>
        <w:tc>
          <w:tcPr>
            <w:tcW w:w="560" w:type="dxa"/>
            <w:vAlign w:val="bottom"/>
            <w:tcBorders>
              <w:bottom w:val="single" w:sz="8" w:color="auto"/>
              <w:right w:val="single" w:sz="8" w:color="auto"/>
            </w:tcBorders>
          </w:tcPr>
          <w:p>
            <w:pPr>
              <w:jc w:val="right"/>
              <w:ind w:right="85"/>
              <w:spacing w:after="0"/>
              <w:rPr>
                <w:sz w:val="20"/>
                <w:szCs w:val="20"/>
                <w:color w:val="auto"/>
              </w:rPr>
            </w:pPr>
            <w:r>
              <w:rPr>
                <w:rFonts w:ascii="Arial" w:cs="Arial" w:eastAsia="Arial" w:hAnsi="Arial"/>
                <w:sz w:val="12"/>
                <w:szCs w:val="12"/>
                <w:color w:val="auto"/>
              </w:rPr>
              <w:t>125%</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$0</w:t>
            </w:r>
          </w:p>
        </w:tc>
        <w:tc>
          <w:tcPr>
            <w:tcW w:w="800" w:type="dxa"/>
            <w:vAlign w:val="bottom"/>
            <w:tcBorders>
              <w:bottom w:val="single" w:sz="8" w:color="auto"/>
              <w:right w:val="single" w:sz="8" w:color="auto"/>
            </w:tcBorders>
          </w:tcPr>
          <w:p>
            <w:pPr>
              <w:jc w:val="right"/>
              <w:ind w:right="123"/>
              <w:spacing w:after="0"/>
              <w:rPr>
                <w:sz w:val="20"/>
                <w:szCs w:val="20"/>
                <w:color w:val="auto"/>
              </w:rPr>
            </w:pPr>
            <w:r>
              <w:rPr>
                <w:rFonts w:ascii="Arial" w:cs="Arial" w:eastAsia="Arial" w:hAnsi="Arial"/>
                <w:sz w:val="12"/>
                <w:szCs w:val="12"/>
                <w:color w:val="auto"/>
              </w:rPr>
              <w:t>$296,875</w:t>
            </w:r>
          </w:p>
        </w:tc>
        <w:tc>
          <w:tcPr>
            <w:tcW w:w="800" w:type="dxa"/>
            <w:vAlign w:val="bottom"/>
            <w:tcBorders>
              <w:bottom w:val="single" w:sz="8" w:color="auto"/>
              <w:right w:val="single" w:sz="8" w:color="auto"/>
            </w:tcBorders>
          </w:tcPr>
          <w:p>
            <w:pPr>
              <w:jc w:val="right"/>
              <w:ind w:right="63"/>
              <w:spacing w:after="0"/>
              <w:rPr>
                <w:sz w:val="20"/>
                <w:szCs w:val="20"/>
                <w:color w:val="auto"/>
              </w:rPr>
            </w:pPr>
            <w:r>
              <w:rPr>
                <w:rFonts w:ascii="Arial" w:cs="Arial" w:eastAsia="Arial" w:hAnsi="Arial"/>
                <w:sz w:val="12"/>
                <w:szCs w:val="12"/>
                <w:color w:val="auto"/>
              </w:rPr>
              <w:t>$1,187,500</w:t>
            </w:r>
          </w:p>
        </w:tc>
        <w:tc>
          <w:tcPr>
            <w:tcW w:w="72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2"/>
                <w:szCs w:val="12"/>
                <w:color w:val="auto"/>
              </w:rPr>
              <w:t>$2,375,000</w:t>
            </w:r>
          </w:p>
        </w:tc>
        <w:tc>
          <w:tcPr>
            <w:tcW w:w="720" w:type="dxa"/>
            <w:vAlign w:val="bottom"/>
            <w:tcBorders>
              <w:bottom w:val="single" w:sz="8" w:color="auto"/>
              <w:right w:val="single" w:sz="8" w:color="auto"/>
            </w:tcBorders>
          </w:tcPr>
          <w:p>
            <w:pPr>
              <w:jc w:val="right"/>
              <w:ind w:right="22"/>
              <w:spacing w:after="0"/>
              <w:rPr>
                <w:sz w:val="20"/>
                <w:szCs w:val="20"/>
                <w:color w:val="auto"/>
              </w:rPr>
            </w:pPr>
            <w:r>
              <w:rPr>
                <w:rFonts w:ascii="Arial" w:cs="Arial" w:eastAsia="Arial" w:hAnsi="Arial"/>
                <w:sz w:val="12"/>
                <w:szCs w:val="12"/>
                <w:color w:val="auto"/>
              </w:rPr>
              <w:t>$2,375,000</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250%</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1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Mandeep Chawla</w:t>
            </w:r>
          </w:p>
        </w:tc>
        <w:tc>
          <w:tcPr>
            <w:tcW w:w="560" w:type="dxa"/>
            <w:vAlign w:val="bottom"/>
            <w:tcBorders>
              <w:bottom w:val="single" w:sz="8" w:color="auto"/>
              <w:right w:val="single" w:sz="8" w:color="auto"/>
            </w:tcBorders>
          </w:tcPr>
          <w:p>
            <w:pPr>
              <w:jc w:val="right"/>
              <w:ind w:right="85"/>
              <w:spacing w:after="0"/>
              <w:rPr>
                <w:sz w:val="20"/>
                <w:szCs w:val="20"/>
                <w:color w:val="auto"/>
              </w:rPr>
            </w:pPr>
            <w:r>
              <w:rPr>
                <w:rFonts w:ascii="Arial" w:cs="Arial" w:eastAsia="Arial" w:hAnsi="Arial"/>
                <w:sz w:val="12"/>
                <w:szCs w:val="12"/>
                <w:color w:val="auto"/>
              </w:rPr>
              <w:t>80%</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$0</w:t>
            </w:r>
          </w:p>
        </w:tc>
        <w:tc>
          <w:tcPr>
            <w:tcW w:w="800" w:type="dxa"/>
            <w:vAlign w:val="bottom"/>
            <w:tcBorders>
              <w:bottom w:val="single" w:sz="8" w:color="auto"/>
              <w:right w:val="single" w:sz="8" w:color="auto"/>
            </w:tcBorders>
          </w:tcPr>
          <w:p>
            <w:pPr>
              <w:jc w:val="right"/>
              <w:ind w:right="123"/>
              <w:spacing w:after="0"/>
              <w:rPr>
                <w:sz w:val="20"/>
                <w:szCs w:val="20"/>
                <w:color w:val="auto"/>
              </w:rPr>
            </w:pPr>
            <w:r>
              <w:rPr>
                <w:rFonts w:ascii="Arial" w:cs="Arial" w:eastAsia="Arial" w:hAnsi="Arial"/>
                <w:sz w:val="12"/>
                <w:szCs w:val="12"/>
                <w:color w:val="auto"/>
              </w:rPr>
              <w:t>$98,098</w:t>
            </w:r>
          </w:p>
        </w:tc>
        <w:tc>
          <w:tcPr>
            <w:tcW w:w="800" w:type="dxa"/>
            <w:vAlign w:val="bottom"/>
            <w:tcBorders>
              <w:bottom w:val="single" w:sz="8" w:color="auto"/>
              <w:right w:val="single" w:sz="8" w:color="auto"/>
            </w:tcBorders>
          </w:tcPr>
          <w:p>
            <w:pPr>
              <w:jc w:val="right"/>
              <w:ind w:right="63"/>
              <w:spacing w:after="0"/>
              <w:rPr>
                <w:sz w:val="20"/>
                <w:szCs w:val="20"/>
                <w:color w:val="auto"/>
              </w:rPr>
            </w:pPr>
            <w:r>
              <w:rPr>
                <w:rFonts w:ascii="Arial" w:cs="Arial" w:eastAsia="Arial" w:hAnsi="Arial"/>
                <w:sz w:val="12"/>
                <w:szCs w:val="12"/>
                <w:color w:val="auto"/>
              </w:rPr>
              <w:t>$392,394</w:t>
            </w:r>
          </w:p>
        </w:tc>
        <w:tc>
          <w:tcPr>
            <w:tcW w:w="72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2"/>
                <w:szCs w:val="12"/>
                <w:color w:val="auto"/>
              </w:rPr>
              <w:t>$784,787</w:t>
            </w:r>
          </w:p>
        </w:tc>
        <w:tc>
          <w:tcPr>
            <w:tcW w:w="720" w:type="dxa"/>
            <w:vAlign w:val="bottom"/>
            <w:tcBorders>
              <w:bottom w:val="single" w:sz="8" w:color="auto"/>
              <w:right w:val="single" w:sz="8" w:color="auto"/>
            </w:tcBorders>
          </w:tcPr>
          <w:p>
            <w:pPr>
              <w:jc w:val="right"/>
              <w:ind w:right="22"/>
              <w:spacing w:after="0"/>
              <w:rPr>
                <w:sz w:val="20"/>
                <w:szCs w:val="20"/>
                <w:color w:val="auto"/>
              </w:rPr>
            </w:pPr>
            <w:r>
              <w:rPr>
                <w:rFonts w:ascii="Arial" w:cs="Arial" w:eastAsia="Arial" w:hAnsi="Arial"/>
                <w:sz w:val="12"/>
                <w:szCs w:val="12"/>
                <w:color w:val="auto"/>
              </w:rPr>
              <w:t>$784,787</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160%</w:t>
            </w: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Jason Phillips</w:t>
            </w:r>
          </w:p>
        </w:tc>
        <w:tc>
          <w:tcPr>
            <w:tcW w:w="560" w:type="dxa"/>
            <w:vAlign w:val="bottom"/>
            <w:tcBorders>
              <w:bottom w:val="single" w:sz="8" w:color="auto"/>
              <w:right w:val="single" w:sz="8" w:color="auto"/>
            </w:tcBorders>
          </w:tcPr>
          <w:p>
            <w:pPr>
              <w:jc w:val="right"/>
              <w:ind w:right="85"/>
              <w:spacing w:after="0"/>
              <w:rPr>
                <w:sz w:val="20"/>
                <w:szCs w:val="20"/>
                <w:color w:val="auto"/>
              </w:rPr>
            </w:pPr>
            <w:r>
              <w:rPr>
                <w:rFonts w:ascii="Arial" w:cs="Arial" w:eastAsia="Arial" w:hAnsi="Arial"/>
                <w:sz w:val="12"/>
                <w:szCs w:val="12"/>
                <w:color w:val="auto"/>
              </w:rPr>
              <w:t>80%</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$0</w:t>
            </w:r>
          </w:p>
        </w:tc>
        <w:tc>
          <w:tcPr>
            <w:tcW w:w="800" w:type="dxa"/>
            <w:vAlign w:val="bottom"/>
            <w:tcBorders>
              <w:bottom w:val="single" w:sz="8" w:color="auto"/>
              <w:right w:val="single" w:sz="8" w:color="auto"/>
            </w:tcBorders>
          </w:tcPr>
          <w:p>
            <w:pPr>
              <w:jc w:val="right"/>
              <w:ind w:right="123"/>
              <w:spacing w:after="0"/>
              <w:rPr>
                <w:sz w:val="20"/>
                <w:szCs w:val="20"/>
                <w:color w:val="auto"/>
              </w:rPr>
            </w:pPr>
            <w:r>
              <w:rPr>
                <w:rFonts w:ascii="Arial" w:cs="Arial" w:eastAsia="Arial" w:hAnsi="Arial"/>
                <w:sz w:val="12"/>
                <w:szCs w:val="12"/>
                <w:color w:val="auto"/>
              </w:rPr>
              <w:t>$92,000</w:t>
            </w:r>
          </w:p>
        </w:tc>
        <w:tc>
          <w:tcPr>
            <w:tcW w:w="800" w:type="dxa"/>
            <w:vAlign w:val="bottom"/>
            <w:tcBorders>
              <w:bottom w:val="single" w:sz="8" w:color="auto"/>
              <w:right w:val="single" w:sz="8" w:color="auto"/>
            </w:tcBorders>
          </w:tcPr>
          <w:p>
            <w:pPr>
              <w:jc w:val="right"/>
              <w:ind w:right="63"/>
              <w:spacing w:after="0"/>
              <w:rPr>
                <w:sz w:val="20"/>
                <w:szCs w:val="20"/>
                <w:color w:val="auto"/>
              </w:rPr>
            </w:pPr>
            <w:r>
              <w:rPr>
                <w:rFonts w:ascii="Arial" w:cs="Arial" w:eastAsia="Arial" w:hAnsi="Arial"/>
                <w:sz w:val="12"/>
                <w:szCs w:val="12"/>
                <w:color w:val="auto"/>
              </w:rPr>
              <w:t>$368,000</w:t>
            </w:r>
          </w:p>
        </w:tc>
        <w:tc>
          <w:tcPr>
            <w:tcW w:w="72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2"/>
                <w:szCs w:val="12"/>
                <w:color w:val="auto"/>
              </w:rPr>
              <w:t>$736,000</w:t>
            </w:r>
          </w:p>
        </w:tc>
        <w:tc>
          <w:tcPr>
            <w:tcW w:w="720" w:type="dxa"/>
            <w:vAlign w:val="bottom"/>
            <w:tcBorders>
              <w:bottom w:val="single" w:sz="8" w:color="auto"/>
              <w:right w:val="single" w:sz="8" w:color="auto"/>
            </w:tcBorders>
          </w:tcPr>
          <w:p>
            <w:pPr>
              <w:jc w:val="right"/>
              <w:ind w:right="22"/>
              <w:spacing w:after="0"/>
              <w:rPr>
                <w:sz w:val="20"/>
                <w:szCs w:val="20"/>
                <w:color w:val="auto"/>
              </w:rPr>
            </w:pPr>
            <w:r>
              <w:rPr>
                <w:rFonts w:ascii="Arial" w:cs="Arial" w:eastAsia="Arial" w:hAnsi="Arial"/>
                <w:sz w:val="12"/>
                <w:szCs w:val="12"/>
                <w:color w:val="auto"/>
              </w:rPr>
              <w:t>$736,000</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160%</w:t>
            </w: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Jack J. Lawless</w:t>
            </w:r>
          </w:p>
        </w:tc>
        <w:tc>
          <w:tcPr>
            <w:tcW w:w="560" w:type="dxa"/>
            <w:vAlign w:val="bottom"/>
            <w:tcBorders>
              <w:bottom w:val="single" w:sz="8" w:color="auto"/>
              <w:right w:val="single" w:sz="8" w:color="auto"/>
            </w:tcBorders>
          </w:tcPr>
          <w:p>
            <w:pPr>
              <w:jc w:val="right"/>
              <w:ind w:right="85"/>
              <w:spacing w:after="0"/>
              <w:rPr>
                <w:sz w:val="20"/>
                <w:szCs w:val="20"/>
                <w:color w:val="auto"/>
              </w:rPr>
            </w:pPr>
            <w:r>
              <w:rPr>
                <w:rFonts w:ascii="Arial" w:cs="Arial" w:eastAsia="Arial" w:hAnsi="Arial"/>
                <w:sz w:val="12"/>
                <w:szCs w:val="12"/>
                <w:color w:val="auto"/>
              </w:rPr>
              <w:t>80%</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$0</w:t>
            </w:r>
          </w:p>
        </w:tc>
        <w:tc>
          <w:tcPr>
            <w:tcW w:w="800" w:type="dxa"/>
            <w:vAlign w:val="bottom"/>
            <w:tcBorders>
              <w:bottom w:val="single" w:sz="8" w:color="auto"/>
              <w:right w:val="single" w:sz="8" w:color="auto"/>
            </w:tcBorders>
          </w:tcPr>
          <w:p>
            <w:pPr>
              <w:jc w:val="right"/>
              <w:ind w:right="123"/>
              <w:spacing w:after="0"/>
              <w:rPr>
                <w:sz w:val="20"/>
                <w:szCs w:val="20"/>
                <w:color w:val="auto"/>
              </w:rPr>
            </w:pPr>
            <w:r>
              <w:rPr>
                <w:rFonts w:ascii="Arial" w:cs="Arial" w:eastAsia="Arial" w:hAnsi="Arial"/>
                <w:sz w:val="12"/>
                <w:szCs w:val="12"/>
                <w:color w:val="auto"/>
              </w:rPr>
              <w:t>$92,000</w:t>
            </w:r>
          </w:p>
        </w:tc>
        <w:tc>
          <w:tcPr>
            <w:tcW w:w="800" w:type="dxa"/>
            <w:vAlign w:val="bottom"/>
            <w:tcBorders>
              <w:bottom w:val="single" w:sz="8" w:color="auto"/>
              <w:right w:val="single" w:sz="8" w:color="auto"/>
            </w:tcBorders>
          </w:tcPr>
          <w:p>
            <w:pPr>
              <w:jc w:val="right"/>
              <w:ind w:right="63"/>
              <w:spacing w:after="0"/>
              <w:rPr>
                <w:sz w:val="20"/>
                <w:szCs w:val="20"/>
                <w:color w:val="auto"/>
              </w:rPr>
            </w:pPr>
            <w:r>
              <w:rPr>
                <w:rFonts w:ascii="Arial" w:cs="Arial" w:eastAsia="Arial" w:hAnsi="Arial"/>
                <w:sz w:val="12"/>
                <w:szCs w:val="12"/>
                <w:color w:val="auto"/>
              </w:rPr>
              <w:t>$368,000</w:t>
            </w:r>
          </w:p>
        </w:tc>
        <w:tc>
          <w:tcPr>
            <w:tcW w:w="72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2"/>
                <w:szCs w:val="12"/>
                <w:color w:val="auto"/>
              </w:rPr>
              <w:t>$736,000</w:t>
            </w:r>
          </w:p>
        </w:tc>
        <w:tc>
          <w:tcPr>
            <w:tcW w:w="720" w:type="dxa"/>
            <w:vAlign w:val="bottom"/>
            <w:tcBorders>
              <w:bottom w:val="single" w:sz="8" w:color="auto"/>
              <w:right w:val="single" w:sz="8" w:color="auto"/>
            </w:tcBorders>
          </w:tcPr>
          <w:p>
            <w:pPr>
              <w:jc w:val="right"/>
              <w:ind w:right="22"/>
              <w:spacing w:after="0"/>
              <w:rPr>
                <w:sz w:val="20"/>
                <w:szCs w:val="20"/>
                <w:color w:val="auto"/>
              </w:rPr>
            </w:pPr>
            <w:r>
              <w:rPr>
                <w:rFonts w:ascii="Arial" w:cs="Arial" w:eastAsia="Arial" w:hAnsi="Arial"/>
                <w:sz w:val="12"/>
                <w:szCs w:val="12"/>
                <w:color w:val="auto"/>
              </w:rPr>
              <w:t>$636,272</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138%</w:t>
            </w: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Todd C. Cooper</w:t>
            </w:r>
          </w:p>
        </w:tc>
        <w:tc>
          <w:tcPr>
            <w:tcW w:w="560" w:type="dxa"/>
            <w:vAlign w:val="bottom"/>
            <w:tcBorders>
              <w:bottom w:val="single" w:sz="8" w:color="auto"/>
              <w:right w:val="single" w:sz="8" w:color="auto"/>
            </w:tcBorders>
          </w:tcPr>
          <w:p>
            <w:pPr>
              <w:jc w:val="right"/>
              <w:ind w:right="85"/>
              <w:spacing w:after="0"/>
              <w:rPr>
                <w:sz w:val="20"/>
                <w:szCs w:val="20"/>
                <w:color w:val="auto"/>
              </w:rPr>
            </w:pPr>
            <w:r>
              <w:rPr>
                <w:rFonts w:ascii="Arial" w:cs="Arial" w:eastAsia="Arial" w:hAnsi="Arial"/>
                <w:sz w:val="12"/>
                <w:szCs w:val="12"/>
                <w:color w:val="auto"/>
              </w:rPr>
              <w:t>80%</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$0</w:t>
            </w:r>
          </w:p>
        </w:tc>
        <w:tc>
          <w:tcPr>
            <w:tcW w:w="800" w:type="dxa"/>
            <w:vAlign w:val="bottom"/>
            <w:tcBorders>
              <w:bottom w:val="single" w:sz="8" w:color="auto"/>
              <w:right w:val="single" w:sz="8" w:color="auto"/>
            </w:tcBorders>
          </w:tcPr>
          <w:p>
            <w:pPr>
              <w:jc w:val="right"/>
              <w:ind w:right="123"/>
              <w:spacing w:after="0"/>
              <w:rPr>
                <w:sz w:val="20"/>
                <w:szCs w:val="20"/>
                <w:color w:val="auto"/>
              </w:rPr>
            </w:pPr>
            <w:r>
              <w:rPr>
                <w:rFonts w:ascii="Arial" w:cs="Arial" w:eastAsia="Arial" w:hAnsi="Arial"/>
                <w:sz w:val="12"/>
                <w:szCs w:val="12"/>
                <w:color w:val="auto"/>
              </w:rPr>
              <w:t>$92,000</w:t>
            </w:r>
          </w:p>
        </w:tc>
        <w:tc>
          <w:tcPr>
            <w:tcW w:w="800" w:type="dxa"/>
            <w:vAlign w:val="bottom"/>
            <w:tcBorders>
              <w:bottom w:val="single" w:sz="8" w:color="auto"/>
              <w:right w:val="single" w:sz="8" w:color="auto"/>
            </w:tcBorders>
          </w:tcPr>
          <w:p>
            <w:pPr>
              <w:jc w:val="right"/>
              <w:ind w:right="63"/>
              <w:spacing w:after="0"/>
              <w:rPr>
                <w:sz w:val="20"/>
                <w:szCs w:val="20"/>
                <w:color w:val="auto"/>
              </w:rPr>
            </w:pPr>
            <w:r>
              <w:rPr>
                <w:rFonts w:ascii="Arial" w:cs="Arial" w:eastAsia="Arial" w:hAnsi="Arial"/>
                <w:sz w:val="12"/>
                <w:szCs w:val="12"/>
                <w:color w:val="auto"/>
              </w:rPr>
              <w:t>$368,000</w:t>
            </w:r>
          </w:p>
        </w:tc>
        <w:tc>
          <w:tcPr>
            <w:tcW w:w="72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2"/>
                <w:szCs w:val="12"/>
                <w:color w:val="auto"/>
              </w:rPr>
              <w:t>$736,000</w:t>
            </w:r>
          </w:p>
        </w:tc>
        <w:tc>
          <w:tcPr>
            <w:tcW w:w="720" w:type="dxa"/>
            <w:vAlign w:val="bottom"/>
            <w:tcBorders>
              <w:bottom w:val="single" w:sz="8" w:color="auto"/>
              <w:right w:val="single" w:sz="8" w:color="auto"/>
            </w:tcBorders>
          </w:tcPr>
          <w:p>
            <w:pPr>
              <w:jc w:val="right"/>
              <w:ind w:right="22"/>
              <w:spacing w:after="0"/>
              <w:rPr>
                <w:sz w:val="20"/>
                <w:szCs w:val="20"/>
                <w:color w:val="auto"/>
              </w:rPr>
            </w:pPr>
            <w:r>
              <w:rPr>
                <w:rFonts w:ascii="Arial" w:cs="Arial" w:eastAsia="Arial" w:hAnsi="Arial"/>
                <w:sz w:val="12"/>
                <w:szCs w:val="12"/>
                <w:color w:val="auto"/>
              </w:rPr>
              <w:t>$736,000</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160%</w:t>
            </w: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ind w:left="1740" w:hanging="262"/>
        <w:spacing w:after="0"/>
        <w:tabs>
          <w:tab w:leader="none" w:pos="1740" w:val="left"/>
        </w:tabs>
        <w:numPr>
          <w:ilvl w:val="0"/>
          <w:numId w:val="83"/>
        </w:numPr>
        <w:rPr>
          <w:rFonts w:ascii="Arial" w:cs="Arial" w:eastAsia="Arial" w:hAnsi="Arial"/>
          <w:sz w:val="16"/>
          <w:szCs w:val="16"/>
          <w:color w:val="auto"/>
          <w:vertAlign w:val="superscript"/>
        </w:rPr>
      </w:pPr>
      <w:r>
        <w:rPr>
          <w:rFonts w:ascii="Arial" w:cs="Arial" w:eastAsia="Arial" w:hAnsi="Arial"/>
          <w:sz w:val="11"/>
          <w:szCs w:val="11"/>
          <w:color w:val="auto"/>
        </w:rPr>
        <w:t>The Target Incentive for each NEO was not changed from 2019.</w:t>
      </w:r>
    </w:p>
    <w:p>
      <w:pPr>
        <w:spacing w:after="0" w:line="52" w:lineRule="exact"/>
        <w:rPr>
          <w:rFonts w:ascii="Arial" w:cs="Arial" w:eastAsia="Arial" w:hAnsi="Arial"/>
          <w:sz w:val="16"/>
          <w:szCs w:val="16"/>
          <w:color w:val="auto"/>
          <w:vertAlign w:val="superscript"/>
        </w:rPr>
      </w:pPr>
    </w:p>
    <w:p>
      <w:pPr>
        <w:ind w:left="1740" w:hanging="262"/>
        <w:spacing w:after="0" w:line="188" w:lineRule="auto"/>
        <w:tabs>
          <w:tab w:leader="none" w:pos="1740" w:val="left"/>
        </w:tabs>
        <w:numPr>
          <w:ilvl w:val="0"/>
          <w:numId w:val="83"/>
        </w:numPr>
        <w:rPr>
          <w:rFonts w:ascii="Arial" w:cs="Arial" w:eastAsia="Arial" w:hAnsi="Arial"/>
          <w:sz w:val="14"/>
          <w:szCs w:val="14"/>
          <w:color w:val="auto"/>
          <w:vertAlign w:val="superscript"/>
        </w:rPr>
      </w:pPr>
      <w:r>
        <w:rPr>
          <w:rFonts w:ascii="Arial" w:cs="Arial" w:eastAsia="Arial" w:hAnsi="Arial"/>
          <w:sz w:val="9"/>
          <w:szCs w:val="9"/>
          <w:color w:val="auto"/>
        </w:rPr>
        <w:t>Award amounts in these columns are calculated based on an IPF of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6" w:name="page67"/>
    <w:bookmarkEnd w:id="66"/>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36" w:lineRule="exact"/>
        <w:rPr>
          <w:sz w:val="20"/>
          <w:szCs w:val="20"/>
          <w:color w:val="auto"/>
        </w:rPr>
      </w:pPr>
    </w:p>
    <w:p>
      <w:pPr>
        <w:ind w:left="1740"/>
        <w:spacing w:after="0"/>
        <w:rPr>
          <w:sz w:val="20"/>
          <w:szCs w:val="20"/>
          <w:color w:val="auto"/>
        </w:rPr>
      </w:pPr>
      <w:r>
        <w:rPr>
          <w:rFonts w:ascii="Arial" w:cs="Arial" w:eastAsia="Arial" w:hAnsi="Arial"/>
          <w:sz w:val="15"/>
          <w:szCs w:val="15"/>
          <w:b w:val="1"/>
          <w:bCs w:val="1"/>
          <w:u w:val="single" w:color="auto"/>
          <w:color w:val="auto"/>
        </w:rPr>
        <w:t>NEO Equity Awards and Mix</w:t>
      </w:r>
    </w:p>
    <w:p>
      <w:pPr>
        <w:spacing w:after="0" w:line="188" w:lineRule="exact"/>
        <w:rPr>
          <w:sz w:val="20"/>
          <w:szCs w:val="20"/>
          <w:color w:val="auto"/>
        </w:rPr>
      </w:pPr>
    </w:p>
    <w:p>
      <w:pPr>
        <w:jc w:val="both"/>
        <w:ind w:left="1480" w:right="1499"/>
        <w:spacing w:after="0" w:line="287" w:lineRule="auto"/>
        <w:rPr>
          <w:sz w:val="20"/>
          <w:szCs w:val="20"/>
          <w:color w:val="auto"/>
        </w:rPr>
      </w:pPr>
      <w:r>
        <w:rPr>
          <w:rFonts w:ascii="Arial" w:cs="Arial" w:eastAsia="Arial" w:hAnsi="Arial"/>
          <w:sz w:val="12"/>
          <w:szCs w:val="12"/>
          <w:color w:val="auto"/>
        </w:rPr>
        <w:t xml:space="preserve">Target equity-based incentives were determined for the NEOs with reference to the median awards of the Comparator Group. Consideration was also given to individual performance, the roles and responsibilities of the NEOs, retention value and market trends. The mix of equity in respect of 2020 compensation was comprised of 40% RSUs and 60% PSUs (in accordance with executive compensation program design changes implemented in 2018). See </w:t>
      </w:r>
      <w:r>
        <w:rPr>
          <w:rFonts w:ascii="Arial" w:cs="Arial" w:eastAsia="Arial" w:hAnsi="Arial"/>
          <w:sz w:val="12"/>
          <w:szCs w:val="12"/>
          <w:i w:val="1"/>
          <w:iCs w:val="1"/>
          <w:color w:val="auto"/>
        </w:rPr>
        <w:t xml:space="preserve">Compensation Elements for the Named Executive Officers — Equity-Based Incentives </w:t>
      </w:r>
      <w:r>
        <w:rPr>
          <w:rFonts w:ascii="Arial" w:cs="Arial" w:eastAsia="Arial" w:hAnsi="Arial"/>
          <w:sz w:val="12"/>
          <w:szCs w:val="12"/>
          <w:color w:val="auto"/>
        </w:rPr>
        <w:t>for a general description of the process for determining the amounts of these awards.</w:t>
      </w:r>
    </w:p>
    <w:p>
      <w:pPr>
        <w:spacing w:after="0" w:line="45" w:lineRule="exact"/>
        <w:rPr>
          <w:sz w:val="20"/>
          <w:szCs w:val="20"/>
          <w:color w:val="auto"/>
        </w:rPr>
      </w:pPr>
    </w:p>
    <w:p>
      <w:pPr>
        <w:jc w:val="both"/>
        <w:ind w:left="1480" w:right="1499"/>
        <w:spacing w:after="0" w:line="259" w:lineRule="auto"/>
        <w:rPr>
          <w:sz w:val="20"/>
          <w:szCs w:val="20"/>
          <w:color w:val="auto"/>
        </w:rPr>
      </w:pPr>
      <w:r>
        <w:rPr>
          <w:rFonts w:ascii="Arial" w:cs="Arial" w:eastAsia="Arial" w:hAnsi="Arial"/>
          <w:sz w:val="13"/>
          <w:szCs w:val="13"/>
          <w:color w:val="auto"/>
        </w:rPr>
        <w:t>In addition to the annual grant to the NEOs, Mr. Phillips received a one-time target grant of 44,994 PSUs on February 4, 2020 based on a share price of $8.89, which was the closing price of the SVS on the NYSE on February 3, 2020. The number of PSUs that will actually vest ranges from 0% to 200% of the target amount granted, based on pre-determined profitability and growth performance targets for the period from January 1, 2020 to March 31, 2021. Following the determination of the performance results by the Board, the PSUs will be released in two equal tranches, on April 1, 2021 and April 1, 2022. This performance-based award was made to Mr. Phillips to incentivize his performance in light of the challenging market dynamics facing the CCS business and our CCS segment portfolio reshaping initiatives, which included profitably managing the disengagement from its then-largest CCS customer, while meeting specific financial targets for the balance of the CCS business.</w:t>
      </w:r>
    </w:p>
    <w:p>
      <w:pPr>
        <w:spacing w:after="0" w:line="59" w:lineRule="exact"/>
        <w:rPr>
          <w:sz w:val="20"/>
          <w:szCs w:val="20"/>
          <w:color w:val="auto"/>
        </w:rPr>
      </w:pPr>
    </w:p>
    <w:p>
      <w:pPr>
        <w:jc w:val="both"/>
        <w:ind w:left="1480" w:right="1499"/>
        <w:spacing w:after="0" w:line="285" w:lineRule="auto"/>
        <w:rPr>
          <w:sz w:val="20"/>
          <w:szCs w:val="20"/>
          <w:color w:val="auto"/>
        </w:rPr>
      </w:pPr>
      <w:r>
        <w:rPr>
          <w:rFonts w:ascii="Arial" w:cs="Arial" w:eastAsia="Arial" w:hAnsi="Arial"/>
          <w:sz w:val="13"/>
          <w:szCs w:val="13"/>
          <w:color w:val="auto"/>
        </w:rPr>
        <w:t>The following table sets forth equity awards granted to the NEOs on February 4, 2020 as part of their 2020 compensation as well the one-time PSU award granted to Mr. Phillips: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Table 16: NEO Equity Awards</w:t>
      </w:r>
    </w:p>
    <w:p>
      <w:pPr>
        <w:spacing w:after="0" w:line="77" w:lineRule="exact"/>
        <w:rPr>
          <w:sz w:val="20"/>
          <w:szCs w:val="20"/>
          <w:color w:val="auto"/>
        </w:rPr>
      </w:pPr>
    </w:p>
    <w:tbl>
      <w:tblPr>
        <w:tblLayout w:type="fixed"/>
        <w:tblInd w:w="1490" w:type="dxa"/>
        <w:tblCellMar>
          <w:top w:w="0" w:type="dxa"/>
          <w:left w:w="0" w:type="dxa"/>
          <w:bottom w:w="0" w:type="dxa"/>
          <w:right w:w="0" w:type="dxa"/>
        </w:tblCellMar>
      </w:tblPr>
      <w:tr>
        <w:trPr>
          <w:trHeight w:val="184"/>
        </w:trPr>
        <w:tc>
          <w:tcPr>
            <w:tcW w:w="3180" w:type="dxa"/>
            <w:vAlign w:val="bottom"/>
            <w:tcBorders>
              <w:top w:val="single" w:sz="8" w:color="auto"/>
              <w:left w:val="single" w:sz="8" w:color="auto"/>
              <w:right w:val="single" w:sz="8" w:color="auto"/>
            </w:tcBorders>
          </w:tcPr>
          <w:p>
            <w:pPr>
              <w:spacing w:after="0"/>
              <w:rPr>
                <w:sz w:val="16"/>
                <w:szCs w:val="16"/>
                <w:color w:val="auto"/>
              </w:rPr>
            </w:pPr>
          </w:p>
        </w:tc>
        <w:tc>
          <w:tcPr>
            <w:tcW w:w="600" w:type="dxa"/>
            <w:vAlign w:val="bottom"/>
            <w:tcBorders>
              <w:top w:val="single" w:sz="8" w:color="auto"/>
              <w:right w:val="single" w:sz="8" w:color="auto"/>
            </w:tcBorders>
          </w:tcPr>
          <w:p>
            <w:pPr>
              <w:jc w:val="right"/>
              <w:ind w:right="137"/>
              <w:spacing w:after="0"/>
              <w:rPr>
                <w:sz w:val="20"/>
                <w:szCs w:val="20"/>
                <w:color w:val="auto"/>
              </w:rPr>
            </w:pPr>
            <w:r>
              <w:rPr>
                <w:rFonts w:ascii="Arial" w:cs="Arial" w:eastAsia="Arial" w:hAnsi="Arial"/>
                <w:sz w:val="11"/>
                <w:szCs w:val="11"/>
                <w:b w:val="1"/>
                <w:bCs w:val="1"/>
                <w:color w:val="auto"/>
              </w:rPr>
              <w:t>RSUs</w:t>
            </w:r>
          </w:p>
        </w:tc>
        <w:tc>
          <w:tcPr>
            <w:tcW w:w="60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1"/>
                <w:szCs w:val="11"/>
                <w:b w:val="1"/>
                <w:bCs w:val="1"/>
                <w:color w:val="auto"/>
              </w:rPr>
              <w:t>PSUs</w:t>
            </w:r>
          </w:p>
        </w:tc>
        <w:tc>
          <w:tcPr>
            <w:tcW w:w="800" w:type="dxa"/>
            <w:vAlign w:val="bottom"/>
            <w:tcBorders>
              <w:top w:val="single" w:sz="8" w:color="auto"/>
              <w:right w:val="single" w:sz="8" w:color="auto"/>
            </w:tcBorders>
          </w:tcPr>
          <w:p>
            <w:pPr>
              <w:jc w:val="right"/>
              <w:ind w:right="57"/>
              <w:spacing w:after="0"/>
              <w:rPr>
                <w:sz w:val="20"/>
                <w:szCs w:val="20"/>
                <w:color w:val="auto"/>
              </w:rPr>
            </w:pPr>
            <w:r>
              <w:rPr>
                <w:rFonts w:ascii="Arial" w:cs="Arial" w:eastAsia="Arial" w:hAnsi="Arial"/>
                <w:sz w:val="11"/>
                <w:szCs w:val="11"/>
                <w:b w:val="1"/>
                <w:bCs w:val="1"/>
                <w:color w:val="auto"/>
                <w:w w:val="88"/>
              </w:rPr>
              <w:t>Stock Options</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5"/>
              </w:rPr>
              <w:t>Value of Equity</w:t>
            </w:r>
          </w:p>
        </w:tc>
      </w:tr>
      <w:tr>
        <w:trPr>
          <w:trHeight w:val="169"/>
        </w:trPr>
        <w:tc>
          <w:tcPr>
            <w:tcW w:w="3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1"/>
                <w:szCs w:val="11"/>
                <w:b w:val="1"/>
                <w:bCs w:val="1"/>
                <w:color w:val="auto"/>
              </w:rPr>
              <w:t>Name</w:t>
            </w:r>
          </w:p>
        </w:tc>
        <w:tc>
          <w:tcPr>
            <w:tcW w:w="600" w:type="dxa"/>
            <w:vAlign w:val="bottom"/>
            <w:tcBorders>
              <w:bottom w:val="single" w:sz="8" w:color="auto"/>
              <w:right w:val="single" w:sz="8" w:color="auto"/>
            </w:tcBorders>
          </w:tcPr>
          <w:p>
            <w:pPr>
              <w:jc w:val="right"/>
              <w:ind w:right="157"/>
              <w:spacing w:after="0" w:line="169"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5"/>
                <w:szCs w:val="15"/>
                <w:b w:val="1"/>
                <w:bCs w:val="1"/>
                <w:color w:val="auto"/>
                <w:vertAlign w:val="superscript"/>
              </w:rPr>
              <w:t>(1)</w:t>
            </w:r>
          </w:p>
        </w:tc>
        <w:tc>
          <w:tcPr>
            <w:tcW w:w="600" w:type="dxa"/>
            <w:vAlign w:val="bottom"/>
            <w:tcBorders>
              <w:bottom w:val="single" w:sz="8" w:color="auto"/>
              <w:right w:val="single" w:sz="8" w:color="auto"/>
            </w:tcBorders>
          </w:tcPr>
          <w:p>
            <w:pPr>
              <w:jc w:val="center"/>
              <w:spacing w:after="0" w:line="169" w:lineRule="exact"/>
              <w:rPr>
                <w:sz w:val="20"/>
                <w:szCs w:val="20"/>
                <w:color w:val="auto"/>
              </w:rPr>
            </w:pPr>
            <w:r>
              <w:rPr>
                <w:rFonts w:ascii="Arial" w:cs="Arial" w:eastAsia="Arial" w:hAnsi="Arial"/>
                <w:sz w:val="11"/>
                <w:szCs w:val="11"/>
                <w:b w:val="1"/>
                <w:bCs w:val="1"/>
                <w:color w:val="auto"/>
                <w:w w:val="85"/>
              </w:rPr>
              <w:t>(#)</w:t>
            </w:r>
            <w:r>
              <w:rPr>
                <w:rFonts w:ascii="Arial" w:cs="Arial" w:eastAsia="Arial" w:hAnsi="Arial"/>
                <w:sz w:val="15"/>
                <w:szCs w:val="15"/>
                <w:b w:val="1"/>
                <w:bCs w:val="1"/>
                <w:color w:val="auto"/>
                <w:w w:val="85"/>
                <w:vertAlign w:val="superscript"/>
              </w:rPr>
              <w:t>(2)</w:t>
            </w:r>
          </w:p>
        </w:tc>
        <w:tc>
          <w:tcPr>
            <w:tcW w:w="800" w:type="dxa"/>
            <w:vAlign w:val="bottom"/>
            <w:tcBorders>
              <w:bottom w:val="single" w:sz="8" w:color="auto"/>
              <w:right w:val="single" w:sz="8" w:color="auto"/>
            </w:tcBorders>
          </w:tcPr>
          <w:p>
            <w:pPr>
              <w:jc w:val="right"/>
              <w:ind w:right="297"/>
              <w:spacing w:after="0"/>
              <w:rPr>
                <w:sz w:val="20"/>
                <w:szCs w:val="20"/>
                <w:color w:val="auto"/>
              </w:rPr>
            </w:pPr>
            <w:r>
              <w:rPr>
                <w:rFonts w:ascii="Arial" w:cs="Arial" w:eastAsia="Arial" w:hAnsi="Arial"/>
                <w:sz w:val="11"/>
                <w:szCs w:val="11"/>
                <w:b w:val="1"/>
                <w:bCs w:val="1"/>
                <w:color w:val="auto"/>
              </w:rPr>
              <w:t>(#)</w:t>
            </w:r>
          </w:p>
        </w:tc>
        <w:tc>
          <w:tcPr>
            <w:tcW w:w="860" w:type="dxa"/>
            <w:vAlign w:val="bottom"/>
            <w:tcBorders>
              <w:bottom w:val="single" w:sz="8" w:color="auto"/>
              <w:right w:val="single" w:sz="8" w:color="auto"/>
            </w:tcBorders>
          </w:tcPr>
          <w:p>
            <w:pPr>
              <w:jc w:val="center"/>
              <w:spacing w:after="0" w:line="169" w:lineRule="exact"/>
              <w:rPr>
                <w:sz w:val="20"/>
                <w:szCs w:val="20"/>
                <w:color w:val="auto"/>
              </w:rPr>
            </w:pPr>
            <w:r>
              <w:rPr>
                <w:rFonts w:ascii="Arial" w:cs="Arial" w:eastAsia="Arial" w:hAnsi="Arial"/>
                <w:sz w:val="11"/>
                <w:szCs w:val="11"/>
                <w:b w:val="1"/>
                <w:bCs w:val="1"/>
                <w:color w:val="auto"/>
                <w:w w:val="82"/>
              </w:rPr>
              <w:t>Award</w:t>
            </w:r>
            <w:r>
              <w:rPr>
                <w:rFonts w:ascii="Arial" w:cs="Arial" w:eastAsia="Arial" w:hAnsi="Arial"/>
                <w:sz w:val="15"/>
                <w:szCs w:val="15"/>
                <w:b w:val="1"/>
                <w:bCs w:val="1"/>
                <w:color w:val="auto"/>
                <w:w w:val="82"/>
                <w:vertAlign w:val="superscript"/>
              </w:rPr>
              <w:t>(3)</w:t>
            </w:r>
          </w:p>
        </w:tc>
      </w:tr>
      <w:tr>
        <w:trPr>
          <w:trHeight w:val="194"/>
        </w:trPr>
        <w:tc>
          <w:tcPr>
            <w:tcW w:w="3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Robert A. Mionis</w:t>
            </w:r>
          </w:p>
        </w:tc>
        <w:tc>
          <w:tcPr>
            <w:tcW w:w="60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3"/>
                <w:szCs w:val="13"/>
                <w:color w:val="auto"/>
              </w:rPr>
              <w:t>323,959</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3"/>
              </w:rPr>
              <w:t>485,939</w:t>
            </w:r>
          </w:p>
        </w:tc>
        <w:tc>
          <w:tcPr>
            <w:tcW w:w="800" w:type="dxa"/>
            <w:vAlign w:val="bottom"/>
            <w:tcBorders>
              <w:bottom w:val="single" w:sz="8" w:color="auto"/>
              <w:right w:val="single" w:sz="8" w:color="auto"/>
            </w:tcBorders>
          </w:tcPr>
          <w:p>
            <w:pPr>
              <w:jc w:val="right"/>
              <w:ind w:right="27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$7,200,000</w:t>
            </w:r>
          </w:p>
        </w:tc>
      </w:tr>
      <w:tr>
        <w:trPr>
          <w:trHeight w:val="199"/>
        </w:trPr>
        <w:tc>
          <w:tcPr>
            <w:tcW w:w="3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Mandeep Chawla</w:t>
            </w:r>
          </w:p>
        </w:tc>
        <w:tc>
          <w:tcPr>
            <w:tcW w:w="60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3"/>
                <w:szCs w:val="13"/>
                <w:color w:val="auto"/>
              </w:rPr>
              <w:t>83,239</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3"/>
              </w:rPr>
              <w:t>124,859</w:t>
            </w:r>
          </w:p>
        </w:tc>
        <w:tc>
          <w:tcPr>
            <w:tcW w:w="800" w:type="dxa"/>
            <w:vAlign w:val="bottom"/>
            <w:tcBorders>
              <w:bottom w:val="single" w:sz="8" w:color="auto"/>
              <w:right w:val="single" w:sz="8" w:color="auto"/>
            </w:tcBorders>
          </w:tcPr>
          <w:p>
            <w:pPr>
              <w:jc w:val="right"/>
              <w:ind w:right="27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$1,850,000</w:t>
            </w:r>
          </w:p>
        </w:tc>
      </w:tr>
      <w:tr>
        <w:trPr>
          <w:trHeight w:val="199"/>
        </w:trPr>
        <w:tc>
          <w:tcPr>
            <w:tcW w:w="3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Jason Phillips</w:t>
            </w:r>
          </w:p>
        </w:tc>
        <w:tc>
          <w:tcPr>
            <w:tcW w:w="60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3"/>
                <w:szCs w:val="13"/>
                <w:color w:val="auto"/>
              </w:rPr>
              <w:t>71,991</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3"/>
              </w:rPr>
              <w:t>152,980</w:t>
            </w:r>
          </w:p>
        </w:tc>
        <w:tc>
          <w:tcPr>
            <w:tcW w:w="800" w:type="dxa"/>
            <w:vAlign w:val="bottom"/>
            <w:tcBorders>
              <w:bottom w:val="single" w:sz="8" w:color="auto"/>
              <w:right w:val="single" w:sz="8" w:color="auto"/>
            </w:tcBorders>
          </w:tcPr>
          <w:p>
            <w:pPr>
              <w:jc w:val="right"/>
              <w:ind w:right="27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$2,000,000</w:t>
            </w:r>
          </w:p>
        </w:tc>
      </w:tr>
      <w:tr>
        <w:trPr>
          <w:trHeight w:val="199"/>
        </w:trPr>
        <w:tc>
          <w:tcPr>
            <w:tcW w:w="3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Jack J. Lawless</w:t>
            </w:r>
          </w:p>
        </w:tc>
        <w:tc>
          <w:tcPr>
            <w:tcW w:w="60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3"/>
                <w:szCs w:val="13"/>
                <w:color w:val="auto"/>
              </w:rPr>
              <w:t>78,740</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3"/>
              </w:rPr>
              <w:t>118,110</w:t>
            </w:r>
          </w:p>
        </w:tc>
        <w:tc>
          <w:tcPr>
            <w:tcW w:w="800" w:type="dxa"/>
            <w:vAlign w:val="bottom"/>
            <w:tcBorders>
              <w:bottom w:val="single" w:sz="8" w:color="auto"/>
              <w:right w:val="single" w:sz="8" w:color="auto"/>
            </w:tcBorders>
          </w:tcPr>
          <w:p>
            <w:pPr>
              <w:jc w:val="right"/>
              <w:ind w:right="27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$1,750,000</w:t>
            </w:r>
          </w:p>
        </w:tc>
      </w:tr>
      <w:tr>
        <w:trPr>
          <w:trHeight w:val="199"/>
        </w:trPr>
        <w:tc>
          <w:tcPr>
            <w:tcW w:w="3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Todd C. Cooper</w:t>
            </w:r>
          </w:p>
        </w:tc>
        <w:tc>
          <w:tcPr>
            <w:tcW w:w="60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3"/>
                <w:szCs w:val="13"/>
                <w:color w:val="auto"/>
              </w:rPr>
              <w:t>71,991</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3"/>
              </w:rPr>
              <w:t>107,986</w:t>
            </w:r>
          </w:p>
        </w:tc>
        <w:tc>
          <w:tcPr>
            <w:tcW w:w="800" w:type="dxa"/>
            <w:vAlign w:val="bottom"/>
            <w:tcBorders>
              <w:bottom w:val="single" w:sz="8" w:color="auto"/>
              <w:right w:val="single" w:sz="8" w:color="auto"/>
            </w:tcBorders>
          </w:tcPr>
          <w:p>
            <w:pPr>
              <w:jc w:val="right"/>
              <w:ind w:right="27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$1,600,000</w:t>
            </w:r>
          </w:p>
        </w:tc>
      </w:tr>
      <w:tr>
        <w:trPr>
          <w:trHeight w:val="20"/>
        </w:trPr>
        <w:tc>
          <w:tcPr>
            <w:tcW w:w="3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r>
    </w:tbl>
    <w:p>
      <w:pPr>
        <w:spacing w:after="0" w:line="82" w:lineRule="exact"/>
        <w:rPr>
          <w:sz w:val="20"/>
          <w:szCs w:val="20"/>
          <w:color w:val="auto"/>
        </w:rPr>
      </w:pPr>
    </w:p>
    <w:p>
      <w:pPr>
        <w:ind w:left="1740" w:right="1499" w:hanging="262"/>
        <w:spacing w:after="0" w:line="204" w:lineRule="auto"/>
        <w:tabs>
          <w:tab w:leader="none" w:pos="1740" w:val="left"/>
        </w:tabs>
        <w:numPr>
          <w:ilvl w:val="0"/>
          <w:numId w:val="84"/>
        </w:numPr>
        <w:rPr>
          <w:rFonts w:ascii="Arial" w:cs="Arial" w:eastAsia="Arial" w:hAnsi="Arial"/>
          <w:sz w:val="16"/>
          <w:szCs w:val="16"/>
          <w:color w:val="auto"/>
          <w:vertAlign w:val="superscript"/>
        </w:rPr>
      </w:pPr>
      <w:r>
        <w:rPr>
          <w:rFonts w:ascii="Arial" w:cs="Arial" w:eastAsia="Arial" w:hAnsi="Arial"/>
          <w:sz w:val="11"/>
          <w:szCs w:val="11"/>
          <w:color w:val="auto"/>
        </w:rPr>
        <w:t>Grants were based on a share price of $8.89, which was the closing price of the SVS on the NYSE on February 3, 2020 (the last business day before the date of grant).</w:t>
      </w:r>
    </w:p>
    <w:p>
      <w:pPr>
        <w:ind w:left="1740" w:hanging="262"/>
        <w:spacing w:after="0" w:line="233" w:lineRule="auto"/>
        <w:tabs>
          <w:tab w:leader="none" w:pos="1740" w:val="left"/>
        </w:tabs>
        <w:numPr>
          <w:ilvl w:val="0"/>
          <w:numId w:val="84"/>
        </w:numPr>
        <w:rPr>
          <w:rFonts w:ascii="Arial" w:cs="Arial" w:eastAsia="Arial" w:hAnsi="Arial"/>
          <w:sz w:val="16"/>
          <w:szCs w:val="16"/>
          <w:color w:val="auto"/>
          <w:vertAlign w:val="superscript"/>
        </w:rPr>
      </w:pPr>
      <w:r>
        <w:rPr>
          <w:rFonts w:ascii="Arial" w:cs="Arial" w:eastAsia="Arial" w:hAnsi="Arial"/>
          <w:sz w:val="11"/>
          <w:szCs w:val="11"/>
          <w:color w:val="auto"/>
        </w:rPr>
        <w:t>Assumes achievement of 100% of target level performance.</w:t>
      </w:r>
    </w:p>
    <w:p>
      <w:pPr>
        <w:spacing w:after="0" w:line="59" w:lineRule="exact"/>
        <w:rPr>
          <w:rFonts w:ascii="Arial" w:cs="Arial" w:eastAsia="Arial" w:hAnsi="Arial"/>
          <w:sz w:val="16"/>
          <w:szCs w:val="16"/>
          <w:color w:val="auto"/>
          <w:vertAlign w:val="superscript"/>
        </w:rPr>
      </w:pPr>
    </w:p>
    <w:p>
      <w:pPr>
        <w:ind w:left="1740" w:hanging="262"/>
        <w:spacing w:after="0" w:line="183" w:lineRule="auto"/>
        <w:tabs>
          <w:tab w:leader="none" w:pos="1740" w:val="left"/>
        </w:tabs>
        <w:numPr>
          <w:ilvl w:val="0"/>
          <w:numId w:val="84"/>
        </w:numPr>
        <w:rPr>
          <w:rFonts w:ascii="Arial" w:cs="Arial" w:eastAsia="Arial" w:hAnsi="Arial"/>
          <w:sz w:val="16"/>
          <w:szCs w:val="16"/>
          <w:color w:val="auto"/>
          <w:vertAlign w:val="superscript"/>
        </w:rPr>
      </w:pPr>
      <w:r>
        <w:rPr>
          <w:rFonts w:ascii="Arial" w:cs="Arial" w:eastAsia="Arial" w:hAnsi="Arial"/>
          <w:sz w:val="11"/>
          <w:szCs w:val="11"/>
          <w:color w:val="auto"/>
        </w:rPr>
        <w:t>Represents the aggregate grant date fair value of the RSUs and PSUs.</w:t>
      </w:r>
    </w:p>
    <w:p>
      <w:pPr>
        <w:spacing w:after="0" w:line="79" w:lineRule="exact"/>
        <w:rPr>
          <w:sz w:val="20"/>
          <w:szCs w:val="20"/>
          <w:color w:val="auto"/>
        </w:rPr>
      </w:pPr>
    </w:p>
    <w:p>
      <w:pPr>
        <w:jc w:val="both"/>
        <w:ind w:left="1480" w:right="1499"/>
        <w:spacing w:after="0" w:line="265" w:lineRule="auto"/>
        <w:rPr>
          <w:sz w:val="20"/>
          <w:szCs w:val="20"/>
          <w:color w:val="auto"/>
        </w:rPr>
      </w:pPr>
      <w:r>
        <w:rPr>
          <w:rFonts w:ascii="Arial" w:cs="Arial" w:eastAsia="Arial" w:hAnsi="Arial"/>
          <w:sz w:val="13"/>
          <w:szCs w:val="13"/>
          <w:color w:val="auto"/>
        </w:rPr>
        <w:t>The RSUs vest ratably over a three-year period, commencing on the first anniversary of the date of grant. The value of the RSUs granted on February 4, 2020 was determined at the January 2020 meeting of the HRCC. The number of RSUs granted was determined using the closing price of the SVS on February 3, 2020 (the day prior to the date of grant) on the NYSE of $8.89.</w:t>
      </w:r>
    </w:p>
    <w:p>
      <w:pPr>
        <w:spacing w:after="0" w:line="56" w:lineRule="exact"/>
        <w:rPr>
          <w:sz w:val="20"/>
          <w:szCs w:val="20"/>
          <w:color w:val="auto"/>
        </w:rPr>
      </w:pPr>
    </w:p>
    <w:p>
      <w:pPr>
        <w:jc w:val="both"/>
        <w:ind w:left="1480" w:right="1499"/>
        <w:spacing w:after="0" w:line="287" w:lineRule="auto"/>
        <w:rPr>
          <w:sz w:val="20"/>
          <w:szCs w:val="20"/>
          <w:color w:val="auto"/>
        </w:rPr>
      </w:pPr>
      <w:r>
        <w:rPr>
          <w:rFonts w:ascii="Arial" w:cs="Arial" w:eastAsia="Arial" w:hAnsi="Arial"/>
          <w:sz w:val="12"/>
          <w:szCs w:val="12"/>
          <w:color w:val="auto"/>
        </w:rPr>
        <w:t>Other than the one-time award of PSUs granted to Mr. Phillips in February 2020, PSUs set forth in the table above vest at the end of a three-year period subject to pre-determined performance criteria. For such awards, each NEO was granted a target number of PSUs (“</w:t>
      </w:r>
      <w:r>
        <w:rPr>
          <w:rFonts w:ascii="Arial" w:cs="Arial" w:eastAsia="Arial" w:hAnsi="Arial"/>
          <w:sz w:val="12"/>
          <w:szCs w:val="12"/>
          <w:b w:val="1"/>
          <w:bCs w:val="1"/>
          <w:color w:val="auto"/>
        </w:rPr>
        <w:t>Target Grant</w:t>
      </w:r>
      <w:r>
        <w:rPr>
          <w:rFonts w:ascii="Arial" w:cs="Arial" w:eastAsia="Arial" w:hAnsi="Arial"/>
          <w:sz w:val="12"/>
          <w:szCs w:val="12"/>
          <w:color w:val="auto"/>
        </w:rPr>
        <w:t>”). The number of PSUs that will actually vest ranges from 0% to 200% of the Target Grant and will be primarily based on the Corporation’s non-IFRS operating margin in the final year of the three-year performance period (“</w:t>
      </w:r>
      <w:r>
        <w:rPr>
          <w:rFonts w:ascii="Arial" w:cs="Arial" w:eastAsia="Arial" w:hAnsi="Arial"/>
          <w:sz w:val="12"/>
          <w:szCs w:val="12"/>
          <w:b w:val="1"/>
          <w:bCs w:val="1"/>
          <w:color w:val="auto"/>
        </w:rPr>
        <w:t>OM Result</w:t>
      </w:r>
      <w:r>
        <w:rPr>
          <w:rFonts w:ascii="Arial" w:cs="Arial" w:eastAsia="Arial" w:hAnsi="Arial"/>
          <w:sz w:val="12"/>
          <w:szCs w:val="12"/>
          <w:color w:val="auto"/>
        </w:rPr>
        <w:t>”), subject to modification by the Corporation’s average annual non-IFRS adjusted ROIC achievement over the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7" w:name="page68"/>
    <w:bookmarkEnd w:id="67"/>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93" w:lineRule="exact"/>
        <w:rPr>
          <w:sz w:val="20"/>
          <w:szCs w:val="20"/>
          <w:color w:val="auto"/>
        </w:rPr>
      </w:pPr>
    </w:p>
    <w:p>
      <w:pPr>
        <w:ind w:left="1480" w:right="1499"/>
        <w:spacing w:after="0" w:line="292" w:lineRule="auto"/>
        <w:rPr>
          <w:sz w:val="20"/>
          <w:szCs w:val="20"/>
          <w:color w:val="auto"/>
        </w:rPr>
      </w:pPr>
      <w:r>
        <w:rPr>
          <w:rFonts w:ascii="Arial" w:cs="Arial" w:eastAsia="Arial" w:hAnsi="Arial"/>
          <w:sz w:val="13"/>
          <w:szCs w:val="13"/>
          <w:color w:val="auto"/>
        </w:rPr>
        <w:t>performance period (“</w:t>
      </w:r>
      <w:r>
        <w:rPr>
          <w:rFonts w:ascii="Arial" w:cs="Arial" w:eastAsia="Arial" w:hAnsi="Arial"/>
          <w:sz w:val="13"/>
          <w:szCs w:val="13"/>
          <w:b w:val="1"/>
          <w:bCs w:val="1"/>
          <w:color w:val="auto"/>
        </w:rPr>
        <w:t>ROIC Factor</w:t>
      </w:r>
      <w:r>
        <w:rPr>
          <w:rFonts w:ascii="Arial" w:cs="Arial" w:eastAsia="Arial" w:hAnsi="Arial"/>
          <w:sz w:val="13"/>
          <w:szCs w:val="13"/>
          <w:color w:val="auto"/>
        </w:rPr>
        <w:t>”) and relative TSR achievement (“</w:t>
      </w:r>
      <w:r>
        <w:rPr>
          <w:rFonts w:ascii="Arial" w:cs="Arial" w:eastAsia="Arial" w:hAnsi="Arial"/>
          <w:sz w:val="13"/>
          <w:szCs w:val="13"/>
          <w:b w:val="1"/>
          <w:bCs w:val="1"/>
          <w:color w:val="auto"/>
        </w:rPr>
        <w:t>TSR Factor</w:t>
      </w:r>
      <w:r>
        <w:rPr>
          <w:rFonts w:ascii="Arial" w:cs="Arial" w:eastAsia="Arial" w:hAnsi="Arial"/>
          <w:sz w:val="13"/>
          <w:szCs w:val="13"/>
          <w:color w:val="auto"/>
        </w:rPr>
        <w:t>”) over the performance period in accordance with the following:</w:t>
      </w:r>
    </w:p>
    <w:p>
      <w:pPr>
        <w:spacing w:after="0" w:line="47" w:lineRule="exact"/>
        <w:rPr>
          <w:sz w:val="20"/>
          <w:szCs w:val="20"/>
          <w:color w:val="auto"/>
        </w:rPr>
      </w:pPr>
    </w:p>
    <w:tbl>
      <w:tblPr>
        <w:tblLayout w:type="fixed"/>
        <w:tblInd w:w="1490" w:type="dxa"/>
        <w:tblCellMar>
          <w:top w:w="0" w:type="dxa"/>
          <w:left w:w="0" w:type="dxa"/>
          <w:bottom w:w="0" w:type="dxa"/>
          <w:right w:w="0" w:type="dxa"/>
        </w:tblCellMar>
      </w:tblPr>
      <w:tr>
        <w:trPr>
          <w:trHeight w:val="190"/>
        </w:trPr>
        <w:tc>
          <w:tcPr>
            <w:tcW w:w="160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1"/>
                <w:szCs w:val="11"/>
                <w:b w:val="1"/>
                <w:bCs w:val="1"/>
                <w:color w:val="auto"/>
              </w:rPr>
              <w:t>Formula</w:t>
            </w:r>
          </w:p>
        </w:tc>
        <w:tc>
          <w:tcPr>
            <w:tcW w:w="82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Description</w:t>
            </w:r>
          </w:p>
        </w:tc>
        <w:tc>
          <w:tcPr>
            <w:tcW w:w="86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right w:val="single" w:sz="8" w:color="auto"/>
            </w:tcBorders>
          </w:tcPr>
          <w:p>
            <w:pPr>
              <w:spacing w:after="0"/>
              <w:rPr>
                <w:sz w:val="16"/>
                <w:szCs w:val="16"/>
                <w:color w:val="auto"/>
              </w:rPr>
            </w:pPr>
          </w:p>
        </w:tc>
      </w:tr>
      <w:tr>
        <w:trPr>
          <w:trHeight w:val="115"/>
        </w:trPr>
        <w:tc>
          <w:tcPr>
            <w:tcW w:w="1600" w:type="dxa"/>
            <w:vAlign w:val="bottom"/>
            <w:tcBorders>
              <w:left w:val="single" w:sz="8" w:color="auto"/>
              <w:right w:val="single" w:sz="8" w:color="auto"/>
            </w:tcBorders>
          </w:tcPr>
          <w:p>
            <w:pPr>
              <w:ind w:left="60"/>
              <w:spacing w:after="0" w:line="115" w:lineRule="exact"/>
              <w:rPr>
                <w:sz w:val="20"/>
                <w:szCs w:val="20"/>
                <w:color w:val="auto"/>
              </w:rPr>
            </w:pPr>
            <w:r>
              <w:rPr>
                <w:rFonts w:ascii="Arial" w:cs="Arial" w:eastAsia="Arial" w:hAnsi="Arial"/>
                <w:sz w:val="11"/>
                <w:szCs w:val="11"/>
                <w:color w:val="auto"/>
              </w:rPr>
              <w:t>Preliminary Vesting % based</w:t>
            </w:r>
          </w:p>
        </w:tc>
        <w:tc>
          <w:tcPr>
            <w:tcW w:w="4460" w:type="dxa"/>
            <w:vAlign w:val="bottom"/>
            <w:tcBorders>
              <w:right w:val="single" w:sz="8" w:color="auto"/>
            </w:tcBorders>
            <w:gridSpan w:val="8"/>
          </w:tcPr>
          <w:p>
            <w:pPr>
              <w:ind w:left="60"/>
              <w:spacing w:after="0" w:line="115" w:lineRule="exact"/>
              <w:rPr>
                <w:sz w:val="20"/>
                <w:szCs w:val="20"/>
                <w:color w:val="auto"/>
              </w:rPr>
            </w:pPr>
            <w:r>
              <w:rPr>
                <w:rFonts w:ascii="Arial" w:cs="Arial" w:eastAsia="Arial" w:hAnsi="Arial"/>
                <w:sz w:val="11"/>
                <w:szCs w:val="11"/>
                <w:color w:val="auto"/>
              </w:rPr>
              <w:t>The  percentage  of  PSUs  that  will  vest  based  on  the  OM  Result  (the  “</w:t>
            </w:r>
            <w:r>
              <w:rPr>
                <w:rFonts w:ascii="Arial" w:cs="Arial" w:eastAsia="Arial" w:hAnsi="Arial"/>
                <w:sz w:val="11"/>
                <w:szCs w:val="11"/>
                <w:b w:val="1"/>
                <w:bCs w:val="1"/>
                <w:color w:val="auto"/>
              </w:rPr>
              <w:t>Preliminary</w:t>
            </w:r>
          </w:p>
        </w:tc>
      </w:tr>
      <w:tr>
        <w:trPr>
          <w:trHeight w:val="131"/>
        </w:trPr>
        <w:tc>
          <w:tcPr>
            <w:tcW w:w="16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on OM Result</w:t>
            </w:r>
          </w:p>
        </w:tc>
        <w:tc>
          <w:tcPr>
            <w:tcW w:w="4460" w:type="dxa"/>
            <w:vAlign w:val="bottom"/>
            <w:tcBorders>
              <w:right w:val="single" w:sz="8" w:color="auto"/>
            </w:tcBorders>
            <w:gridSpan w:val="8"/>
          </w:tcPr>
          <w:p>
            <w:pPr>
              <w:ind w:left="60"/>
              <w:spacing w:after="0"/>
              <w:rPr>
                <w:sz w:val="20"/>
                <w:szCs w:val="20"/>
                <w:color w:val="auto"/>
              </w:rPr>
            </w:pPr>
            <w:r>
              <w:rPr>
                <w:rFonts w:ascii="Arial" w:cs="Arial" w:eastAsia="Arial" w:hAnsi="Arial"/>
                <w:sz w:val="11"/>
                <w:szCs w:val="11"/>
                <w:b w:val="1"/>
                <w:bCs w:val="1"/>
                <w:color w:val="auto"/>
              </w:rPr>
              <w:t>Vesting %</w:t>
            </w:r>
            <w:r>
              <w:rPr>
                <w:rFonts w:ascii="Arial" w:cs="Arial" w:eastAsia="Arial" w:hAnsi="Arial"/>
                <w:sz w:val="11"/>
                <w:szCs w:val="11"/>
                <w:color w:val="auto"/>
              </w:rPr>
              <w:t>”) can range between 0% and 200% of the Target Grant. The Preliminary</w:t>
            </w:r>
          </w:p>
        </w:tc>
      </w:tr>
      <w:tr>
        <w:trPr>
          <w:trHeight w:val="129"/>
        </w:trPr>
        <w:tc>
          <w:tcPr>
            <w:tcW w:w="1600" w:type="dxa"/>
            <w:vAlign w:val="bottom"/>
            <w:tcBorders>
              <w:left w:val="single" w:sz="8" w:color="auto"/>
              <w:right w:val="single" w:sz="8" w:color="auto"/>
            </w:tcBorders>
          </w:tcPr>
          <w:p>
            <w:pPr>
              <w:spacing w:after="0"/>
              <w:rPr>
                <w:sz w:val="11"/>
                <w:szCs w:val="11"/>
                <w:color w:val="auto"/>
              </w:rPr>
            </w:pPr>
          </w:p>
        </w:tc>
        <w:tc>
          <w:tcPr>
            <w:tcW w:w="4460" w:type="dxa"/>
            <w:vAlign w:val="bottom"/>
            <w:tcBorders>
              <w:right w:val="single" w:sz="8" w:color="auto"/>
            </w:tcBorders>
            <w:gridSpan w:val="8"/>
          </w:tcPr>
          <w:p>
            <w:pPr>
              <w:ind w:left="60"/>
              <w:spacing w:after="0"/>
              <w:rPr>
                <w:sz w:val="20"/>
                <w:szCs w:val="20"/>
                <w:color w:val="auto"/>
              </w:rPr>
            </w:pPr>
            <w:r>
              <w:rPr>
                <w:rFonts w:ascii="Arial" w:cs="Arial" w:eastAsia="Arial" w:hAnsi="Arial"/>
                <w:sz w:val="11"/>
                <w:szCs w:val="11"/>
                <w:color w:val="auto"/>
              </w:rPr>
              <w:t>Vesting % will be subject to initial adjustment based on the ROIC Factor and further</w:t>
            </w:r>
          </w:p>
        </w:tc>
      </w:tr>
      <w:tr>
        <w:trPr>
          <w:trHeight w:val="129"/>
        </w:trPr>
        <w:tc>
          <w:tcPr>
            <w:tcW w:w="1600" w:type="dxa"/>
            <w:vAlign w:val="bottom"/>
            <w:tcBorders>
              <w:left w:val="single" w:sz="8" w:color="auto"/>
              <w:right w:val="single" w:sz="8" w:color="auto"/>
            </w:tcBorders>
          </w:tcPr>
          <w:p>
            <w:pPr>
              <w:spacing w:after="0"/>
              <w:rPr>
                <w:sz w:val="11"/>
                <w:szCs w:val="11"/>
                <w:color w:val="auto"/>
              </w:rPr>
            </w:pPr>
          </w:p>
        </w:tc>
        <w:tc>
          <w:tcPr>
            <w:tcW w:w="4460" w:type="dxa"/>
            <w:vAlign w:val="bottom"/>
            <w:tcBorders>
              <w:right w:val="single" w:sz="8" w:color="auto"/>
            </w:tcBorders>
            <w:gridSpan w:val="8"/>
          </w:tcPr>
          <w:p>
            <w:pPr>
              <w:ind w:left="60"/>
              <w:spacing w:after="0"/>
              <w:rPr>
                <w:sz w:val="20"/>
                <w:szCs w:val="20"/>
                <w:color w:val="auto"/>
              </w:rPr>
            </w:pPr>
            <w:r>
              <w:rPr>
                <w:rFonts w:ascii="Arial" w:cs="Arial" w:eastAsia="Arial" w:hAnsi="Arial"/>
                <w:sz w:val="11"/>
                <w:szCs w:val="11"/>
                <w:color w:val="auto"/>
              </w:rPr>
              <w:t>adjustment based on the TSR Factor, as described below, provided that the maximum</w:t>
            </w:r>
          </w:p>
        </w:tc>
      </w:tr>
      <w:tr>
        <w:trPr>
          <w:trHeight w:val="152"/>
        </w:trPr>
        <w:tc>
          <w:tcPr>
            <w:tcW w:w="1600" w:type="dxa"/>
            <w:vAlign w:val="bottom"/>
            <w:tcBorders>
              <w:left w:val="single" w:sz="8" w:color="auto"/>
              <w:bottom w:val="single" w:sz="8" w:color="auto"/>
              <w:right w:val="single" w:sz="8" w:color="auto"/>
            </w:tcBorders>
          </w:tcPr>
          <w:p>
            <w:pPr>
              <w:spacing w:after="0"/>
              <w:rPr>
                <w:sz w:val="13"/>
                <w:szCs w:val="13"/>
                <w:color w:val="auto"/>
              </w:rPr>
            </w:pPr>
          </w:p>
        </w:tc>
        <w:tc>
          <w:tcPr>
            <w:tcW w:w="3980" w:type="dxa"/>
            <w:vAlign w:val="bottom"/>
            <w:tcBorders>
              <w:bottom w:val="single" w:sz="8" w:color="auto"/>
            </w:tcBorders>
            <w:gridSpan w:val="7"/>
          </w:tcPr>
          <w:p>
            <w:pPr>
              <w:ind w:left="60"/>
              <w:spacing w:after="0"/>
              <w:rPr>
                <w:sz w:val="20"/>
                <w:szCs w:val="20"/>
                <w:color w:val="auto"/>
              </w:rPr>
            </w:pPr>
            <w:r>
              <w:rPr>
                <w:rFonts w:ascii="Arial" w:cs="Arial" w:eastAsia="Arial" w:hAnsi="Arial"/>
                <w:sz w:val="11"/>
                <w:szCs w:val="11"/>
                <w:color w:val="auto"/>
              </w:rPr>
              <w:t>number of PSUs that may vest will not exceed 200% of the Target Grant.</w:t>
            </w:r>
          </w:p>
        </w:tc>
        <w:tc>
          <w:tcPr>
            <w:tcW w:w="480" w:type="dxa"/>
            <w:vAlign w:val="bottom"/>
            <w:tcBorders>
              <w:bottom w:val="single" w:sz="8" w:color="auto"/>
              <w:right w:val="single" w:sz="8" w:color="auto"/>
            </w:tcBorders>
          </w:tcPr>
          <w:p>
            <w:pPr>
              <w:spacing w:after="0"/>
              <w:rPr>
                <w:sz w:val="13"/>
                <w:szCs w:val="13"/>
                <w:color w:val="auto"/>
              </w:rPr>
            </w:pPr>
          </w:p>
        </w:tc>
      </w:tr>
      <w:tr>
        <w:trPr>
          <w:trHeight w:val="116"/>
        </w:trPr>
        <w:tc>
          <w:tcPr>
            <w:tcW w:w="1600" w:type="dxa"/>
            <w:vAlign w:val="bottom"/>
            <w:tcBorders>
              <w:left w:val="single" w:sz="8" w:color="auto"/>
              <w:right w:val="single" w:sz="8" w:color="auto"/>
            </w:tcBorders>
          </w:tcPr>
          <w:p>
            <w:pPr>
              <w:ind w:left="60"/>
              <w:spacing w:after="0" w:line="116" w:lineRule="exact"/>
              <w:rPr>
                <w:sz w:val="20"/>
                <w:szCs w:val="20"/>
                <w:color w:val="auto"/>
              </w:rPr>
            </w:pPr>
            <w:r>
              <w:rPr>
                <w:rFonts w:ascii="Arial" w:cs="Arial" w:eastAsia="Arial" w:hAnsi="Arial"/>
                <w:sz w:val="11"/>
                <w:szCs w:val="11"/>
                <w:color w:val="auto"/>
              </w:rPr>
              <w:t>Preliminary Vesting % subject</w:t>
            </w:r>
          </w:p>
        </w:tc>
        <w:tc>
          <w:tcPr>
            <w:tcW w:w="4460" w:type="dxa"/>
            <w:vAlign w:val="bottom"/>
            <w:tcBorders>
              <w:right w:val="single" w:sz="8" w:color="auto"/>
            </w:tcBorders>
            <w:gridSpan w:val="8"/>
          </w:tcPr>
          <w:p>
            <w:pPr>
              <w:ind w:left="60"/>
              <w:spacing w:after="0" w:line="116" w:lineRule="exact"/>
              <w:rPr>
                <w:sz w:val="20"/>
                <w:szCs w:val="20"/>
                <w:color w:val="auto"/>
              </w:rPr>
            </w:pPr>
            <w:r>
              <w:rPr>
                <w:rFonts w:ascii="Arial" w:cs="Arial" w:eastAsia="Arial" w:hAnsi="Arial"/>
                <w:sz w:val="11"/>
                <w:szCs w:val="11"/>
                <w:color w:val="auto"/>
              </w:rPr>
              <w:t>The Corporation’s ROIC Factor will be measured relative to a pre-determined non-IFRS</w:t>
            </w:r>
          </w:p>
        </w:tc>
      </w:tr>
      <w:tr>
        <w:trPr>
          <w:trHeight w:val="129"/>
        </w:trPr>
        <w:tc>
          <w:tcPr>
            <w:tcW w:w="16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to modification by a factor of</w:t>
            </w:r>
          </w:p>
        </w:tc>
        <w:tc>
          <w:tcPr>
            <w:tcW w:w="4460" w:type="dxa"/>
            <w:vAlign w:val="bottom"/>
            <w:tcBorders>
              <w:right w:val="single" w:sz="8" w:color="auto"/>
            </w:tcBorders>
            <w:gridSpan w:val="8"/>
          </w:tcPr>
          <w:p>
            <w:pPr>
              <w:ind w:left="60"/>
              <w:spacing w:after="0"/>
              <w:rPr>
                <w:sz w:val="20"/>
                <w:szCs w:val="20"/>
                <w:color w:val="auto"/>
              </w:rPr>
            </w:pPr>
            <w:r>
              <w:rPr>
                <w:rFonts w:ascii="Arial" w:cs="Arial" w:eastAsia="Arial" w:hAnsi="Arial"/>
                <w:sz w:val="11"/>
                <w:szCs w:val="11"/>
                <w:color w:val="auto"/>
              </w:rPr>
              <w:t>adjusted ROIC range approved by the Board. The Preliminary Vesting % will not be</w:t>
            </w:r>
          </w:p>
        </w:tc>
      </w:tr>
      <w:tr>
        <w:trPr>
          <w:trHeight w:val="129"/>
        </w:trPr>
        <w:tc>
          <w:tcPr>
            <w:tcW w:w="16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either −25%, 0% or +25%</w:t>
            </w:r>
          </w:p>
        </w:tc>
        <w:tc>
          <w:tcPr>
            <w:tcW w:w="4460" w:type="dxa"/>
            <w:vAlign w:val="bottom"/>
            <w:tcBorders>
              <w:right w:val="single" w:sz="8" w:color="auto"/>
            </w:tcBorders>
            <w:gridSpan w:val="8"/>
          </w:tcPr>
          <w:p>
            <w:pPr>
              <w:ind w:left="60"/>
              <w:spacing w:after="0"/>
              <w:rPr>
                <w:sz w:val="20"/>
                <w:szCs w:val="20"/>
                <w:color w:val="auto"/>
              </w:rPr>
            </w:pPr>
            <w:r>
              <w:rPr>
                <w:rFonts w:ascii="Arial" w:cs="Arial" w:eastAsia="Arial" w:hAnsi="Arial"/>
                <w:sz w:val="11"/>
                <w:szCs w:val="11"/>
                <w:color w:val="auto"/>
              </w:rPr>
              <w:t>modified  if  the  ROIC  Factor  is  within  that  pre-determined  range.  The  Preliminary</w:t>
            </w:r>
          </w:p>
        </w:tc>
      </w:tr>
      <w:tr>
        <w:trPr>
          <w:trHeight w:val="127"/>
        </w:trPr>
        <w:tc>
          <w:tcPr>
            <w:tcW w:w="16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based on ROIC Factor</w:t>
            </w:r>
          </w:p>
        </w:tc>
        <w:tc>
          <w:tcPr>
            <w:tcW w:w="4460" w:type="dxa"/>
            <w:vAlign w:val="bottom"/>
            <w:tcBorders>
              <w:right w:val="single" w:sz="8" w:color="auto"/>
            </w:tcBorders>
            <w:gridSpan w:val="8"/>
          </w:tcPr>
          <w:p>
            <w:pPr>
              <w:ind w:left="60"/>
              <w:spacing w:after="0"/>
              <w:rPr>
                <w:sz w:val="20"/>
                <w:szCs w:val="20"/>
                <w:color w:val="auto"/>
              </w:rPr>
            </w:pPr>
            <w:r>
              <w:rPr>
                <w:rFonts w:ascii="Arial" w:cs="Arial" w:eastAsia="Arial" w:hAnsi="Arial"/>
                <w:sz w:val="11"/>
                <w:szCs w:val="11"/>
                <w:color w:val="auto"/>
                <w:w w:val="98"/>
              </w:rPr>
              <w:t>Vesting % will be increased or decreased by 25% if the ROIC Factor is above or below that</w:t>
            </w:r>
          </w:p>
        </w:tc>
      </w:tr>
      <w:tr>
        <w:trPr>
          <w:trHeight w:val="131"/>
        </w:trPr>
        <w:tc>
          <w:tcPr>
            <w:tcW w:w="1600" w:type="dxa"/>
            <w:vAlign w:val="bottom"/>
            <w:tcBorders>
              <w:left w:val="single" w:sz="8" w:color="auto"/>
              <w:right w:val="single" w:sz="8" w:color="auto"/>
            </w:tcBorders>
          </w:tcPr>
          <w:p>
            <w:pPr>
              <w:spacing w:after="0"/>
              <w:rPr>
                <w:sz w:val="11"/>
                <w:szCs w:val="11"/>
                <w:color w:val="auto"/>
              </w:rPr>
            </w:pPr>
          </w:p>
        </w:tc>
        <w:tc>
          <w:tcPr>
            <w:tcW w:w="4460" w:type="dxa"/>
            <w:vAlign w:val="bottom"/>
            <w:tcBorders>
              <w:right w:val="single" w:sz="8" w:color="auto"/>
            </w:tcBorders>
            <w:gridSpan w:val="8"/>
          </w:tcPr>
          <w:p>
            <w:pPr>
              <w:ind w:left="60"/>
              <w:spacing w:after="0"/>
              <w:rPr>
                <w:sz w:val="20"/>
                <w:szCs w:val="20"/>
                <w:color w:val="auto"/>
              </w:rPr>
            </w:pPr>
            <w:r>
              <w:rPr>
                <w:rFonts w:ascii="Arial" w:cs="Arial" w:eastAsia="Arial" w:hAnsi="Arial"/>
                <w:sz w:val="11"/>
                <w:szCs w:val="11"/>
                <w:color w:val="auto"/>
                <w:w w:val="97"/>
              </w:rPr>
              <w:t>predetermined range, respectively (as so adjusted, the “</w:t>
            </w:r>
            <w:r>
              <w:rPr>
                <w:rFonts w:ascii="Arial" w:cs="Arial" w:eastAsia="Arial" w:hAnsi="Arial"/>
                <w:sz w:val="11"/>
                <w:szCs w:val="11"/>
                <w:b w:val="1"/>
                <w:bCs w:val="1"/>
                <w:color w:val="auto"/>
                <w:w w:val="97"/>
              </w:rPr>
              <w:t>Secondary Vesting %</w:t>
            </w:r>
            <w:r>
              <w:rPr>
                <w:rFonts w:ascii="Arial" w:cs="Arial" w:eastAsia="Arial" w:hAnsi="Arial"/>
                <w:sz w:val="11"/>
                <w:szCs w:val="11"/>
                <w:color w:val="auto"/>
                <w:w w:val="97"/>
              </w:rPr>
              <w:t>”). The ROIC</w:t>
            </w:r>
          </w:p>
        </w:tc>
      </w:tr>
      <w:tr>
        <w:trPr>
          <w:trHeight w:val="129"/>
        </w:trPr>
        <w:tc>
          <w:tcPr>
            <w:tcW w:w="1600" w:type="dxa"/>
            <w:vAlign w:val="bottom"/>
            <w:tcBorders>
              <w:left w:val="single" w:sz="8" w:color="auto"/>
              <w:right w:val="single" w:sz="8" w:color="auto"/>
            </w:tcBorders>
          </w:tcPr>
          <w:p>
            <w:pPr>
              <w:spacing w:after="0"/>
              <w:rPr>
                <w:sz w:val="11"/>
                <w:szCs w:val="11"/>
                <w:color w:val="auto"/>
              </w:rPr>
            </w:pPr>
          </w:p>
        </w:tc>
        <w:tc>
          <w:tcPr>
            <w:tcW w:w="4460" w:type="dxa"/>
            <w:vAlign w:val="bottom"/>
            <w:tcBorders>
              <w:right w:val="single" w:sz="8" w:color="auto"/>
            </w:tcBorders>
            <w:gridSpan w:val="8"/>
          </w:tcPr>
          <w:p>
            <w:pPr>
              <w:ind w:left="60"/>
              <w:spacing w:after="0"/>
              <w:rPr>
                <w:sz w:val="20"/>
                <w:szCs w:val="20"/>
                <w:color w:val="auto"/>
              </w:rPr>
            </w:pPr>
            <w:r>
              <w:rPr>
                <w:rFonts w:ascii="Arial" w:cs="Arial" w:eastAsia="Arial" w:hAnsi="Arial"/>
                <w:sz w:val="11"/>
                <w:szCs w:val="11"/>
                <w:color w:val="auto"/>
              </w:rPr>
              <w:t>Factor cannot increase the actual number of PSUs that vest to more than 200% of the</w:t>
            </w:r>
          </w:p>
        </w:tc>
      </w:tr>
      <w:tr>
        <w:trPr>
          <w:trHeight w:val="152"/>
        </w:trPr>
        <w:tc>
          <w:tcPr>
            <w:tcW w:w="1600" w:type="dxa"/>
            <w:vAlign w:val="bottom"/>
            <w:tcBorders>
              <w:left w:val="single" w:sz="8" w:color="auto"/>
              <w:bottom w:val="single" w:sz="8" w:color="auto"/>
              <w:right w:val="single" w:sz="8" w:color="auto"/>
            </w:tcBorders>
          </w:tcPr>
          <w:p>
            <w:pPr>
              <w:spacing w:after="0"/>
              <w:rPr>
                <w:sz w:val="13"/>
                <w:szCs w:val="13"/>
                <w:color w:val="auto"/>
              </w:rPr>
            </w:pPr>
          </w:p>
        </w:tc>
        <w:tc>
          <w:tcPr>
            <w:tcW w:w="82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color w:val="auto"/>
              </w:rPr>
              <w:t>Target Grant.</w:t>
            </w:r>
          </w:p>
        </w:tc>
        <w:tc>
          <w:tcPr>
            <w:tcW w:w="8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r>
      <w:tr>
        <w:trPr>
          <w:trHeight w:val="116"/>
        </w:trPr>
        <w:tc>
          <w:tcPr>
            <w:tcW w:w="1600" w:type="dxa"/>
            <w:vAlign w:val="bottom"/>
            <w:tcBorders>
              <w:left w:val="single" w:sz="8" w:color="auto"/>
              <w:right w:val="single" w:sz="8" w:color="auto"/>
            </w:tcBorders>
          </w:tcPr>
          <w:p>
            <w:pPr>
              <w:ind w:left="60"/>
              <w:spacing w:after="0" w:line="116" w:lineRule="exact"/>
              <w:rPr>
                <w:sz w:val="20"/>
                <w:szCs w:val="20"/>
                <w:color w:val="auto"/>
              </w:rPr>
            </w:pPr>
            <w:r>
              <w:rPr>
                <w:rFonts w:ascii="Arial" w:cs="Arial" w:eastAsia="Arial" w:hAnsi="Arial"/>
                <w:sz w:val="11"/>
                <w:szCs w:val="11"/>
                <w:color w:val="auto"/>
              </w:rPr>
              <w:t>Secondary Vesting % subject</w:t>
            </w:r>
          </w:p>
        </w:tc>
        <w:tc>
          <w:tcPr>
            <w:tcW w:w="4460" w:type="dxa"/>
            <w:vAlign w:val="bottom"/>
            <w:tcBorders>
              <w:right w:val="single" w:sz="8" w:color="auto"/>
            </w:tcBorders>
            <w:gridSpan w:val="8"/>
          </w:tcPr>
          <w:p>
            <w:pPr>
              <w:ind w:left="60"/>
              <w:spacing w:after="0" w:line="116" w:lineRule="exact"/>
              <w:rPr>
                <w:sz w:val="20"/>
                <w:szCs w:val="20"/>
                <w:color w:val="auto"/>
              </w:rPr>
            </w:pPr>
            <w:r>
              <w:rPr>
                <w:rFonts w:ascii="Arial" w:cs="Arial" w:eastAsia="Arial" w:hAnsi="Arial"/>
                <w:sz w:val="11"/>
                <w:szCs w:val="11"/>
                <w:color w:val="auto"/>
                <w:w w:val="99"/>
              </w:rPr>
              <w:t>TSR measures the performance of a company’s shares over time. It combines share price</w:t>
            </w:r>
          </w:p>
        </w:tc>
      </w:tr>
      <w:tr>
        <w:trPr>
          <w:trHeight w:val="129"/>
        </w:trPr>
        <w:tc>
          <w:tcPr>
            <w:tcW w:w="16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to modification by a factor</w:t>
            </w:r>
          </w:p>
        </w:tc>
        <w:tc>
          <w:tcPr>
            <w:tcW w:w="4460" w:type="dxa"/>
            <w:vAlign w:val="bottom"/>
            <w:tcBorders>
              <w:right w:val="single" w:sz="8" w:color="auto"/>
            </w:tcBorders>
            <w:gridSpan w:val="8"/>
          </w:tcPr>
          <w:p>
            <w:pPr>
              <w:ind w:left="60"/>
              <w:spacing w:after="0"/>
              <w:rPr>
                <w:sz w:val="20"/>
                <w:szCs w:val="20"/>
                <w:color w:val="auto"/>
              </w:rPr>
            </w:pPr>
            <w:r>
              <w:rPr>
                <w:rFonts w:ascii="Arial" w:cs="Arial" w:eastAsia="Arial" w:hAnsi="Arial"/>
                <w:sz w:val="11"/>
                <w:szCs w:val="11"/>
                <w:color w:val="auto"/>
              </w:rPr>
              <w:t>appreciation and dividends, if any, paid over the relevant period to determine the total</w:t>
            </w:r>
          </w:p>
        </w:tc>
      </w:tr>
      <w:tr>
        <w:trPr>
          <w:trHeight w:val="129"/>
        </w:trPr>
        <w:tc>
          <w:tcPr>
            <w:tcW w:w="16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ranging from −25% to +25%</w:t>
            </w:r>
          </w:p>
        </w:tc>
        <w:tc>
          <w:tcPr>
            <w:tcW w:w="4460" w:type="dxa"/>
            <w:vAlign w:val="bottom"/>
            <w:tcBorders>
              <w:right w:val="single" w:sz="8" w:color="auto"/>
            </w:tcBorders>
            <w:gridSpan w:val="8"/>
          </w:tcPr>
          <w:p>
            <w:pPr>
              <w:ind w:left="60"/>
              <w:spacing w:after="0"/>
              <w:rPr>
                <w:sz w:val="20"/>
                <w:szCs w:val="20"/>
                <w:color w:val="auto"/>
              </w:rPr>
            </w:pPr>
            <w:r>
              <w:rPr>
                <w:rFonts w:ascii="Arial" w:cs="Arial" w:eastAsia="Arial" w:hAnsi="Arial"/>
                <w:sz w:val="11"/>
                <w:szCs w:val="11"/>
                <w:color w:val="auto"/>
                <w:w w:val="99"/>
              </w:rPr>
              <w:t>return to the shareholder expressed as a percentage of the share price at the beginning of</w:t>
            </w:r>
          </w:p>
        </w:tc>
      </w:tr>
      <w:tr>
        <w:trPr>
          <w:trHeight w:val="129"/>
        </w:trPr>
        <w:tc>
          <w:tcPr>
            <w:tcW w:w="16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based on TSR Factor</w:t>
            </w:r>
          </w:p>
        </w:tc>
        <w:tc>
          <w:tcPr>
            <w:tcW w:w="4460" w:type="dxa"/>
            <w:vAlign w:val="bottom"/>
            <w:tcBorders>
              <w:right w:val="single" w:sz="8" w:color="auto"/>
            </w:tcBorders>
            <w:gridSpan w:val="8"/>
          </w:tcPr>
          <w:p>
            <w:pPr>
              <w:ind w:left="60"/>
              <w:spacing w:after="0"/>
              <w:rPr>
                <w:sz w:val="20"/>
                <w:szCs w:val="20"/>
                <w:color w:val="auto"/>
              </w:rPr>
            </w:pPr>
            <w:r>
              <w:rPr>
                <w:rFonts w:ascii="Arial" w:cs="Arial" w:eastAsia="Arial" w:hAnsi="Arial"/>
                <w:sz w:val="11"/>
                <w:szCs w:val="11"/>
                <w:color w:val="auto"/>
                <w:w w:val="99"/>
              </w:rPr>
              <w:t>the performance period. With respect to each TSR Comparator (as defined below), TSR is</w:t>
            </w:r>
          </w:p>
        </w:tc>
      </w:tr>
      <w:tr>
        <w:trPr>
          <w:trHeight w:val="129"/>
        </w:trPr>
        <w:tc>
          <w:tcPr>
            <w:tcW w:w="1600" w:type="dxa"/>
            <w:vAlign w:val="bottom"/>
            <w:tcBorders>
              <w:left w:val="single" w:sz="8" w:color="auto"/>
              <w:right w:val="single" w:sz="8" w:color="auto"/>
            </w:tcBorders>
          </w:tcPr>
          <w:p>
            <w:pPr>
              <w:spacing w:after="0"/>
              <w:rPr>
                <w:sz w:val="11"/>
                <w:szCs w:val="11"/>
                <w:color w:val="auto"/>
              </w:rPr>
            </w:pPr>
          </w:p>
        </w:tc>
        <w:tc>
          <w:tcPr>
            <w:tcW w:w="4460" w:type="dxa"/>
            <w:vAlign w:val="bottom"/>
            <w:tcBorders>
              <w:right w:val="single" w:sz="8" w:color="auto"/>
            </w:tcBorders>
            <w:gridSpan w:val="8"/>
          </w:tcPr>
          <w:p>
            <w:pPr>
              <w:ind w:left="60"/>
              <w:spacing w:after="0"/>
              <w:rPr>
                <w:sz w:val="20"/>
                <w:szCs w:val="20"/>
                <w:color w:val="auto"/>
              </w:rPr>
            </w:pPr>
            <w:r>
              <w:rPr>
                <w:rFonts w:ascii="Arial" w:cs="Arial" w:eastAsia="Arial" w:hAnsi="Arial"/>
                <w:sz w:val="11"/>
                <w:szCs w:val="11"/>
                <w:color w:val="auto"/>
              </w:rPr>
              <w:t>calculated as the change in share price over the three-year performance period (plus any</w:t>
            </w:r>
          </w:p>
        </w:tc>
      </w:tr>
      <w:tr>
        <w:trPr>
          <w:trHeight w:val="129"/>
        </w:trPr>
        <w:tc>
          <w:tcPr>
            <w:tcW w:w="1600" w:type="dxa"/>
            <w:vAlign w:val="bottom"/>
            <w:tcBorders>
              <w:left w:val="single" w:sz="8" w:color="auto"/>
              <w:right w:val="single" w:sz="8" w:color="auto"/>
            </w:tcBorders>
          </w:tcPr>
          <w:p>
            <w:pPr>
              <w:spacing w:after="0"/>
              <w:rPr>
                <w:sz w:val="11"/>
                <w:szCs w:val="11"/>
                <w:color w:val="auto"/>
              </w:rPr>
            </w:pPr>
          </w:p>
        </w:tc>
        <w:tc>
          <w:tcPr>
            <w:tcW w:w="4460" w:type="dxa"/>
            <w:vAlign w:val="bottom"/>
            <w:tcBorders>
              <w:right w:val="single" w:sz="8" w:color="auto"/>
            </w:tcBorders>
            <w:gridSpan w:val="8"/>
          </w:tcPr>
          <w:p>
            <w:pPr>
              <w:ind w:left="60"/>
              <w:spacing w:after="0"/>
              <w:rPr>
                <w:sz w:val="20"/>
                <w:szCs w:val="20"/>
                <w:color w:val="auto"/>
              </w:rPr>
            </w:pPr>
            <w:r>
              <w:rPr>
                <w:rFonts w:ascii="Arial" w:cs="Arial" w:eastAsia="Arial" w:hAnsi="Arial"/>
                <w:sz w:val="11"/>
                <w:szCs w:val="11"/>
                <w:color w:val="auto"/>
              </w:rPr>
              <w:t>dividends) divided by the share price at the beginning of the period, where the average</w:t>
            </w:r>
          </w:p>
        </w:tc>
      </w:tr>
      <w:tr>
        <w:trPr>
          <w:trHeight w:val="129"/>
        </w:trPr>
        <w:tc>
          <w:tcPr>
            <w:tcW w:w="1600" w:type="dxa"/>
            <w:vAlign w:val="bottom"/>
            <w:tcBorders>
              <w:left w:val="single" w:sz="8" w:color="auto"/>
              <w:right w:val="single" w:sz="8" w:color="auto"/>
            </w:tcBorders>
          </w:tcPr>
          <w:p>
            <w:pPr>
              <w:spacing w:after="0"/>
              <w:rPr>
                <w:sz w:val="11"/>
                <w:szCs w:val="11"/>
                <w:color w:val="auto"/>
              </w:rPr>
            </w:pPr>
          </w:p>
        </w:tc>
        <w:tc>
          <w:tcPr>
            <w:tcW w:w="4460" w:type="dxa"/>
            <w:vAlign w:val="bottom"/>
            <w:tcBorders>
              <w:right w:val="single" w:sz="8" w:color="auto"/>
            </w:tcBorders>
            <w:gridSpan w:val="8"/>
          </w:tcPr>
          <w:p>
            <w:pPr>
              <w:ind w:left="60"/>
              <w:spacing w:after="0"/>
              <w:rPr>
                <w:sz w:val="20"/>
                <w:szCs w:val="20"/>
                <w:color w:val="auto"/>
              </w:rPr>
            </w:pPr>
            <w:r>
              <w:rPr>
                <w:rFonts w:ascii="Arial" w:cs="Arial" w:eastAsia="Arial" w:hAnsi="Arial"/>
                <w:sz w:val="11"/>
                <w:szCs w:val="11"/>
                <w:color w:val="auto"/>
                <w:w w:val="99"/>
              </w:rPr>
              <w:t>daily closing share price for the month of December 2019 is the beginning share price and</w:t>
            </w:r>
          </w:p>
        </w:tc>
      </w:tr>
      <w:tr>
        <w:trPr>
          <w:trHeight w:val="129"/>
        </w:trPr>
        <w:tc>
          <w:tcPr>
            <w:tcW w:w="1600" w:type="dxa"/>
            <w:vAlign w:val="bottom"/>
            <w:tcBorders>
              <w:left w:val="single" w:sz="8" w:color="auto"/>
              <w:right w:val="single" w:sz="8" w:color="auto"/>
            </w:tcBorders>
          </w:tcPr>
          <w:p>
            <w:pPr>
              <w:spacing w:after="0"/>
              <w:rPr>
                <w:sz w:val="11"/>
                <w:szCs w:val="11"/>
                <w:color w:val="auto"/>
              </w:rPr>
            </w:pPr>
          </w:p>
        </w:tc>
        <w:tc>
          <w:tcPr>
            <w:tcW w:w="4460" w:type="dxa"/>
            <w:vAlign w:val="bottom"/>
            <w:tcBorders>
              <w:right w:val="single" w:sz="8" w:color="auto"/>
            </w:tcBorders>
            <w:gridSpan w:val="8"/>
          </w:tcPr>
          <w:p>
            <w:pPr>
              <w:ind w:left="60"/>
              <w:spacing w:after="0"/>
              <w:rPr>
                <w:sz w:val="20"/>
                <w:szCs w:val="20"/>
                <w:color w:val="auto"/>
              </w:rPr>
            </w:pPr>
            <w:r>
              <w:rPr>
                <w:rFonts w:ascii="Arial" w:cs="Arial" w:eastAsia="Arial" w:hAnsi="Arial"/>
                <w:sz w:val="11"/>
                <w:szCs w:val="11"/>
                <w:color w:val="auto"/>
              </w:rPr>
              <w:t>the average daily closing price for the month of December 2022 will be the ending share</w:t>
            </w:r>
          </w:p>
        </w:tc>
      </w:tr>
      <w:tr>
        <w:trPr>
          <w:trHeight w:val="129"/>
        </w:trPr>
        <w:tc>
          <w:tcPr>
            <w:tcW w:w="1600" w:type="dxa"/>
            <w:vAlign w:val="bottom"/>
            <w:tcBorders>
              <w:left w:val="single" w:sz="8" w:color="auto"/>
              <w:right w:val="single" w:sz="8" w:color="auto"/>
            </w:tcBorders>
          </w:tcPr>
          <w:p>
            <w:pPr>
              <w:spacing w:after="0"/>
              <w:rPr>
                <w:sz w:val="11"/>
                <w:szCs w:val="11"/>
                <w:color w:val="auto"/>
              </w:rPr>
            </w:pPr>
          </w:p>
        </w:tc>
        <w:tc>
          <w:tcPr>
            <w:tcW w:w="4460" w:type="dxa"/>
            <w:vAlign w:val="bottom"/>
            <w:tcBorders>
              <w:right w:val="single" w:sz="8" w:color="auto"/>
            </w:tcBorders>
            <w:gridSpan w:val="8"/>
          </w:tcPr>
          <w:p>
            <w:pPr>
              <w:ind w:left="60"/>
              <w:spacing w:after="0"/>
              <w:rPr>
                <w:sz w:val="20"/>
                <w:szCs w:val="20"/>
                <w:color w:val="auto"/>
              </w:rPr>
            </w:pPr>
            <w:r>
              <w:rPr>
                <w:rFonts w:ascii="Arial" w:cs="Arial" w:eastAsia="Arial" w:hAnsi="Arial"/>
                <w:sz w:val="11"/>
                <w:szCs w:val="11"/>
                <w:color w:val="auto"/>
              </w:rPr>
              <w:t>price. The TSR of the Corporation is calculated in the same manner in respect of the SVS</w:t>
            </w: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2880" w:type="dxa"/>
            <w:vAlign w:val="bottom"/>
            <w:gridSpan w:val="5"/>
          </w:tcPr>
          <w:p>
            <w:pPr>
              <w:ind w:left="60"/>
              <w:spacing w:after="0"/>
              <w:rPr>
                <w:sz w:val="20"/>
                <w:szCs w:val="20"/>
                <w:color w:val="auto"/>
              </w:rPr>
            </w:pPr>
            <w:r>
              <w:rPr>
                <w:rFonts w:ascii="Arial" w:cs="Arial" w:eastAsia="Arial" w:hAnsi="Arial"/>
                <w:sz w:val="11"/>
                <w:szCs w:val="11"/>
                <w:color w:val="auto"/>
              </w:rPr>
              <w:t>(the Corporation does not currently pay dividends).</w:t>
            </w: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r>
      <w:tr>
        <w:trPr>
          <w:trHeight w:val="194"/>
        </w:trPr>
        <w:tc>
          <w:tcPr>
            <w:tcW w:w="1600" w:type="dxa"/>
            <w:vAlign w:val="bottom"/>
            <w:tcBorders>
              <w:left w:val="single" w:sz="8" w:color="auto"/>
              <w:right w:val="single" w:sz="8" w:color="auto"/>
            </w:tcBorders>
          </w:tcPr>
          <w:p>
            <w:pPr>
              <w:spacing w:after="0"/>
              <w:rPr>
                <w:sz w:val="16"/>
                <w:szCs w:val="16"/>
                <w:color w:val="auto"/>
              </w:rPr>
            </w:pPr>
          </w:p>
        </w:tc>
        <w:tc>
          <w:tcPr>
            <w:tcW w:w="4460" w:type="dxa"/>
            <w:vAlign w:val="bottom"/>
            <w:tcBorders>
              <w:right w:val="single" w:sz="8" w:color="auto"/>
            </w:tcBorders>
            <w:gridSpan w:val="8"/>
          </w:tcPr>
          <w:p>
            <w:pPr>
              <w:ind w:left="60"/>
              <w:spacing w:after="0"/>
              <w:rPr>
                <w:sz w:val="20"/>
                <w:szCs w:val="20"/>
                <w:color w:val="auto"/>
              </w:rPr>
            </w:pPr>
            <w:r>
              <w:rPr>
                <w:rFonts w:ascii="Arial" w:cs="Arial" w:eastAsia="Arial" w:hAnsi="Arial"/>
                <w:sz w:val="11"/>
                <w:szCs w:val="11"/>
                <w:color w:val="auto"/>
              </w:rPr>
              <w:t>For purposes of determining modifications to the Secondary Vesting % based on the TSR</w:t>
            </w:r>
          </w:p>
        </w:tc>
      </w:tr>
      <w:tr>
        <w:trPr>
          <w:trHeight w:val="129"/>
        </w:trPr>
        <w:tc>
          <w:tcPr>
            <w:tcW w:w="1600" w:type="dxa"/>
            <w:vAlign w:val="bottom"/>
            <w:tcBorders>
              <w:left w:val="single" w:sz="8" w:color="auto"/>
              <w:right w:val="single" w:sz="8" w:color="auto"/>
            </w:tcBorders>
          </w:tcPr>
          <w:p>
            <w:pPr>
              <w:spacing w:after="0"/>
              <w:rPr>
                <w:sz w:val="11"/>
                <w:szCs w:val="11"/>
                <w:color w:val="auto"/>
              </w:rPr>
            </w:pPr>
          </w:p>
        </w:tc>
        <w:tc>
          <w:tcPr>
            <w:tcW w:w="4460" w:type="dxa"/>
            <w:vAlign w:val="bottom"/>
            <w:tcBorders>
              <w:right w:val="single" w:sz="8" w:color="auto"/>
            </w:tcBorders>
            <w:gridSpan w:val="8"/>
          </w:tcPr>
          <w:p>
            <w:pPr>
              <w:ind w:left="60"/>
              <w:spacing w:after="0"/>
              <w:rPr>
                <w:sz w:val="20"/>
                <w:szCs w:val="20"/>
                <w:color w:val="auto"/>
              </w:rPr>
            </w:pPr>
            <w:r>
              <w:rPr>
                <w:rFonts w:ascii="Arial" w:cs="Arial" w:eastAsia="Arial" w:hAnsi="Arial"/>
                <w:sz w:val="11"/>
                <w:szCs w:val="11"/>
                <w:color w:val="auto"/>
                <w:w w:val="98"/>
              </w:rPr>
              <w:t>Factor, the HRCC determined that for PSUs granted in 2020, the Corporation’s TSR will be</w:t>
            </w:r>
          </w:p>
        </w:tc>
      </w:tr>
      <w:tr>
        <w:trPr>
          <w:trHeight w:val="127"/>
        </w:trPr>
        <w:tc>
          <w:tcPr>
            <w:tcW w:w="1600" w:type="dxa"/>
            <w:vAlign w:val="bottom"/>
            <w:tcBorders>
              <w:left w:val="single" w:sz="8" w:color="auto"/>
              <w:right w:val="single" w:sz="8" w:color="auto"/>
            </w:tcBorders>
          </w:tcPr>
          <w:p>
            <w:pPr>
              <w:spacing w:after="0"/>
              <w:rPr>
                <w:sz w:val="11"/>
                <w:szCs w:val="11"/>
                <w:color w:val="auto"/>
              </w:rPr>
            </w:pPr>
          </w:p>
        </w:tc>
        <w:tc>
          <w:tcPr>
            <w:tcW w:w="4460" w:type="dxa"/>
            <w:vAlign w:val="bottom"/>
            <w:tcBorders>
              <w:right w:val="single" w:sz="8" w:color="auto"/>
            </w:tcBorders>
            <w:gridSpan w:val="8"/>
          </w:tcPr>
          <w:p>
            <w:pPr>
              <w:ind w:left="60"/>
              <w:spacing w:after="0"/>
              <w:rPr>
                <w:sz w:val="20"/>
                <w:szCs w:val="20"/>
                <w:color w:val="auto"/>
              </w:rPr>
            </w:pPr>
            <w:r>
              <w:rPr>
                <w:rFonts w:ascii="Arial" w:cs="Arial" w:eastAsia="Arial" w:hAnsi="Arial"/>
                <w:sz w:val="11"/>
                <w:szCs w:val="11"/>
                <w:color w:val="auto"/>
              </w:rPr>
              <w:t>measured relative to the S&amp;P Americas BMI Technology Hardware &amp; Equipment Index as</w:t>
            </w:r>
          </w:p>
        </w:tc>
      </w:tr>
      <w:tr>
        <w:trPr>
          <w:trHeight w:val="131"/>
        </w:trPr>
        <w:tc>
          <w:tcPr>
            <w:tcW w:w="1600" w:type="dxa"/>
            <w:vAlign w:val="bottom"/>
            <w:tcBorders>
              <w:left w:val="single" w:sz="8" w:color="auto"/>
              <w:right w:val="single" w:sz="8" w:color="auto"/>
            </w:tcBorders>
          </w:tcPr>
          <w:p>
            <w:pPr>
              <w:spacing w:after="0"/>
              <w:rPr>
                <w:sz w:val="11"/>
                <w:szCs w:val="11"/>
                <w:color w:val="auto"/>
              </w:rPr>
            </w:pPr>
          </w:p>
        </w:tc>
        <w:tc>
          <w:tcPr>
            <w:tcW w:w="4460" w:type="dxa"/>
            <w:vAlign w:val="bottom"/>
            <w:tcBorders>
              <w:right w:val="single" w:sz="8" w:color="auto"/>
            </w:tcBorders>
            <w:gridSpan w:val="8"/>
          </w:tcPr>
          <w:p>
            <w:pPr>
              <w:ind w:left="60"/>
              <w:spacing w:after="0"/>
              <w:rPr>
                <w:sz w:val="20"/>
                <w:szCs w:val="20"/>
                <w:color w:val="auto"/>
              </w:rPr>
            </w:pPr>
            <w:r>
              <w:rPr>
                <w:rFonts w:ascii="Arial" w:cs="Arial" w:eastAsia="Arial" w:hAnsi="Arial"/>
                <w:sz w:val="11"/>
                <w:szCs w:val="11"/>
                <w:color w:val="auto"/>
              </w:rPr>
              <w:t>of January 1, 2020 (the “</w:t>
            </w:r>
            <w:r>
              <w:rPr>
                <w:rFonts w:ascii="Arial" w:cs="Arial" w:eastAsia="Arial" w:hAnsi="Arial"/>
                <w:sz w:val="11"/>
                <w:szCs w:val="11"/>
                <w:b w:val="1"/>
                <w:bCs w:val="1"/>
                <w:color w:val="auto"/>
              </w:rPr>
              <w:t>BMI Index</w:t>
            </w:r>
            <w:r>
              <w:rPr>
                <w:rFonts w:ascii="Arial" w:cs="Arial" w:eastAsia="Arial" w:hAnsi="Arial"/>
                <w:sz w:val="11"/>
                <w:szCs w:val="11"/>
                <w:color w:val="auto"/>
              </w:rPr>
              <w:t>”), with the addition of Flex Ltd. (the only EMS-peer</w:t>
            </w:r>
          </w:p>
        </w:tc>
      </w:tr>
      <w:tr>
        <w:trPr>
          <w:trHeight w:val="127"/>
        </w:trPr>
        <w:tc>
          <w:tcPr>
            <w:tcW w:w="1600" w:type="dxa"/>
            <w:vAlign w:val="bottom"/>
            <w:tcBorders>
              <w:left w:val="single" w:sz="8" w:color="auto"/>
              <w:right w:val="single" w:sz="8" w:color="auto"/>
            </w:tcBorders>
          </w:tcPr>
          <w:p>
            <w:pPr>
              <w:spacing w:after="0"/>
              <w:rPr>
                <w:sz w:val="11"/>
                <w:szCs w:val="11"/>
                <w:color w:val="auto"/>
              </w:rPr>
            </w:pPr>
          </w:p>
        </w:tc>
        <w:tc>
          <w:tcPr>
            <w:tcW w:w="4460" w:type="dxa"/>
            <w:vAlign w:val="bottom"/>
            <w:tcBorders>
              <w:right w:val="single" w:sz="8" w:color="auto"/>
            </w:tcBorders>
            <w:gridSpan w:val="8"/>
          </w:tcPr>
          <w:p>
            <w:pPr>
              <w:ind w:left="60"/>
              <w:spacing w:after="0"/>
              <w:rPr>
                <w:sz w:val="20"/>
                <w:szCs w:val="20"/>
                <w:color w:val="auto"/>
              </w:rPr>
            </w:pPr>
            <w:r>
              <w:rPr>
                <w:rFonts w:ascii="Arial" w:cs="Arial" w:eastAsia="Arial" w:hAnsi="Arial"/>
                <w:sz w:val="11"/>
                <w:szCs w:val="11"/>
                <w:color w:val="auto"/>
              </w:rPr>
              <w:t>company not already included in the BMI Index), that remain publicly traded on an</w:t>
            </w:r>
          </w:p>
        </w:tc>
      </w:tr>
      <w:tr>
        <w:trPr>
          <w:trHeight w:val="129"/>
        </w:trPr>
        <w:tc>
          <w:tcPr>
            <w:tcW w:w="1600" w:type="dxa"/>
            <w:vAlign w:val="bottom"/>
            <w:tcBorders>
              <w:left w:val="single" w:sz="8" w:color="auto"/>
              <w:right w:val="single" w:sz="8" w:color="auto"/>
            </w:tcBorders>
          </w:tcPr>
          <w:p>
            <w:pPr>
              <w:spacing w:after="0"/>
              <w:rPr>
                <w:sz w:val="11"/>
                <w:szCs w:val="11"/>
                <w:color w:val="auto"/>
              </w:rPr>
            </w:pPr>
          </w:p>
        </w:tc>
        <w:tc>
          <w:tcPr>
            <w:tcW w:w="4460" w:type="dxa"/>
            <w:vAlign w:val="bottom"/>
            <w:tcBorders>
              <w:right w:val="single" w:sz="8" w:color="auto"/>
            </w:tcBorders>
            <w:gridSpan w:val="8"/>
          </w:tcPr>
          <w:p>
            <w:pPr>
              <w:ind w:left="60"/>
              <w:spacing w:after="0"/>
              <w:rPr>
                <w:sz w:val="20"/>
                <w:szCs w:val="20"/>
                <w:color w:val="auto"/>
              </w:rPr>
            </w:pPr>
            <w:r>
              <w:rPr>
                <w:rFonts w:ascii="Arial" w:cs="Arial" w:eastAsia="Arial" w:hAnsi="Arial"/>
                <w:sz w:val="11"/>
                <w:szCs w:val="11"/>
                <w:color w:val="auto"/>
              </w:rPr>
              <w:t>established  U.S.  stock  exchange  for  the  entire  performance  period  (the  “</w:t>
            </w:r>
            <w:r>
              <w:rPr>
                <w:rFonts w:ascii="Arial" w:cs="Arial" w:eastAsia="Arial" w:hAnsi="Arial"/>
                <w:sz w:val="11"/>
                <w:szCs w:val="11"/>
                <w:b w:val="1"/>
                <w:bCs w:val="1"/>
                <w:color w:val="auto"/>
              </w:rPr>
              <w:t>TSR</w:t>
            </w:r>
          </w:p>
        </w:tc>
      </w:tr>
      <w:tr>
        <w:trPr>
          <w:trHeight w:val="131"/>
        </w:trPr>
        <w:tc>
          <w:tcPr>
            <w:tcW w:w="1600" w:type="dxa"/>
            <w:vAlign w:val="bottom"/>
            <w:tcBorders>
              <w:left w:val="single" w:sz="8" w:color="auto"/>
              <w:right w:val="single" w:sz="8" w:color="auto"/>
            </w:tcBorders>
          </w:tcPr>
          <w:p>
            <w:pPr>
              <w:spacing w:after="0"/>
              <w:rPr>
                <w:sz w:val="11"/>
                <w:szCs w:val="11"/>
                <w:color w:val="auto"/>
              </w:rPr>
            </w:pPr>
          </w:p>
        </w:tc>
        <w:tc>
          <w:tcPr>
            <w:tcW w:w="4460" w:type="dxa"/>
            <w:vAlign w:val="bottom"/>
            <w:tcBorders>
              <w:right w:val="single" w:sz="8" w:color="auto"/>
            </w:tcBorders>
            <w:gridSpan w:val="8"/>
          </w:tcPr>
          <w:p>
            <w:pPr>
              <w:ind w:left="60"/>
              <w:spacing w:after="0"/>
              <w:rPr>
                <w:sz w:val="20"/>
                <w:szCs w:val="20"/>
                <w:color w:val="auto"/>
              </w:rPr>
            </w:pPr>
            <w:r>
              <w:rPr>
                <w:rFonts w:ascii="Arial" w:cs="Arial" w:eastAsia="Arial" w:hAnsi="Arial"/>
                <w:sz w:val="11"/>
                <w:szCs w:val="11"/>
                <w:b w:val="1"/>
                <w:bCs w:val="1"/>
                <w:color w:val="auto"/>
              </w:rPr>
              <w:t>Comparators</w:t>
            </w:r>
            <w:r>
              <w:rPr>
                <w:rFonts w:ascii="Arial" w:cs="Arial" w:eastAsia="Arial" w:hAnsi="Arial"/>
                <w:sz w:val="11"/>
                <w:szCs w:val="11"/>
                <w:color w:val="auto"/>
              </w:rPr>
              <w:t>”). The BMI Index is comprised of technology hardware and equipment</w:t>
            </w:r>
          </w:p>
        </w:tc>
      </w:tr>
      <w:tr>
        <w:trPr>
          <w:trHeight w:val="129"/>
        </w:trPr>
        <w:tc>
          <w:tcPr>
            <w:tcW w:w="1600" w:type="dxa"/>
            <w:vAlign w:val="bottom"/>
            <w:tcBorders>
              <w:left w:val="single" w:sz="8" w:color="auto"/>
              <w:right w:val="single" w:sz="8" w:color="auto"/>
            </w:tcBorders>
          </w:tcPr>
          <w:p>
            <w:pPr>
              <w:spacing w:after="0"/>
              <w:rPr>
                <w:sz w:val="11"/>
                <w:szCs w:val="11"/>
                <w:color w:val="auto"/>
              </w:rPr>
            </w:pPr>
          </w:p>
        </w:tc>
        <w:tc>
          <w:tcPr>
            <w:tcW w:w="4460" w:type="dxa"/>
            <w:vAlign w:val="bottom"/>
            <w:tcBorders>
              <w:right w:val="single" w:sz="8" w:color="auto"/>
            </w:tcBorders>
            <w:gridSpan w:val="8"/>
          </w:tcPr>
          <w:p>
            <w:pPr>
              <w:ind w:left="60"/>
              <w:spacing w:after="0"/>
              <w:rPr>
                <w:sz w:val="20"/>
                <w:szCs w:val="20"/>
                <w:color w:val="auto"/>
              </w:rPr>
            </w:pPr>
            <w:r>
              <w:rPr>
                <w:rFonts w:ascii="Arial" w:cs="Arial" w:eastAsia="Arial" w:hAnsi="Arial"/>
                <w:sz w:val="11"/>
                <w:szCs w:val="11"/>
                <w:color w:val="auto"/>
              </w:rPr>
              <w:t>subsector  companies  with  business  diversification.  The  HRCC  determined  that  the</w:t>
            </w:r>
          </w:p>
        </w:tc>
      </w:tr>
      <w:tr>
        <w:trPr>
          <w:trHeight w:val="129"/>
        </w:trPr>
        <w:tc>
          <w:tcPr>
            <w:tcW w:w="1600" w:type="dxa"/>
            <w:vAlign w:val="bottom"/>
            <w:tcBorders>
              <w:left w:val="single" w:sz="8" w:color="auto"/>
              <w:right w:val="single" w:sz="8" w:color="auto"/>
            </w:tcBorders>
          </w:tcPr>
          <w:p>
            <w:pPr>
              <w:spacing w:after="0"/>
              <w:rPr>
                <w:sz w:val="11"/>
                <w:szCs w:val="11"/>
                <w:color w:val="auto"/>
              </w:rPr>
            </w:pPr>
          </w:p>
        </w:tc>
        <w:tc>
          <w:tcPr>
            <w:tcW w:w="4460" w:type="dxa"/>
            <w:vAlign w:val="bottom"/>
            <w:tcBorders>
              <w:right w:val="single" w:sz="8" w:color="auto"/>
            </w:tcBorders>
            <w:gridSpan w:val="8"/>
          </w:tcPr>
          <w:p>
            <w:pPr>
              <w:ind w:left="60"/>
              <w:spacing w:after="0"/>
              <w:rPr>
                <w:sz w:val="20"/>
                <w:szCs w:val="20"/>
                <w:color w:val="auto"/>
              </w:rPr>
            </w:pPr>
            <w:r>
              <w:rPr>
                <w:rFonts w:ascii="Arial" w:cs="Arial" w:eastAsia="Arial" w:hAnsi="Arial"/>
                <w:sz w:val="11"/>
                <w:szCs w:val="11"/>
                <w:color w:val="auto"/>
              </w:rPr>
              <w:t>attributes of the BMI Index, including its alignment with both the U.S. technology peers</w:t>
            </w:r>
          </w:p>
        </w:tc>
      </w:tr>
      <w:tr>
        <w:trPr>
          <w:trHeight w:val="129"/>
        </w:trPr>
        <w:tc>
          <w:tcPr>
            <w:tcW w:w="1600" w:type="dxa"/>
            <w:vAlign w:val="bottom"/>
            <w:tcBorders>
              <w:left w:val="single" w:sz="8" w:color="auto"/>
              <w:right w:val="single" w:sz="8" w:color="auto"/>
            </w:tcBorders>
          </w:tcPr>
          <w:p>
            <w:pPr>
              <w:spacing w:after="0"/>
              <w:rPr>
                <w:sz w:val="11"/>
                <w:szCs w:val="11"/>
                <w:color w:val="auto"/>
              </w:rPr>
            </w:pPr>
          </w:p>
        </w:tc>
        <w:tc>
          <w:tcPr>
            <w:tcW w:w="4460" w:type="dxa"/>
            <w:vAlign w:val="bottom"/>
            <w:tcBorders>
              <w:right w:val="single" w:sz="8" w:color="auto"/>
            </w:tcBorders>
            <w:gridSpan w:val="8"/>
          </w:tcPr>
          <w:p>
            <w:pPr>
              <w:ind w:left="60"/>
              <w:spacing w:after="0"/>
              <w:rPr>
                <w:sz w:val="20"/>
                <w:szCs w:val="20"/>
                <w:color w:val="auto"/>
              </w:rPr>
            </w:pPr>
            <w:r>
              <w:rPr>
                <w:rFonts w:ascii="Arial" w:cs="Arial" w:eastAsia="Arial" w:hAnsi="Arial"/>
                <w:sz w:val="11"/>
                <w:szCs w:val="11"/>
                <w:color w:val="auto"/>
              </w:rPr>
              <w:t>used for overall executive compensation benchmarking and Celestica’s business models</w:t>
            </w:r>
          </w:p>
        </w:tc>
      </w:tr>
      <w:tr>
        <w:trPr>
          <w:trHeight w:val="129"/>
        </w:trPr>
        <w:tc>
          <w:tcPr>
            <w:tcW w:w="1600" w:type="dxa"/>
            <w:vAlign w:val="bottom"/>
            <w:tcBorders>
              <w:left w:val="single" w:sz="8" w:color="auto"/>
              <w:right w:val="single" w:sz="8" w:color="auto"/>
            </w:tcBorders>
          </w:tcPr>
          <w:p>
            <w:pPr>
              <w:spacing w:after="0"/>
              <w:rPr>
                <w:sz w:val="11"/>
                <w:szCs w:val="11"/>
                <w:color w:val="auto"/>
              </w:rPr>
            </w:pPr>
          </w:p>
        </w:tc>
        <w:tc>
          <w:tcPr>
            <w:tcW w:w="4460" w:type="dxa"/>
            <w:vAlign w:val="bottom"/>
            <w:tcBorders>
              <w:right w:val="single" w:sz="8" w:color="auto"/>
            </w:tcBorders>
            <w:gridSpan w:val="8"/>
          </w:tcPr>
          <w:p>
            <w:pPr>
              <w:ind w:left="60"/>
              <w:spacing w:after="0"/>
              <w:rPr>
                <w:sz w:val="20"/>
                <w:szCs w:val="20"/>
                <w:color w:val="auto"/>
              </w:rPr>
            </w:pPr>
            <w:r>
              <w:rPr>
                <w:rFonts w:ascii="Arial" w:cs="Arial" w:eastAsia="Arial" w:hAnsi="Arial"/>
                <w:sz w:val="11"/>
                <w:szCs w:val="11"/>
                <w:color w:val="auto"/>
              </w:rPr>
              <w:t>made  it  appropriate  for  PSU  vesting  determinations.  The  Corporation’s  market</w:t>
            </w: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3980" w:type="dxa"/>
            <w:vAlign w:val="bottom"/>
            <w:gridSpan w:val="7"/>
          </w:tcPr>
          <w:p>
            <w:pPr>
              <w:ind w:left="60"/>
              <w:spacing w:after="0"/>
              <w:rPr>
                <w:sz w:val="20"/>
                <w:szCs w:val="20"/>
                <w:color w:val="auto"/>
              </w:rPr>
            </w:pPr>
            <w:r>
              <w:rPr>
                <w:rFonts w:ascii="Arial" w:cs="Arial" w:eastAsia="Arial" w:hAnsi="Arial"/>
                <w:sz w:val="11"/>
                <w:szCs w:val="11"/>
                <w:color w:val="auto"/>
              </w:rPr>
              <w:t>capitalization is positioned around the median of the TSR Comparators.</w:t>
            </w:r>
          </w:p>
        </w:tc>
        <w:tc>
          <w:tcPr>
            <w:tcW w:w="480" w:type="dxa"/>
            <w:vAlign w:val="bottom"/>
            <w:tcBorders>
              <w:right w:val="single" w:sz="8" w:color="auto"/>
            </w:tcBorders>
          </w:tcPr>
          <w:p>
            <w:pPr>
              <w:spacing w:after="0"/>
              <w:rPr>
                <w:sz w:val="12"/>
                <w:szCs w:val="12"/>
                <w:color w:val="auto"/>
              </w:rPr>
            </w:pPr>
          </w:p>
        </w:tc>
      </w:tr>
      <w:tr>
        <w:trPr>
          <w:trHeight w:val="194"/>
        </w:trPr>
        <w:tc>
          <w:tcPr>
            <w:tcW w:w="1600" w:type="dxa"/>
            <w:vAlign w:val="bottom"/>
            <w:tcBorders>
              <w:left w:val="single" w:sz="8" w:color="auto"/>
              <w:right w:val="single" w:sz="8" w:color="auto"/>
            </w:tcBorders>
          </w:tcPr>
          <w:p>
            <w:pPr>
              <w:spacing w:after="0"/>
              <w:rPr>
                <w:sz w:val="16"/>
                <w:szCs w:val="16"/>
                <w:color w:val="auto"/>
              </w:rPr>
            </w:pPr>
          </w:p>
        </w:tc>
        <w:tc>
          <w:tcPr>
            <w:tcW w:w="4460" w:type="dxa"/>
            <w:vAlign w:val="bottom"/>
            <w:tcBorders>
              <w:right w:val="single" w:sz="8" w:color="auto"/>
            </w:tcBorders>
            <w:gridSpan w:val="8"/>
          </w:tcPr>
          <w:p>
            <w:pPr>
              <w:ind w:left="60"/>
              <w:spacing w:after="0"/>
              <w:rPr>
                <w:sz w:val="20"/>
                <w:szCs w:val="20"/>
                <w:color w:val="auto"/>
              </w:rPr>
            </w:pPr>
            <w:r>
              <w:rPr>
                <w:rFonts w:ascii="Arial" w:cs="Arial" w:eastAsia="Arial" w:hAnsi="Arial"/>
                <w:sz w:val="11"/>
                <w:szCs w:val="11"/>
                <w:color w:val="auto"/>
              </w:rPr>
              <w:t>After calculating the percentile rank for each TSR Comparator (by arranging the TSR</w:t>
            </w:r>
          </w:p>
        </w:tc>
      </w:tr>
      <w:tr>
        <w:trPr>
          <w:trHeight w:val="129"/>
        </w:trPr>
        <w:tc>
          <w:tcPr>
            <w:tcW w:w="1600" w:type="dxa"/>
            <w:vAlign w:val="bottom"/>
            <w:tcBorders>
              <w:left w:val="single" w:sz="8" w:color="auto"/>
              <w:right w:val="single" w:sz="8" w:color="auto"/>
            </w:tcBorders>
          </w:tcPr>
          <w:p>
            <w:pPr>
              <w:spacing w:after="0"/>
              <w:rPr>
                <w:sz w:val="11"/>
                <w:szCs w:val="11"/>
                <w:color w:val="auto"/>
              </w:rPr>
            </w:pPr>
          </w:p>
        </w:tc>
        <w:tc>
          <w:tcPr>
            <w:tcW w:w="4460" w:type="dxa"/>
            <w:vAlign w:val="bottom"/>
            <w:tcBorders>
              <w:right w:val="single" w:sz="8" w:color="auto"/>
            </w:tcBorders>
            <w:gridSpan w:val="8"/>
          </w:tcPr>
          <w:p>
            <w:pPr>
              <w:ind w:left="60"/>
              <w:spacing w:after="0"/>
              <w:rPr>
                <w:sz w:val="20"/>
                <w:szCs w:val="20"/>
                <w:color w:val="auto"/>
              </w:rPr>
            </w:pPr>
            <w:r>
              <w:rPr>
                <w:rFonts w:ascii="Arial" w:cs="Arial" w:eastAsia="Arial" w:hAnsi="Arial"/>
                <w:sz w:val="11"/>
                <w:szCs w:val="11"/>
                <w:color w:val="auto"/>
              </w:rPr>
              <w:t>results from highest to lowest), the Corporation’s TSR will be ranked against that of each</w:t>
            </w:r>
          </w:p>
        </w:tc>
      </w:tr>
      <w:tr>
        <w:trPr>
          <w:trHeight w:val="129"/>
        </w:trPr>
        <w:tc>
          <w:tcPr>
            <w:tcW w:w="1600" w:type="dxa"/>
            <w:vAlign w:val="bottom"/>
            <w:tcBorders>
              <w:left w:val="single" w:sz="8" w:color="auto"/>
              <w:right w:val="single" w:sz="8" w:color="auto"/>
            </w:tcBorders>
          </w:tcPr>
          <w:p>
            <w:pPr>
              <w:spacing w:after="0"/>
              <w:rPr>
                <w:sz w:val="11"/>
                <w:szCs w:val="11"/>
                <w:color w:val="auto"/>
              </w:rPr>
            </w:pPr>
          </w:p>
        </w:tc>
        <w:tc>
          <w:tcPr>
            <w:tcW w:w="4460" w:type="dxa"/>
            <w:vAlign w:val="bottom"/>
            <w:tcBorders>
              <w:right w:val="single" w:sz="8" w:color="auto"/>
            </w:tcBorders>
            <w:gridSpan w:val="8"/>
          </w:tcPr>
          <w:p>
            <w:pPr>
              <w:ind w:left="60"/>
              <w:spacing w:after="0"/>
              <w:rPr>
                <w:sz w:val="20"/>
                <w:szCs w:val="20"/>
                <w:color w:val="auto"/>
              </w:rPr>
            </w:pPr>
            <w:r>
              <w:rPr>
                <w:rFonts w:ascii="Arial" w:cs="Arial" w:eastAsia="Arial" w:hAnsi="Arial"/>
                <w:sz w:val="11"/>
                <w:szCs w:val="11"/>
                <w:color w:val="auto"/>
              </w:rPr>
              <w:t>of the TSR Comparators. The Secondary Vesting % will then be subject to modification</w:t>
            </w:r>
          </w:p>
        </w:tc>
      </w:tr>
      <w:tr>
        <w:trPr>
          <w:trHeight w:val="129"/>
        </w:trPr>
        <w:tc>
          <w:tcPr>
            <w:tcW w:w="1600" w:type="dxa"/>
            <w:vAlign w:val="bottom"/>
            <w:tcBorders>
              <w:left w:val="single" w:sz="8" w:color="auto"/>
              <w:right w:val="single" w:sz="8" w:color="auto"/>
            </w:tcBorders>
          </w:tcPr>
          <w:p>
            <w:pPr>
              <w:spacing w:after="0"/>
              <w:rPr>
                <w:sz w:val="11"/>
                <w:szCs w:val="11"/>
                <w:color w:val="auto"/>
              </w:rPr>
            </w:pPr>
          </w:p>
        </w:tc>
        <w:tc>
          <w:tcPr>
            <w:tcW w:w="4460" w:type="dxa"/>
            <w:vAlign w:val="bottom"/>
            <w:tcBorders>
              <w:right w:val="single" w:sz="8" w:color="auto"/>
            </w:tcBorders>
            <w:gridSpan w:val="8"/>
          </w:tcPr>
          <w:p>
            <w:pPr>
              <w:ind w:left="60"/>
              <w:spacing w:after="0"/>
              <w:rPr>
                <w:sz w:val="20"/>
                <w:szCs w:val="20"/>
                <w:color w:val="auto"/>
              </w:rPr>
            </w:pPr>
            <w:r>
              <w:rPr>
                <w:rFonts w:ascii="Arial" w:cs="Arial" w:eastAsia="Arial" w:hAnsi="Arial"/>
                <w:sz w:val="11"/>
                <w:szCs w:val="11"/>
                <w:color w:val="auto"/>
              </w:rPr>
              <w:t>(ranging from a decrease of 25% to an increase of 25%) by interpolating between the</w:t>
            </w:r>
          </w:p>
        </w:tc>
      </w:tr>
      <w:tr>
        <w:trPr>
          <w:trHeight w:val="129"/>
        </w:trPr>
        <w:tc>
          <w:tcPr>
            <w:tcW w:w="1600" w:type="dxa"/>
            <w:vAlign w:val="bottom"/>
            <w:tcBorders>
              <w:left w:val="single" w:sz="8" w:color="auto"/>
              <w:right w:val="single" w:sz="8" w:color="auto"/>
            </w:tcBorders>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color w:val="auto"/>
              </w:rPr>
              <w:t>corresponding</w:t>
            </w:r>
          </w:p>
        </w:tc>
        <w:tc>
          <w:tcPr>
            <w:tcW w:w="860" w:type="dxa"/>
            <w:vAlign w:val="bottom"/>
          </w:tcPr>
          <w:p>
            <w:pPr>
              <w:ind w:left="100"/>
              <w:spacing w:after="0"/>
              <w:rPr>
                <w:sz w:val="20"/>
                <w:szCs w:val="20"/>
                <w:color w:val="auto"/>
              </w:rPr>
            </w:pPr>
            <w:r>
              <w:rPr>
                <w:rFonts w:ascii="Arial" w:cs="Arial" w:eastAsia="Arial" w:hAnsi="Arial"/>
                <w:sz w:val="11"/>
                <w:szCs w:val="11"/>
                <w:color w:val="auto"/>
              </w:rPr>
              <w:t>percentages</w:t>
            </w:r>
          </w:p>
        </w:tc>
        <w:tc>
          <w:tcPr>
            <w:tcW w:w="700" w:type="dxa"/>
            <w:vAlign w:val="bottom"/>
          </w:tcPr>
          <w:p>
            <w:pPr>
              <w:spacing w:after="0"/>
              <w:rPr>
                <w:sz w:val="20"/>
                <w:szCs w:val="20"/>
                <w:color w:val="auto"/>
              </w:rPr>
            </w:pPr>
            <w:r>
              <w:rPr>
                <w:rFonts w:ascii="Arial" w:cs="Arial" w:eastAsia="Arial" w:hAnsi="Arial"/>
                <w:sz w:val="11"/>
                <w:szCs w:val="11"/>
                <w:color w:val="auto"/>
              </w:rPr>
              <w:t>immediately</w:t>
            </w:r>
          </w:p>
        </w:tc>
        <w:tc>
          <w:tcPr>
            <w:tcW w:w="500" w:type="dxa"/>
            <w:vAlign w:val="bottom"/>
          </w:tcPr>
          <w:p>
            <w:pPr>
              <w:ind w:left="80"/>
              <w:spacing w:after="0"/>
              <w:rPr>
                <w:sz w:val="20"/>
                <w:szCs w:val="20"/>
                <w:color w:val="auto"/>
              </w:rPr>
            </w:pPr>
            <w:r>
              <w:rPr>
                <w:rFonts w:ascii="Arial" w:cs="Arial" w:eastAsia="Arial" w:hAnsi="Arial"/>
                <w:sz w:val="11"/>
                <w:szCs w:val="11"/>
                <w:color w:val="auto"/>
              </w:rPr>
              <w:t>above</w:t>
            </w:r>
          </w:p>
        </w:tc>
        <w:tc>
          <w:tcPr>
            <w:tcW w:w="380" w:type="dxa"/>
            <w:vAlign w:val="bottom"/>
          </w:tcPr>
          <w:p>
            <w:pPr>
              <w:ind w:left="60"/>
              <w:spacing w:after="0"/>
              <w:rPr>
                <w:sz w:val="20"/>
                <w:szCs w:val="20"/>
                <w:color w:val="auto"/>
              </w:rPr>
            </w:pPr>
            <w:r>
              <w:rPr>
                <w:rFonts w:ascii="Arial" w:cs="Arial" w:eastAsia="Arial" w:hAnsi="Arial"/>
                <w:sz w:val="11"/>
                <w:szCs w:val="11"/>
                <w:color w:val="auto"/>
              </w:rPr>
              <w:t>and</w:t>
            </w:r>
          </w:p>
        </w:tc>
        <w:tc>
          <w:tcPr>
            <w:tcW w:w="720" w:type="dxa"/>
            <w:vAlign w:val="bottom"/>
          </w:tcPr>
          <w:p>
            <w:pPr>
              <w:ind w:left="60"/>
              <w:spacing w:after="0"/>
              <w:rPr>
                <w:sz w:val="20"/>
                <w:szCs w:val="20"/>
                <w:color w:val="auto"/>
              </w:rPr>
            </w:pPr>
            <w:r>
              <w:rPr>
                <w:rFonts w:ascii="Arial" w:cs="Arial" w:eastAsia="Arial" w:hAnsi="Arial"/>
                <w:sz w:val="11"/>
                <w:szCs w:val="11"/>
                <w:color w:val="auto"/>
              </w:rPr>
              <w:t>immediately</w:t>
            </w:r>
          </w:p>
        </w:tc>
        <w:tc>
          <w:tcPr>
            <w:tcW w:w="48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below</w:t>
            </w:r>
          </w:p>
        </w:tc>
      </w:tr>
      <w:tr>
        <w:trPr>
          <w:trHeight w:val="129"/>
        </w:trPr>
        <w:tc>
          <w:tcPr>
            <w:tcW w:w="1600" w:type="dxa"/>
            <w:vAlign w:val="bottom"/>
            <w:tcBorders>
              <w:left w:val="single" w:sz="8" w:color="auto"/>
              <w:right w:val="single" w:sz="8" w:color="auto"/>
            </w:tcBorders>
          </w:tcPr>
          <w:p>
            <w:pPr>
              <w:spacing w:after="0"/>
              <w:rPr>
                <w:sz w:val="11"/>
                <w:szCs w:val="11"/>
                <w:color w:val="auto"/>
              </w:rPr>
            </w:pPr>
          </w:p>
        </w:tc>
        <w:tc>
          <w:tcPr>
            <w:tcW w:w="4460" w:type="dxa"/>
            <w:vAlign w:val="bottom"/>
            <w:tcBorders>
              <w:right w:val="single" w:sz="8" w:color="auto"/>
            </w:tcBorders>
            <w:gridSpan w:val="8"/>
          </w:tcPr>
          <w:p>
            <w:pPr>
              <w:ind w:left="60"/>
              <w:spacing w:after="0"/>
              <w:rPr>
                <w:sz w:val="20"/>
                <w:szCs w:val="20"/>
                <w:color w:val="auto"/>
              </w:rPr>
            </w:pPr>
            <w:r>
              <w:rPr>
                <w:rFonts w:ascii="Arial" w:cs="Arial" w:eastAsia="Arial" w:hAnsi="Arial"/>
                <w:sz w:val="11"/>
                <w:szCs w:val="11"/>
                <w:color w:val="auto"/>
                <w:w w:val="98"/>
              </w:rPr>
              <w:t>Celestica’s percentile position as set out in the table below, provided that the Corporation’s</w:t>
            </w:r>
          </w:p>
        </w:tc>
      </w:tr>
      <w:tr>
        <w:trPr>
          <w:trHeight w:val="129"/>
        </w:trPr>
        <w:tc>
          <w:tcPr>
            <w:tcW w:w="1600" w:type="dxa"/>
            <w:vAlign w:val="bottom"/>
            <w:tcBorders>
              <w:left w:val="single" w:sz="8" w:color="auto"/>
              <w:right w:val="single" w:sz="8" w:color="auto"/>
            </w:tcBorders>
          </w:tcPr>
          <w:p>
            <w:pPr>
              <w:spacing w:after="0"/>
              <w:rPr>
                <w:sz w:val="11"/>
                <w:szCs w:val="11"/>
                <w:color w:val="auto"/>
              </w:rPr>
            </w:pPr>
          </w:p>
        </w:tc>
        <w:tc>
          <w:tcPr>
            <w:tcW w:w="4460" w:type="dxa"/>
            <w:vAlign w:val="bottom"/>
            <w:tcBorders>
              <w:right w:val="single" w:sz="8" w:color="auto"/>
            </w:tcBorders>
            <w:gridSpan w:val="8"/>
          </w:tcPr>
          <w:p>
            <w:pPr>
              <w:ind w:left="60"/>
              <w:spacing w:after="0"/>
              <w:rPr>
                <w:sz w:val="20"/>
                <w:szCs w:val="20"/>
                <w:color w:val="auto"/>
              </w:rPr>
            </w:pPr>
            <w:r>
              <w:rPr>
                <w:rFonts w:ascii="Arial" w:cs="Arial" w:eastAsia="Arial" w:hAnsi="Arial"/>
                <w:sz w:val="11"/>
                <w:szCs w:val="11"/>
                <w:color w:val="auto"/>
              </w:rPr>
              <w:t>TSR performance cannot increase the actual number of PSUs that will vest to more than</w:t>
            </w: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1680" w:type="dxa"/>
            <w:vAlign w:val="bottom"/>
            <w:gridSpan w:val="3"/>
          </w:tcPr>
          <w:p>
            <w:pPr>
              <w:ind w:left="60"/>
              <w:spacing w:after="0"/>
              <w:rPr>
                <w:sz w:val="20"/>
                <w:szCs w:val="20"/>
                <w:color w:val="auto"/>
              </w:rPr>
            </w:pPr>
            <w:r>
              <w:rPr>
                <w:rFonts w:ascii="Arial" w:cs="Arial" w:eastAsia="Arial" w:hAnsi="Arial"/>
                <w:sz w:val="11"/>
                <w:szCs w:val="11"/>
                <w:color w:val="auto"/>
              </w:rPr>
              <w:t>200% of the Target Grant.</w:t>
            </w: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r>
      <w:tr>
        <w:trPr>
          <w:trHeight w:val="235"/>
        </w:trPr>
        <w:tc>
          <w:tcPr>
            <w:tcW w:w="1600" w:type="dxa"/>
            <w:vAlign w:val="bottom"/>
            <w:tcBorders>
              <w:left w:val="single" w:sz="8" w:color="auto"/>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20" w:type="dxa"/>
            <w:vAlign w:val="bottom"/>
            <w:tcBorders>
              <w:bottom w:val="single" w:sz="8" w:color="auto"/>
            </w:tcBorders>
            <w:gridSpan w:val="3"/>
          </w:tcPr>
          <w:p>
            <w:pPr>
              <w:spacing w:after="0"/>
              <w:rPr>
                <w:sz w:val="20"/>
                <w:szCs w:val="20"/>
                <w:color w:val="auto"/>
              </w:rPr>
            </w:pPr>
          </w:p>
        </w:tc>
        <w:tc>
          <w:tcPr>
            <w:tcW w:w="1600" w:type="dxa"/>
            <w:vAlign w:val="bottom"/>
            <w:tcBorders>
              <w:bottom w:val="single" w:sz="8" w:color="auto"/>
            </w:tcBorders>
            <w:gridSpan w:val="3"/>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r>
      <w:tr>
        <w:trPr>
          <w:trHeight w:val="116"/>
        </w:trPr>
        <w:tc>
          <w:tcPr>
            <w:tcW w:w="1600" w:type="dxa"/>
            <w:vAlign w:val="bottom"/>
            <w:tcBorders>
              <w:left w:val="single" w:sz="8" w:color="auto"/>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920" w:type="dxa"/>
            <w:vAlign w:val="bottom"/>
            <w:gridSpan w:val="3"/>
          </w:tcPr>
          <w:p>
            <w:pPr>
              <w:jc w:val="center"/>
              <w:ind w:right="124"/>
              <w:spacing w:after="0" w:line="116" w:lineRule="exact"/>
              <w:rPr>
                <w:sz w:val="20"/>
                <w:szCs w:val="20"/>
                <w:color w:val="auto"/>
              </w:rPr>
            </w:pPr>
            <w:r>
              <w:rPr>
                <w:rFonts w:ascii="Arial" w:cs="Arial" w:eastAsia="Arial" w:hAnsi="Arial"/>
                <w:sz w:val="11"/>
                <w:szCs w:val="11"/>
                <w:b w:val="1"/>
                <w:bCs w:val="1"/>
                <w:color w:val="auto"/>
                <w:w w:val="86"/>
              </w:rPr>
              <w:t>Celestica’s TSR Positioning</w:t>
            </w:r>
          </w:p>
        </w:tc>
        <w:tc>
          <w:tcPr>
            <w:tcW w:w="1600" w:type="dxa"/>
            <w:vAlign w:val="bottom"/>
            <w:gridSpan w:val="3"/>
          </w:tcPr>
          <w:p>
            <w:pPr>
              <w:ind w:left="120"/>
              <w:spacing w:after="0" w:line="116" w:lineRule="exact"/>
              <w:rPr>
                <w:sz w:val="20"/>
                <w:szCs w:val="20"/>
                <w:color w:val="auto"/>
              </w:rPr>
            </w:pPr>
            <w:r>
              <w:rPr>
                <w:rFonts w:ascii="Arial" w:cs="Arial" w:eastAsia="Arial" w:hAnsi="Arial"/>
                <w:sz w:val="11"/>
                <w:szCs w:val="11"/>
                <w:b w:val="1"/>
                <w:bCs w:val="1"/>
                <w:color w:val="auto"/>
              </w:rPr>
              <w:t>TSR Modification Factor</w:t>
            </w:r>
          </w:p>
        </w:tc>
        <w:tc>
          <w:tcPr>
            <w:tcW w:w="480" w:type="dxa"/>
            <w:vAlign w:val="bottom"/>
            <w:tcBorders>
              <w:right w:val="single" w:sz="8" w:color="auto"/>
            </w:tcBorders>
          </w:tcPr>
          <w:p>
            <w:pPr>
              <w:spacing w:after="0"/>
              <w:rPr>
                <w:sz w:val="10"/>
                <w:szCs w:val="10"/>
                <w:color w:val="auto"/>
              </w:rPr>
            </w:pPr>
          </w:p>
        </w:tc>
      </w:tr>
      <w:tr>
        <w:trPr>
          <w:trHeight w:val="179"/>
        </w:trPr>
        <w:tc>
          <w:tcPr>
            <w:tcW w:w="1600" w:type="dxa"/>
            <w:vAlign w:val="bottom"/>
            <w:tcBorders>
              <w:left w:val="single" w:sz="8" w:color="auto"/>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center"/>
              <w:ind w:left="104"/>
              <w:spacing w:after="0" w:line="180" w:lineRule="exact"/>
              <w:rPr>
                <w:sz w:val="20"/>
                <w:szCs w:val="20"/>
                <w:color w:val="auto"/>
              </w:rPr>
            </w:pPr>
            <w:r>
              <w:rPr>
                <w:rFonts w:ascii="Arial" w:cs="Arial" w:eastAsia="Arial" w:hAnsi="Arial"/>
                <w:sz w:val="11"/>
                <w:szCs w:val="11"/>
                <w:color w:val="auto"/>
                <w:w w:val="94"/>
              </w:rPr>
              <w:t>90</w:t>
            </w:r>
            <w:r>
              <w:rPr>
                <w:rFonts w:ascii="Arial" w:cs="Arial" w:eastAsia="Arial" w:hAnsi="Arial"/>
                <w:sz w:val="17"/>
                <w:szCs w:val="17"/>
                <w:color w:val="auto"/>
                <w:w w:val="94"/>
                <w:vertAlign w:val="superscript"/>
              </w:rPr>
              <w:t>th</w:t>
            </w:r>
            <w:r>
              <w:rPr>
                <w:rFonts w:ascii="Arial" w:cs="Arial" w:eastAsia="Arial" w:hAnsi="Arial"/>
                <w:sz w:val="11"/>
                <w:szCs w:val="11"/>
                <w:color w:val="auto"/>
                <w:w w:val="94"/>
              </w:rPr>
              <w:t xml:space="preserve"> Percentile</w:t>
            </w: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Arial" w:cs="Arial" w:eastAsia="Arial" w:hAnsi="Arial"/>
                <w:sz w:val="11"/>
                <w:szCs w:val="11"/>
                <w:color w:val="auto"/>
                <w:w w:val="99"/>
              </w:rPr>
              <w:t>25%</w:t>
            </w:r>
          </w:p>
        </w:tc>
        <w:tc>
          <w:tcPr>
            <w:tcW w:w="72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r>
      <w:tr>
        <w:trPr>
          <w:trHeight w:val="179"/>
        </w:trPr>
        <w:tc>
          <w:tcPr>
            <w:tcW w:w="1600" w:type="dxa"/>
            <w:vAlign w:val="bottom"/>
            <w:tcBorders>
              <w:left w:val="single" w:sz="8" w:color="auto"/>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center"/>
              <w:ind w:left="104"/>
              <w:spacing w:after="0" w:line="180" w:lineRule="exact"/>
              <w:rPr>
                <w:sz w:val="20"/>
                <w:szCs w:val="20"/>
                <w:color w:val="auto"/>
              </w:rPr>
            </w:pPr>
            <w:r>
              <w:rPr>
                <w:rFonts w:ascii="Arial" w:cs="Arial" w:eastAsia="Arial" w:hAnsi="Arial"/>
                <w:sz w:val="11"/>
                <w:szCs w:val="11"/>
                <w:color w:val="auto"/>
                <w:w w:val="94"/>
              </w:rPr>
              <w:t>75</w:t>
            </w:r>
            <w:r>
              <w:rPr>
                <w:rFonts w:ascii="Arial" w:cs="Arial" w:eastAsia="Arial" w:hAnsi="Arial"/>
                <w:sz w:val="17"/>
                <w:szCs w:val="17"/>
                <w:color w:val="auto"/>
                <w:w w:val="94"/>
                <w:vertAlign w:val="superscript"/>
              </w:rPr>
              <w:t>th</w:t>
            </w:r>
            <w:r>
              <w:rPr>
                <w:rFonts w:ascii="Arial" w:cs="Arial" w:eastAsia="Arial" w:hAnsi="Arial"/>
                <w:sz w:val="11"/>
                <w:szCs w:val="11"/>
                <w:color w:val="auto"/>
                <w:w w:val="94"/>
              </w:rPr>
              <w:t xml:space="preserve"> Percentile</w:t>
            </w: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Arial" w:cs="Arial" w:eastAsia="Arial" w:hAnsi="Arial"/>
                <w:sz w:val="11"/>
                <w:szCs w:val="11"/>
                <w:color w:val="auto"/>
                <w:w w:val="99"/>
              </w:rPr>
              <w:t>15%</w:t>
            </w:r>
          </w:p>
        </w:tc>
        <w:tc>
          <w:tcPr>
            <w:tcW w:w="72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r>
      <w:tr>
        <w:trPr>
          <w:trHeight w:val="179"/>
        </w:trPr>
        <w:tc>
          <w:tcPr>
            <w:tcW w:w="1600" w:type="dxa"/>
            <w:vAlign w:val="bottom"/>
            <w:tcBorders>
              <w:left w:val="single" w:sz="8" w:color="auto"/>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center"/>
              <w:ind w:left="104"/>
              <w:spacing w:after="0" w:line="180" w:lineRule="exact"/>
              <w:rPr>
                <w:sz w:val="20"/>
                <w:szCs w:val="20"/>
                <w:color w:val="auto"/>
              </w:rPr>
            </w:pPr>
            <w:r>
              <w:rPr>
                <w:rFonts w:ascii="Arial" w:cs="Arial" w:eastAsia="Arial" w:hAnsi="Arial"/>
                <w:sz w:val="11"/>
                <w:szCs w:val="11"/>
                <w:color w:val="auto"/>
                <w:w w:val="94"/>
              </w:rPr>
              <w:t>50</w:t>
            </w:r>
            <w:r>
              <w:rPr>
                <w:rFonts w:ascii="Arial" w:cs="Arial" w:eastAsia="Arial" w:hAnsi="Arial"/>
                <w:sz w:val="17"/>
                <w:szCs w:val="17"/>
                <w:color w:val="auto"/>
                <w:w w:val="94"/>
                <w:vertAlign w:val="superscript"/>
              </w:rPr>
              <w:t>th</w:t>
            </w:r>
            <w:r>
              <w:rPr>
                <w:rFonts w:ascii="Arial" w:cs="Arial" w:eastAsia="Arial" w:hAnsi="Arial"/>
                <w:sz w:val="11"/>
                <w:szCs w:val="11"/>
                <w:color w:val="auto"/>
                <w:w w:val="94"/>
              </w:rPr>
              <w:t xml:space="preserve"> Percentile</w:t>
            </w: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Arial" w:cs="Arial" w:eastAsia="Arial" w:hAnsi="Arial"/>
                <w:sz w:val="11"/>
                <w:szCs w:val="11"/>
                <w:color w:val="auto"/>
              </w:rPr>
              <w:t>0%</w:t>
            </w:r>
          </w:p>
        </w:tc>
        <w:tc>
          <w:tcPr>
            <w:tcW w:w="72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r>
      <w:tr>
        <w:trPr>
          <w:trHeight w:val="179"/>
        </w:trPr>
        <w:tc>
          <w:tcPr>
            <w:tcW w:w="1600" w:type="dxa"/>
            <w:vAlign w:val="bottom"/>
            <w:tcBorders>
              <w:left w:val="single" w:sz="8" w:color="auto"/>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center"/>
              <w:ind w:left="104"/>
              <w:spacing w:after="0" w:line="180" w:lineRule="exact"/>
              <w:rPr>
                <w:sz w:val="20"/>
                <w:szCs w:val="20"/>
                <w:color w:val="auto"/>
              </w:rPr>
            </w:pPr>
            <w:r>
              <w:rPr>
                <w:rFonts w:ascii="Arial" w:cs="Arial" w:eastAsia="Arial" w:hAnsi="Arial"/>
                <w:sz w:val="11"/>
                <w:szCs w:val="11"/>
                <w:color w:val="auto"/>
                <w:w w:val="94"/>
              </w:rPr>
              <w:t>25</w:t>
            </w:r>
            <w:r>
              <w:rPr>
                <w:rFonts w:ascii="Arial" w:cs="Arial" w:eastAsia="Arial" w:hAnsi="Arial"/>
                <w:sz w:val="17"/>
                <w:szCs w:val="17"/>
                <w:color w:val="auto"/>
                <w:w w:val="94"/>
                <w:vertAlign w:val="superscript"/>
              </w:rPr>
              <w:t>th</w:t>
            </w:r>
            <w:r>
              <w:rPr>
                <w:rFonts w:ascii="Arial" w:cs="Arial" w:eastAsia="Arial" w:hAnsi="Arial"/>
                <w:sz w:val="11"/>
                <w:szCs w:val="11"/>
                <w:color w:val="auto"/>
                <w:w w:val="94"/>
              </w:rPr>
              <w:t xml:space="preserve"> Percentile</w:t>
            </w: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Arial" w:cs="Arial" w:eastAsia="Arial" w:hAnsi="Arial"/>
                <w:sz w:val="11"/>
                <w:szCs w:val="11"/>
                <w:color w:val="auto"/>
                <w:w w:val="98"/>
              </w:rPr>
              <w:t>−15%</w:t>
            </w:r>
          </w:p>
        </w:tc>
        <w:tc>
          <w:tcPr>
            <w:tcW w:w="72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r>
      <w:tr>
        <w:trPr>
          <w:trHeight w:val="182"/>
        </w:trPr>
        <w:tc>
          <w:tcPr>
            <w:tcW w:w="1600" w:type="dxa"/>
            <w:vAlign w:val="bottom"/>
            <w:tcBorders>
              <w:left w:val="single" w:sz="8" w:color="auto"/>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center"/>
              <w:ind w:right="464"/>
              <w:spacing w:after="0" w:line="182" w:lineRule="exact"/>
              <w:rPr>
                <w:sz w:val="20"/>
                <w:szCs w:val="20"/>
                <w:color w:val="auto"/>
              </w:rPr>
            </w:pPr>
            <w:r>
              <w:rPr>
                <w:rFonts w:ascii="Arial" w:cs="Arial" w:eastAsia="Arial" w:hAnsi="Arial"/>
                <w:sz w:val="11"/>
                <w:szCs w:val="11"/>
                <w:color w:val="auto"/>
                <w:w w:val="94"/>
              </w:rPr>
              <w:t>&lt;25</w:t>
            </w:r>
            <w:r>
              <w:rPr>
                <w:rFonts w:ascii="Arial" w:cs="Arial" w:eastAsia="Arial" w:hAnsi="Arial"/>
                <w:sz w:val="17"/>
                <w:szCs w:val="17"/>
                <w:color w:val="auto"/>
                <w:w w:val="94"/>
                <w:vertAlign w:val="superscript"/>
              </w:rPr>
              <w:t>th</w:t>
            </w:r>
            <w:r>
              <w:rPr>
                <w:rFonts w:ascii="Arial" w:cs="Arial" w:eastAsia="Arial" w:hAnsi="Arial"/>
                <w:sz w:val="11"/>
                <w:szCs w:val="11"/>
                <w:color w:val="auto"/>
                <w:w w:val="94"/>
              </w:rPr>
              <w:t xml:space="preserve"> Percentile</w:t>
            </w:r>
          </w:p>
        </w:tc>
        <w:tc>
          <w:tcPr>
            <w:tcW w:w="5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8"/>
              </w:rPr>
              <w:t>−25%</w:t>
            </w:r>
          </w:p>
        </w:tc>
        <w:tc>
          <w:tcPr>
            <w:tcW w:w="720" w:type="dxa"/>
            <w:vAlign w:val="bottom"/>
            <w:tcBorders>
              <w:bottom w:val="single" w:sz="8" w:color="auto"/>
            </w:tcBorders>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r>
      <w:tr>
        <w:trPr>
          <w:trHeight w:val="189"/>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80" w:type="dxa"/>
            <w:vAlign w:val="bottom"/>
            <w:tcBorders>
              <w:bottom w:val="single" w:sz="8" w:color="auto"/>
              <w:right w:val="single" w:sz="8" w:color="auto"/>
            </w:tcBorders>
          </w:tcPr>
          <w:p>
            <w:pPr>
              <w:spacing w:after="0"/>
              <w:rPr>
                <w:sz w:val="16"/>
                <w:szCs w:val="16"/>
                <w:color w:val="auto"/>
              </w:rPr>
            </w:pPr>
          </w:p>
        </w:tc>
      </w:tr>
      <w:tr>
        <w:trPr>
          <w:trHeight w:val="108"/>
        </w:trPr>
        <w:tc>
          <w:tcPr>
            <w:tcW w:w="1600" w:type="dxa"/>
            <w:vAlign w:val="bottom"/>
            <w:tcBorders>
              <w:left w:val="single" w:sz="8" w:color="auto"/>
              <w:right w:val="single" w:sz="8" w:color="auto"/>
            </w:tcBorders>
          </w:tcPr>
          <w:p>
            <w:pPr>
              <w:ind w:left="60"/>
              <w:spacing w:after="0" w:line="109" w:lineRule="exact"/>
              <w:rPr>
                <w:sz w:val="20"/>
                <w:szCs w:val="20"/>
                <w:color w:val="auto"/>
              </w:rPr>
            </w:pPr>
            <w:r>
              <w:rPr>
                <w:rFonts w:ascii="Arial" w:cs="Arial" w:eastAsia="Arial" w:hAnsi="Arial"/>
                <w:sz w:val="11"/>
                <w:szCs w:val="11"/>
                <w:color w:val="auto"/>
              </w:rPr>
              <w:t>Summary</w:t>
            </w:r>
          </w:p>
        </w:tc>
        <w:tc>
          <w:tcPr>
            <w:tcW w:w="1680" w:type="dxa"/>
            <w:vAlign w:val="bottom"/>
            <w:gridSpan w:val="3"/>
          </w:tcPr>
          <w:p>
            <w:pPr>
              <w:ind w:left="60"/>
              <w:spacing w:after="0" w:line="109" w:lineRule="exact"/>
              <w:rPr>
                <w:sz w:val="20"/>
                <w:szCs w:val="20"/>
                <w:color w:val="auto"/>
              </w:rPr>
            </w:pPr>
            <w:r>
              <w:rPr>
                <w:rFonts w:ascii="Arial" w:cs="Arial" w:eastAsia="Arial" w:hAnsi="Arial"/>
                <w:sz w:val="11"/>
                <w:szCs w:val="11"/>
                <w:color w:val="auto"/>
              </w:rPr>
              <w:t>Total PSU Vesting Percentage =</w:t>
            </w: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Borders>
              <w:right w:val="single" w:sz="8" w:color="auto"/>
            </w:tcBorders>
          </w:tcPr>
          <w:p>
            <w:pPr>
              <w:spacing w:after="0"/>
              <w:rPr>
                <w:sz w:val="9"/>
                <w:szCs w:val="9"/>
                <w:color w:val="auto"/>
              </w:rPr>
            </w:pPr>
          </w:p>
        </w:tc>
      </w:tr>
      <w:tr>
        <w:trPr>
          <w:trHeight w:val="129"/>
        </w:trPr>
        <w:tc>
          <w:tcPr>
            <w:tcW w:w="1600" w:type="dxa"/>
            <w:vAlign w:val="bottom"/>
            <w:tcBorders>
              <w:left w:val="single" w:sz="8" w:color="auto"/>
              <w:right w:val="single" w:sz="8" w:color="auto"/>
            </w:tcBorders>
          </w:tcPr>
          <w:p>
            <w:pPr>
              <w:spacing w:after="0"/>
              <w:rPr>
                <w:sz w:val="11"/>
                <w:szCs w:val="11"/>
                <w:color w:val="auto"/>
              </w:rPr>
            </w:pPr>
          </w:p>
        </w:tc>
        <w:tc>
          <w:tcPr>
            <w:tcW w:w="2380" w:type="dxa"/>
            <w:vAlign w:val="bottom"/>
            <w:gridSpan w:val="4"/>
          </w:tcPr>
          <w:p>
            <w:pPr>
              <w:ind w:left="60"/>
              <w:spacing w:after="0"/>
              <w:rPr>
                <w:sz w:val="20"/>
                <w:szCs w:val="20"/>
                <w:color w:val="auto"/>
              </w:rPr>
            </w:pPr>
            <w:r>
              <w:rPr>
                <w:rFonts w:ascii="Arial" w:cs="Arial" w:eastAsia="Arial" w:hAnsi="Arial"/>
                <w:sz w:val="11"/>
                <w:szCs w:val="11"/>
                <w:color w:val="auto"/>
                <w:w w:val="99"/>
              </w:rPr>
              <w:t>(1) Preliminary Vesting % based on OM Result;</w:t>
            </w: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r>
      <w:tr>
        <w:trPr>
          <w:trHeight w:val="129"/>
        </w:trPr>
        <w:tc>
          <w:tcPr>
            <w:tcW w:w="1600" w:type="dxa"/>
            <w:vAlign w:val="bottom"/>
            <w:tcBorders>
              <w:left w:val="single" w:sz="8" w:color="auto"/>
              <w:right w:val="single" w:sz="8" w:color="auto"/>
            </w:tcBorders>
          </w:tcPr>
          <w:p>
            <w:pPr>
              <w:spacing w:after="0"/>
              <w:rPr>
                <w:sz w:val="11"/>
                <w:szCs w:val="11"/>
                <w:color w:val="auto"/>
              </w:rPr>
            </w:pPr>
          </w:p>
        </w:tc>
        <w:tc>
          <w:tcPr>
            <w:tcW w:w="4460" w:type="dxa"/>
            <w:vAlign w:val="bottom"/>
            <w:tcBorders>
              <w:right w:val="single" w:sz="8" w:color="auto"/>
            </w:tcBorders>
            <w:gridSpan w:val="8"/>
          </w:tcPr>
          <w:p>
            <w:pPr>
              <w:ind w:left="60"/>
              <w:spacing w:after="0"/>
              <w:rPr>
                <w:sz w:val="20"/>
                <w:szCs w:val="20"/>
                <w:color w:val="auto"/>
              </w:rPr>
            </w:pPr>
            <w:r>
              <w:rPr>
                <w:rFonts w:ascii="Arial" w:cs="Arial" w:eastAsia="Arial" w:hAnsi="Arial"/>
                <w:sz w:val="11"/>
                <w:szCs w:val="11"/>
                <w:color w:val="auto"/>
              </w:rPr>
              <w:t>(2) Preliminary Vesting % is subject to modification by a factor of either −25%, 0% or</w:t>
            </w:r>
          </w:p>
        </w:tc>
      </w:tr>
      <w:tr>
        <w:trPr>
          <w:trHeight w:val="129"/>
        </w:trPr>
        <w:tc>
          <w:tcPr>
            <w:tcW w:w="1600" w:type="dxa"/>
            <w:vAlign w:val="bottom"/>
            <w:tcBorders>
              <w:left w:val="single" w:sz="8" w:color="auto"/>
              <w:right w:val="single" w:sz="8" w:color="auto"/>
            </w:tcBorders>
          </w:tcPr>
          <w:p>
            <w:pPr>
              <w:spacing w:after="0"/>
              <w:rPr>
                <w:sz w:val="11"/>
                <w:szCs w:val="11"/>
                <w:color w:val="auto"/>
              </w:rPr>
            </w:pPr>
          </w:p>
        </w:tc>
        <w:tc>
          <w:tcPr>
            <w:tcW w:w="2880" w:type="dxa"/>
            <w:vAlign w:val="bottom"/>
            <w:gridSpan w:val="5"/>
          </w:tcPr>
          <w:p>
            <w:pPr>
              <w:ind w:left="60"/>
              <w:spacing w:after="0"/>
              <w:rPr>
                <w:sz w:val="20"/>
                <w:szCs w:val="20"/>
                <w:color w:val="auto"/>
              </w:rPr>
            </w:pPr>
            <w:r>
              <w:rPr>
                <w:rFonts w:ascii="Arial" w:cs="Arial" w:eastAsia="Arial" w:hAnsi="Arial"/>
                <w:sz w:val="11"/>
                <w:szCs w:val="11"/>
                <w:color w:val="auto"/>
                <w:w w:val="98"/>
              </w:rPr>
              <w:t>+25%, based on ROIC Factor (Secondary Vesting %); and</w:t>
            </w: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r>
      <w:tr>
        <w:trPr>
          <w:trHeight w:val="129"/>
        </w:trPr>
        <w:tc>
          <w:tcPr>
            <w:tcW w:w="1600" w:type="dxa"/>
            <w:vAlign w:val="bottom"/>
            <w:tcBorders>
              <w:left w:val="single" w:sz="8" w:color="auto"/>
              <w:right w:val="single" w:sz="8" w:color="auto"/>
            </w:tcBorders>
          </w:tcPr>
          <w:p>
            <w:pPr>
              <w:spacing w:after="0"/>
              <w:rPr>
                <w:sz w:val="11"/>
                <w:szCs w:val="11"/>
                <w:color w:val="auto"/>
              </w:rPr>
            </w:pPr>
          </w:p>
        </w:tc>
        <w:tc>
          <w:tcPr>
            <w:tcW w:w="4460" w:type="dxa"/>
            <w:vAlign w:val="bottom"/>
            <w:tcBorders>
              <w:right w:val="single" w:sz="8" w:color="auto"/>
            </w:tcBorders>
            <w:gridSpan w:val="8"/>
          </w:tcPr>
          <w:p>
            <w:pPr>
              <w:ind w:left="60"/>
              <w:spacing w:after="0"/>
              <w:rPr>
                <w:sz w:val="20"/>
                <w:szCs w:val="20"/>
                <w:color w:val="auto"/>
              </w:rPr>
            </w:pPr>
            <w:r>
              <w:rPr>
                <w:rFonts w:ascii="Arial" w:cs="Arial" w:eastAsia="Arial" w:hAnsi="Arial"/>
                <w:sz w:val="11"/>
                <w:szCs w:val="11"/>
                <w:color w:val="auto"/>
                <w:w w:val="99"/>
              </w:rPr>
              <w:t>(3) Secondary Vesting % is subject to modification by a factor ranging from −25% to +25%</w:t>
            </w:r>
          </w:p>
        </w:tc>
      </w:tr>
      <w:tr>
        <w:trPr>
          <w:trHeight w:val="152"/>
        </w:trPr>
        <w:tc>
          <w:tcPr>
            <w:tcW w:w="1600" w:type="dxa"/>
            <w:vAlign w:val="bottom"/>
            <w:tcBorders>
              <w:left w:val="single" w:sz="8" w:color="auto"/>
              <w:bottom w:val="single" w:sz="8" w:color="auto"/>
              <w:right w:val="single" w:sz="8" w:color="auto"/>
            </w:tcBorders>
          </w:tcPr>
          <w:p>
            <w:pPr>
              <w:spacing w:after="0"/>
              <w:rPr>
                <w:sz w:val="13"/>
                <w:szCs w:val="13"/>
                <w:color w:val="auto"/>
              </w:rPr>
            </w:pPr>
          </w:p>
        </w:tc>
        <w:tc>
          <w:tcPr>
            <w:tcW w:w="168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color w:val="auto"/>
              </w:rPr>
              <w:t>based on TSR Factor.</w:t>
            </w:r>
          </w:p>
        </w:tc>
        <w:tc>
          <w:tcPr>
            <w:tcW w:w="7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2252980</wp:posOffset>
            </wp:positionH>
            <wp:positionV relativeFrom="paragraph">
              <wp:posOffset>-1206500</wp:posOffset>
            </wp:positionV>
            <wp:extent cx="2225040" cy="63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225040" cy="6350"/>
                    </a:xfrm>
                    <a:prstGeom prst="rect">
                      <a:avLst/>
                    </a:prstGeom>
                    <a:noFill/>
                  </pic:spPr>
                </pic:pic>
              </a:graphicData>
            </a:graphic>
          </wp:anchor>
        </w:drawing>
      </w: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8" w:name="page69"/>
    <w:bookmarkEnd w:id="68"/>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71"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Realized and Realizable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38100</wp:posOffset>
            </wp:positionV>
            <wp:extent cx="3843655" cy="63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843655" cy="635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50800</wp:posOffset>
            </wp:positionV>
            <wp:extent cx="3843655" cy="63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363"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auto"/>
        </w:rPr>
        <w:t>CEO Realized and Realizable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38100</wp:posOffset>
            </wp:positionV>
            <wp:extent cx="3502025" cy="63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502025" cy="6350"/>
                    </a:xfrm>
                    <a:prstGeom prst="rect">
                      <a:avLst/>
                    </a:prstGeom>
                    <a:noFill/>
                  </pic:spPr>
                </pic:pic>
              </a:graphicData>
            </a:graphic>
          </wp:anchor>
        </w:drawing>
      </w:r>
    </w:p>
    <w:p>
      <w:pPr>
        <w:spacing w:after="0" w:line="121" w:lineRule="exact"/>
        <w:rPr>
          <w:sz w:val="20"/>
          <w:szCs w:val="20"/>
          <w:color w:val="auto"/>
        </w:rPr>
      </w:pPr>
    </w:p>
    <w:p>
      <w:pPr>
        <w:jc w:val="both"/>
        <w:ind w:left="1480" w:right="1499"/>
        <w:spacing w:after="0" w:line="267" w:lineRule="auto"/>
        <w:rPr>
          <w:sz w:val="20"/>
          <w:szCs w:val="20"/>
          <w:color w:val="auto"/>
        </w:rPr>
      </w:pPr>
      <w:r>
        <w:rPr>
          <w:rFonts w:ascii="Arial" w:cs="Arial" w:eastAsia="Arial" w:hAnsi="Arial"/>
          <w:sz w:val="12"/>
          <w:szCs w:val="12"/>
          <w:color w:val="auto"/>
        </w:rPr>
        <w:t>The following table is a look back at CEO compensation that compares the total target direct compensation awarded to Mr. Mionis for the years ended December 31, 2016 through December 31, 2020 to his realized and realizable compensation for each such year. The total target direct compensation value represents Mr. Mionis’ salary, target CTI award and the target value of share-based awards (i.e., 100% for PSUs). The realized and realizable value represents actual salary paid, actual CTI award paid and share-based awards at vest date value or, if the vest date is after December 31, 2020, at a value of $ 8.07 per share, the closing price of the SVS on the NYSE on December 31, 2020, and assuming target performance of 100% for unvested PSUs, which may not be the ultimate amount earned.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Table 17: CEO Realized and Realizable Compensation</w:t>
      </w:r>
    </w:p>
    <w:p>
      <w:pPr>
        <w:spacing w:after="0" w:line="67" w:lineRule="exact"/>
        <w:rPr>
          <w:sz w:val="20"/>
          <w:szCs w:val="20"/>
          <w:color w:val="auto"/>
        </w:rPr>
      </w:pPr>
    </w:p>
    <w:tbl>
      <w:tblPr>
        <w:tblLayout w:type="fixed"/>
        <w:tblInd w:w="1490" w:type="dxa"/>
        <w:tblCellMar>
          <w:top w:w="0" w:type="dxa"/>
          <w:left w:w="0" w:type="dxa"/>
          <w:bottom w:w="0" w:type="dxa"/>
          <w:right w:w="0" w:type="dxa"/>
        </w:tblCellMar>
      </w:tblPr>
      <w:tr>
        <w:trPr>
          <w:trHeight w:val="40"/>
        </w:trPr>
        <w:tc>
          <w:tcPr>
            <w:tcW w:w="2000" w:type="dxa"/>
            <w:vAlign w:val="bottom"/>
            <w:tcBorders>
              <w:top w:val="single" w:sz="8" w:color="auto"/>
              <w:bottom w:val="single" w:sz="8" w:color="auto"/>
            </w:tcBorders>
          </w:tcPr>
          <w:p>
            <w:pPr>
              <w:spacing w:after="0"/>
              <w:rPr>
                <w:sz w:val="3"/>
                <w:szCs w:val="3"/>
                <w:color w:val="auto"/>
              </w:rPr>
            </w:pPr>
          </w:p>
        </w:tc>
        <w:tc>
          <w:tcPr>
            <w:tcW w:w="580" w:type="dxa"/>
            <w:vAlign w:val="bottom"/>
            <w:tcBorders>
              <w:top w:val="single" w:sz="8" w:color="auto"/>
              <w:bottom w:val="single" w:sz="8" w:color="auto"/>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560" w:type="dxa"/>
            <w:vAlign w:val="bottom"/>
            <w:tcBorders>
              <w:top w:val="single" w:sz="8" w:color="auto"/>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bottom w:val="single" w:sz="8" w:color="auto"/>
            </w:tcBorders>
          </w:tcPr>
          <w:p>
            <w:pPr>
              <w:spacing w:after="0"/>
              <w:rPr>
                <w:sz w:val="3"/>
                <w:szCs w:val="3"/>
                <w:color w:val="auto"/>
              </w:rPr>
            </w:pPr>
          </w:p>
        </w:tc>
        <w:tc>
          <w:tcPr>
            <w:tcW w:w="560" w:type="dxa"/>
            <w:vAlign w:val="bottom"/>
            <w:tcBorders>
              <w:top w:val="single" w:sz="8" w:color="auto"/>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00" w:type="dxa"/>
            <w:vAlign w:val="bottom"/>
            <w:tcBorders>
              <w:left w:val="single" w:sz="8" w:color="auto"/>
              <w:right w:val="single" w:sz="8" w:color="auto"/>
            </w:tcBorders>
          </w:tcPr>
          <w:p>
            <w:pPr>
              <w:spacing w:after="0"/>
              <w:rPr>
                <w:sz w:val="16"/>
                <w:szCs w:val="16"/>
                <w:color w:val="auto"/>
              </w:rPr>
            </w:pPr>
          </w:p>
        </w:tc>
        <w:tc>
          <w:tcPr>
            <w:tcW w:w="580" w:type="dxa"/>
            <w:vAlign w:val="bottom"/>
            <w:tcBorders>
              <w:bottom w:val="single" w:sz="8" w:color="auto"/>
            </w:tcBorders>
            <w:shd w:val="clear" w:color="auto" w:fill="E5E5E5"/>
          </w:tcPr>
          <w:p>
            <w:pPr>
              <w:spacing w:after="0"/>
              <w:rPr>
                <w:sz w:val="16"/>
                <w:szCs w:val="16"/>
                <w:color w:val="auto"/>
              </w:rPr>
            </w:pPr>
          </w:p>
        </w:tc>
        <w:tc>
          <w:tcPr>
            <w:tcW w:w="180" w:type="dxa"/>
            <w:vAlign w:val="bottom"/>
            <w:tcBorders>
              <w:bottom w:val="single" w:sz="8" w:color="auto"/>
              <w:right w:val="single" w:sz="8" w:color="E5E5E5"/>
            </w:tcBorders>
            <w:shd w:val="clear" w:color="auto" w:fill="E5E5E5"/>
          </w:tcPr>
          <w:p>
            <w:pPr>
              <w:spacing w:after="0"/>
              <w:rPr>
                <w:sz w:val="16"/>
                <w:szCs w:val="16"/>
                <w:color w:val="auto"/>
              </w:rPr>
            </w:pPr>
          </w:p>
        </w:tc>
        <w:tc>
          <w:tcPr>
            <w:tcW w:w="60" w:type="dxa"/>
            <w:vAlign w:val="bottom"/>
            <w:tcBorders>
              <w:bottom w:val="single" w:sz="8" w:color="auto"/>
            </w:tcBorders>
            <w:shd w:val="clear" w:color="auto" w:fill="E5E5E5"/>
          </w:tcPr>
          <w:p>
            <w:pPr>
              <w:spacing w:after="0"/>
              <w:rPr>
                <w:sz w:val="16"/>
                <w:szCs w:val="16"/>
                <w:color w:val="auto"/>
              </w:rPr>
            </w:pPr>
          </w:p>
        </w:tc>
        <w:tc>
          <w:tcPr>
            <w:tcW w:w="760" w:type="dxa"/>
            <w:vAlign w:val="bottom"/>
            <w:tcBorders>
              <w:bottom w:val="single" w:sz="8" w:color="auto"/>
              <w:right w:val="single" w:sz="8" w:color="E5E5E5"/>
            </w:tcBorders>
            <w:gridSpan w:val="2"/>
            <w:shd w:val="clear" w:color="auto" w:fill="E5E5E5"/>
          </w:tcPr>
          <w:p>
            <w:pPr>
              <w:jc w:val="right"/>
              <w:ind w:right="54"/>
              <w:spacing w:after="0"/>
              <w:rPr>
                <w:sz w:val="20"/>
                <w:szCs w:val="20"/>
                <w:color w:val="auto"/>
              </w:rPr>
            </w:pPr>
            <w:r>
              <w:rPr>
                <w:rFonts w:ascii="Arial" w:cs="Arial" w:eastAsia="Arial" w:hAnsi="Arial"/>
                <w:sz w:val="11"/>
                <w:szCs w:val="11"/>
                <w:b w:val="1"/>
                <w:bCs w:val="1"/>
                <w:color w:val="auto"/>
                <w:w w:val="87"/>
              </w:rPr>
              <w:t>Fully Realized</w:t>
            </w:r>
          </w:p>
        </w:tc>
        <w:tc>
          <w:tcPr>
            <w:tcW w:w="40" w:type="dxa"/>
            <w:vAlign w:val="bottom"/>
            <w:tcBorders>
              <w:bottom w:val="single" w:sz="8" w:color="auto"/>
            </w:tcBorders>
            <w:shd w:val="clear" w:color="auto" w:fill="E5E5E5"/>
          </w:tcPr>
          <w:p>
            <w:pPr>
              <w:spacing w:after="0"/>
              <w:rPr>
                <w:sz w:val="16"/>
                <w:szCs w:val="16"/>
                <w:color w:val="auto"/>
              </w:rPr>
            </w:pPr>
          </w:p>
        </w:tc>
        <w:tc>
          <w:tcPr>
            <w:tcW w:w="560" w:type="dxa"/>
            <w:vAlign w:val="bottom"/>
            <w:tcBorders>
              <w:bottom w:val="single" w:sz="8" w:color="auto"/>
            </w:tcBorders>
            <w:shd w:val="clear" w:color="auto" w:fill="E5E5E5"/>
          </w:tcPr>
          <w:p>
            <w:pPr>
              <w:spacing w:after="0"/>
              <w:rPr>
                <w:sz w:val="16"/>
                <w:szCs w:val="16"/>
                <w:color w:val="auto"/>
              </w:rPr>
            </w:pPr>
          </w:p>
        </w:tc>
        <w:tc>
          <w:tcPr>
            <w:tcW w:w="200" w:type="dxa"/>
            <w:vAlign w:val="bottom"/>
            <w:tcBorders>
              <w:bottom w:val="single" w:sz="8" w:color="auto"/>
              <w:right w:val="single" w:sz="8" w:color="auto"/>
            </w:tcBorders>
            <w:shd w:val="clear" w:color="auto" w:fill="E5E5E5"/>
          </w:tcPr>
          <w:p>
            <w:pPr>
              <w:spacing w:after="0"/>
              <w:rPr>
                <w:sz w:val="16"/>
                <w:szCs w:val="16"/>
                <w:color w:val="auto"/>
              </w:rPr>
            </w:pPr>
          </w:p>
        </w:tc>
        <w:tc>
          <w:tcPr>
            <w:tcW w:w="1460" w:type="dxa"/>
            <w:vAlign w:val="bottom"/>
            <w:tcBorders>
              <w:bottom w:val="single" w:sz="8" w:color="auto"/>
            </w:tcBorders>
            <w:gridSpan w:val="3"/>
          </w:tcPr>
          <w:p>
            <w:pPr>
              <w:jc w:val="right"/>
              <w:ind w:right="182"/>
              <w:spacing w:after="0"/>
              <w:rPr>
                <w:sz w:val="20"/>
                <w:szCs w:val="20"/>
                <w:color w:val="auto"/>
              </w:rPr>
            </w:pPr>
            <w:r>
              <w:rPr>
                <w:rFonts w:ascii="Arial" w:cs="Arial" w:eastAsia="Arial" w:hAnsi="Arial"/>
                <w:sz w:val="11"/>
                <w:szCs w:val="11"/>
                <w:b w:val="1"/>
                <w:bCs w:val="1"/>
                <w:color w:val="auto"/>
              </w:rPr>
              <w:t>Not Fully Realized</w:t>
            </w:r>
          </w:p>
        </w:tc>
        <w:tc>
          <w:tcPr>
            <w:tcW w:w="180" w:type="dxa"/>
            <w:vAlign w:val="bottom"/>
            <w:tcBorders>
              <w:bottom w:val="single" w:sz="8" w:color="auto"/>
              <w:right w:val="single" w:sz="8" w:color="auto"/>
            </w:tcBorders>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00" w:type="dxa"/>
            <w:vAlign w:val="bottom"/>
            <w:tcBorders>
              <w:left w:val="single" w:sz="8" w:color="auto"/>
              <w:bottom w:val="single" w:sz="8" w:color="auto"/>
              <w:right w:val="single" w:sz="8" w:color="auto"/>
            </w:tcBorders>
          </w:tcPr>
          <w:p>
            <w:pPr>
              <w:spacing w:after="0"/>
              <w:rPr>
                <w:sz w:val="15"/>
                <w:szCs w:val="15"/>
                <w:color w:val="auto"/>
              </w:rPr>
            </w:pPr>
          </w:p>
        </w:tc>
        <w:tc>
          <w:tcPr>
            <w:tcW w:w="580" w:type="dxa"/>
            <w:vAlign w:val="bottom"/>
            <w:tcBorders>
              <w:bottom w:val="single" w:sz="8" w:color="auto"/>
            </w:tcBorders>
            <w:shd w:val="clear" w:color="auto" w:fill="E5E5E5"/>
          </w:tcPr>
          <w:p>
            <w:pPr>
              <w:jc w:val="center"/>
              <w:ind w:left="82"/>
              <w:spacing w:after="0"/>
              <w:rPr>
                <w:sz w:val="20"/>
                <w:szCs w:val="20"/>
                <w:color w:val="auto"/>
              </w:rPr>
            </w:pPr>
            <w:r>
              <w:rPr>
                <w:rFonts w:ascii="Arial" w:cs="Arial" w:eastAsia="Arial" w:hAnsi="Arial"/>
                <w:sz w:val="11"/>
                <w:szCs w:val="11"/>
                <w:b w:val="1"/>
                <w:bCs w:val="1"/>
                <w:color w:val="auto"/>
                <w:w w:val="81"/>
              </w:rPr>
              <w:t>2016</w:t>
            </w:r>
          </w:p>
        </w:tc>
        <w:tc>
          <w:tcPr>
            <w:tcW w:w="180" w:type="dxa"/>
            <w:vAlign w:val="bottom"/>
            <w:tcBorders>
              <w:bottom w:val="single" w:sz="8" w:color="auto"/>
              <w:right w:val="single" w:sz="8" w:color="auto"/>
            </w:tcBorders>
            <w:shd w:val="clear" w:color="auto" w:fill="E5E5E5"/>
          </w:tcPr>
          <w:p>
            <w:pPr>
              <w:spacing w:after="0"/>
              <w:rPr>
                <w:sz w:val="15"/>
                <w:szCs w:val="15"/>
                <w:color w:val="auto"/>
              </w:rPr>
            </w:pPr>
          </w:p>
        </w:tc>
        <w:tc>
          <w:tcPr>
            <w:tcW w:w="60" w:type="dxa"/>
            <w:vAlign w:val="bottom"/>
            <w:tcBorders>
              <w:bottom w:val="single" w:sz="8" w:color="auto"/>
            </w:tcBorders>
            <w:shd w:val="clear" w:color="auto" w:fill="E5E5E5"/>
          </w:tcPr>
          <w:p>
            <w:pPr>
              <w:spacing w:after="0"/>
              <w:rPr>
                <w:sz w:val="15"/>
                <w:szCs w:val="15"/>
                <w:color w:val="auto"/>
              </w:rPr>
            </w:pPr>
          </w:p>
        </w:tc>
        <w:tc>
          <w:tcPr>
            <w:tcW w:w="560" w:type="dxa"/>
            <w:vAlign w:val="bottom"/>
            <w:tcBorders>
              <w:bottom w:val="single" w:sz="8" w:color="auto"/>
            </w:tcBorders>
            <w:shd w:val="clear" w:color="auto" w:fill="E5E5E5"/>
          </w:tcPr>
          <w:p>
            <w:pPr>
              <w:jc w:val="center"/>
              <w:ind w:left="63"/>
              <w:spacing w:after="0"/>
              <w:rPr>
                <w:sz w:val="20"/>
                <w:szCs w:val="20"/>
                <w:color w:val="auto"/>
              </w:rPr>
            </w:pPr>
            <w:r>
              <w:rPr>
                <w:rFonts w:ascii="Arial" w:cs="Arial" w:eastAsia="Arial" w:hAnsi="Arial"/>
                <w:sz w:val="11"/>
                <w:szCs w:val="11"/>
                <w:b w:val="1"/>
                <w:bCs w:val="1"/>
                <w:color w:val="auto"/>
                <w:w w:val="81"/>
              </w:rPr>
              <w:t>2017</w:t>
            </w:r>
          </w:p>
        </w:tc>
        <w:tc>
          <w:tcPr>
            <w:tcW w:w="200" w:type="dxa"/>
            <w:vAlign w:val="bottom"/>
            <w:tcBorders>
              <w:bottom w:val="single" w:sz="8" w:color="auto"/>
              <w:right w:val="single" w:sz="8" w:color="auto"/>
            </w:tcBorders>
            <w:shd w:val="clear" w:color="auto" w:fill="E5E5E5"/>
          </w:tcPr>
          <w:p>
            <w:pPr>
              <w:spacing w:after="0"/>
              <w:rPr>
                <w:sz w:val="15"/>
                <w:szCs w:val="15"/>
                <w:color w:val="auto"/>
              </w:rPr>
            </w:pPr>
          </w:p>
        </w:tc>
        <w:tc>
          <w:tcPr>
            <w:tcW w:w="40" w:type="dxa"/>
            <w:vAlign w:val="bottom"/>
            <w:tcBorders>
              <w:bottom w:val="single" w:sz="8" w:color="auto"/>
            </w:tcBorders>
            <w:shd w:val="clear" w:color="auto" w:fill="E5E5E5"/>
          </w:tcPr>
          <w:p>
            <w:pPr>
              <w:spacing w:after="0"/>
              <w:rPr>
                <w:sz w:val="15"/>
                <w:szCs w:val="15"/>
                <w:color w:val="auto"/>
              </w:rPr>
            </w:pPr>
          </w:p>
        </w:tc>
        <w:tc>
          <w:tcPr>
            <w:tcW w:w="560" w:type="dxa"/>
            <w:vAlign w:val="bottom"/>
            <w:tcBorders>
              <w:bottom w:val="single" w:sz="8" w:color="auto"/>
            </w:tcBorders>
            <w:shd w:val="clear" w:color="auto" w:fill="E5E5E5"/>
          </w:tcPr>
          <w:p>
            <w:pPr>
              <w:jc w:val="center"/>
              <w:ind w:left="62"/>
              <w:spacing w:after="0"/>
              <w:rPr>
                <w:sz w:val="20"/>
                <w:szCs w:val="20"/>
                <w:color w:val="auto"/>
              </w:rPr>
            </w:pPr>
            <w:r>
              <w:rPr>
                <w:rFonts w:ascii="Arial" w:cs="Arial" w:eastAsia="Arial" w:hAnsi="Arial"/>
                <w:sz w:val="11"/>
                <w:szCs w:val="11"/>
                <w:b w:val="1"/>
                <w:bCs w:val="1"/>
                <w:color w:val="auto"/>
                <w:w w:val="81"/>
              </w:rPr>
              <w:t>2018</w:t>
            </w:r>
          </w:p>
        </w:tc>
        <w:tc>
          <w:tcPr>
            <w:tcW w:w="200" w:type="dxa"/>
            <w:vAlign w:val="bottom"/>
            <w:tcBorders>
              <w:bottom w:val="single" w:sz="8" w:color="auto"/>
              <w:right w:val="single" w:sz="8" w:color="auto"/>
            </w:tcBorders>
            <w:shd w:val="clear" w:color="auto" w:fill="E5E5E5"/>
          </w:tcPr>
          <w:p>
            <w:pPr>
              <w:spacing w:after="0"/>
              <w:rPr>
                <w:sz w:val="15"/>
                <w:szCs w:val="15"/>
                <w:color w:val="auto"/>
              </w:rPr>
            </w:pPr>
          </w:p>
        </w:tc>
        <w:tc>
          <w:tcPr>
            <w:tcW w:w="640" w:type="dxa"/>
            <w:vAlign w:val="bottom"/>
            <w:tcBorders>
              <w:bottom w:val="single" w:sz="8" w:color="auto"/>
            </w:tcBorders>
          </w:tcPr>
          <w:p>
            <w:pPr>
              <w:jc w:val="center"/>
              <w:ind w:left="123"/>
              <w:spacing w:after="0"/>
              <w:rPr>
                <w:sz w:val="20"/>
                <w:szCs w:val="20"/>
                <w:color w:val="auto"/>
              </w:rPr>
            </w:pPr>
            <w:r>
              <w:rPr>
                <w:rFonts w:ascii="Arial" w:cs="Arial" w:eastAsia="Arial" w:hAnsi="Arial"/>
                <w:sz w:val="11"/>
                <w:szCs w:val="11"/>
                <w:b w:val="1"/>
                <w:bCs w:val="1"/>
                <w:color w:val="auto"/>
                <w:w w:val="89"/>
              </w:rPr>
              <w:t>2019</w:t>
            </w:r>
          </w:p>
        </w:tc>
        <w:tc>
          <w:tcPr>
            <w:tcW w:w="20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tcBorders>
          </w:tcPr>
          <w:p>
            <w:pPr>
              <w:jc w:val="center"/>
              <w:ind w:left="122"/>
              <w:spacing w:after="0"/>
              <w:rPr>
                <w:sz w:val="20"/>
                <w:szCs w:val="20"/>
                <w:color w:val="auto"/>
              </w:rPr>
            </w:pPr>
            <w:r>
              <w:rPr>
                <w:rFonts w:ascii="Arial" w:cs="Arial" w:eastAsia="Arial" w:hAnsi="Arial"/>
                <w:sz w:val="11"/>
                <w:szCs w:val="11"/>
                <w:b w:val="1"/>
                <w:bCs w:val="1"/>
                <w:color w:val="auto"/>
                <w:w w:val="81"/>
              </w:rPr>
              <w:t>2020</w:t>
            </w:r>
          </w:p>
        </w:tc>
        <w:tc>
          <w:tcPr>
            <w:tcW w:w="180" w:type="dxa"/>
            <w:vAlign w:val="bottom"/>
            <w:tcBorders>
              <w:bottom w:val="single" w:sz="8" w:color="auto"/>
              <w:right w:val="single" w:sz="8" w:color="auto"/>
            </w:tcBorders>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Total Target Direct Compensation</w:t>
            </w:r>
          </w:p>
        </w:tc>
        <w:tc>
          <w:tcPr>
            <w:tcW w:w="760" w:type="dxa"/>
            <w:vAlign w:val="bottom"/>
            <w:tcBorders>
              <w:bottom w:val="single" w:sz="8" w:color="auto"/>
              <w:right w:val="single" w:sz="8" w:color="auto"/>
            </w:tcBorders>
            <w:gridSpan w:val="2"/>
            <w:shd w:val="clear" w:color="auto" w:fill="E5E5E5"/>
          </w:tcPr>
          <w:p>
            <w:pPr>
              <w:jc w:val="center"/>
              <w:spacing w:after="0"/>
              <w:rPr>
                <w:sz w:val="20"/>
                <w:szCs w:val="20"/>
                <w:color w:val="auto"/>
              </w:rPr>
            </w:pPr>
            <w:r>
              <w:rPr>
                <w:rFonts w:ascii="Arial" w:cs="Arial" w:eastAsia="Arial" w:hAnsi="Arial"/>
                <w:sz w:val="12"/>
                <w:szCs w:val="12"/>
                <w:color w:val="auto"/>
                <w:w w:val="93"/>
              </w:rPr>
              <w:t>$6,912,500</w:t>
            </w:r>
          </w:p>
        </w:tc>
        <w:tc>
          <w:tcPr>
            <w:tcW w:w="60" w:type="dxa"/>
            <w:vAlign w:val="bottom"/>
            <w:tcBorders>
              <w:bottom w:val="single" w:sz="8" w:color="auto"/>
            </w:tcBorders>
            <w:shd w:val="clear" w:color="auto" w:fill="E5E5E5"/>
          </w:tcPr>
          <w:p>
            <w:pPr>
              <w:spacing w:after="0"/>
              <w:rPr>
                <w:sz w:val="17"/>
                <w:szCs w:val="17"/>
                <w:color w:val="auto"/>
              </w:rPr>
            </w:pPr>
          </w:p>
        </w:tc>
        <w:tc>
          <w:tcPr>
            <w:tcW w:w="760" w:type="dxa"/>
            <w:vAlign w:val="bottom"/>
            <w:tcBorders>
              <w:bottom w:val="single" w:sz="8" w:color="auto"/>
              <w:right w:val="single" w:sz="8" w:color="auto"/>
            </w:tcBorders>
            <w:gridSpan w:val="2"/>
            <w:shd w:val="clear" w:color="auto" w:fill="E5E5E5"/>
          </w:tcPr>
          <w:p>
            <w:pPr>
              <w:jc w:val="center"/>
              <w:ind w:right="34"/>
              <w:spacing w:after="0"/>
              <w:rPr>
                <w:sz w:val="20"/>
                <w:szCs w:val="20"/>
                <w:color w:val="auto"/>
              </w:rPr>
            </w:pPr>
            <w:r>
              <w:rPr>
                <w:rFonts w:ascii="Arial" w:cs="Arial" w:eastAsia="Arial" w:hAnsi="Arial"/>
                <w:sz w:val="12"/>
                <w:szCs w:val="12"/>
                <w:color w:val="auto"/>
                <w:w w:val="93"/>
              </w:rPr>
              <w:t>$7,582,021</w:t>
            </w:r>
          </w:p>
        </w:tc>
        <w:tc>
          <w:tcPr>
            <w:tcW w:w="40" w:type="dxa"/>
            <w:vAlign w:val="bottom"/>
            <w:tcBorders>
              <w:bottom w:val="single" w:sz="8" w:color="auto"/>
            </w:tcBorders>
            <w:shd w:val="clear" w:color="auto" w:fill="E5E5E5"/>
          </w:tcPr>
          <w:p>
            <w:pPr>
              <w:spacing w:after="0"/>
              <w:rPr>
                <w:sz w:val="17"/>
                <w:szCs w:val="17"/>
                <w:color w:val="auto"/>
              </w:rPr>
            </w:pPr>
          </w:p>
        </w:tc>
        <w:tc>
          <w:tcPr>
            <w:tcW w:w="760" w:type="dxa"/>
            <w:vAlign w:val="bottom"/>
            <w:tcBorders>
              <w:bottom w:val="single" w:sz="8" w:color="auto"/>
              <w:right w:val="single" w:sz="8" w:color="auto"/>
            </w:tcBorders>
            <w:gridSpan w:val="2"/>
            <w:shd w:val="clear" w:color="auto" w:fill="E5E5E5"/>
          </w:tcPr>
          <w:p>
            <w:pPr>
              <w:jc w:val="center"/>
              <w:ind w:right="34"/>
              <w:spacing w:after="0"/>
              <w:rPr>
                <w:sz w:val="20"/>
                <w:szCs w:val="20"/>
                <w:color w:val="auto"/>
              </w:rPr>
            </w:pPr>
            <w:r>
              <w:rPr>
                <w:rFonts w:ascii="Arial" w:cs="Arial" w:eastAsia="Arial" w:hAnsi="Arial"/>
                <w:sz w:val="12"/>
                <w:szCs w:val="12"/>
                <w:color w:val="auto"/>
                <w:w w:val="93"/>
              </w:rPr>
              <w:t>$9,337,500</w:t>
            </w:r>
          </w:p>
        </w:tc>
        <w:tc>
          <w:tcPr>
            <w:tcW w:w="8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2"/>
                <w:szCs w:val="12"/>
                <w:color w:val="auto"/>
                <w:w w:val="89"/>
              </w:rPr>
              <w:t>$9,337,500</w:t>
            </w:r>
          </w:p>
        </w:tc>
        <w:tc>
          <w:tcPr>
            <w:tcW w:w="8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2"/>
                <w:szCs w:val="12"/>
                <w:color w:val="auto"/>
                <w:w w:val="93"/>
              </w:rPr>
              <w:t>$9,337,500</w:t>
            </w: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000" w:type="dxa"/>
            <w:vAlign w:val="bottom"/>
            <w:tcBorders>
              <w:left w:val="single" w:sz="8" w:color="auto"/>
              <w:right w:val="single" w:sz="8" w:color="auto"/>
            </w:tcBorders>
          </w:tcPr>
          <w:p>
            <w:pPr>
              <w:ind w:left="80"/>
              <w:spacing w:after="0" w:line="136" w:lineRule="exact"/>
              <w:rPr>
                <w:sz w:val="20"/>
                <w:szCs w:val="20"/>
                <w:color w:val="auto"/>
              </w:rPr>
            </w:pPr>
            <w:r>
              <w:rPr>
                <w:rFonts w:ascii="Arial" w:cs="Arial" w:eastAsia="Arial" w:hAnsi="Arial"/>
                <w:sz w:val="12"/>
                <w:szCs w:val="12"/>
                <w:color w:val="auto"/>
              </w:rPr>
              <w:t>Realized and Realizable</w:t>
            </w:r>
          </w:p>
        </w:tc>
        <w:tc>
          <w:tcPr>
            <w:tcW w:w="580" w:type="dxa"/>
            <w:vAlign w:val="bottom"/>
            <w:vMerge w:val="restart"/>
            <w:shd w:val="clear" w:color="auto" w:fill="E5E5E5"/>
          </w:tcPr>
          <w:p>
            <w:pPr>
              <w:jc w:val="right"/>
              <w:spacing w:after="0"/>
              <w:rPr>
                <w:sz w:val="20"/>
                <w:szCs w:val="20"/>
                <w:color w:val="auto"/>
              </w:rPr>
            </w:pPr>
            <w:r>
              <w:rPr>
                <w:rFonts w:ascii="Arial" w:cs="Arial" w:eastAsia="Arial" w:hAnsi="Arial"/>
                <w:sz w:val="12"/>
                <w:szCs w:val="12"/>
                <w:color w:val="auto"/>
                <w:w w:val="93"/>
              </w:rPr>
              <w:t>$6,327,548</w:t>
            </w:r>
          </w:p>
        </w:tc>
        <w:tc>
          <w:tcPr>
            <w:tcW w:w="180" w:type="dxa"/>
            <w:vAlign w:val="bottom"/>
            <w:tcBorders>
              <w:right w:val="single" w:sz="8" w:color="auto"/>
            </w:tcBorders>
            <w:shd w:val="clear" w:color="auto" w:fill="E5E5E5"/>
          </w:tcPr>
          <w:p>
            <w:pPr>
              <w:jc w:val="right"/>
              <w:ind w:right="34"/>
              <w:spacing w:after="0"/>
              <w:rPr>
                <w:sz w:val="20"/>
                <w:szCs w:val="20"/>
                <w:color w:val="auto"/>
              </w:rPr>
            </w:pPr>
            <w:r>
              <w:rPr>
                <w:rFonts w:ascii="Arial" w:cs="Arial" w:eastAsia="Arial" w:hAnsi="Arial"/>
                <w:sz w:val="9"/>
                <w:szCs w:val="9"/>
                <w:color w:val="auto"/>
                <w:w w:val="72"/>
              </w:rPr>
              <w:t>(2)</w:t>
            </w:r>
          </w:p>
        </w:tc>
        <w:tc>
          <w:tcPr>
            <w:tcW w:w="60" w:type="dxa"/>
            <w:vAlign w:val="bottom"/>
            <w:shd w:val="clear" w:color="auto" w:fill="E5E5E5"/>
          </w:tcPr>
          <w:p>
            <w:pPr>
              <w:spacing w:after="0"/>
              <w:rPr>
                <w:sz w:val="11"/>
                <w:szCs w:val="11"/>
                <w:color w:val="auto"/>
              </w:rPr>
            </w:pPr>
          </w:p>
        </w:tc>
        <w:tc>
          <w:tcPr>
            <w:tcW w:w="560" w:type="dxa"/>
            <w:vAlign w:val="bottom"/>
            <w:vMerge w:val="restart"/>
            <w:shd w:val="clear" w:color="auto" w:fill="E5E5E5"/>
          </w:tcPr>
          <w:p>
            <w:pPr>
              <w:jc w:val="right"/>
              <w:spacing w:after="0"/>
              <w:rPr>
                <w:sz w:val="20"/>
                <w:szCs w:val="20"/>
                <w:color w:val="auto"/>
              </w:rPr>
            </w:pPr>
            <w:r>
              <w:rPr>
                <w:rFonts w:ascii="Arial" w:cs="Arial" w:eastAsia="Arial" w:hAnsi="Arial"/>
                <w:sz w:val="12"/>
                <w:szCs w:val="12"/>
                <w:color w:val="auto"/>
                <w:w w:val="89"/>
              </w:rPr>
              <w:t>$4,433,564</w:t>
            </w:r>
          </w:p>
        </w:tc>
        <w:tc>
          <w:tcPr>
            <w:tcW w:w="200" w:type="dxa"/>
            <w:vAlign w:val="bottom"/>
            <w:tcBorders>
              <w:right w:val="single" w:sz="8" w:color="auto"/>
            </w:tcBorders>
            <w:shd w:val="clear" w:color="auto" w:fill="E5E5E5"/>
          </w:tcPr>
          <w:p>
            <w:pPr>
              <w:jc w:val="right"/>
              <w:ind w:right="34"/>
              <w:spacing w:after="0"/>
              <w:rPr>
                <w:sz w:val="20"/>
                <w:szCs w:val="20"/>
                <w:color w:val="auto"/>
              </w:rPr>
            </w:pPr>
            <w:r>
              <w:rPr>
                <w:rFonts w:ascii="Arial" w:cs="Arial" w:eastAsia="Arial" w:hAnsi="Arial"/>
                <w:sz w:val="9"/>
                <w:szCs w:val="9"/>
                <w:color w:val="auto"/>
                <w:w w:val="90"/>
              </w:rPr>
              <w:t>(2)</w:t>
            </w:r>
          </w:p>
        </w:tc>
        <w:tc>
          <w:tcPr>
            <w:tcW w:w="40" w:type="dxa"/>
            <w:vAlign w:val="bottom"/>
            <w:shd w:val="clear" w:color="auto" w:fill="E5E5E5"/>
          </w:tcPr>
          <w:p>
            <w:pPr>
              <w:spacing w:after="0"/>
              <w:rPr>
                <w:sz w:val="11"/>
                <w:szCs w:val="11"/>
                <w:color w:val="auto"/>
              </w:rPr>
            </w:pPr>
          </w:p>
        </w:tc>
        <w:tc>
          <w:tcPr>
            <w:tcW w:w="560" w:type="dxa"/>
            <w:vAlign w:val="bottom"/>
            <w:vMerge w:val="restart"/>
            <w:shd w:val="clear" w:color="auto" w:fill="E5E5E5"/>
          </w:tcPr>
          <w:p>
            <w:pPr>
              <w:jc w:val="right"/>
              <w:spacing w:after="0"/>
              <w:rPr>
                <w:sz w:val="20"/>
                <w:szCs w:val="20"/>
                <w:color w:val="auto"/>
              </w:rPr>
            </w:pPr>
            <w:r>
              <w:rPr>
                <w:rFonts w:ascii="Arial" w:cs="Arial" w:eastAsia="Arial" w:hAnsi="Arial"/>
                <w:sz w:val="12"/>
                <w:szCs w:val="12"/>
                <w:color w:val="auto"/>
                <w:w w:val="89"/>
              </w:rPr>
              <w:t>$5,119,955</w:t>
            </w:r>
          </w:p>
        </w:tc>
        <w:tc>
          <w:tcPr>
            <w:tcW w:w="200" w:type="dxa"/>
            <w:vAlign w:val="bottom"/>
            <w:tcBorders>
              <w:right w:val="single" w:sz="8" w:color="auto"/>
            </w:tcBorders>
            <w:shd w:val="clear" w:color="auto" w:fill="E5E5E5"/>
          </w:tcPr>
          <w:p>
            <w:pPr>
              <w:jc w:val="right"/>
              <w:ind w:right="34"/>
              <w:spacing w:after="0"/>
              <w:rPr>
                <w:sz w:val="20"/>
                <w:szCs w:val="20"/>
                <w:color w:val="auto"/>
              </w:rPr>
            </w:pPr>
            <w:r>
              <w:rPr>
                <w:rFonts w:ascii="Arial" w:cs="Arial" w:eastAsia="Arial" w:hAnsi="Arial"/>
                <w:sz w:val="9"/>
                <w:szCs w:val="9"/>
                <w:color w:val="auto"/>
                <w:w w:val="90"/>
              </w:rPr>
              <w:t>(2)</w:t>
            </w: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$8,591,462</w:t>
            </w:r>
          </w:p>
        </w:tc>
        <w:tc>
          <w:tcPr>
            <w:tcW w:w="200" w:type="dxa"/>
            <w:vAlign w:val="bottom"/>
            <w:tcBorders>
              <w:right w:val="single" w:sz="8" w:color="auto"/>
            </w:tcBorders>
          </w:tcPr>
          <w:p>
            <w:pPr>
              <w:jc w:val="right"/>
              <w:ind w:right="54"/>
              <w:spacing w:after="0"/>
              <w:rPr>
                <w:sz w:val="20"/>
                <w:szCs w:val="20"/>
                <w:color w:val="auto"/>
              </w:rPr>
            </w:pPr>
            <w:r>
              <w:rPr>
                <w:rFonts w:ascii="Arial" w:cs="Arial" w:eastAsia="Arial" w:hAnsi="Arial"/>
                <w:sz w:val="9"/>
                <w:szCs w:val="9"/>
                <w:color w:val="auto"/>
                <w:w w:val="72"/>
              </w:rPr>
              <w:t>(3)</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w w:val="99"/>
              </w:rPr>
              <w:t>$9,860,877</w:t>
            </w:r>
          </w:p>
        </w:tc>
        <w:tc>
          <w:tcPr>
            <w:tcW w:w="180" w:type="dxa"/>
            <w:vAlign w:val="bottom"/>
            <w:tcBorders>
              <w:right w:val="single" w:sz="8" w:color="auto"/>
            </w:tcBorders>
          </w:tcPr>
          <w:p>
            <w:pPr>
              <w:jc w:val="right"/>
              <w:ind w:right="14"/>
              <w:spacing w:after="0"/>
              <w:rPr>
                <w:sz w:val="20"/>
                <w:szCs w:val="20"/>
                <w:color w:val="auto"/>
              </w:rPr>
            </w:pPr>
            <w:r>
              <w:rPr>
                <w:rFonts w:ascii="Arial" w:cs="Arial" w:eastAsia="Arial" w:hAnsi="Arial"/>
                <w:sz w:val="9"/>
                <w:szCs w:val="9"/>
                <w:color w:val="auto"/>
                <w:w w:val="90"/>
              </w:rPr>
              <w:t>(3)</w:t>
            </w: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00" w:type="dxa"/>
            <w:vAlign w:val="bottom"/>
            <w:tcBorders>
              <w:left w:val="single" w:sz="8" w:color="auto"/>
              <w:bottom w:val="single" w:sz="8" w:color="auto"/>
              <w:right w:val="single" w:sz="8" w:color="auto"/>
            </w:tcBorders>
          </w:tcPr>
          <w:p>
            <w:pPr>
              <w:ind w:left="80"/>
              <w:spacing w:after="0" w:line="170" w:lineRule="exact"/>
              <w:rPr>
                <w:sz w:val="20"/>
                <w:szCs w:val="20"/>
                <w:color w:val="auto"/>
              </w:rPr>
            </w:pPr>
            <w:r>
              <w:rPr>
                <w:rFonts w:ascii="Arial" w:cs="Arial" w:eastAsia="Arial" w:hAnsi="Arial"/>
                <w:sz w:val="12"/>
                <w:szCs w:val="12"/>
                <w:color w:val="auto"/>
              </w:rPr>
              <w:t>Compensation</w:t>
            </w:r>
            <w:r>
              <w:rPr>
                <w:rFonts w:ascii="Arial" w:cs="Arial" w:eastAsia="Arial" w:hAnsi="Arial"/>
                <w:sz w:val="18"/>
                <w:szCs w:val="18"/>
                <w:color w:val="auto"/>
                <w:vertAlign w:val="superscript"/>
              </w:rPr>
              <w:t>(1)</w:t>
            </w:r>
          </w:p>
        </w:tc>
        <w:tc>
          <w:tcPr>
            <w:tcW w:w="580" w:type="dxa"/>
            <w:vAlign w:val="bottom"/>
            <w:tcBorders>
              <w:bottom w:val="single" w:sz="8" w:color="auto"/>
            </w:tcBorders>
            <w:vMerge w:val="continue"/>
            <w:shd w:val="clear" w:color="auto" w:fill="E5E5E5"/>
          </w:tcPr>
          <w:p>
            <w:pPr>
              <w:spacing w:after="0"/>
              <w:rPr>
                <w:sz w:val="14"/>
                <w:szCs w:val="14"/>
                <w:color w:val="auto"/>
              </w:rPr>
            </w:pPr>
          </w:p>
        </w:tc>
        <w:tc>
          <w:tcPr>
            <w:tcW w:w="180" w:type="dxa"/>
            <w:vAlign w:val="bottom"/>
            <w:tcBorders>
              <w:bottom w:val="single" w:sz="8" w:color="auto"/>
              <w:right w:val="single" w:sz="8" w:color="auto"/>
            </w:tcBorders>
            <w:shd w:val="clear" w:color="auto" w:fill="E5E5E5"/>
          </w:tcPr>
          <w:p>
            <w:pPr>
              <w:spacing w:after="0"/>
              <w:rPr>
                <w:sz w:val="14"/>
                <w:szCs w:val="14"/>
                <w:color w:val="auto"/>
              </w:rPr>
            </w:pPr>
          </w:p>
        </w:tc>
        <w:tc>
          <w:tcPr>
            <w:tcW w:w="60" w:type="dxa"/>
            <w:vAlign w:val="bottom"/>
            <w:tcBorders>
              <w:bottom w:val="single" w:sz="8" w:color="auto"/>
            </w:tcBorders>
            <w:shd w:val="clear" w:color="auto" w:fill="E5E5E5"/>
          </w:tcPr>
          <w:p>
            <w:pPr>
              <w:spacing w:after="0"/>
              <w:rPr>
                <w:sz w:val="14"/>
                <w:szCs w:val="14"/>
                <w:color w:val="auto"/>
              </w:rPr>
            </w:pPr>
          </w:p>
        </w:tc>
        <w:tc>
          <w:tcPr>
            <w:tcW w:w="560" w:type="dxa"/>
            <w:vAlign w:val="bottom"/>
            <w:tcBorders>
              <w:bottom w:val="single" w:sz="8" w:color="auto"/>
            </w:tcBorders>
            <w:vMerge w:val="continue"/>
            <w:shd w:val="clear" w:color="auto" w:fill="E5E5E5"/>
          </w:tcPr>
          <w:p>
            <w:pPr>
              <w:spacing w:after="0"/>
              <w:rPr>
                <w:sz w:val="14"/>
                <w:szCs w:val="14"/>
                <w:color w:val="auto"/>
              </w:rPr>
            </w:pPr>
          </w:p>
        </w:tc>
        <w:tc>
          <w:tcPr>
            <w:tcW w:w="200" w:type="dxa"/>
            <w:vAlign w:val="bottom"/>
            <w:tcBorders>
              <w:bottom w:val="single" w:sz="8" w:color="auto"/>
              <w:right w:val="single" w:sz="8" w:color="auto"/>
            </w:tcBorders>
            <w:shd w:val="clear" w:color="auto" w:fill="E5E5E5"/>
          </w:tcPr>
          <w:p>
            <w:pPr>
              <w:spacing w:after="0"/>
              <w:rPr>
                <w:sz w:val="14"/>
                <w:szCs w:val="14"/>
                <w:color w:val="auto"/>
              </w:rPr>
            </w:pPr>
          </w:p>
        </w:tc>
        <w:tc>
          <w:tcPr>
            <w:tcW w:w="40" w:type="dxa"/>
            <w:vAlign w:val="bottom"/>
            <w:tcBorders>
              <w:bottom w:val="single" w:sz="8" w:color="auto"/>
            </w:tcBorders>
            <w:shd w:val="clear" w:color="auto" w:fill="E5E5E5"/>
          </w:tcPr>
          <w:p>
            <w:pPr>
              <w:spacing w:after="0"/>
              <w:rPr>
                <w:sz w:val="14"/>
                <w:szCs w:val="14"/>
                <w:color w:val="auto"/>
              </w:rPr>
            </w:pPr>
          </w:p>
        </w:tc>
        <w:tc>
          <w:tcPr>
            <w:tcW w:w="560" w:type="dxa"/>
            <w:vAlign w:val="bottom"/>
            <w:tcBorders>
              <w:bottom w:val="single" w:sz="8" w:color="auto"/>
            </w:tcBorders>
            <w:vMerge w:val="continue"/>
            <w:shd w:val="clear" w:color="auto" w:fill="E5E5E5"/>
          </w:tcPr>
          <w:p>
            <w:pPr>
              <w:spacing w:after="0"/>
              <w:rPr>
                <w:sz w:val="14"/>
                <w:szCs w:val="14"/>
                <w:color w:val="auto"/>
              </w:rPr>
            </w:pPr>
          </w:p>
        </w:tc>
        <w:tc>
          <w:tcPr>
            <w:tcW w:w="200" w:type="dxa"/>
            <w:vAlign w:val="bottom"/>
            <w:tcBorders>
              <w:bottom w:val="single" w:sz="8" w:color="auto"/>
              <w:right w:val="single" w:sz="8" w:color="auto"/>
            </w:tcBorders>
            <w:shd w:val="clear" w:color="auto" w:fill="E5E5E5"/>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Realized and Realizable</w:t>
            </w:r>
          </w:p>
        </w:tc>
        <w:tc>
          <w:tcPr>
            <w:tcW w:w="580" w:type="dxa"/>
            <w:vAlign w:val="bottom"/>
            <w:shd w:val="clear" w:color="auto" w:fill="E5E5E5"/>
          </w:tcPr>
          <w:p>
            <w:pPr>
              <w:jc w:val="center"/>
              <w:ind w:left="62"/>
              <w:spacing w:after="0"/>
              <w:rPr>
                <w:sz w:val="20"/>
                <w:szCs w:val="20"/>
                <w:color w:val="auto"/>
              </w:rPr>
            </w:pPr>
            <w:r>
              <w:rPr>
                <w:rFonts w:ascii="Arial" w:cs="Arial" w:eastAsia="Arial" w:hAnsi="Arial"/>
                <w:sz w:val="12"/>
                <w:szCs w:val="12"/>
                <w:color w:val="auto"/>
                <w:w w:val="91"/>
              </w:rPr>
              <w:t>92%</w:t>
            </w:r>
          </w:p>
        </w:tc>
        <w:tc>
          <w:tcPr>
            <w:tcW w:w="180" w:type="dxa"/>
            <w:vAlign w:val="bottom"/>
            <w:tcBorders>
              <w:right w:val="single" w:sz="8" w:color="auto"/>
            </w:tcBorders>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560" w:type="dxa"/>
            <w:vAlign w:val="bottom"/>
            <w:shd w:val="clear" w:color="auto" w:fill="E5E5E5"/>
          </w:tcPr>
          <w:p>
            <w:pPr>
              <w:jc w:val="center"/>
              <w:ind w:left="43"/>
              <w:spacing w:after="0"/>
              <w:rPr>
                <w:sz w:val="20"/>
                <w:szCs w:val="20"/>
                <w:color w:val="auto"/>
              </w:rPr>
            </w:pPr>
            <w:r>
              <w:rPr>
                <w:rFonts w:ascii="Arial" w:cs="Arial" w:eastAsia="Arial" w:hAnsi="Arial"/>
                <w:sz w:val="12"/>
                <w:szCs w:val="12"/>
                <w:color w:val="auto"/>
                <w:w w:val="91"/>
              </w:rPr>
              <w:t>58%</w:t>
            </w:r>
          </w:p>
        </w:tc>
        <w:tc>
          <w:tcPr>
            <w:tcW w:w="200" w:type="dxa"/>
            <w:vAlign w:val="bottom"/>
            <w:tcBorders>
              <w:right w:val="single" w:sz="8" w:color="auto"/>
            </w:tcBorders>
            <w:shd w:val="clear" w:color="auto" w:fill="E5E5E5"/>
          </w:tcPr>
          <w:p>
            <w:pPr>
              <w:spacing w:after="0"/>
              <w:rPr>
                <w:sz w:val="14"/>
                <w:szCs w:val="14"/>
                <w:color w:val="auto"/>
              </w:rPr>
            </w:pPr>
          </w:p>
        </w:tc>
        <w:tc>
          <w:tcPr>
            <w:tcW w:w="40" w:type="dxa"/>
            <w:vAlign w:val="bottom"/>
            <w:shd w:val="clear" w:color="auto" w:fill="E5E5E5"/>
          </w:tcPr>
          <w:p>
            <w:pPr>
              <w:spacing w:after="0"/>
              <w:rPr>
                <w:sz w:val="14"/>
                <w:szCs w:val="14"/>
                <w:color w:val="auto"/>
              </w:rPr>
            </w:pPr>
          </w:p>
        </w:tc>
        <w:tc>
          <w:tcPr>
            <w:tcW w:w="560" w:type="dxa"/>
            <w:vAlign w:val="bottom"/>
            <w:shd w:val="clear" w:color="auto" w:fill="E5E5E5"/>
          </w:tcPr>
          <w:p>
            <w:pPr>
              <w:jc w:val="center"/>
              <w:ind w:left="82"/>
              <w:spacing w:after="0"/>
              <w:rPr>
                <w:sz w:val="20"/>
                <w:szCs w:val="20"/>
                <w:color w:val="auto"/>
              </w:rPr>
            </w:pPr>
            <w:r>
              <w:rPr>
                <w:rFonts w:ascii="Arial" w:cs="Arial" w:eastAsia="Arial" w:hAnsi="Arial"/>
                <w:sz w:val="12"/>
                <w:szCs w:val="12"/>
                <w:color w:val="auto"/>
                <w:w w:val="91"/>
              </w:rPr>
              <w:t>55%</w:t>
            </w:r>
          </w:p>
        </w:tc>
        <w:tc>
          <w:tcPr>
            <w:tcW w:w="200" w:type="dxa"/>
            <w:vAlign w:val="bottom"/>
            <w:tcBorders>
              <w:right w:val="single" w:sz="8" w:color="auto"/>
            </w:tcBorders>
            <w:shd w:val="clear" w:color="auto" w:fill="E5E5E5"/>
          </w:tcPr>
          <w:p>
            <w:pPr>
              <w:spacing w:after="0"/>
              <w:rPr>
                <w:sz w:val="14"/>
                <w:szCs w:val="14"/>
                <w:color w:val="auto"/>
              </w:rPr>
            </w:pPr>
          </w:p>
        </w:tc>
        <w:tc>
          <w:tcPr>
            <w:tcW w:w="640" w:type="dxa"/>
            <w:vAlign w:val="bottom"/>
          </w:tcPr>
          <w:p>
            <w:pPr>
              <w:jc w:val="center"/>
              <w:ind w:left="123"/>
              <w:spacing w:after="0"/>
              <w:rPr>
                <w:sz w:val="20"/>
                <w:szCs w:val="20"/>
                <w:color w:val="auto"/>
              </w:rPr>
            </w:pPr>
            <w:r>
              <w:rPr>
                <w:rFonts w:ascii="Arial" w:cs="Arial" w:eastAsia="Arial" w:hAnsi="Arial"/>
                <w:sz w:val="12"/>
                <w:szCs w:val="12"/>
                <w:color w:val="auto"/>
                <w:w w:val="91"/>
              </w:rPr>
              <w:t>92%</w:t>
            </w:r>
          </w:p>
        </w:tc>
        <w:tc>
          <w:tcPr>
            <w:tcW w:w="200" w:type="dxa"/>
            <w:vAlign w:val="bottom"/>
            <w:tcBorders>
              <w:right w:val="single" w:sz="8" w:color="auto"/>
            </w:tcBorders>
          </w:tcPr>
          <w:p>
            <w:pPr>
              <w:spacing w:after="0"/>
              <w:rPr>
                <w:sz w:val="14"/>
                <w:szCs w:val="14"/>
                <w:color w:val="auto"/>
              </w:rPr>
            </w:pPr>
          </w:p>
        </w:tc>
        <w:tc>
          <w:tcPr>
            <w:tcW w:w="620" w:type="dxa"/>
            <w:vAlign w:val="bottom"/>
          </w:tcPr>
          <w:p>
            <w:pPr>
              <w:jc w:val="center"/>
              <w:ind w:left="122"/>
              <w:spacing w:after="0"/>
              <w:rPr>
                <w:sz w:val="20"/>
                <w:szCs w:val="20"/>
                <w:color w:val="auto"/>
              </w:rPr>
            </w:pPr>
            <w:r>
              <w:rPr>
                <w:rFonts w:ascii="Arial" w:cs="Arial" w:eastAsia="Arial" w:hAnsi="Arial"/>
                <w:sz w:val="12"/>
                <w:szCs w:val="12"/>
                <w:color w:val="auto"/>
                <w:w w:val="91"/>
              </w:rPr>
              <w:t>106%</w:t>
            </w:r>
          </w:p>
        </w:tc>
        <w:tc>
          <w:tcPr>
            <w:tcW w:w="180" w:type="dxa"/>
            <w:vAlign w:val="bottom"/>
            <w:tcBorders>
              <w:right w:val="single" w:sz="8" w:color="auto"/>
            </w:tcBorders>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Compensation as a % of Total</w:t>
            </w:r>
          </w:p>
        </w:tc>
        <w:tc>
          <w:tcPr>
            <w:tcW w:w="580" w:type="dxa"/>
            <w:vAlign w:val="bottom"/>
            <w:shd w:val="clear" w:color="auto" w:fill="E5E5E5"/>
          </w:tcPr>
          <w:p>
            <w:pPr>
              <w:spacing w:after="0"/>
              <w:rPr>
                <w:sz w:val="12"/>
                <w:szCs w:val="12"/>
                <w:color w:val="auto"/>
              </w:rPr>
            </w:pPr>
          </w:p>
        </w:tc>
        <w:tc>
          <w:tcPr>
            <w:tcW w:w="180" w:type="dxa"/>
            <w:vAlign w:val="bottom"/>
            <w:tcBorders>
              <w:right w:val="single" w:sz="8" w:color="auto"/>
            </w:tcBorders>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560" w:type="dxa"/>
            <w:vAlign w:val="bottom"/>
            <w:shd w:val="clear" w:color="auto" w:fill="E5E5E5"/>
          </w:tcPr>
          <w:p>
            <w:pPr>
              <w:spacing w:after="0"/>
              <w:rPr>
                <w:sz w:val="12"/>
                <w:szCs w:val="12"/>
                <w:color w:val="auto"/>
              </w:rPr>
            </w:pPr>
          </w:p>
        </w:tc>
        <w:tc>
          <w:tcPr>
            <w:tcW w:w="200" w:type="dxa"/>
            <w:vAlign w:val="bottom"/>
            <w:tcBorders>
              <w:right w:val="single" w:sz="8" w:color="auto"/>
            </w:tcBorders>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560" w:type="dxa"/>
            <w:vAlign w:val="bottom"/>
            <w:shd w:val="clear" w:color="auto" w:fill="E5E5E5"/>
          </w:tcPr>
          <w:p>
            <w:pPr>
              <w:spacing w:after="0"/>
              <w:rPr>
                <w:sz w:val="12"/>
                <w:szCs w:val="12"/>
                <w:color w:val="auto"/>
              </w:rPr>
            </w:pPr>
          </w:p>
        </w:tc>
        <w:tc>
          <w:tcPr>
            <w:tcW w:w="200" w:type="dxa"/>
            <w:vAlign w:val="bottom"/>
            <w:tcBorders>
              <w:right w:val="single" w:sz="8" w:color="auto"/>
            </w:tcBorders>
            <w:shd w:val="clear" w:color="auto" w:fill="E5E5E5"/>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Target Direct Compensation</w:t>
            </w:r>
          </w:p>
        </w:tc>
        <w:tc>
          <w:tcPr>
            <w:tcW w:w="580" w:type="dxa"/>
            <w:vAlign w:val="bottom"/>
            <w:tcBorders>
              <w:bottom w:val="single" w:sz="8" w:color="auto"/>
            </w:tcBorders>
            <w:shd w:val="clear" w:color="auto" w:fill="E5E5E5"/>
          </w:tcPr>
          <w:p>
            <w:pPr>
              <w:spacing w:after="0"/>
              <w:rPr>
                <w:sz w:val="13"/>
                <w:szCs w:val="13"/>
                <w:color w:val="auto"/>
              </w:rPr>
            </w:pPr>
          </w:p>
        </w:tc>
        <w:tc>
          <w:tcPr>
            <w:tcW w:w="180" w:type="dxa"/>
            <w:vAlign w:val="bottom"/>
            <w:tcBorders>
              <w:bottom w:val="single" w:sz="8" w:color="auto"/>
              <w:right w:val="single" w:sz="8" w:color="auto"/>
            </w:tcBorders>
            <w:shd w:val="clear" w:color="auto" w:fill="E5E5E5"/>
          </w:tcPr>
          <w:p>
            <w:pPr>
              <w:spacing w:after="0"/>
              <w:rPr>
                <w:sz w:val="13"/>
                <w:szCs w:val="13"/>
                <w:color w:val="auto"/>
              </w:rPr>
            </w:pPr>
          </w:p>
        </w:tc>
        <w:tc>
          <w:tcPr>
            <w:tcW w:w="60" w:type="dxa"/>
            <w:vAlign w:val="bottom"/>
            <w:tcBorders>
              <w:bottom w:val="single" w:sz="8" w:color="auto"/>
            </w:tcBorders>
            <w:shd w:val="clear" w:color="auto" w:fill="E5E5E5"/>
          </w:tcPr>
          <w:p>
            <w:pPr>
              <w:spacing w:after="0"/>
              <w:rPr>
                <w:sz w:val="13"/>
                <w:szCs w:val="13"/>
                <w:color w:val="auto"/>
              </w:rPr>
            </w:pPr>
          </w:p>
        </w:tc>
        <w:tc>
          <w:tcPr>
            <w:tcW w:w="560" w:type="dxa"/>
            <w:vAlign w:val="bottom"/>
            <w:tcBorders>
              <w:bottom w:val="single" w:sz="8" w:color="auto"/>
            </w:tcBorders>
            <w:shd w:val="clear" w:color="auto" w:fill="E5E5E5"/>
          </w:tcPr>
          <w:p>
            <w:pPr>
              <w:spacing w:after="0"/>
              <w:rPr>
                <w:sz w:val="13"/>
                <w:szCs w:val="13"/>
                <w:color w:val="auto"/>
              </w:rPr>
            </w:pPr>
          </w:p>
        </w:tc>
        <w:tc>
          <w:tcPr>
            <w:tcW w:w="200" w:type="dxa"/>
            <w:vAlign w:val="bottom"/>
            <w:tcBorders>
              <w:bottom w:val="single" w:sz="8" w:color="auto"/>
              <w:right w:val="single" w:sz="8" w:color="auto"/>
            </w:tcBorders>
            <w:shd w:val="clear" w:color="auto" w:fill="E5E5E5"/>
          </w:tcPr>
          <w:p>
            <w:pPr>
              <w:spacing w:after="0"/>
              <w:rPr>
                <w:sz w:val="13"/>
                <w:szCs w:val="13"/>
                <w:color w:val="auto"/>
              </w:rPr>
            </w:pPr>
          </w:p>
        </w:tc>
        <w:tc>
          <w:tcPr>
            <w:tcW w:w="40" w:type="dxa"/>
            <w:vAlign w:val="bottom"/>
            <w:tcBorders>
              <w:bottom w:val="single" w:sz="8" w:color="auto"/>
            </w:tcBorders>
            <w:shd w:val="clear" w:color="auto" w:fill="E5E5E5"/>
          </w:tcPr>
          <w:p>
            <w:pPr>
              <w:spacing w:after="0"/>
              <w:rPr>
                <w:sz w:val="13"/>
                <w:szCs w:val="13"/>
                <w:color w:val="auto"/>
              </w:rPr>
            </w:pPr>
          </w:p>
        </w:tc>
        <w:tc>
          <w:tcPr>
            <w:tcW w:w="560" w:type="dxa"/>
            <w:vAlign w:val="bottom"/>
            <w:tcBorders>
              <w:bottom w:val="single" w:sz="8" w:color="auto"/>
            </w:tcBorders>
            <w:shd w:val="clear" w:color="auto" w:fill="E5E5E5"/>
          </w:tcPr>
          <w:p>
            <w:pPr>
              <w:spacing w:after="0"/>
              <w:rPr>
                <w:sz w:val="13"/>
                <w:szCs w:val="13"/>
                <w:color w:val="auto"/>
              </w:rPr>
            </w:pPr>
          </w:p>
        </w:tc>
        <w:tc>
          <w:tcPr>
            <w:tcW w:w="200" w:type="dxa"/>
            <w:vAlign w:val="bottom"/>
            <w:tcBorders>
              <w:bottom w:val="single" w:sz="8" w:color="auto"/>
              <w:right w:val="single" w:sz="8" w:color="auto"/>
            </w:tcBorders>
            <w:shd w:val="clear" w:color="auto" w:fill="E5E5E5"/>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2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963930</wp:posOffset>
            </wp:positionH>
            <wp:positionV relativeFrom="paragraph">
              <wp:posOffset>-811530</wp:posOffset>
            </wp:positionV>
            <wp:extent cx="1207135" cy="63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07135" cy="6350"/>
                    </a:xfrm>
                    <a:prstGeom prst="rect">
                      <a:avLst/>
                    </a:prstGeom>
                    <a:noFill/>
                  </pic:spPr>
                </pic:pic>
              </a:graphicData>
            </a:graphic>
          </wp:anchor>
        </w:drawing>
      </w:r>
    </w:p>
    <w:p>
      <w:pPr>
        <w:spacing w:after="0" w:line="52" w:lineRule="exact"/>
        <w:rPr>
          <w:sz w:val="20"/>
          <w:szCs w:val="20"/>
          <w:color w:val="auto"/>
        </w:rPr>
      </w:pPr>
    </w:p>
    <w:p>
      <w:pPr>
        <w:ind w:left="1740" w:right="1499" w:hanging="262"/>
        <w:spacing w:after="0" w:line="204" w:lineRule="auto"/>
        <w:tabs>
          <w:tab w:leader="none" w:pos="1740" w:val="left"/>
        </w:tabs>
        <w:numPr>
          <w:ilvl w:val="0"/>
          <w:numId w:val="85"/>
        </w:numPr>
        <w:rPr>
          <w:rFonts w:ascii="Arial" w:cs="Arial" w:eastAsia="Arial" w:hAnsi="Arial"/>
          <w:sz w:val="16"/>
          <w:szCs w:val="16"/>
          <w:color w:val="auto"/>
          <w:vertAlign w:val="superscript"/>
        </w:rPr>
      </w:pPr>
      <w:r>
        <w:rPr>
          <w:rFonts w:ascii="Arial" w:cs="Arial" w:eastAsia="Arial" w:hAnsi="Arial"/>
          <w:sz w:val="11"/>
          <w:szCs w:val="11"/>
          <w:color w:val="auto"/>
        </w:rPr>
        <w:t>Compensation for 2016, 2017 and 2018 has been fully realized. Compensation for 2019 and 2020 has only been partially realized, such that a significant portion remains realizable and is “at risk” as described in footnote 3 below.</w:t>
      </w:r>
    </w:p>
    <w:p>
      <w:pPr>
        <w:ind w:left="1740" w:hanging="262"/>
        <w:spacing w:after="0" w:line="235" w:lineRule="auto"/>
        <w:tabs>
          <w:tab w:leader="none" w:pos="1740" w:val="left"/>
        </w:tabs>
        <w:numPr>
          <w:ilvl w:val="0"/>
          <w:numId w:val="85"/>
        </w:numPr>
        <w:rPr>
          <w:rFonts w:ascii="Arial" w:cs="Arial" w:eastAsia="Arial" w:hAnsi="Arial"/>
          <w:sz w:val="15"/>
          <w:szCs w:val="15"/>
          <w:color w:val="auto"/>
          <w:vertAlign w:val="superscript"/>
        </w:rPr>
      </w:pPr>
      <w:r>
        <w:rPr>
          <w:rFonts w:ascii="Arial" w:cs="Arial" w:eastAsia="Arial" w:hAnsi="Arial"/>
          <w:sz w:val="10"/>
          <w:szCs w:val="10"/>
          <w:color w:val="auto"/>
        </w:rPr>
        <w:t>The following table includes the CPF for CTI awards actually paid and the vesting percentage of PSUs granted in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1064895</wp:posOffset>
            </wp:positionH>
            <wp:positionV relativeFrom="paragraph">
              <wp:posOffset>118745</wp:posOffset>
            </wp:positionV>
            <wp:extent cx="50800" cy="63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0800" cy="6350"/>
                    </a:xfrm>
                    <a:prstGeom prst="rect">
                      <a:avLst/>
                    </a:prstGeom>
                    <a:noFill/>
                  </pic:spPr>
                </pic:pic>
              </a:graphicData>
            </a:graphic>
          </wp:anchor>
        </w:drawing>
      </w:r>
    </w:p>
    <w:p>
      <w:pPr>
        <w:spacing w:after="0" w:line="147" w:lineRule="exact"/>
        <w:rPr>
          <w:sz w:val="20"/>
          <w:szCs w:val="20"/>
          <w:color w:val="auto"/>
        </w:rPr>
      </w:pPr>
    </w:p>
    <w:tbl>
      <w:tblPr>
        <w:tblLayout w:type="fixed"/>
        <w:tblInd w:w="1750" w:type="dxa"/>
        <w:tblCellMar>
          <w:top w:w="0" w:type="dxa"/>
          <w:left w:w="0" w:type="dxa"/>
          <w:bottom w:w="0" w:type="dxa"/>
          <w:right w:w="0" w:type="dxa"/>
        </w:tblCellMar>
      </w:tblPr>
      <w:tr>
        <w:trPr>
          <w:trHeight w:val="170"/>
        </w:trPr>
        <w:tc>
          <w:tcPr>
            <w:tcW w:w="52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1"/>
                <w:szCs w:val="11"/>
                <w:b w:val="1"/>
                <w:bCs w:val="1"/>
                <w:color w:val="auto"/>
              </w:rPr>
              <w:t>Year</w:t>
            </w:r>
          </w:p>
        </w:tc>
        <w:tc>
          <w:tcPr>
            <w:tcW w:w="860" w:type="dxa"/>
            <w:vAlign w:val="bottom"/>
            <w:tcBorders>
              <w:top w:val="single" w:sz="8" w:color="auto"/>
              <w:bottom w:val="single" w:sz="8" w:color="auto"/>
              <w:right w:val="single" w:sz="8" w:color="auto"/>
            </w:tcBorders>
          </w:tcPr>
          <w:p>
            <w:pPr>
              <w:jc w:val="right"/>
              <w:ind w:right="47"/>
              <w:spacing w:after="0"/>
              <w:rPr>
                <w:sz w:val="20"/>
                <w:szCs w:val="20"/>
                <w:color w:val="auto"/>
              </w:rPr>
            </w:pPr>
            <w:r>
              <w:rPr>
                <w:rFonts w:ascii="Arial" w:cs="Arial" w:eastAsia="Arial" w:hAnsi="Arial"/>
                <w:sz w:val="11"/>
                <w:szCs w:val="11"/>
                <w:b w:val="1"/>
                <w:bCs w:val="1"/>
                <w:color w:val="auto"/>
                <w:w w:val="96"/>
              </w:rPr>
              <w:t>CPF under CTI</w:t>
            </w:r>
          </w:p>
        </w:tc>
        <w:tc>
          <w:tcPr>
            <w:tcW w:w="10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4"/>
              </w:rPr>
              <w:t>PSUs as % of Target</w:t>
            </w:r>
          </w:p>
        </w:tc>
      </w:tr>
      <w:tr>
        <w:trPr>
          <w:trHeight w:val="159"/>
        </w:trPr>
        <w:tc>
          <w:tcPr>
            <w:tcW w:w="5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1"/>
                <w:szCs w:val="11"/>
                <w:color w:val="auto"/>
              </w:rPr>
              <w:t>2016</w:t>
            </w:r>
          </w:p>
        </w:tc>
        <w:tc>
          <w:tcPr>
            <w:tcW w:w="860" w:type="dxa"/>
            <w:vAlign w:val="bottom"/>
            <w:tcBorders>
              <w:bottom w:val="single" w:sz="8" w:color="auto"/>
              <w:right w:val="single" w:sz="8" w:color="auto"/>
            </w:tcBorders>
          </w:tcPr>
          <w:p>
            <w:pPr>
              <w:jc w:val="right"/>
              <w:ind w:right="267"/>
              <w:spacing w:after="0"/>
              <w:rPr>
                <w:sz w:val="20"/>
                <w:szCs w:val="20"/>
                <w:color w:val="auto"/>
              </w:rPr>
            </w:pPr>
            <w:r>
              <w:rPr>
                <w:rFonts w:ascii="Arial" w:cs="Arial" w:eastAsia="Arial" w:hAnsi="Arial"/>
                <w:sz w:val="11"/>
                <w:szCs w:val="11"/>
                <w:color w:val="auto"/>
              </w:rPr>
              <w:t>105%</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50%</w:t>
            </w:r>
          </w:p>
        </w:tc>
      </w:tr>
      <w:tr>
        <w:trPr>
          <w:trHeight w:val="159"/>
        </w:trPr>
        <w:tc>
          <w:tcPr>
            <w:tcW w:w="5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1"/>
                <w:szCs w:val="11"/>
                <w:color w:val="auto"/>
              </w:rPr>
              <w:t>2017</w:t>
            </w:r>
          </w:p>
        </w:tc>
        <w:tc>
          <w:tcPr>
            <w:tcW w:w="860" w:type="dxa"/>
            <w:vAlign w:val="bottom"/>
            <w:tcBorders>
              <w:bottom w:val="single" w:sz="8" w:color="auto"/>
              <w:right w:val="single" w:sz="8" w:color="auto"/>
            </w:tcBorders>
          </w:tcPr>
          <w:p>
            <w:pPr>
              <w:jc w:val="right"/>
              <w:ind w:right="267"/>
              <w:spacing w:after="0"/>
              <w:rPr>
                <w:sz w:val="20"/>
                <w:szCs w:val="20"/>
                <w:color w:val="auto"/>
              </w:rPr>
            </w:pPr>
            <w:r>
              <w:rPr>
                <w:rFonts w:ascii="Arial" w:cs="Arial" w:eastAsia="Arial" w:hAnsi="Arial"/>
                <w:sz w:val="11"/>
                <w:szCs w:val="11"/>
                <w:color w:val="auto"/>
              </w:rPr>
              <w:t>83%</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40%</w:t>
            </w:r>
          </w:p>
        </w:tc>
      </w:tr>
      <w:tr>
        <w:trPr>
          <w:trHeight w:val="159"/>
        </w:trPr>
        <w:tc>
          <w:tcPr>
            <w:tcW w:w="5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1"/>
                <w:szCs w:val="11"/>
                <w:color w:val="auto"/>
              </w:rPr>
              <w:t>2018</w:t>
            </w:r>
          </w:p>
        </w:tc>
        <w:tc>
          <w:tcPr>
            <w:tcW w:w="860" w:type="dxa"/>
            <w:vAlign w:val="bottom"/>
            <w:tcBorders>
              <w:bottom w:val="single" w:sz="8" w:color="auto"/>
              <w:right w:val="single" w:sz="8" w:color="auto"/>
            </w:tcBorders>
          </w:tcPr>
          <w:p>
            <w:pPr>
              <w:jc w:val="right"/>
              <w:ind w:right="267"/>
              <w:spacing w:after="0"/>
              <w:rPr>
                <w:sz w:val="20"/>
                <w:szCs w:val="20"/>
                <w:color w:val="auto"/>
              </w:rPr>
            </w:pPr>
            <w:r>
              <w:rPr>
                <w:rFonts w:ascii="Arial" w:cs="Arial" w:eastAsia="Arial" w:hAnsi="Arial"/>
                <w:sz w:val="11"/>
                <w:szCs w:val="11"/>
                <w:color w:val="auto"/>
              </w:rPr>
              <w:t>80%</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26%</w:t>
            </w:r>
          </w:p>
        </w:tc>
      </w:tr>
      <w:tr>
        <w:trPr>
          <w:trHeight w:val="159"/>
        </w:trPr>
        <w:tc>
          <w:tcPr>
            <w:tcW w:w="5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1"/>
                <w:szCs w:val="11"/>
                <w:color w:val="auto"/>
              </w:rPr>
              <w:t>2019</w:t>
            </w:r>
          </w:p>
        </w:tc>
        <w:tc>
          <w:tcPr>
            <w:tcW w:w="860" w:type="dxa"/>
            <w:vAlign w:val="bottom"/>
            <w:tcBorders>
              <w:bottom w:val="single" w:sz="8" w:color="auto"/>
              <w:right w:val="single" w:sz="8" w:color="auto"/>
            </w:tcBorders>
          </w:tcPr>
          <w:p>
            <w:pPr>
              <w:jc w:val="right"/>
              <w:ind w:right="267"/>
              <w:spacing w:after="0"/>
              <w:rPr>
                <w:sz w:val="20"/>
                <w:szCs w:val="20"/>
                <w:color w:val="auto"/>
              </w:rPr>
            </w:pPr>
            <w:r>
              <w:rPr>
                <w:rFonts w:ascii="Arial" w:cs="Arial" w:eastAsia="Arial" w:hAnsi="Arial"/>
                <w:sz w:val="11"/>
                <w:szCs w:val="11"/>
                <w:color w:val="auto"/>
              </w:rPr>
              <w:t>34%</w:t>
            </w:r>
          </w:p>
        </w:tc>
        <w:tc>
          <w:tcPr>
            <w:tcW w:w="1080" w:type="dxa"/>
            <w:vAlign w:val="bottom"/>
          </w:tcPr>
          <w:p>
            <w:pPr>
              <w:spacing w:after="0"/>
              <w:rPr>
                <w:sz w:val="13"/>
                <w:szCs w:val="13"/>
                <w:color w:val="auto"/>
              </w:rPr>
            </w:pPr>
          </w:p>
        </w:tc>
      </w:tr>
      <w:tr>
        <w:trPr>
          <w:trHeight w:val="159"/>
        </w:trPr>
        <w:tc>
          <w:tcPr>
            <w:tcW w:w="5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1"/>
                <w:szCs w:val="11"/>
                <w:color w:val="auto"/>
              </w:rPr>
              <w:t>2020</w:t>
            </w:r>
          </w:p>
        </w:tc>
        <w:tc>
          <w:tcPr>
            <w:tcW w:w="860" w:type="dxa"/>
            <w:vAlign w:val="bottom"/>
            <w:tcBorders>
              <w:bottom w:val="single" w:sz="8" w:color="auto"/>
              <w:right w:val="single" w:sz="8" w:color="auto"/>
            </w:tcBorders>
          </w:tcPr>
          <w:p>
            <w:pPr>
              <w:jc w:val="right"/>
              <w:ind w:right="267"/>
              <w:spacing w:after="0"/>
              <w:rPr>
                <w:sz w:val="20"/>
                <w:szCs w:val="20"/>
                <w:color w:val="auto"/>
              </w:rPr>
            </w:pPr>
            <w:r>
              <w:rPr>
                <w:rFonts w:ascii="Arial" w:cs="Arial" w:eastAsia="Arial" w:hAnsi="Arial"/>
                <w:sz w:val="11"/>
                <w:szCs w:val="11"/>
                <w:color w:val="auto"/>
              </w:rPr>
              <w:t>182%</w:t>
            </w:r>
          </w:p>
        </w:tc>
        <w:tc>
          <w:tcPr>
            <w:tcW w:w="1080" w:type="dxa"/>
            <w:vAlign w:val="bottom"/>
          </w:tcPr>
          <w:p>
            <w:pPr>
              <w:spacing w:after="0"/>
              <w:rPr>
                <w:sz w:val="13"/>
                <w:szCs w:val="13"/>
                <w:color w:val="auto"/>
              </w:rPr>
            </w:pPr>
          </w:p>
        </w:tc>
      </w:tr>
    </w:tbl>
    <w:p>
      <w:pPr>
        <w:spacing w:after="0" w:line="47" w:lineRule="exact"/>
        <w:rPr>
          <w:sz w:val="20"/>
          <w:szCs w:val="20"/>
          <w:color w:val="auto"/>
        </w:rPr>
      </w:pPr>
    </w:p>
    <w:p>
      <w:pPr>
        <w:jc w:val="both"/>
        <w:ind w:left="1740" w:right="1499" w:hanging="262"/>
        <w:spacing w:after="0" w:line="216" w:lineRule="auto"/>
        <w:tabs>
          <w:tab w:leader="none" w:pos="1740" w:val="left"/>
        </w:tabs>
        <w:numPr>
          <w:ilvl w:val="0"/>
          <w:numId w:val="86"/>
        </w:numPr>
        <w:rPr>
          <w:rFonts w:ascii="Arial" w:cs="Arial" w:eastAsia="Arial" w:hAnsi="Arial"/>
          <w:sz w:val="16"/>
          <w:szCs w:val="16"/>
          <w:color w:val="auto"/>
          <w:vertAlign w:val="superscript"/>
        </w:rPr>
      </w:pPr>
      <w:r>
        <w:rPr>
          <w:rFonts w:ascii="Arial" w:cs="Arial" w:eastAsia="Arial" w:hAnsi="Arial"/>
          <w:sz w:val="11"/>
          <w:szCs w:val="11"/>
          <w:color w:val="auto"/>
        </w:rPr>
        <w:t>Mr. Mionis’ 2019 and 2020 compensation has not been fully realized and a significant portion remains “at-risk” as follows (representing the December 31, 2020 value of: PSUs whose performance period does not end until 2022 and 2023, respectively, and RSUs granted in each such year that remain unvested):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1064895</wp:posOffset>
            </wp:positionH>
            <wp:positionV relativeFrom="paragraph">
              <wp:posOffset>62230</wp:posOffset>
            </wp:positionV>
            <wp:extent cx="50800" cy="63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0800" cy="6350"/>
                    </a:xfrm>
                    <a:prstGeom prst="rect">
                      <a:avLst/>
                    </a:prstGeom>
                    <a:noFill/>
                  </pic:spPr>
                </pic:pic>
              </a:graphicData>
            </a:graphic>
          </wp:anchor>
        </w:drawing>
      </w:r>
    </w:p>
    <w:p>
      <w:pPr>
        <w:spacing w:after="0" w:line="58" w:lineRule="exact"/>
        <w:rPr>
          <w:sz w:val="20"/>
          <w:szCs w:val="20"/>
          <w:color w:val="auto"/>
        </w:rPr>
      </w:pPr>
    </w:p>
    <w:tbl>
      <w:tblPr>
        <w:tblLayout w:type="fixed"/>
        <w:tblInd w:w="1750" w:type="dxa"/>
        <w:tblCellMar>
          <w:top w:w="0" w:type="dxa"/>
          <w:left w:w="0" w:type="dxa"/>
          <w:bottom w:w="0" w:type="dxa"/>
          <w:right w:w="0" w:type="dxa"/>
        </w:tblCellMar>
      </w:tblPr>
      <w:tr>
        <w:trPr>
          <w:trHeight w:val="170"/>
        </w:trPr>
        <w:tc>
          <w:tcPr>
            <w:tcW w:w="52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1"/>
                <w:szCs w:val="11"/>
                <w:b w:val="1"/>
                <w:bCs w:val="1"/>
                <w:color w:val="auto"/>
              </w:rPr>
              <w:t>Year</w:t>
            </w:r>
          </w:p>
        </w:tc>
        <w:tc>
          <w:tcPr>
            <w:tcW w:w="11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5"/>
              </w:rPr>
              <w:t>Amount Still “At Risk”</w:t>
            </w:r>
          </w:p>
        </w:tc>
      </w:tr>
      <w:tr>
        <w:trPr>
          <w:trHeight w:val="159"/>
        </w:trPr>
        <w:tc>
          <w:tcPr>
            <w:tcW w:w="5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1"/>
                <w:szCs w:val="11"/>
                <w:color w:val="auto"/>
              </w:rPr>
              <w:t>2019</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7"/>
              </w:rPr>
              <w:t>$6,263,275</w:t>
            </w:r>
          </w:p>
        </w:tc>
      </w:tr>
      <w:tr>
        <w:trPr>
          <w:trHeight w:val="159"/>
        </w:trPr>
        <w:tc>
          <w:tcPr>
            <w:tcW w:w="5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1"/>
                <w:szCs w:val="11"/>
                <w:color w:val="auto"/>
              </w:rPr>
              <w:t>2020</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7"/>
              </w:rPr>
              <w:t>$6,535,877</w:t>
            </w:r>
          </w:p>
        </w:tc>
      </w:tr>
    </w:tbl>
    <w:p>
      <w:pPr>
        <w:spacing w:after="0" w:line="125" w:lineRule="exact"/>
        <w:rPr>
          <w:sz w:val="20"/>
          <w:szCs w:val="20"/>
          <w:color w:val="auto"/>
        </w:rPr>
      </w:pPr>
    </w:p>
    <w:p>
      <w:pPr>
        <w:ind w:left="2000"/>
        <w:spacing w:after="0"/>
        <w:rPr>
          <w:sz w:val="20"/>
          <w:szCs w:val="20"/>
          <w:color w:val="auto"/>
        </w:rPr>
      </w:pPr>
      <w:r>
        <w:rPr>
          <w:rFonts w:ascii="Arial" w:cs="Arial" w:eastAsia="Arial" w:hAnsi="Arial"/>
          <w:sz w:val="15"/>
          <w:szCs w:val="15"/>
          <w:b w:val="1"/>
          <w:bCs w:val="1"/>
          <w:color w:val="auto"/>
        </w:rPr>
        <w:t>NEO Realized and Realizable Compensation and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45085</wp:posOffset>
            </wp:positionV>
            <wp:extent cx="3564890" cy="63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564890" cy="6350"/>
                    </a:xfrm>
                    <a:prstGeom prst="rect">
                      <a:avLst/>
                    </a:prstGeom>
                    <a:noFill/>
                  </pic:spPr>
                </pic:pic>
              </a:graphicData>
            </a:graphic>
          </wp:anchor>
        </w:drawing>
      </w:r>
    </w:p>
    <w:p>
      <w:pPr>
        <w:spacing w:after="0" w:line="128" w:lineRule="exact"/>
        <w:rPr>
          <w:sz w:val="20"/>
          <w:szCs w:val="20"/>
          <w:color w:val="auto"/>
        </w:rPr>
      </w:pPr>
    </w:p>
    <w:p>
      <w:pPr>
        <w:jc w:val="both"/>
        <w:ind w:left="1480" w:right="1499"/>
        <w:spacing w:after="0" w:line="259" w:lineRule="auto"/>
        <w:rPr>
          <w:sz w:val="20"/>
          <w:szCs w:val="20"/>
          <w:color w:val="auto"/>
        </w:rPr>
      </w:pPr>
      <w:r>
        <w:rPr>
          <w:rFonts w:ascii="Arial" w:cs="Arial" w:eastAsia="Arial" w:hAnsi="Arial"/>
          <w:sz w:val="13"/>
          <w:szCs w:val="13"/>
          <w:color w:val="auto"/>
        </w:rPr>
        <w:t>The following graph compares the five</w:t>
      </w:r>
      <w:r>
        <w:rPr>
          <w:rFonts w:ascii="Arial" w:cs="Arial" w:eastAsia="Arial" w:hAnsi="Arial"/>
          <w:sz w:val="13"/>
          <w:szCs w:val="13"/>
          <w:b w:val="1"/>
          <w:bCs w:val="1"/>
          <w:color w:val="auto"/>
        </w:rPr>
        <w:t>-</w:t>
      </w:r>
      <w:r>
        <w:rPr>
          <w:rFonts w:ascii="Arial" w:cs="Arial" w:eastAsia="Arial" w:hAnsi="Arial"/>
          <w:sz w:val="13"/>
          <w:szCs w:val="13"/>
          <w:color w:val="auto"/>
        </w:rPr>
        <w:t>year trend in the Corporation’s TSR to both total target direct compensation and the realized and realizable compensation for the NEOs for each year. The total target direct compensation value represents salary, target CTI award and the target value of share-based awards (i.e., 100% for PSUs) and option awards (if applicable) for all NEOs reported in the Corporation’s management information circular each year. The realized and realizable value represents: actual salary paid; actual CTI award paid; share-based awards at vest date value or if the vest date is after December 31, 2020, at a value of $8.07 per share, the closing price of the SVS on the NYSE on December 31, 2020 and assuming target performance of 100% for unvested PSUs; and option awards (if applicable) at their intrinsic value; which may not be the ultimate amount earned. This look back at compensation demonstrates the comparison between</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9" w:name="page70"/>
    <w:bookmarkEnd w:id="69"/>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97" w:lineRule="exact"/>
        <w:rPr>
          <w:sz w:val="20"/>
          <w:szCs w:val="20"/>
          <w:color w:val="auto"/>
        </w:rPr>
      </w:pPr>
    </w:p>
    <w:p>
      <w:pPr>
        <w:jc w:val="both"/>
        <w:ind w:left="1480" w:right="1499"/>
        <w:spacing w:after="0" w:line="265" w:lineRule="auto"/>
        <w:rPr>
          <w:sz w:val="20"/>
          <w:szCs w:val="20"/>
          <w:color w:val="auto"/>
        </w:rPr>
      </w:pPr>
      <w:r>
        <w:rPr>
          <w:rFonts w:ascii="Arial" w:cs="Arial" w:eastAsia="Arial" w:hAnsi="Arial"/>
          <w:sz w:val="13"/>
          <w:szCs w:val="13"/>
          <w:color w:val="auto"/>
        </w:rPr>
        <w:t>actual pay and total target compensation intended at the time of grant. The difference between total target direct compensation and realized and realizable compensation was driven by the performance of the SVS and achievement relative to CTI and PSU performance measures, as well as changes in the reported NEOs in applicable years.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Table 18: Total Shareholder Return vs. NEO Total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1153160</wp:posOffset>
            </wp:positionH>
            <wp:positionV relativeFrom="paragraph">
              <wp:posOffset>90170</wp:posOffset>
            </wp:positionV>
            <wp:extent cx="3413760" cy="19405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413760" cy="1940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left="1480" w:right="1499"/>
        <w:spacing w:after="0" w:line="258" w:lineRule="auto"/>
        <w:rPr>
          <w:sz w:val="20"/>
          <w:szCs w:val="20"/>
          <w:color w:val="auto"/>
        </w:rPr>
      </w:pPr>
      <w:r>
        <w:rPr>
          <w:rFonts w:ascii="Arial" w:cs="Arial" w:eastAsia="Arial" w:hAnsi="Arial"/>
          <w:sz w:val="13"/>
          <w:szCs w:val="13"/>
          <w:color w:val="auto"/>
        </w:rPr>
        <w:t>While we continued to make progress on our strategic initiatives in 2020, including portfolio reshaping, and productivity and cost reduction initiatives, we also experienced demand reductions in several of our end markets, as well as adverse impacts of COVID-19 on our business. Notwithstanding these factors, we drove significant segment margin and non-IFRS adjusted EPS growth, while also generating strong non-IFRS free cash flow. We adjusted our cost base to better adapt to fluctuating levels of demand. Our HPS business grew 80% compared to 2019 as a result of investments made over many years. We strengthened our balance sheet and launched an NCIB program to repurchase shares. We believe that our transformational efforts over the last few years, have positioned our business to capitalize on new opportunities and overcome challenges that may lay ahead. We believe that the volatility in our business and the impact of COVID-19 resulted in significant price and volume fluctuations in the market price of our SVS, and negatively impacted our TSR for 2020.</w:t>
      </w:r>
    </w:p>
    <w:p>
      <w:pPr>
        <w:spacing w:after="0" w:line="64" w:lineRule="exact"/>
        <w:rPr>
          <w:sz w:val="20"/>
          <w:szCs w:val="20"/>
          <w:color w:val="auto"/>
        </w:rPr>
      </w:pPr>
    </w:p>
    <w:p>
      <w:pPr>
        <w:jc w:val="both"/>
        <w:ind w:left="1480" w:right="1499"/>
        <w:spacing w:after="0" w:line="290" w:lineRule="auto"/>
        <w:rPr>
          <w:sz w:val="20"/>
          <w:szCs w:val="20"/>
          <w:color w:val="auto"/>
        </w:rPr>
      </w:pPr>
      <w:r>
        <w:rPr>
          <w:rFonts w:ascii="Arial" w:cs="Arial" w:eastAsia="Arial" w:hAnsi="Arial"/>
          <w:sz w:val="12"/>
          <w:szCs w:val="12"/>
          <w:color w:val="auto"/>
        </w:rPr>
        <w:t>In addition to TSR, we assess our performance based on various other measures, including revenue and non-IFRS operating margin. We also measure our performance against how well we have performed relative to our strategic objectives, including our AOP. We utilize all such measures in assessing the alignment our executive pay with the Corporation’s performance. We believe that the difficult work completed in 2020 will lead to profitable growth and will have a positive impact on our TSR over the long term.</w:t>
      </w:r>
    </w:p>
    <w:p>
      <w:pPr>
        <w:spacing w:after="0" w:line="42" w:lineRule="exact"/>
        <w:rPr>
          <w:sz w:val="20"/>
          <w:szCs w:val="20"/>
          <w:color w:val="auto"/>
        </w:rPr>
      </w:pPr>
    </w:p>
    <w:p>
      <w:pPr>
        <w:jc w:val="both"/>
        <w:ind w:left="1480" w:right="1499"/>
        <w:spacing w:after="0" w:line="260" w:lineRule="auto"/>
        <w:rPr>
          <w:sz w:val="20"/>
          <w:szCs w:val="20"/>
          <w:color w:val="auto"/>
        </w:rPr>
      </w:pPr>
      <w:r>
        <w:rPr>
          <w:rFonts w:ascii="Arial" w:cs="Arial" w:eastAsia="Arial" w:hAnsi="Arial"/>
          <w:sz w:val="13"/>
          <w:szCs w:val="13"/>
          <w:color w:val="auto"/>
        </w:rPr>
        <w:t>A significant portion of NEO compensation is provided in the form of long-term incentives and, commencing in 2018, we increased the proportion of PSUs in the annual equity grant to 60% (from 50% in 2017). The value of PSUs will not be realizable by the NEOs until the end of the relevant three-year performance period. We believe the realized value of the long-term incentives granted to NEOs, and the performance of the PSUs in particular, more closely mirror the trend in share price movement and serve to better demonstrate the alignment of the interests of management with those of our shareholders than total target direct compensation.</w:t>
      </w: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0" w:name="page71"/>
    <w:bookmarkEnd w:id="70"/>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Table 19: NEO Realized and Realizable Compensation</w:t>
      </w:r>
    </w:p>
    <w:p>
      <w:pPr>
        <w:spacing w:after="0" w:line="67" w:lineRule="exact"/>
        <w:rPr>
          <w:sz w:val="20"/>
          <w:szCs w:val="20"/>
          <w:color w:val="auto"/>
        </w:rPr>
      </w:pPr>
    </w:p>
    <w:tbl>
      <w:tblPr>
        <w:tblLayout w:type="fixed"/>
        <w:tblInd w:w="1490" w:type="dxa"/>
        <w:tblCellMar>
          <w:top w:w="0" w:type="dxa"/>
          <w:left w:w="0" w:type="dxa"/>
          <w:bottom w:w="0" w:type="dxa"/>
          <w:right w:w="0" w:type="dxa"/>
        </w:tblCellMar>
      </w:tblPr>
      <w:tr>
        <w:trPr>
          <w:trHeight w:val="40"/>
        </w:trPr>
        <w:tc>
          <w:tcPr>
            <w:tcW w:w="1640" w:type="dxa"/>
            <w:vAlign w:val="bottom"/>
            <w:tcBorders>
              <w:top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1640" w:type="dxa"/>
            <w:vAlign w:val="bottom"/>
            <w:tcBorders>
              <w:left w:val="single" w:sz="8" w:color="auto"/>
              <w:right w:val="single" w:sz="8" w:color="auto"/>
            </w:tcBorders>
          </w:tcPr>
          <w:p>
            <w:pPr>
              <w:spacing w:after="0"/>
              <w:rPr>
                <w:sz w:val="16"/>
                <w:szCs w:val="16"/>
                <w:color w:val="auto"/>
              </w:rPr>
            </w:pPr>
          </w:p>
        </w:tc>
        <w:tc>
          <w:tcPr>
            <w:tcW w:w="640" w:type="dxa"/>
            <w:vAlign w:val="bottom"/>
            <w:tcBorders>
              <w:bottom w:val="single" w:sz="8" w:color="auto"/>
            </w:tcBorders>
            <w:shd w:val="clear" w:color="auto" w:fill="E5E5E5"/>
          </w:tcPr>
          <w:p>
            <w:pPr>
              <w:spacing w:after="0"/>
              <w:rPr>
                <w:sz w:val="16"/>
                <w:szCs w:val="16"/>
                <w:color w:val="auto"/>
              </w:rPr>
            </w:pPr>
          </w:p>
        </w:tc>
        <w:tc>
          <w:tcPr>
            <w:tcW w:w="100" w:type="dxa"/>
            <w:vAlign w:val="bottom"/>
            <w:tcBorders>
              <w:bottom w:val="single" w:sz="8" w:color="auto"/>
            </w:tcBorders>
            <w:shd w:val="clear" w:color="auto" w:fill="E5E5E5"/>
          </w:tcPr>
          <w:p>
            <w:pPr>
              <w:spacing w:after="0"/>
              <w:rPr>
                <w:sz w:val="16"/>
                <w:szCs w:val="16"/>
                <w:color w:val="auto"/>
              </w:rPr>
            </w:pPr>
          </w:p>
        </w:tc>
        <w:tc>
          <w:tcPr>
            <w:tcW w:w="100" w:type="dxa"/>
            <w:vAlign w:val="bottom"/>
            <w:tcBorders>
              <w:bottom w:val="single" w:sz="8" w:color="auto"/>
              <w:right w:val="single" w:sz="8" w:color="E5E5E5"/>
            </w:tcBorders>
            <w:shd w:val="clear" w:color="auto" w:fill="E5E5E5"/>
          </w:tcPr>
          <w:p>
            <w:pPr>
              <w:spacing w:after="0"/>
              <w:rPr>
                <w:sz w:val="16"/>
                <w:szCs w:val="16"/>
                <w:color w:val="auto"/>
              </w:rPr>
            </w:pPr>
          </w:p>
        </w:tc>
        <w:tc>
          <w:tcPr>
            <w:tcW w:w="60" w:type="dxa"/>
            <w:vAlign w:val="bottom"/>
            <w:tcBorders>
              <w:bottom w:val="single" w:sz="8" w:color="auto"/>
            </w:tcBorders>
            <w:shd w:val="clear" w:color="auto" w:fill="E5E5E5"/>
          </w:tcPr>
          <w:p>
            <w:pPr>
              <w:spacing w:after="0"/>
              <w:rPr>
                <w:sz w:val="16"/>
                <w:szCs w:val="16"/>
                <w:color w:val="auto"/>
              </w:rPr>
            </w:pPr>
          </w:p>
        </w:tc>
        <w:tc>
          <w:tcPr>
            <w:tcW w:w="820" w:type="dxa"/>
            <w:vAlign w:val="bottom"/>
            <w:tcBorders>
              <w:bottom w:val="single" w:sz="8" w:color="auto"/>
              <w:right w:val="single" w:sz="8" w:color="E5E5E5"/>
            </w:tcBorders>
            <w:gridSpan w:val="2"/>
            <w:shd w:val="clear" w:color="auto" w:fill="E5E5E5"/>
          </w:tcPr>
          <w:p>
            <w:pPr>
              <w:jc w:val="right"/>
              <w:ind w:right="94"/>
              <w:spacing w:after="0"/>
              <w:rPr>
                <w:sz w:val="20"/>
                <w:szCs w:val="20"/>
                <w:color w:val="auto"/>
              </w:rPr>
            </w:pPr>
            <w:r>
              <w:rPr>
                <w:rFonts w:ascii="Arial" w:cs="Arial" w:eastAsia="Arial" w:hAnsi="Arial"/>
                <w:sz w:val="11"/>
                <w:szCs w:val="11"/>
                <w:b w:val="1"/>
                <w:bCs w:val="1"/>
                <w:color w:val="auto"/>
                <w:w w:val="89"/>
              </w:rPr>
              <w:t>Fully Realized</w:t>
            </w:r>
          </w:p>
        </w:tc>
        <w:tc>
          <w:tcPr>
            <w:tcW w:w="60" w:type="dxa"/>
            <w:vAlign w:val="bottom"/>
            <w:tcBorders>
              <w:bottom w:val="single" w:sz="8" w:color="auto"/>
            </w:tcBorders>
            <w:shd w:val="clear" w:color="auto" w:fill="E5E5E5"/>
          </w:tcPr>
          <w:p>
            <w:pPr>
              <w:spacing w:after="0"/>
              <w:rPr>
                <w:sz w:val="16"/>
                <w:szCs w:val="16"/>
                <w:color w:val="auto"/>
              </w:rPr>
            </w:pPr>
          </w:p>
        </w:tc>
        <w:tc>
          <w:tcPr>
            <w:tcW w:w="620" w:type="dxa"/>
            <w:vAlign w:val="bottom"/>
            <w:tcBorders>
              <w:bottom w:val="single" w:sz="8" w:color="auto"/>
            </w:tcBorders>
            <w:shd w:val="clear" w:color="auto" w:fill="E5E5E5"/>
          </w:tcPr>
          <w:p>
            <w:pPr>
              <w:spacing w:after="0"/>
              <w:rPr>
                <w:sz w:val="16"/>
                <w:szCs w:val="16"/>
                <w:color w:val="auto"/>
              </w:rPr>
            </w:pPr>
          </w:p>
        </w:tc>
        <w:tc>
          <w:tcPr>
            <w:tcW w:w="200" w:type="dxa"/>
            <w:vAlign w:val="bottom"/>
            <w:tcBorders>
              <w:bottom w:val="single" w:sz="8" w:color="auto"/>
              <w:right w:val="single" w:sz="8" w:color="auto"/>
            </w:tcBorders>
            <w:shd w:val="clear" w:color="auto" w:fill="E5E5E5"/>
          </w:tcPr>
          <w:p>
            <w:pPr>
              <w:spacing w:after="0"/>
              <w:rPr>
                <w:sz w:val="16"/>
                <w:szCs w:val="16"/>
                <w:color w:val="auto"/>
              </w:rPr>
            </w:pPr>
          </w:p>
        </w:tc>
        <w:tc>
          <w:tcPr>
            <w:tcW w:w="160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1"/>
                <w:szCs w:val="11"/>
                <w:b w:val="1"/>
                <w:bCs w:val="1"/>
                <w:color w:val="auto"/>
              </w:rPr>
              <w:t>Not Fully Realized</w:t>
            </w:r>
          </w:p>
        </w:tc>
        <w:tc>
          <w:tcPr>
            <w:tcW w:w="180" w:type="dxa"/>
            <w:vAlign w:val="bottom"/>
            <w:tcBorders>
              <w:bottom w:val="single" w:sz="8" w:color="auto"/>
              <w:right w:val="single" w:sz="8" w:color="auto"/>
            </w:tcBorders>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640" w:type="dxa"/>
            <w:vAlign w:val="bottom"/>
            <w:tcBorders>
              <w:left w:val="single" w:sz="8" w:color="auto"/>
              <w:bottom w:val="single" w:sz="8" w:color="auto"/>
              <w:right w:val="single" w:sz="8" w:color="auto"/>
            </w:tcBorders>
          </w:tcPr>
          <w:p>
            <w:pPr>
              <w:spacing w:after="0"/>
              <w:rPr>
                <w:sz w:val="15"/>
                <w:szCs w:val="15"/>
                <w:color w:val="auto"/>
              </w:rPr>
            </w:pPr>
          </w:p>
        </w:tc>
        <w:tc>
          <w:tcPr>
            <w:tcW w:w="640" w:type="dxa"/>
            <w:vAlign w:val="bottom"/>
            <w:tcBorders>
              <w:bottom w:val="single" w:sz="8" w:color="auto"/>
            </w:tcBorders>
            <w:shd w:val="clear" w:color="auto" w:fill="E5E5E5"/>
          </w:tcPr>
          <w:p>
            <w:pPr>
              <w:jc w:val="center"/>
              <w:ind w:left="62"/>
              <w:spacing w:after="0"/>
              <w:rPr>
                <w:sz w:val="20"/>
                <w:szCs w:val="20"/>
                <w:color w:val="auto"/>
              </w:rPr>
            </w:pPr>
            <w:r>
              <w:rPr>
                <w:rFonts w:ascii="Arial" w:cs="Arial" w:eastAsia="Arial" w:hAnsi="Arial"/>
                <w:sz w:val="11"/>
                <w:szCs w:val="11"/>
                <w:b w:val="1"/>
                <w:bCs w:val="1"/>
                <w:color w:val="auto"/>
                <w:w w:val="81"/>
              </w:rPr>
              <w:t>2016</w:t>
            </w:r>
          </w:p>
        </w:tc>
        <w:tc>
          <w:tcPr>
            <w:tcW w:w="100" w:type="dxa"/>
            <w:vAlign w:val="bottom"/>
            <w:tcBorders>
              <w:bottom w:val="single" w:sz="8" w:color="auto"/>
            </w:tcBorders>
            <w:shd w:val="clear" w:color="auto" w:fill="E5E5E5"/>
          </w:tcPr>
          <w:p>
            <w:pPr>
              <w:spacing w:after="0"/>
              <w:rPr>
                <w:sz w:val="15"/>
                <w:szCs w:val="15"/>
                <w:color w:val="auto"/>
              </w:rPr>
            </w:pPr>
          </w:p>
        </w:tc>
        <w:tc>
          <w:tcPr>
            <w:tcW w:w="100" w:type="dxa"/>
            <w:vAlign w:val="bottom"/>
            <w:tcBorders>
              <w:bottom w:val="single" w:sz="8" w:color="auto"/>
              <w:right w:val="single" w:sz="8" w:color="auto"/>
            </w:tcBorders>
            <w:shd w:val="clear" w:color="auto" w:fill="E5E5E5"/>
          </w:tcPr>
          <w:p>
            <w:pPr>
              <w:spacing w:after="0"/>
              <w:rPr>
                <w:sz w:val="15"/>
                <w:szCs w:val="15"/>
                <w:color w:val="auto"/>
              </w:rPr>
            </w:pPr>
          </w:p>
        </w:tc>
        <w:tc>
          <w:tcPr>
            <w:tcW w:w="60" w:type="dxa"/>
            <w:vAlign w:val="bottom"/>
            <w:tcBorders>
              <w:bottom w:val="single" w:sz="8" w:color="auto"/>
            </w:tcBorders>
            <w:shd w:val="clear" w:color="auto" w:fill="E5E5E5"/>
          </w:tcPr>
          <w:p>
            <w:pPr>
              <w:spacing w:after="0"/>
              <w:rPr>
                <w:sz w:val="15"/>
                <w:szCs w:val="15"/>
                <w:color w:val="auto"/>
              </w:rPr>
            </w:pPr>
          </w:p>
        </w:tc>
        <w:tc>
          <w:tcPr>
            <w:tcW w:w="620" w:type="dxa"/>
            <w:vAlign w:val="bottom"/>
            <w:tcBorders>
              <w:bottom w:val="single" w:sz="8" w:color="auto"/>
            </w:tcBorders>
            <w:shd w:val="clear" w:color="auto" w:fill="E5E5E5"/>
          </w:tcPr>
          <w:p>
            <w:pPr>
              <w:jc w:val="center"/>
              <w:ind w:left="62"/>
              <w:spacing w:after="0"/>
              <w:rPr>
                <w:sz w:val="20"/>
                <w:szCs w:val="20"/>
                <w:color w:val="auto"/>
              </w:rPr>
            </w:pPr>
            <w:r>
              <w:rPr>
                <w:rFonts w:ascii="Arial" w:cs="Arial" w:eastAsia="Arial" w:hAnsi="Arial"/>
                <w:sz w:val="11"/>
                <w:szCs w:val="11"/>
                <w:b w:val="1"/>
                <w:bCs w:val="1"/>
                <w:color w:val="auto"/>
                <w:w w:val="89"/>
              </w:rPr>
              <w:t>2017</w:t>
            </w:r>
          </w:p>
        </w:tc>
        <w:tc>
          <w:tcPr>
            <w:tcW w:w="200" w:type="dxa"/>
            <w:vAlign w:val="bottom"/>
            <w:tcBorders>
              <w:bottom w:val="single" w:sz="8" w:color="auto"/>
              <w:right w:val="single" w:sz="8" w:color="auto"/>
            </w:tcBorders>
            <w:shd w:val="clear" w:color="auto" w:fill="E5E5E5"/>
          </w:tcPr>
          <w:p>
            <w:pPr>
              <w:spacing w:after="0"/>
              <w:rPr>
                <w:sz w:val="15"/>
                <w:szCs w:val="15"/>
                <w:color w:val="auto"/>
              </w:rPr>
            </w:pPr>
          </w:p>
        </w:tc>
        <w:tc>
          <w:tcPr>
            <w:tcW w:w="60" w:type="dxa"/>
            <w:vAlign w:val="bottom"/>
            <w:tcBorders>
              <w:bottom w:val="single" w:sz="8" w:color="auto"/>
            </w:tcBorders>
            <w:shd w:val="clear" w:color="auto" w:fill="E5E5E5"/>
          </w:tcPr>
          <w:p>
            <w:pPr>
              <w:spacing w:after="0"/>
              <w:rPr>
                <w:sz w:val="15"/>
                <w:szCs w:val="15"/>
                <w:color w:val="auto"/>
              </w:rPr>
            </w:pPr>
          </w:p>
        </w:tc>
        <w:tc>
          <w:tcPr>
            <w:tcW w:w="620" w:type="dxa"/>
            <w:vAlign w:val="bottom"/>
            <w:tcBorders>
              <w:bottom w:val="single" w:sz="8" w:color="auto"/>
            </w:tcBorders>
            <w:shd w:val="clear" w:color="auto" w:fill="E5E5E5"/>
          </w:tcPr>
          <w:p>
            <w:pPr>
              <w:jc w:val="center"/>
              <w:ind w:left="82"/>
              <w:spacing w:after="0"/>
              <w:rPr>
                <w:sz w:val="20"/>
                <w:szCs w:val="20"/>
                <w:color w:val="auto"/>
              </w:rPr>
            </w:pPr>
            <w:r>
              <w:rPr>
                <w:rFonts w:ascii="Arial" w:cs="Arial" w:eastAsia="Arial" w:hAnsi="Arial"/>
                <w:sz w:val="11"/>
                <w:szCs w:val="11"/>
                <w:b w:val="1"/>
                <w:bCs w:val="1"/>
                <w:color w:val="auto"/>
                <w:w w:val="81"/>
              </w:rPr>
              <w:t>2018</w:t>
            </w:r>
          </w:p>
        </w:tc>
        <w:tc>
          <w:tcPr>
            <w:tcW w:w="200" w:type="dxa"/>
            <w:vAlign w:val="bottom"/>
            <w:tcBorders>
              <w:bottom w:val="single" w:sz="8" w:color="auto"/>
              <w:right w:val="single" w:sz="8" w:color="auto"/>
            </w:tcBorders>
            <w:shd w:val="clear" w:color="auto" w:fill="E5E5E5"/>
          </w:tcPr>
          <w:p>
            <w:pPr>
              <w:spacing w:after="0"/>
              <w:rPr>
                <w:sz w:val="15"/>
                <w:szCs w:val="15"/>
                <w:color w:val="auto"/>
              </w:rPr>
            </w:pPr>
          </w:p>
        </w:tc>
        <w:tc>
          <w:tcPr>
            <w:tcW w:w="700" w:type="dxa"/>
            <w:vAlign w:val="bottom"/>
            <w:tcBorders>
              <w:bottom w:val="single" w:sz="8" w:color="auto"/>
            </w:tcBorders>
          </w:tcPr>
          <w:p>
            <w:pPr>
              <w:jc w:val="center"/>
              <w:ind w:left="122"/>
              <w:spacing w:after="0"/>
              <w:rPr>
                <w:sz w:val="20"/>
                <w:szCs w:val="20"/>
                <w:color w:val="auto"/>
              </w:rPr>
            </w:pPr>
            <w:r>
              <w:rPr>
                <w:rFonts w:ascii="Arial" w:cs="Arial" w:eastAsia="Arial" w:hAnsi="Arial"/>
                <w:sz w:val="11"/>
                <w:szCs w:val="11"/>
                <w:b w:val="1"/>
                <w:bCs w:val="1"/>
                <w:color w:val="auto"/>
                <w:w w:val="81"/>
              </w:rPr>
              <w:t>2019</w:t>
            </w:r>
          </w:p>
        </w:tc>
        <w:tc>
          <w:tcPr>
            <w:tcW w:w="20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tcPr>
          <w:p>
            <w:pPr>
              <w:jc w:val="center"/>
              <w:ind w:left="122"/>
              <w:spacing w:after="0"/>
              <w:rPr>
                <w:sz w:val="20"/>
                <w:szCs w:val="20"/>
                <w:color w:val="auto"/>
              </w:rPr>
            </w:pPr>
            <w:r>
              <w:rPr>
                <w:rFonts w:ascii="Arial" w:cs="Arial" w:eastAsia="Arial" w:hAnsi="Arial"/>
                <w:sz w:val="11"/>
                <w:szCs w:val="11"/>
                <w:b w:val="1"/>
                <w:bCs w:val="1"/>
                <w:color w:val="auto"/>
                <w:w w:val="81"/>
              </w:rPr>
              <w:t>2020</w:t>
            </w:r>
          </w:p>
        </w:tc>
        <w:tc>
          <w:tcPr>
            <w:tcW w:w="180" w:type="dxa"/>
            <w:vAlign w:val="bottom"/>
            <w:tcBorders>
              <w:bottom w:val="single" w:sz="8" w:color="auto"/>
              <w:right w:val="single" w:sz="8" w:color="auto"/>
            </w:tcBorders>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16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Celestica Total Shareholder</w:t>
            </w:r>
          </w:p>
        </w:tc>
        <w:tc>
          <w:tcPr>
            <w:tcW w:w="640" w:type="dxa"/>
            <w:vAlign w:val="bottom"/>
            <w:vMerge w:val="restart"/>
            <w:shd w:val="clear" w:color="auto" w:fill="E5E5E5"/>
          </w:tcPr>
          <w:p>
            <w:pPr>
              <w:jc w:val="center"/>
              <w:ind w:left="62"/>
              <w:spacing w:after="0"/>
              <w:rPr>
                <w:sz w:val="20"/>
                <w:szCs w:val="20"/>
                <w:color w:val="auto"/>
              </w:rPr>
            </w:pPr>
            <w:r>
              <w:rPr>
                <w:rFonts w:ascii="Arial" w:cs="Arial" w:eastAsia="Arial" w:hAnsi="Arial"/>
                <w:sz w:val="12"/>
                <w:szCs w:val="12"/>
                <w:color w:val="auto"/>
                <w:w w:val="91"/>
              </w:rPr>
              <w:t>7%</w:t>
            </w:r>
          </w:p>
        </w:tc>
        <w:tc>
          <w:tcPr>
            <w:tcW w:w="100" w:type="dxa"/>
            <w:vAlign w:val="bottom"/>
            <w:shd w:val="clear" w:color="auto" w:fill="E5E5E5"/>
          </w:tcPr>
          <w:p>
            <w:pPr>
              <w:spacing w:after="0"/>
              <w:rPr>
                <w:sz w:val="12"/>
                <w:szCs w:val="12"/>
                <w:color w:val="auto"/>
              </w:rPr>
            </w:pPr>
          </w:p>
        </w:tc>
        <w:tc>
          <w:tcPr>
            <w:tcW w:w="100" w:type="dxa"/>
            <w:vAlign w:val="bottom"/>
            <w:tcBorders>
              <w:right w:val="single" w:sz="8" w:color="auto"/>
            </w:tcBorders>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620" w:type="dxa"/>
            <w:vAlign w:val="bottom"/>
            <w:vMerge w:val="restart"/>
            <w:shd w:val="clear" w:color="auto" w:fill="E5E5E5"/>
          </w:tcPr>
          <w:p>
            <w:pPr>
              <w:jc w:val="center"/>
              <w:ind w:left="62"/>
              <w:spacing w:after="0"/>
              <w:rPr>
                <w:sz w:val="20"/>
                <w:szCs w:val="20"/>
                <w:color w:val="auto"/>
              </w:rPr>
            </w:pPr>
            <w:r>
              <w:rPr>
                <w:rFonts w:ascii="Arial" w:cs="Arial" w:eastAsia="Arial" w:hAnsi="Arial"/>
                <w:sz w:val="12"/>
                <w:szCs w:val="12"/>
                <w:color w:val="auto"/>
                <w:w w:val="96"/>
              </w:rPr>
              <w:t>−12%</w:t>
            </w:r>
          </w:p>
        </w:tc>
        <w:tc>
          <w:tcPr>
            <w:tcW w:w="200" w:type="dxa"/>
            <w:vAlign w:val="bottom"/>
            <w:tcBorders>
              <w:right w:val="single" w:sz="8" w:color="auto"/>
            </w:tcBorders>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620" w:type="dxa"/>
            <w:vAlign w:val="bottom"/>
            <w:vMerge w:val="restart"/>
            <w:shd w:val="clear" w:color="auto" w:fill="E5E5E5"/>
          </w:tcPr>
          <w:p>
            <w:pPr>
              <w:jc w:val="center"/>
              <w:ind w:left="62"/>
              <w:spacing w:after="0"/>
              <w:rPr>
                <w:sz w:val="20"/>
                <w:szCs w:val="20"/>
                <w:color w:val="auto"/>
              </w:rPr>
            </w:pPr>
            <w:r>
              <w:rPr>
                <w:rFonts w:ascii="Arial" w:cs="Arial" w:eastAsia="Arial" w:hAnsi="Arial"/>
                <w:sz w:val="12"/>
                <w:szCs w:val="12"/>
                <w:color w:val="auto"/>
                <w:w w:val="96"/>
              </w:rPr>
              <w:t>−16%</w:t>
            </w:r>
          </w:p>
        </w:tc>
        <w:tc>
          <w:tcPr>
            <w:tcW w:w="200" w:type="dxa"/>
            <w:vAlign w:val="bottom"/>
            <w:tcBorders>
              <w:right w:val="single" w:sz="8" w:color="auto"/>
            </w:tcBorders>
            <w:shd w:val="clear" w:color="auto" w:fill="E5E5E5"/>
          </w:tcPr>
          <w:p>
            <w:pPr>
              <w:spacing w:after="0"/>
              <w:rPr>
                <w:sz w:val="12"/>
                <w:szCs w:val="12"/>
                <w:color w:val="auto"/>
              </w:rPr>
            </w:pPr>
          </w:p>
        </w:tc>
        <w:tc>
          <w:tcPr>
            <w:tcW w:w="700" w:type="dxa"/>
            <w:vAlign w:val="bottom"/>
            <w:vMerge w:val="restart"/>
          </w:tcPr>
          <w:p>
            <w:pPr>
              <w:jc w:val="center"/>
              <w:ind w:left="122"/>
              <w:spacing w:after="0"/>
              <w:rPr>
                <w:sz w:val="20"/>
                <w:szCs w:val="20"/>
                <w:color w:val="auto"/>
              </w:rPr>
            </w:pPr>
            <w:r>
              <w:rPr>
                <w:rFonts w:ascii="Arial" w:cs="Arial" w:eastAsia="Arial" w:hAnsi="Arial"/>
                <w:sz w:val="12"/>
                <w:szCs w:val="12"/>
                <w:color w:val="auto"/>
                <w:w w:val="98"/>
              </w:rPr>
              <w:t>−6%</w:t>
            </w:r>
          </w:p>
        </w:tc>
        <w:tc>
          <w:tcPr>
            <w:tcW w:w="200" w:type="dxa"/>
            <w:vAlign w:val="bottom"/>
            <w:tcBorders>
              <w:right w:val="single" w:sz="8" w:color="auto"/>
            </w:tcBorders>
          </w:tcPr>
          <w:p>
            <w:pPr>
              <w:spacing w:after="0"/>
              <w:rPr>
                <w:sz w:val="12"/>
                <w:szCs w:val="12"/>
                <w:color w:val="auto"/>
              </w:rPr>
            </w:pPr>
          </w:p>
        </w:tc>
        <w:tc>
          <w:tcPr>
            <w:tcW w:w="700" w:type="dxa"/>
            <w:vAlign w:val="bottom"/>
            <w:vMerge w:val="restart"/>
          </w:tcPr>
          <w:p>
            <w:pPr>
              <w:jc w:val="center"/>
              <w:ind w:left="122"/>
              <w:spacing w:after="0"/>
              <w:rPr>
                <w:sz w:val="20"/>
                <w:szCs w:val="20"/>
                <w:color w:val="auto"/>
              </w:rPr>
            </w:pPr>
            <w:r>
              <w:rPr>
                <w:rFonts w:ascii="Arial" w:cs="Arial" w:eastAsia="Arial" w:hAnsi="Arial"/>
                <w:sz w:val="12"/>
                <w:szCs w:val="12"/>
                <w:color w:val="auto"/>
                <w:w w:val="93"/>
              </w:rPr>
              <w:t>-2%</w:t>
            </w:r>
          </w:p>
        </w:tc>
        <w:tc>
          <w:tcPr>
            <w:tcW w:w="180" w:type="dxa"/>
            <w:vAlign w:val="bottom"/>
            <w:tcBorders>
              <w:right w:val="single" w:sz="8" w:color="auto"/>
            </w:tcBorders>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6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2"/>
                <w:szCs w:val="12"/>
                <w:color w:val="auto"/>
              </w:rPr>
              <w:t>Return (1 year)</w:t>
            </w:r>
          </w:p>
        </w:tc>
        <w:tc>
          <w:tcPr>
            <w:tcW w:w="640" w:type="dxa"/>
            <w:vAlign w:val="bottom"/>
            <w:vMerge w:val="continue"/>
            <w:shd w:val="clear" w:color="auto" w:fill="E5E5E5"/>
          </w:tcPr>
          <w:p>
            <w:pPr>
              <w:spacing w:after="0"/>
              <w:rPr>
                <w:sz w:val="7"/>
                <w:szCs w:val="7"/>
                <w:color w:val="auto"/>
              </w:rPr>
            </w:pPr>
          </w:p>
        </w:tc>
        <w:tc>
          <w:tcPr>
            <w:tcW w:w="100" w:type="dxa"/>
            <w:vAlign w:val="bottom"/>
            <w:shd w:val="clear" w:color="auto" w:fill="E5E5E5"/>
          </w:tcPr>
          <w:p>
            <w:pPr>
              <w:spacing w:after="0"/>
              <w:rPr>
                <w:sz w:val="7"/>
                <w:szCs w:val="7"/>
                <w:color w:val="auto"/>
              </w:rPr>
            </w:pPr>
          </w:p>
        </w:tc>
        <w:tc>
          <w:tcPr>
            <w:tcW w:w="100" w:type="dxa"/>
            <w:vAlign w:val="bottom"/>
            <w:tcBorders>
              <w:right w:val="single" w:sz="8" w:color="auto"/>
            </w:tcBorders>
            <w:shd w:val="clear" w:color="auto" w:fill="E5E5E5"/>
          </w:tcPr>
          <w:p>
            <w:pPr>
              <w:spacing w:after="0"/>
              <w:rPr>
                <w:sz w:val="7"/>
                <w:szCs w:val="7"/>
                <w:color w:val="auto"/>
              </w:rPr>
            </w:pPr>
          </w:p>
        </w:tc>
        <w:tc>
          <w:tcPr>
            <w:tcW w:w="60" w:type="dxa"/>
            <w:vAlign w:val="bottom"/>
            <w:shd w:val="clear" w:color="auto" w:fill="E5E5E5"/>
          </w:tcPr>
          <w:p>
            <w:pPr>
              <w:spacing w:after="0"/>
              <w:rPr>
                <w:sz w:val="7"/>
                <w:szCs w:val="7"/>
                <w:color w:val="auto"/>
              </w:rPr>
            </w:pPr>
          </w:p>
        </w:tc>
        <w:tc>
          <w:tcPr>
            <w:tcW w:w="620" w:type="dxa"/>
            <w:vAlign w:val="bottom"/>
            <w:vMerge w:val="continue"/>
            <w:shd w:val="clear" w:color="auto" w:fill="E5E5E5"/>
          </w:tcPr>
          <w:p>
            <w:pPr>
              <w:spacing w:after="0"/>
              <w:rPr>
                <w:sz w:val="7"/>
                <w:szCs w:val="7"/>
                <w:color w:val="auto"/>
              </w:rPr>
            </w:pPr>
          </w:p>
        </w:tc>
        <w:tc>
          <w:tcPr>
            <w:tcW w:w="200" w:type="dxa"/>
            <w:vAlign w:val="bottom"/>
            <w:tcBorders>
              <w:right w:val="single" w:sz="8" w:color="auto"/>
            </w:tcBorders>
            <w:shd w:val="clear" w:color="auto" w:fill="E5E5E5"/>
          </w:tcPr>
          <w:p>
            <w:pPr>
              <w:spacing w:after="0"/>
              <w:rPr>
                <w:sz w:val="7"/>
                <w:szCs w:val="7"/>
                <w:color w:val="auto"/>
              </w:rPr>
            </w:pPr>
          </w:p>
        </w:tc>
        <w:tc>
          <w:tcPr>
            <w:tcW w:w="60" w:type="dxa"/>
            <w:vAlign w:val="bottom"/>
            <w:shd w:val="clear" w:color="auto" w:fill="E5E5E5"/>
          </w:tcPr>
          <w:p>
            <w:pPr>
              <w:spacing w:after="0"/>
              <w:rPr>
                <w:sz w:val="7"/>
                <w:szCs w:val="7"/>
                <w:color w:val="auto"/>
              </w:rPr>
            </w:pPr>
          </w:p>
        </w:tc>
        <w:tc>
          <w:tcPr>
            <w:tcW w:w="620" w:type="dxa"/>
            <w:vAlign w:val="bottom"/>
            <w:vMerge w:val="continue"/>
            <w:shd w:val="clear" w:color="auto" w:fill="E5E5E5"/>
          </w:tcPr>
          <w:p>
            <w:pPr>
              <w:spacing w:after="0"/>
              <w:rPr>
                <w:sz w:val="7"/>
                <w:szCs w:val="7"/>
                <w:color w:val="auto"/>
              </w:rPr>
            </w:pPr>
          </w:p>
        </w:tc>
        <w:tc>
          <w:tcPr>
            <w:tcW w:w="200" w:type="dxa"/>
            <w:vAlign w:val="bottom"/>
            <w:tcBorders>
              <w:right w:val="single" w:sz="8" w:color="auto"/>
            </w:tcBorders>
            <w:shd w:val="clear" w:color="auto" w:fill="E5E5E5"/>
          </w:tcPr>
          <w:p>
            <w:pPr>
              <w:spacing w:after="0"/>
              <w:rPr>
                <w:sz w:val="7"/>
                <w:szCs w:val="7"/>
                <w:color w:val="auto"/>
              </w:rPr>
            </w:pPr>
          </w:p>
        </w:tc>
        <w:tc>
          <w:tcPr>
            <w:tcW w:w="700" w:type="dxa"/>
            <w:vAlign w:val="bottom"/>
            <w:vMerge w:val="continue"/>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700" w:type="dxa"/>
            <w:vAlign w:val="bottom"/>
            <w:vMerge w:val="continue"/>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164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640" w:type="dxa"/>
            <w:vAlign w:val="bottom"/>
            <w:tcBorders>
              <w:bottom w:val="single" w:sz="8" w:color="auto"/>
            </w:tcBorders>
            <w:shd w:val="clear" w:color="auto" w:fill="E5E5E5"/>
          </w:tcPr>
          <w:p>
            <w:pPr>
              <w:spacing w:after="0"/>
              <w:rPr>
                <w:sz w:val="6"/>
                <w:szCs w:val="6"/>
                <w:color w:val="auto"/>
              </w:rPr>
            </w:pPr>
          </w:p>
        </w:tc>
        <w:tc>
          <w:tcPr>
            <w:tcW w:w="100" w:type="dxa"/>
            <w:vAlign w:val="bottom"/>
            <w:tcBorders>
              <w:bottom w:val="single" w:sz="8" w:color="auto"/>
            </w:tcBorders>
            <w:shd w:val="clear" w:color="auto" w:fill="E5E5E5"/>
          </w:tcPr>
          <w:p>
            <w:pPr>
              <w:spacing w:after="0"/>
              <w:rPr>
                <w:sz w:val="6"/>
                <w:szCs w:val="6"/>
                <w:color w:val="auto"/>
              </w:rPr>
            </w:pPr>
          </w:p>
        </w:tc>
        <w:tc>
          <w:tcPr>
            <w:tcW w:w="100" w:type="dxa"/>
            <w:vAlign w:val="bottom"/>
            <w:tcBorders>
              <w:bottom w:val="single" w:sz="8" w:color="auto"/>
              <w:right w:val="single" w:sz="8" w:color="auto"/>
            </w:tcBorders>
            <w:shd w:val="clear" w:color="auto" w:fill="E5E5E5"/>
          </w:tcPr>
          <w:p>
            <w:pPr>
              <w:spacing w:after="0"/>
              <w:rPr>
                <w:sz w:val="6"/>
                <w:szCs w:val="6"/>
                <w:color w:val="auto"/>
              </w:rPr>
            </w:pPr>
          </w:p>
        </w:tc>
        <w:tc>
          <w:tcPr>
            <w:tcW w:w="60" w:type="dxa"/>
            <w:vAlign w:val="bottom"/>
            <w:tcBorders>
              <w:bottom w:val="single" w:sz="8" w:color="auto"/>
            </w:tcBorders>
            <w:shd w:val="clear" w:color="auto" w:fill="E5E5E5"/>
          </w:tcPr>
          <w:p>
            <w:pPr>
              <w:spacing w:after="0"/>
              <w:rPr>
                <w:sz w:val="6"/>
                <w:szCs w:val="6"/>
                <w:color w:val="auto"/>
              </w:rPr>
            </w:pPr>
          </w:p>
        </w:tc>
        <w:tc>
          <w:tcPr>
            <w:tcW w:w="620" w:type="dxa"/>
            <w:vAlign w:val="bottom"/>
            <w:tcBorders>
              <w:bottom w:val="single" w:sz="8" w:color="auto"/>
            </w:tcBorders>
            <w:shd w:val="clear" w:color="auto" w:fill="E5E5E5"/>
          </w:tcPr>
          <w:p>
            <w:pPr>
              <w:spacing w:after="0"/>
              <w:rPr>
                <w:sz w:val="6"/>
                <w:szCs w:val="6"/>
                <w:color w:val="auto"/>
              </w:rPr>
            </w:pPr>
          </w:p>
        </w:tc>
        <w:tc>
          <w:tcPr>
            <w:tcW w:w="200" w:type="dxa"/>
            <w:vAlign w:val="bottom"/>
            <w:tcBorders>
              <w:bottom w:val="single" w:sz="8" w:color="auto"/>
              <w:right w:val="single" w:sz="8" w:color="auto"/>
            </w:tcBorders>
            <w:shd w:val="clear" w:color="auto" w:fill="E5E5E5"/>
          </w:tcPr>
          <w:p>
            <w:pPr>
              <w:spacing w:after="0"/>
              <w:rPr>
                <w:sz w:val="6"/>
                <w:szCs w:val="6"/>
                <w:color w:val="auto"/>
              </w:rPr>
            </w:pPr>
          </w:p>
        </w:tc>
        <w:tc>
          <w:tcPr>
            <w:tcW w:w="60" w:type="dxa"/>
            <w:vAlign w:val="bottom"/>
            <w:tcBorders>
              <w:bottom w:val="single" w:sz="8" w:color="auto"/>
            </w:tcBorders>
            <w:shd w:val="clear" w:color="auto" w:fill="E5E5E5"/>
          </w:tcPr>
          <w:p>
            <w:pPr>
              <w:spacing w:after="0"/>
              <w:rPr>
                <w:sz w:val="6"/>
                <w:szCs w:val="6"/>
                <w:color w:val="auto"/>
              </w:rPr>
            </w:pPr>
          </w:p>
        </w:tc>
        <w:tc>
          <w:tcPr>
            <w:tcW w:w="620" w:type="dxa"/>
            <w:vAlign w:val="bottom"/>
            <w:tcBorders>
              <w:bottom w:val="single" w:sz="8" w:color="auto"/>
            </w:tcBorders>
            <w:shd w:val="clear" w:color="auto" w:fill="E5E5E5"/>
          </w:tcPr>
          <w:p>
            <w:pPr>
              <w:spacing w:after="0"/>
              <w:rPr>
                <w:sz w:val="6"/>
                <w:szCs w:val="6"/>
                <w:color w:val="auto"/>
              </w:rPr>
            </w:pPr>
          </w:p>
        </w:tc>
        <w:tc>
          <w:tcPr>
            <w:tcW w:w="200" w:type="dxa"/>
            <w:vAlign w:val="bottom"/>
            <w:tcBorders>
              <w:bottom w:val="single" w:sz="8" w:color="auto"/>
              <w:right w:val="single" w:sz="8" w:color="auto"/>
            </w:tcBorders>
            <w:shd w:val="clear" w:color="auto" w:fill="E5E5E5"/>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80" w:type="dxa"/>
            <w:vAlign w:val="bottom"/>
            <w:tcBorders>
              <w:bottom w:val="single" w:sz="8" w:color="auto"/>
              <w:right w:val="single" w:sz="8" w:color="auto"/>
            </w:tcBorders>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1640" w:type="dxa"/>
            <w:vAlign w:val="bottom"/>
            <w:tcBorders>
              <w:left w:val="single" w:sz="8" w:color="auto"/>
              <w:right w:val="single" w:sz="8" w:color="auto"/>
            </w:tcBorders>
          </w:tcPr>
          <w:p>
            <w:pPr>
              <w:ind w:left="80"/>
              <w:spacing w:after="0" w:line="134" w:lineRule="exact"/>
              <w:rPr>
                <w:sz w:val="20"/>
                <w:szCs w:val="20"/>
                <w:color w:val="auto"/>
              </w:rPr>
            </w:pPr>
            <w:r>
              <w:rPr>
                <w:rFonts w:ascii="Arial" w:cs="Arial" w:eastAsia="Arial" w:hAnsi="Arial"/>
                <w:sz w:val="12"/>
                <w:szCs w:val="12"/>
                <w:color w:val="auto"/>
              </w:rPr>
              <w:t>Total Target Direct</w:t>
            </w:r>
          </w:p>
        </w:tc>
        <w:tc>
          <w:tcPr>
            <w:tcW w:w="740" w:type="dxa"/>
            <w:vAlign w:val="bottom"/>
            <w:gridSpan w:val="2"/>
            <w:vMerge w:val="restart"/>
            <w:shd w:val="clear" w:color="auto" w:fill="E5E5E5"/>
          </w:tcPr>
          <w:p>
            <w:pPr>
              <w:jc w:val="center"/>
              <w:spacing w:after="0"/>
              <w:rPr>
                <w:sz w:val="20"/>
                <w:szCs w:val="20"/>
                <w:color w:val="auto"/>
              </w:rPr>
            </w:pPr>
            <w:r>
              <w:rPr>
                <w:rFonts w:ascii="Arial" w:cs="Arial" w:eastAsia="Arial" w:hAnsi="Arial"/>
                <w:sz w:val="12"/>
                <w:szCs w:val="12"/>
                <w:color w:val="auto"/>
                <w:w w:val="92"/>
              </w:rPr>
              <w:t>$16,375,500</w:t>
            </w:r>
          </w:p>
        </w:tc>
        <w:tc>
          <w:tcPr>
            <w:tcW w:w="100" w:type="dxa"/>
            <w:vAlign w:val="bottom"/>
            <w:tcBorders>
              <w:right w:val="single" w:sz="8" w:color="auto"/>
            </w:tcBorders>
            <w:shd w:val="clear" w:color="auto" w:fill="E5E5E5"/>
          </w:tcPr>
          <w:p>
            <w:pPr>
              <w:spacing w:after="0"/>
              <w:rPr>
                <w:sz w:val="11"/>
                <w:szCs w:val="11"/>
                <w:color w:val="auto"/>
              </w:rPr>
            </w:pPr>
          </w:p>
        </w:tc>
        <w:tc>
          <w:tcPr>
            <w:tcW w:w="60" w:type="dxa"/>
            <w:vAlign w:val="bottom"/>
            <w:shd w:val="clear" w:color="auto" w:fill="E5E5E5"/>
          </w:tcPr>
          <w:p>
            <w:pPr>
              <w:spacing w:after="0"/>
              <w:rPr>
                <w:sz w:val="11"/>
                <w:szCs w:val="11"/>
                <w:color w:val="auto"/>
              </w:rPr>
            </w:pPr>
          </w:p>
        </w:tc>
        <w:tc>
          <w:tcPr>
            <w:tcW w:w="820" w:type="dxa"/>
            <w:vAlign w:val="bottom"/>
            <w:tcBorders>
              <w:right w:val="single" w:sz="8" w:color="auto"/>
            </w:tcBorders>
            <w:gridSpan w:val="2"/>
            <w:vMerge w:val="restart"/>
            <w:shd w:val="clear" w:color="auto" w:fill="E5E5E5"/>
          </w:tcPr>
          <w:p>
            <w:pPr>
              <w:jc w:val="center"/>
              <w:ind w:right="34"/>
              <w:spacing w:after="0"/>
              <w:rPr>
                <w:sz w:val="20"/>
                <w:szCs w:val="20"/>
                <w:color w:val="auto"/>
              </w:rPr>
            </w:pPr>
            <w:r>
              <w:rPr>
                <w:rFonts w:ascii="Arial" w:cs="Arial" w:eastAsia="Arial" w:hAnsi="Arial"/>
                <w:sz w:val="12"/>
                <w:szCs w:val="12"/>
                <w:color w:val="auto"/>
                <w:w w:val="92"/>
              </w:rPr>
              <w:t>$16,088,075</w:t>
            </w:r>
          </w:p>
        </w:tc>
        <w:tc>
          <w:tcPr>
            <w:tcW w:w="60" w:type="dxa"/>
            <w:vAlign w:val="bottom"/>
            <w:shd w:val="clear" w:color="auto" w:fill="E5E5E5"/>
          </w:tcPr>
          <w:p>
            <w:pPr>
              <w:spacing w:after="0"/>
              <w:rPr>
                <w:sz w:val="11"/>
                <w:szCs w:val="11"/>
                <w:color w:val="auto"/>
              </w:rPr>
            </w:pPr>
          </w:p>
        </w:tc>
        <w:tc>
          <w:tcPr>
            <w:tcW w:w="820" w:type="dxa"/>
            <w:vAlign w:val="bottom"/>
            <w:tcBorders>
              <w:right w:val="single" w:sz="8" w:color="auto"/>
            </w:tcBorders>
            <w:gridSpan w:val="2"/>
            <w:vMerge w:val="restart"/>
            <w:shd w:val="clear" w:color="auto" w:fill="E5E5E5"/>
          </w:tcPr>
          <w:p>
            <w:pPr>
              <w:jc w:val="center"/>
              <w:ind w:right="34"/>
              <w:spacing w:after="0"/>
              <w:rPr>
                <w:sz w:val="20"/>
                <w:szCs w:val="20"/>
                <w:color w:val="auto"/>
              </w:rPr>
            </w:pPr>
            <w:r>
              <w:rPr>
                <w:rFonts w:ascii="Arial" w:cs="Arial" w:eastAsia="Arial" w:hAnsi="Arial"/>
                <w:sz w:val="12"/>
                <w:szCs w:val="12"/>
                <w:color w:val="auto"/>
                <w:w w:val="92"/>
              </w:rPr>
              <w:t>$19,049,426</w:t>
            </w:r>
          </w:p>
        </w:tc>
        <w:tc>
          <w:tcPr>
            <w:tcW w:w="9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2"/>
                <w:szCs w:val="12"/>
                <w:color w:val="auto"/>
                <w:w w:val="92"/>
              </w:rPr>
              <w:t>$19,155,708</w:t>
            </w:r>
          </w:p>
        </w:tc>
        <w:tc>
          <w:tcPr>
            <w:tcW w:w="8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2"/>
                <w:szCs w:val="12"/>
                <w:color w:val="auto"/>
                <w:w w:val="95"/>
              </w:rPr>
              <w:t>$19,904,386</w:t>
            </w: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6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2"/>
                <w:szCs w:val="12"/>
                <w:color w:val="auto"/>
              </w:rPr>
              <w:t>Compensation</w:t>
            </w:r>
          </w:p>
        </w:tc>
        <w:tc>
          <w:tcPr>
            <w:tcW w:w="740" w:type="dxa"/>
            <w:vAlign w:val="bottom"/>
            <w:gridSpan w:val="2"/>
            <w:vMerge w:val="continue"/>
            <w:shd w:val="clear" w:color="auto" w:fill="E5E5E5"/>
          </w:tcPr>
          <w:p>
            <w:pPr>
              <w:spacing w:after="0"/>
              <w:rPr>
                <w:sz w:val="7"/>
                <w:szCs w:val="7"/>
                <w:color w:val="auto"/>
              </w:rPr>
            </w:pPr>
          </w:p>
        </w:tc>
        <w:tc>
          <w:tcPr>
            <w:tcW w:w="100" w:type="dxa"/>
            <w:vAlign w:val="bottom"/>
            <w:tcBorders>
              <w:right w:val="single" w:sz="8" w:color="auto"/>
            </w:tcBorders>
            <w:shd w:val="clear" w:color="auto" w:fill="E5E5E5"/>
          </w:tcPr>
          <w:p>
            <w:pPr>
              <w:spacing w:after="0"/>
              <w:rPr>
                <w:sz w:val="7"/>
                <w:szCs w:val="7"/>
                <w:color w:val="auto"/>
              </w:rPr>
            </w:pPr>
          </w:p>
        </w:tc>
        <w:tc>
          <w:tcPr>
            <w:tcW w:w="60" w:type="dxa"/>
            <w:vAlign w:val="bottom"/>
            <w:shd w:val="clear" w:color="auto" w:fill="E5E5E5"/>
          </w:tcPr>
          <w:p>
            <w:pPr>
              <w:spacing w:after="0"/>
              <w:rPr>
                <w:sz w:val="7"/>
                <w:szCs w:val="7"/>
                <w:color w:val="auto"/>
              </w:rPr>
            </w:pPr>
          </w:p>
        </w:tc>
        <w:tc>
          <w:tcPr>
            <w:tcW w:w="820" w:type="dxa"/>
            <w:vAlign w:val="bottom"/>
            <w:tcBorders>
              <w:right w:val="single" w:sz="8" w:color="auto"/>
            </w:tcBorders>
            <w:gridSpan w:val="2"/>
            <w:vMerge w:val="continue"/>
            <w:shd w:val="clear" w:color="auto" w:fill="E5E5E5"/>
          </w:tcPr>
          <w:p>
            <w:pPr>
              <w:spacing w:after="0"/>
              <w:rPr>
                <w:sz w:val="7"/>
                <w:szCs w:val="7"/>
                <w:color w:val="auto"/>
              </w:rPr>
            </w:pPr>
          </w:p>
        </w:tc>
        <w:tc>
          <w:tcPr>
            <w:tcW w:w="60" w:type="dxa"/>
            <w:vAlign w:val="bottom"/>
            <w:shd w:val="clear" w:color="auto" w:fill="E5E5E5"/>
          </w:tcPr>
          <w:p>
            <w:pPr>
              <w:spacing w:after="0"/>
              <w:rPr>
                <w:sz w:val="7"/>
                <w:szCs w:val="7"/>
                <w:color w:val="auto"/>
              </w:rPr>
            </w:pPr>
          </w:p>
        </w:tc>
        <w:tc>
          <w:tcPr>
            <w:tcW w:w="820" w:type="dxa"/>
            <w:vAlign w:val="bottom"/>
            <w:tcBorders>
              <w:right w:val="single" w:sz="8" w:color="auto"/>
            </w:tcBorders>
            <w:gridSpan w:val="2"/>
            <w:vMerge w:val="continue"/>
            <w:shd w:val="clear" w:color="auto" w:fill="E5E5E5"/>
          </w:tcPr>
          <w:p>
            <w:pPr>
              <w:spacing w:after="0"/>
              <w:rPr>
                <w:sz w:val="7"/>
                <w:szCs w:val="7"/>
                <w:color w:val="auto"/>
              </w:rPr>
            </w:pPr>
          </w:p>
        </w:tc>
        <w:tc>
          <w:tcPr>
            <w:tcW w:w="900" w:type="dxa"/>
            <w:vAlign w:val="bottom"/>
            <w:tcBorders>
              <w:right w:val="single" w:sz="8" w:color="auto"/>
            </w:tcBorders>
            <w:gridSpan w:val="2"/>
            <w:vMerge w:val="continue"/>
          </w:tcPr>
          <w:p>
            <w:pPr>
              <w:spacing w:after="0"/>
              <w:rPr>
                <w:sz w:val="7"/>
                <w:szCs w:val="7"/>
                <w:color w:val="auto"/>
              </w:rPr>
            </w:pPr>
          </w:p>
        </w:tc>
        <w:tc>
          <w:tcPr>
            <w:tcW w:w="880" w:type="dxa"/>
            <w:vAlign w:val="bottom"/>
            <w:tcBorders>
              <w:right w:val="single" w:sz="8" w:color="auto"/>
            </w:tcBorders>
            <w:gridSpan w:val="2"/>
            <w:vMerge w:val="continue"/>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164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640" w:type="dxa"/>
            <w:vAlign w:val="bottom"/>
            <w:tcBorders>
              <w:bottom w:val="single" w:sz="8" w:color="auto"/>
            </w:tcBorders>
            <w:shd w:val="clear" w:color="auto" w:fill="E5E5E5"/>
          </w:tcPr>
          <w:p>
            <w:pPr>
              <w:spacing w:after="0"/>
              <w:rPr>
                <w:sz w:val="6"/>
                <w:szCs w:val="6"/>
                <w:color w:val="auto"/>
              </w:rPr>
            </w:pPr>
          </w:p>
        </w:tc>
        <w:tc>
          <w:tcPr>
            <w:tcW w:w="100" w:type="dxa"/>
            <w:vAlign w:val="bottom"/>
            <w:tcBorders>
              <w:bottom w:val="single" w:sz="8" w:color="auto"/>
            </w:tcBorders>
            <w:shd w:val="clear" w:color="auto" w:fill="E5E5E5"/>
          </w:tcPr>
          <w:p>
            <w:pPr>
              <w:spacing w:after="0"/>
              <w:rPr>
                <w:sz w:val="6"/>
                <w:szCs w:val="6"/>
                <w:color w:val="auto"/>
              </w:rPr>
            </w:pPr>
          </w:p>
        </w:tc>
        <w:tc>
          <w:tcPr>
            <w:tcW w:w="100" w:type="dxa"/>
            <w:vAlign w:val="bottom"/>
            <w:tcBorders>
              <w:bottom w:val="single" w:sz="8" w:color="auto"/>
              <w:right w:val="single" w:sz="8" w:color="auto"/>
            </w:tcBorders>
            <w:shd w:val="clear" w:color="auto" w:fill="E5E5E5"/>
          </w:tcPr>
          <w:p>
            <w:pPr>
              <w:spacing w:after="0"/>
              <w:rPr>
                <w:sz w:val="6"/>
                <w:szCs w:val="6"/>
                <w:color w:val="auto"/>
              </w:rPr>
            </w:pPr>
          </w:p>
        </w:tc>
        <w:tc>
          <w:tcPr>
            <w:tcW w:w="60" w:type="dxa"/>
            <w:vAlign w:val="bottom"/>
            <w:tcBorders>
              <w:bottom w:val="single" w:sz="8" w:color="auto"/>
            </w:tcBorders>
            <w:shd w:val="clear" w:color="auto" w:fill="E5E5E5"/>
          </w:tcPr>
          <w:p>
            <w:pPr>
              <w:spacing w:after="0"/>
              <w:rPr>
                <w:sz w:val="6"/>
                <w:szCs w:val="6"/>
                <w:color w:val="auto"/>
              </w:rPr>
            </w:pPr>
          </w:p>
        </w:tc>
        <w:tc>
          <w:tcPr>
            <w:tcW w:w="620" w:type="dxa"/>
            <w:vAlign w:val="bottom"/>
            <w:tcBorders>
              <w:bottom w:val="single" w:sz="8" w:color="auto"/>
            </w:tcBorders>
            <w:shd w:val="clear" w:color="auto" w:fill="E5E5E5"/>
          </w:tcPr>
          <w:p>
            <w:pPr>
              <w:spacing w:after="0"/>
              <w:rPr>
                <w:sz w:val="6"/>
                <w:szCs w:val="6"/>
                <w:color w:val="auto"/>
              </w:rPr>
            </w:pPr>
          </w:p>
        </w:tc>
        <w:tc>
          <w:tcPr>
            <w:tcW w:w="200" w:type="dxa"/>
            <w:vAlign w:val="bottom"/>
            <w:tcBorders>
              <w:bottom w:val="single" w:sz="8" w:color="auto"/>
              <w:right w:val="single" w:sz="8" w:color="auto"/>
            </w:tcBorders>
            <w:shd w:val="clear" w:color="auto" w:fill="E5E5E5"/>
          </w:tcPr>
          <w:p>
            <w:pPr>
              <w:spacing w:after="0"/>
              <w:rPr>
                <w:sz w:val="6"/>
                <w:szCs w:val="6"/>
                <w:color w:val="auto"/>
              </w:rPr>
            </w:pPr>
          </w:p>
        </w:tc>
        <w:tc>
          <w:tcPr>
            <w:tcW w:w="60" w:type="dxa"/>
            <w:vAlign w:val="bottom"/>
            <w:tcBorders>
              <w:bottom w:val="single" w:sz="8" w:color="auto"/>
            </w:tcBorders>
            <w:shd w:val="clear" w:color="auto" w:fill="E5E5E5"/>
          </w:tcPr>
          <w:p>
            <w:pPr>
              <w:spacing w:after="0"/>
              <w:rPr>
                <w:sz w:val="6"/>
                <w:szCs w:val="6"/>
                <w:color w:val="auto"/>
              </w:rPr>
            </w:pPr>
          </w:p>
        </w:tc>
        <w:tc>
          <w:tcPr>
            <w:tcW w:w="620" w:type="dxa"/>
            <w:vAlign w:val="bottom"/>
            <w:tcBorders>
              <w:bottom w:val="single" w:sz="8" w:color="auto"/>
            </w:tcBorders>
            <w:shd w:val="clear" w:color="auto" w:fill="E5E5E5"/>
          </w:tcPr>
          <w:p>
            <w:pPr>
              <w:spacing w:after="0"/>
              <w:rPr>
                <w:sz w:val="6"/>
                <w:szCs w:val="6"/>
                <w:color w:val="auto"/>
              </w:rPr>
            </w:pPr>
          </w:p>
        </w:tc>
        <w:tc>
          <w:tcPr>
            <w:tcW w:w="200" w:type="dxa"/>
            <w:vAlign w:val="bottom"/>
            <w:tcBorders>
              <w:bottom w:val="single" w:sz="8" w:color="auto"/>
              <w:right w:val="single" w:sz="8" w:color="auto"/>
            </w:tcBorders>
            <w:shd w:val="clear" w:color="auto" w:fill="E5E5E5"/>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80" w:type="dxa"/>
            <w:vAlign w:val="bottom"/>
            <w:tcBorders>
              <w:bottom w:val="single" w:sz="8" w:color="auto"/>
              <w:right w:val="single" w:sz="8" w:color="auto"/>
            </w:tcBorders>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1640" w:type="dxa"/>
            <w:vAlign w:val="bottom"/>
            <w:tcBorders>
              <w:left w:val="single" w:sz="8" w:color="auto"/>
              <w:right w:val="single" w:sz="8" w:color="auto"/>
            </w:tcBorders>
          </w:tcPr>
          <w:p>
            <w:pPr>
              <w:ind w:left="80"/>
              <w:spacing w:after="0" w:line="132" w:lineRule="exact"/>
              <w:rPr>
                <w:sz w:val="20"/>
                <w:szCs w:val="20"/>
                <w:color w:val="auto"/>
              </w:rPr>
            </w:pPr>
            <w:r>
              <w:rPr>
                <w:rFonts w:ascii="Arial" w:cs="Arial" w:eastAsia="Arial" w:hAnsi="Arial"/>
                <w:sz w:val="12"/>
                <w:szCs w:val="12"/>
                <w:color w:val="auto"/>
              </w:rPr>
              <w:t>Realized and Realizable</w:t>
            </w:r>
          </w:p>
        </w:tc>
        <w:tc>
          <w:tcPr>
            <w:tcW w:w="640" w:type="dxa"/>
            <w:vAlign w:val="bottom"/>
            <w:vMerge w:val="restart"/>
            <w:shd w:val="clear" w:color="auto" w:fill="E5E5E5"/>
          </w:tcPr>
          <w:p>
            <w:pPr>
              <w:jc w:val="right"/>
              <w:spacing w:after="0"/>
              <w:rPr>
                <w:sz w:val="20"/>
                <w:szCs w:val="20"/>
                <w:color w:val="auto"/>
              </w:rPr>
            </w:pPr>
            <w:r>
              <w:rPr>
                <w:rFonts w:ascii="Arial" w:cs="Arial" w:eastAsia="Arial" w:hAnsi="Arial"/>
                <w:sz w:val="12"/>
                <w:szCs w:val="12"/>
                <w:color w:val="auto"/>
                <w:w w:val="89"/>
              </w:rPr>
              <w:t>$14,152,017</w:t>
            </w:r>
          </w:p>
        </w:tc>
        <w:tc>
          <w:tcPr>
            <w:tcW w:w="100" w:type="dxa"/>
            <w:vAlign w:val="bottom"/>
            <w:shd w:val="clear" w:color="auto" w:fill="E5E5E5"/>
          </w:tcPr>
          <w:p>
            <w:pPr>
              <w:jc w:val="right"/>
              <w:spacing w:after="0"/>
              <w:rPr>
                <w:sz w:val="20"/>
                <w:szCs w:val="20"/>
                <w:color w:val="auto"/>
              </w:rPr>
            </w:pPr>
            <w:r>
              <w:rPr>
                <w:rFonts w:ascii="Arial" w:cs="Arial" w:eastAsia="Arial" w:hAnsi="Arial"/>
                <w:sz w:val="9"/>
                <w:szCs w:val="9"/>
                <w:color w:val="auto"/>
                <w:w w:val="72"/>
              </w:rPr>
              <w:t>(2)</w:t>
            </w:r>
          </w:p>
        </w:tc>
        <w:tc>
          <w:tcPr>
            <w:tcW w:w="100" w:type="dxa"/>
            <w:vAlign w:val="bottom"/>
            <w:tcBorders>
              <w:right w:val="single" w:sz="8" w:color="auto"/>
            </w:tcBorders>
            <w:shd w:val="clear" w:color="auto" w:fill="E5E5E5"/>
          </w:tcPr>
          <w:p>
            <w:pPr>
              <w:spacing w:after="0"/>
              <w:rPr>
                <w:sz w:val="11"/>
                <w:szCs w:val="11"/>
                <w:color w:val="auto"/>
              </w:rPr>
            </w:pPr>
          </w:p>
        </w:tc>
        <w:tc>
          <w:tcPr>
            <w:tcW w:w="60" w:type="dxa"/>
            <w:vAlign w:val="bottom"/>
            <w:shd w:val="clear" w:color="auto" w:fill="E5E5E5"/>
          </w:tcPr>
          <w:p>
            <w:pPr>
              <w:spacing w:after="0"/>
              <w:rPr>
                <w:sz w:val="11"/>
                <w:szCs w:val="11"/>
                <w:color w:val="auto"/>
              </w:rPr>
            </w:pPr>
          </w:p>
        </w:tc>
        <w:tc>
          <w:tcPr>
            <w:tcW w:w="620" w:type="dxa"/>
            <w:vAlign w:val="bottom"/>
            <w:vMerge w:val="restart"/>
            <w:shd w:val="clear" w:color="auto" w:fill="E5E5E5"/>
          </w:tcPr>
          <w:p>
            <w:pPr>
              <w:jc w:val="right"/>
              <w:spacing w:after="0"/>
              <w:rPr>
                <w:sz w:val="20"/>
                <w:szCs w:val="20"/>
                <w:color w:val="auto"/>
              </w:rPr>
            </w:pPr>
            <w:r>
              <w:rPr>
                <w:rFonts w:ascii="Arial" w:cs="Arial" w:eastAsia="Arial" w:hAnsi="Arial"/>
                <w:sz w:val="12"/>
                <w:szCs w:val="12"/>
                <w:color w:val="auto"/>
                <w:w w:val="89"/>
              </w:rPr>
              <w:t>$10,113,460</w:t>
            </w:r>
          </w:p>
        </w:tc>
        <w:tc>
          <w:tcPr>
            <w:tcW w:w="200" w:type="dxa"/>
            <w:vAlign w:val="bottom"/>
            <w:tcBorders>
              <w:right w:val="single" w:sz="8" w:color="auto"/>
            </w:tcBorders>
            <w:shd w:val="clear" w:color="auto" w:fill="E5E5E5"/>
          </w:tcPr>
          <w:p>
            <w:pPr>
              <w:jc w:val="right"/>
              <w:ind w:right="34"/>
              <w:spacing w:after="0"/>
              <w:rPr>
                <w:sz w:val="20"/>
                <w:szCs w:val="20"/>
                <w:color w:val="auto"/>
              </w:rPr>
            </w:pPr>
            <w:r>
              <w:rPr>
                <w:rFonts w:ascii="Arial" w:cs="Arial" w:eastAsia="Arial" w:hAnsi="Arial"/>
                <w:sz w:val="9"/>
                <w:szCs w:val="9"/>
                <w:color w:val="auto"/>
                <w:w w:val="90"/>
              </w:rPr>
              <w:t>(2)</w:t>
            </w:r>
          </w:p>
        </w:tc>
        <w:tc>
          <w:tcPr>
            <w:tcW w:w="60" w:type="dxa"/>
            <w:vAlign w:val="bottom"/>
            <w:shd w:val="clear" w:color="auto" w:fill="E5E5E5"/>
          </w:tcPr>
          <w:p>
            <w:pPr>
              <w:spacing w:after="0"/>
              <w:rPr>
                <w:sz w:val="11"/>
                <w:szCs w:val="11"/>
                <w:color w:val="auto"/>
              </w:rPr>
            </w:pPr>
          </w:p>
        </w:tc>
        <w:tc>
          <w:tcPr>
            <w:tcW w:w="620" w:type="dxa"/>
            <w:vAlign w:val="bottom"/>
            <w:vMerge w:val="restart"/>
            <w:shd w:val="clear" w:color="auto" w:fill="E5E5E5"/>
          </w:tcPr>
          <w:p>
            <w:pPr>
              <w:jc w:val="right"/>
              <w:spacing w:after="0"/>
              <w:rPr>
                <w:sz w:val="20"/>
                <w:szCs w:val="20"/>
                <w:color w:val="auto"/>
              </w:rPr>
            </w:pPr>
            <w:r>
              <w:rPr>
                <w:rFonts w:ascii="Arial" w:cs="Arial" w:eastAsia="Arial" w:hAnsi="Arial"/>
                <w:sz w:val="12"/>
                <w:szCs w:val="12"/>
                <w:color w:val="auto"/>
                <w:w w:val="89"/>
              </w:rPr>
              <w:t>$11,027,472</w:t>
            </w:r>
          </w:p>
        </w:tc>
        <w:tc>
          <w:tcPr>
            <w:tcW w:w="200" w:type="dxa"/>
            <w:vAlign w:val="bottom"/>
            <w:tcBorders>
              <w:right w:val="single" w:sz="8" w:color="auto"/>
            </w:tcBorders>
            <w:shd w:val="clear" w:color="auto" w:fill="E5E5E5"/>
          </w:tcPr>
          <w:p>
            <w:pPr>
              <w:jc w:val="right"/>
              <w:ind w:right="34"/>
              <w:spacing w:after="0"/>
              <w:rPr>
                <w:sz w:val="20"/>
                <w:szCs w:val="20"/>
                <w:color w:val="auto"/>
              </w:rPr>
            </w:pPr>
            <w:r>
              <w:rPr>
                <w:rFonts w:ascii="Arial" w:cs="Arial" w:eastAsia="Arial" w:hAnsi="Arial"/>
                <w:sz w:val="9"/>
                <w:szCs w:val="9"/>
                <w:color w:val="auto"/>
                <w:w w:val="90"/>
              </w:rPr>
              <w:t>(2)</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$17,506,275</w:t>
            </w:r>
          </w:p>
        </w:tc>
        <w:tc>
          <w:tcPr>
            <w:tcW w:w="200" w:type="dxa"/>
            <w:vAlign w:val="bottom"/>
            <w:tcBorders>
              <w:right w:val="single" w:sz="8" w:color="auto"/>
            </w:tcBorders>
          </w:tcPr>
          <w:p>
            <w:pPr>
              <w:jc w:val="right"/>
              <w:ind w:right="34"/>
              <w:spacing w:after="0"/>
              <w:rPr>
                <w:sz w:val="20"/>
                <w:szCs w:val="20"/>
                <w:color w:val="auto"/>
              </w:rPr>
            </w:pPr>
            <w:r>
              <w:rPr>
                <w:rFonts w:ascii="Arial" w:cs="Arial" w:eastAsia="Arial" w:hAnsi="Arial"/>
                <w:sz w:val="9"/>
                <w:szCs w:val="9"/>
                <w:color w:val="auto"/>
                <w:w w:val="90"/>
              </w:rPr>
              <w:t>(3)</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$21,160,289</w:t>
            </w:r>
          </w:p>
        </w:tc>
        <w:tc>
          <w:tcPr>
            <w:tcW w:w="180" w:type="dxa"/>
            <w:vAlign w:val="bottom"/>
            <w:tcBorders>
              <w:right w:val="single" w:sz="8" w:color="auto"/>
            </w:tcBorders>
          </w:tcPr>
          <w:p>
            <w:pPr>
              <w:jc w:val="right"/>
              <w:ind w:right="34"/>
              <w:spacing w:after="0"/>
              <w:rPr>
                <w:sz w:val="20"/>
                <w:szCs w:val="20"/>
                <w:color w:val="auto"/>
              </w:rPr>
            </w:pPr>
            <w:r>
              <w:rPr>
                <w:rFonts w:ascii="Arial" w:cs="Arial" w:eastAsia="Arial" w:hAnsi="Arial"/>
                <w:sz w:val="9"/>
                <w:szCs w:val="9"/>
                <w:color w:val="auto"/>
                <w:w w:val="72"/>
              </w:rPr>
              <w:t>(3)</w:t>
            </w: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640" w:type="dxa"/>
            <w:vAlign w:val="bottom"/>
            <w:tcBorders>
              <w:left w:val="single" w:sz="8" w:color="auto"/>
              <w:bottom w:val="single" w:sz="8" w:color="auto"/>
              <w:right w:val="single" w:sz="8" w:color="auto"/>
            </w:tcBorders>
          </w:tcPr>
          <w:p>
            <w:pPr>
              <w:ind w:left="80"/>
              <w:spacing w:after="0" w:line="170" w:lineRule="exact"/>
              <w:rPr>
                <w:sz w:val="20"/>
                <w:szCs w:val="20"/>
                <w:color w:val="auto"/>
              </w:rPr>
            </w:pPr>
            <w:r>
              <w:rPr>
                <w:rFonts w:ascii="Arial" w:cs="Arial" w:eastAsia="Arial" w:hAnsi="Arial"/>
                <w:sz w:val="12"/>
                <w:szCs w:val="12"/>
                <w:color w:val="auto"/>
              </w:rPr>
              <w:t>Compensation</w:t>
            </w:r>
            <w:r>
              <w:rPr>
                <w:rFonts w:ascii="Arial" w:cs="Arial" w:eastAsia="Arial" w:hAnsi="Arial"/>
                <w:sz w:val="18"/>
                <w:szCs w:val="18"/>
                <w:color w:val="auto"/>
                <w:vertAlign w:val="superscript"/>
              </w:rPr>
              <w:t>(1)</w:t>
            </w:r>
          </w:p>
        </w:tc>
        <w:tc>
          <w:tcPr>
            <w:tcW w:w="640" w:type="dxa"/>
            <w:vAlign w:val="bottom"/>
            <w:tcBorders>
              <w:bottom w:val="single" w:sz="8" w:color="auto"/>
            </w:tcBorders>
            <w:vMerge w:val="continue"/>
            <w:shd w:val="clear" w:color="auto" w:fill="E5E5E5"/>
          </w:tcPr>
          <w:p>
            <w:pPr>
              <w:spacing w:after="0"/>
              <w:rPr>
                <w:sz w:val="14"/>
                <w:szCs w:val="14"/>
                <w:color w:val="auto"/>
              </w:rPr>
            </w:pPr>
          </w:p>
        </w:tc>
        <w:tc>
          <w:tcPr>
            <w:tcW w:w="100" w:type="dxa"/>
            <w:vAlign w:val="bottom"/>
            <w:tcBorders>
              <w:bottom w:val="single" w:sz="8" w:color="auto"/>
            </w:tcBorders>
            <w:shd w:val="clear" w:color="auto" w:fill="E5E5E5"/>
          </w:tcPr>
          <w:p>
            <w:pPr>
              <w:spacing w:after="0"/>
              <w:rPr>
                <w:sz w:val="14"/>
                <w:szCs w:val="14"/>
                <w:color w:val="auto"/>
              </w:rPr>
            </w:pPr>
          </w:p>
        </w:tc>
        <w:tc>
          <w:tcPr>
            <w:tcW w:w="100" w:type="dxa"/>
            <w:vAlign w:val="bottom"/>
            <w:tcBorders>
              <w:bottom w:val="single" w:sz="8" w:color="auto"/>
              <w:right w:val="single" w:sz="8" w:color="auto"/>
            </w:tcBorders>
            <w:shd w:val="clear" w:color="auto" w:fill="E5E5E5"/>
          </w:tcPr>
          <w:p>
            <w:pPr>
              <w:spacing w:after="0"/>
              <w:rPr>
                <w:sz w:val="14"/>
                <w:szCs w:val="14"/>
                <w:color w:val="auto"/>
              </w:rPr>
            </w:pPr>
          </w:p>
        </w:tc>
        <w:tc>
          <w:tcPr>
            <w:tcW w:w="60" w:type="dxa"/>
            <w:vAlign w:val="bottom"/>
            <w:tcBorders>
              <w:bottom w:val="single" w:sz="8" w:color="auto"/>
            </w:tcBorders>
            <w:shd w:val="clear" w:color="auto" w:fill="E5E5E5"/>
          </w:tcPr>
          <w:p>
            <w:pPr>
              <w:spacing w:after="0"/>
              <w:rPr>
                <w:sz w:val="14"/>
                <w:szCs w:val="14"/>
                <w:color w:val="auto"/>
              </w:rPr>
            </w:pPr>
          </w:p>
        </w:tc>
        <w:tc>
          <w:tcPr>
            <w:tcW w:w="620" w:type="dxa"/>
            <w:vAlign w:val="bottom"/>
            <w:tcBorders>
              <w:bottom w:val="single" w:sz="8" w:color="auto"/>
            </w:tcBorders>
            <w:vMerge w:val="continue"/>
            <w:shd w:val="clear" w:color="auto" w:fill="E5E5E5"/>
          </w:tcPr>
          <w:p>
            <w:pPr>
              <w:spacing w:after="0"/>
              <w:rPr>
                <w:sz w:val="14"/>
                <w:szCs w:val="14"/>
                <w:color w:val="auto"/>
              </w:rPr>
            </w:pPr>
          </w:p>
        </w:tc>
        <w:tc>
          <w:tcPr>
            <w:tcW w:w="200" w:type="dxa"/>
            <w:vAlign w:val="bottom"/>
            <w:tcBorders>
              <w:bottom w:val="single" w:sz="8" w:color="auto"/>
              <w:right w:val="single" w:sz="8" w:color="auto"/>
            </w:tcBorders>
            <w:shd w:val="clear" w:color="auto" w:fill="E5E5E5"/>
          </w:tcPr>
          <w:p>
            <w:pPr>
              <w:spacing w:after="0"/>
              <w:rPr>
                <w:sz w:val="14"/>
                <w:szCs w:val="14"/>
                <w:color w:val="auto"/>
              </w:rPr>
            </w:pPr>
          </w:p>
        </w:tc>
        <w:tc>
          <w:tcPr>
            <w:tcW w:w="60" w:type="dxa"/>
            <w:vAlign w:val="bottom"/>
            <w:tcBorders>
              <w:bottom w:val="single" w:sz="8" w:color="auto"/>
            </w:tcBorders>
            <w:shd w:val="clear" w:color="auto" w:fill="E5E5E5"/>
          </w:tcPr>
          <w:p>
            <w:pPr>
              <w:spacing w:after="0"/>
              <w:rPr>
                <w:sz w:val="14"/>
                <w:szCs w:val="14"/>
                <w:color w:val="auto"/>
              </w:rPr>
            </w:pPr>
          </w:p>
        </w:tc>
        <w:tc>
          <w:tcPr>
            <w:tcW w:w="620" w:type="dxa"/>
            <w:vAlign w:val="bottom"/>
            <w:tcBorders>
              <w:bottom w:val="single" w:sz="8" w:color="auto"/>
            </w:tcBorders>
            <w:vMerge w:val="continue"/>
            <w:shd w:val="clear" w:color="auto" w:fill="E5E5E5"/>
          </w:tcPr>
          <w:p>
            <w:pPr>
              <w:spacing w:after="0"/>
              <w:rPr>
                <w:sz w:val="14"/>
                <w:szCs w:val="14"/>
                <w:color w:val="auto"/>
              </w:rPr>
            </w:pPr>
          </w:p>
        </w:tc>
        <w:tc>
          <w:tcPr>
            <w:tcW w:w="200" w:type="dxa"/>
            <w:vAlign w:val="bottom"/>
            <w:tcBorders>
              <w:bottom w:val="single" w:sz="8" w:color="auto"/>
              <w:right w:val="single" w:sz="8" w:color="auto"/>
            </w:tcBorders>
            <w:shd w:val="clear" w:color="auto" w:fill="E5E5E5"/>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Realized and Realizable</w:t>
            </w:r>
          </w:p>
        </w:tc>
        <w:tc>
          <w:tcPr>
            <w:tcW w:w="640" w:type="dxa"/>
            <w:vAlign w:val="bottom"/>
            <w:shd w:val="clear" w:color="auto" w:fill="E5E5E5"/>
          </w:tcPr>
          <w:p>
            <w:pPr>
              <w:jc w:val="center"/>
              <w:ind w:left="42"/>
              <w:spacing w:after="0"/>
              <w:rPr>
                <w:sz w:val="20"/>
                <w:szCs w:val="20"/>
                <w:color w:val="auto"/>
              </w:rPr>
            </w:pPr>
            <w:r>
              <w:rPr>
                <w:rFonts w:ascii="Arial" w:cs="Arial" w:eastAsia="Arial" w:hAnsi="Arial"/>
                <w:sz w:val="12"/>
                <w:szCs w:val="12"/>
                <w:color w:val="auto"/>
                <w:w w:val="91"/>
              </w:rPr>
              <w:t>86%</w:t>
            </w:r>
          </w:p>
        </w:tc>
        <w:tc>
          <w:tcPr>
            <w:tcW w:w="100" w:type="dxa"/>
            <w:vAlign w:val="bottom"/>
            <w:shd w:val="clear" w:color="auto" w:fill="E5E5E5"/>
          </w:tcPr>
          <w:p>
            <w:pPr>
              <w:spacing w:after="0"/>
              <w:rPr>
                <w:sz w:val="14"/>
                <w:szCs w:val="14"/>
                <w:color w:val="auto"/>
              </w:rPr>
            </w:pPr>
          </w:p>
        </w:tc>
        <w:tc>
          <w:tcPr>
            <w:tcW w:w="100" w:type="dxa"/>
            <w:vAlign w:val="bottom"/>
            <w:tcBorders>
              <w:right w:val="single" w:sz="8" w:color="auto"/>
            </w:tcBorders>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620" w:type="dxa"/>
            <w:vAlign w:val="bottom"/>
            <w:shd w:val="clear" w:color="auto" w:fill="E5E5E5"/>
          </w:tcPr>
          <w:p>
            <w:pPr>
              <w:jc w:val="center"/>
              <w:ind w:left="62"/>
              <w:spacing w:after="0"/>
              <w:rPr>
                <w:sz w:val="20"/>
                <w:szCs w:val="20"/>
                <w:color w:val="auto"/>
              </w:rPr>
            </w:pPr>
            <w:r>
              <w:rPr>
                <w:rFonts w:ascii="Arial" w:cs="Arial" w:eastAsia="Arial" w:hAnsi="Arial"/>
                <w:sz w:val="12"/>
                <w:szCs w:val="12"/>
                <w:color w:val="auto"/>
                <w:w w:val="91"/>
              </w:rPr>
              <w:t>63%</w:t>
            </w:r>
          </w:p>
        </w:tc>
        <w:tc>
          <w:tcPr>
            <w:tcW w:w="200" w:type="dxa"/>
            <w:vAlign w:val="bottom"/>
            <w:tcBorders>
              <w:right w:val="single" w:sz="8" w:color="auto"/>
            </w:tcBorders>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620" w:type="dxa"/>
            <w:vAlign w:val="bottom"/>
            <w:shd w:val="clear" w:color="auto" w:fill="E5E5E5"/>
          </w:tcPr>
          <w:p>
            <w:pPr>
              <w:jc w:val="center"/>
              <w:ind w:left="62"/>
              <w:spacing w:after="0"/>
              <w:rPr>
                <w:sz w:val="20"/>
                <w:szCs w:val="20"/>
                <w:color w:val="auto"/>
              </w:rPr>
            </w:pPr>
            <w:r>
              <w:rPr>
                <w:rFonts w:ascii="Arial" w:cs="Arial" w:eastAsia="Arial" w:hAnsi="Arial"/>
                <w:sz w:val="12"/>
                <w:szCs w:val="12"/>
                <w:color w:val="auto"/>
                <w:w w:val="91"/>
              </w:rPr>
              <w:t>58%</w:t>
            </w:r>
          </w:p>
        </w:tc>
        <w:tc>
          <w:tcPr>
            <w:tcW w:w="200" w:type="dxa"/>
            <w:vAlign w:val="bottom"/>
            <w:tcBorders>
              <w:right w:val="single" w:sz="8" w:color="auto"/>
            </w:tcBorders>
            <w:shd w:val="clear" w:color="auto" w:fill="E5E5E5"/>
          </w:tcPr>
          <w:p>
            <w:pPr>
              <w:spacing w:after="0"/>
              <w:rPr>
                <w:sz w:val="14"/>
                <w:szCs w:val="14"/>
                <w:color w:val="auto"/>
              </w:rPr>
            </w:pPr>
          </w:p>
        </w:tc>
        <w:tc>
          <w:tcPr>
            <w:tcW w:w="700" w:type="dxa"/>
            <w:vAlign w:val="bottom"/>
          </w:tcPr>
          <w:p>
            <w:pPr>
              <w:jc w:val="center"/>
              <w:ind w:left="142"/>
              <w:spacing w:after="0"/>
              <w:rPr>
                <w:sz w:val="20"/>
                <w:szCs w:val="20"/>
                <w:color w:val="auto"/>
              </w:rPr>
            </w:pPr>
            <w:r>
              <w:rPr>
                <w:rFonts w:ascii="Arial" w:cs="Arial" w:eastAsia="Arial" w:hAnsi="Arial"/>
                <w:sz w:val="12"/>
                <w:szCs w:val="12"/>
                <w:color w:val="auto"/>
                <w:w w:val="91"/>
              </w:rPr>
              <w:t>91%</w:t>
            </w:r>
          </w:p>
        </w:tc>
        <w:tc>
          <w:tcPr>
            <w:tcW w:w="200" w:type="dxa"/>
            <w:vAlign w:val="bottom"/>
            <w:tcBorders>
              <w:right w:val="single" w:sz="8" w:color="auto"/>
            </w:tcBorders>
          </w:tcPr>
          <w:p>
            <w:pPr>
              <w:spacing w:after="0"/>
              <w:rPr>
                <w:sz w:val="14"/>
                <w:szCs w:val="14"/>
                <w:color w:val="auto"/>
              </w:rPr>
            </w:pPr>
          </w:p>
        </w:tc>
        <w:tc>
          <w:tcPr>
            <w:tcW w:w="700" w:type="dxa"/>
            <w:vAlign w:val="bottom"/>
          </w:tcPr>
          <w:p>
            <w:pPr>
              <w:jc w:val="center"/>
              <w:ind w:left="122"/>
              <w:spacing w:after="0"/>
              <w:rPr>
                <w:sz w:val="20"/>
                <w:szCs w:val="20"/>
                <w:color w:val="auto"/>
              </w:rPr>
            </w:pPr>
            <w:r>
              <w:rPr>
                <w:rFonts w:ascii="Arial" w:cs="Arial" w:eastAsia="Arial" w:hAnsi="Arial"/>
                <w:sz w:val="12"/>
                <w:szCs w:val="12"/>
                <w:color w:val="auto"/>
                <w:w w:val="91"/>
              </w:rPr>
              <w:t>106%</w:t>
            </w:r>
          </w:p>
        </w:tc>
        <w:tc>
          <w:tcPr>
            <w:tcW w:w="180" w:type="dxa"/>
            <w:vAlign w:val="bottom"/>
            <w:tcBorders>
              <w:right w:val="single" w:sz="8" w:color="auto"/>
            </w:tcBorders>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6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Compensation as a % of</w:t>
            </w:r>
          </w:p>
        </w:tc>
        <w:tc>
          <w:tcPr>
            <w:tcW w:w="64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100" w:type="dxa"/>
            <w:vAlign w:val="bottom"/>
            <w:tcBorders>
              <w:right w:val="single" w:sz="8" w:color="auto"/>
            </w:tcBorders>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200" w:type="dxa"/>
            <w:vAlign w:val="bottom"/>
            <w:tcBorders>
              <w:right w:val="single" w:sz="8" w:color="auto"/>
            </w:tcBorders>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200" w:type="dxa"/>
            <w:vAlign w:val="bottom"/>
            <w:tcBorders>
              <w:right w:val="single" w:sz="8" w:color="auto"/>
            </w:tcBorders>
            <w:shd w:val="clear" w:color="auto" w:fill="E5E5E5"/>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6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Total Target Direct</w:t>
            </w:r>
          </w:p>
        </w:tc>
        <w:tc>
          <w:tcPr>
            <w:tcW w:w="64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100" w:type="dxa"/>
            <w:vAlign w:val="bottom"/>
            <w:tcBorders>
              <w:right w:val="single" w:sz="8" w:color="auto"/>
            </w:tcBorders>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200" w:type="dxa"/>
            <w:vAlign w:val="bottom"/>
            <w:tcBorders>
              <w:right w:val="single" w:sz="8" w:color="auto"/>
            </w:tcBorders>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200" w:type="dxa"/>
            <w:vAlign w:val="bottom"/>
            <w:tcBorders>
              <w:right w:val="single" w:sz="8" w:color="auto"/>
            </w:tcBorders>
            <w:shd w:val="clear" w:color="auto" w:fill="E5E5E5"/>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Compensation</w:t>
            </w:r>
          </w:p>
        </w:tc>
        <w:tc>
          <w:tcPr>
            <w:tcW w:w="640" w:type="dxa"/>
            <w:vAlign w:val="bottom"/>
            <w:tcBorders>
              <w:bottom w:val="single" w:sz="8" w:color="auto"/>
            </w:tcBorders>
            <w:shd w:val="clear" w:color="auto" w:fill="E5E5E5"/>
          </w:tcPr>
          <w:p>
            <w:pPr>
              <w:spacing w:after="0"/>
              <w:rPr>
                <w:sz w:val="13"/>
                <w:szCs w:val="13"/>
                <w:color w:val="auto"/>
              </w:rPr>
            </w:pPr>
          </w:p>
        </w:tc>
        <w:tc>
          <w:tcPr>
            <w:tcW w:w="100" w:type="dxa"/>
            <w:vAlign w:val="bottom"/>
            <w:tcBorders>
              <w:bottom w:val="single" w:sz="8" w:color="auto"/>
            </w:tcBorders>
            <w:shd w:val="clear" w:color="auto" w:fill="E5E5E5"/>
          </w:tcPr>
          <w:p>
            <w:pPr>
              <w:spacing w:after="0"/>
              <w:rPr>
                <w:sz w:val="13"/>
                <w:szCs w:val="13"/>
                <w:color w:val="auto"/>
              </w:rPr>
            </w:pPr>
          </w:p>
        </w:tc>
        <w:tc>
          <w:tcPr>
            <w:tcW w:w="100" w:type="dxa"/>
            <w:vAlign w:val="bottom"/>
            <w:tcBorders>
              <w:bottom w:val="single" w:sz="8" w:color="auto"/>
              <w:right w:val="single" w:sz="8" w:color="auto"/>
            </w:tcBorders>
            <w:shd w:val="clear" w:color="auto" w:fill="E5E5E5"/>
          </w:tcPr>
          <w:p>
            <w:pPr>
              <w:spacing w:after="0"/>
              <w:rPr>
                <w:sz w:val="13"/>
                <w:szCs w:val="13"/>
                <w:color w:val="auto"/>
              </w:rPr>
            </w:pPr>
          </w:p>
        </w:tc>
        <w:tc>
          <w:tcPr>
            <w:tcW w:w="60" w:type="dxa"/>
            <w:vAlign w:val="bottom"/>
            <w:tcBorders>
              <w:bottom w:val="single" w:sz="8" w:color="auto"/>
            </w:tcBorders>
            <w:shd w:val="clear" w:color="auto" w:fill="E5E5E5"/>
          </w:tcPr>
          <w:p>
            <w:pPr>
              <w:spacing w:after="0"/>
              <w:rPr>
                <w:sz w:val="13"/>
                <w:szCs w:val="13"/>
                <w:color w:val="auto"/>
              </w:rPr>
            </w:pPr>
          </w:p>
        </w:tc>
        <w:tc>
          <w:tcPr>
            <w:tcW w:w="620" w:type="dxa"/>
            <w:vAlign w:val="bottom"/>
            <w:tcBorders>
              <w:bottom w:val="single" w:sz="8" w:color="auto"/>
            </w:tcBorders>
            <w:shd w:val="clear" w:color="auto" w:fill="E5E5E5"/>
          </w:tcPr>
          <w:p>
            <w:pPr>
              <w:spacing w:after="0"/>
              <w:rPr>
                <w:sz w:val="13"/>
                <w:szCs w:val="13"/>
                <w:color w:val="auto"/>
              </w:rPr>
            </w:pPr>
          </w:p>
        </w:tc>
        <w:tc>
          <w:tcPr>
            <w:tcW w:w="200" w:type="dxa"/>
            <w:vAlign w:val="bottom"/>
            <w:tcBorders>
              <w:bottom w:val="single" w:sz="8" w:color="auto"/>
              <w:right w:val="single" w:sz="8" w:color="auto"/>
            </w:tcBorders>
            <w:shd w:val="clear" w:color="auto" w:fill="E5E5E5"/>
          </w:tcPr>
          <w:p>
            <w:pPr>
              <w:spacing w:after="0"/>
              <w:rPr>
                <w:sz w:val="13"/>
                <w:szCs w:val="13"/>
                <w:color w:val="auto"/>
              </w:rPr>
            </w:pPr>
          </w:p>
        </w:tc>
        <w:tc>
          <w:tcPr>
            <w:tcW w:w="60" w:type="dxa"/>
            <w:vAlign w:val="bottom"/>
            <w:tcBorders>
              <w:bottom w:val="single" w:sz="8" w:color="auto"/>
            </w:tcBorders>
            <w:shd w:val="clear" w:color="auto" w:fill="E5E5E5"/>
          </w:tcPr>
          <w:p>
            <w:pPr>
              <w:spacing w:after="0"/>
              <w:rPr>
                <w:sz w:val="13"/>
                <w:szCs w:val="13"/>
                <w:color w:val="auto"/>
              </w:rPr>
            </w:pPr>
          </w:p>
        </w:tc>
        <w:tc>
          <w:tcPr>
            <w:tcW w:w="620" w:type="dxa"/>
            <w:vAlign w:val="bottom"/>
            <w:tcBorders>
              <w:bottom w:val="single" w:sz="8" w:color="auto"/>
            </w:tcBorders>
            <w:shd w:val="clear" w:color="auto" w:fill="E5E5E5"/>
          </w:tcPr>
          <w:p>
            <w:pPr>
              <w:spacing w:after="0"/>
              <w:rPr>
                <w:sz w:val="13"/>
                <w:szCs w:val="13"/>
                <w:color w:val="auto"/>
              </w:rPr>
            </w:pPr>
          </w:p>
        </w:tc>
        <w:tc>
          <w:tcPr>
            <w:tcW w:w="200" w:type="dxa"/>
            <w:vAlign w:val="bottom"/>
            <w:tcBorders>
              <w:bottom w:val="single" w:sz="8" w:color="auto"/>
              <w:right w:val="single" w:sz="8" w:color="auto"/>
            </w:tcBorders>
            <w:shd w:val="clear" w:color="auto" w:fill="E5E5E5"/>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963930</wp:posOffset>
            </wp:positionH>
            <wp:positionV relativeFrom="paragraph">
              <wp:posOffset>-1153160</wp:posOffset>
            </wp:positionV>
            <wp:extent cx="967105" cy="63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967105" cy="6350"/>
                    </a:xfrm>
                    <a:prstGeom prst="rect">
                      <a:avLst/>
                    </a:prstGeom>
                    <a:noFill/>
                  </pic:spPr>
                </pic:pic>
              </a:graphicData>
            </a:graphic>
          </wp:anchor>
        </w:drawing>
      </w:r>
    </w:p>
    <w:p>
      <w:pPr>
        <w:spacing w:after="0" w:line="52" w:lineRule="exact"/>
        <w:rPr>
          <w:sz w:val="20"/>
          <w:szCs w:val="20"/>
          <w:color w:val="auto"/>
        </w:rPr>
      </w:pPr>
    </w:p>
    <w:p>
      <w:pPr>
        <w:ind w:left="1740" w:right="1499" w:hanging="262"/>
        <w:spacing w:after="0" w:line="204" w:lineRule="auto"/>
        <w:tabs>
          <w:tab w:leader="none" w:pos="1740" w:val="left"/>
        </w:tabs>
        <w:numPr>
          <w:ilvl w:val="0"/>
          <w:numId w:val="87"/>
        </w:numPr>
        <w:rPr>
          <w:rFonts w:ascii="Arial" w:cs="Arial" w:eastAsia="Arial" w:hAnsi="Arial"/>
          <w:sz w:val="16"/>
          <w:szCs w:val="16"/>
          <w:color w:val="auto"/>
          <w:vertAlign w:val="superscript"/>
        </w:rPr>
      </w:pPr>
      <w:r>
        <w:rPr>
          <w:rFonts w:ascii="Arial" w:cs="Arial" w:eastAsia="Arial" w:hAnsi="Arial"/>
          <w:sz w:val="11"/>
          <w:szCs w:val="11"/>
          <w:color w:val="auto"/>
        </w:rPr>
        <w:t>Compensation for 2016, 2017 and 2018 has been fully realized. Compensation for 2019 and 2020 has only been partially realized, such that a significant portion remains realizable and is “at risk” as described in footnote 3 below.</w:t>
      </w:r>
    </w:p>
    <w:p>
      <w:pPr>
        <w:ind w:left="1740" w:hanging="262"/>
        <w:spacing w:after="0" w:line="235" w:lineRule="auto"/>
        <w:tabs>
          <w:tab w:leader="none" w:pos="1740" w:val="left"/>
        </w:tabs>
        <w:numPr>
          <w:ilvl w:val="0"/>
          <w:numId w:val="87"/>
        </w:numPr>
        <w:rPr>
          <w:rFonts w:ascii="Arial" w:cs="Arial" w:eastAsia="Arial" w:hAnsi="Arial"/>
          <w:sz w:val="15"/>
          <w:szCs w:val="15"/>
          <w:color w:val="auto"/>
          <w:vertAlign w:val="superscript"/>
        </w:rPr>
      </w:pPr>
      <w:r>
        <w:rPr>
          <w:rFonts w:ascii="Arial" w:cs="Arial" w:eastAsia="Arial" w:hAnsi="Arial"/>
          <w:sz w:val="10"/>
          <w:szCs w:val="10"/>
          <w:color w:val="auto"/>
        </w:rPr>
        <w:t>The following table includes the CPF for CTI awards actually paid and the vesting percentage of PSUs granted in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1064895</wp:posOffset>
            </wp:positionH>
            <wp:positionV relativeFrom="paragraph">
              <wp:posOffset>118745</wp:posOffset>
            </wp:positionV>
            <wp:extent cx="50800" cy="63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0800" cy="6350"/>
                    </a:xfrm>
                    <a:prstGeom prst="rect">
                      <a:avLst/>
                    </a:prstGeom>
                    <a:noFill/>
                  </pic:spPr>
                </pic:pic>
              </a:graphicData>
            </a:graphic>
          </wp:anchor>
        </w:drawing>
      </w:r>
    </w:p>
    <w:p>
      <w:pPr>
        <w:spacing w:after="0" w:line="147" w:lineRule="exact"/>
        <w:rPr>
          <w:sz w:val="20"/>
          <w:szCs w:val="20"/>
          <w:color w:val="auto"/>
        </w:rPr>
      </w:pPr>
    </w:p>
    <w:tbl>
      <w:tblPr>
        <w:tblLayout w:type="fixed"/>
        <w:tblInd w:w="1750" w:type="dxa"/>
        <w:tblCellMar>
          <w:top w:w="0" w:type="dxa"/>
          <w:left w:w="0" w:type="dxa"/>
          <w:bottom w:w="0" w:type="dxa"/>
          <w:right w:w="0" w:type="dxa"/>
        </w:tblCellMar>
      </w:tblPr>
      <w:tr>
        <w:trPr>
          <w:trHeight w:val="170"/>
        </w:trPr>
        <w:tc>
          <w:tcPr>
            <w:tcW w:w="52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1"/>
                <w:szCs w:val="11"/>
                <w:b w:val="1"/>
                <w:bCs w:val="1"/>
                <w:color w:val="auto"/>
              </w:rPr>
              <w:t>Year</w:t>
            </w:r>
          </w:p>
        </w:tc>
        <w:tc>
          <w:tcPr>
            <w:tcW w:w="860" w:type="dxa"/>
            <w:vAlign w:val="bottom"/>
            <w:tcBorders>
              <w:top w:val="single" w:sz="8" w:color="auto"/>
              <w:bottom w:val="single" w:sz="8" w:color="auto"/>
              <w:right w:val="single" w:sz="8" w:color="auto"/>
            </w:tcBorders>
          </w:tcPr>
          <w:p>
            <w:pPr>
              <w:jc w:val="right"/>
              <w:ind w:right="47"/>
              <w:spacing w:after="0"/>
              <w:rPr>
                <w:sz w:val="20"/>
                <w:szCs w:val="20"/>
                <w:color w:val="auto"/>
              </w:rPr>
            </w:pPr>
            <w:r>
              <w:rPr>
                <w:rFonts w:ascii="Arial" w:cs="Arial" w:eastAsia="Arial" w:hAnsi="Arial"/>
                <w:sz w:val="11"/>
                <w:szCs w:val="11"/>
                <w:b w:val="1"/>
                <w:bCs w:val="1"/>
                <w:color w:val="auto"/>
                <w:w w:val="96"/>
              </w:rPr>
              <w:t>CPF under CTI</w:t>
            </w:r>
          </w:p>
        </w:tc>
        <w:tc>
          <w:tcPr>
            <w:tcW w:w="10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4"/>
              </w:rPr>
              <w:t>PSUs as % of Target</w:t>
            </w:r>
          </w:p>
        </w:tc>
      </w:tr>
      <w:tr>
        <w:trPr>
          <w:trHeight w:val="159"/>
        </w:trPr>
        <w:tc>
          <w:tcPr>
            <w:tcW w:w="5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1"/>
                <w:szCs w:val="11"/>
                <w:color w:val="auto"/>
              </w:rPr>
              <w:t>2016</w:t>
            </w:r>
          </w:p>
        </w:tc>
        <w:tc>
          <w:tcPr>
            <w:tcW w:w="860" w:type="dxa"/>
            <w:vAlign w:val="bottom"/>
            <w:tcBorders>
              <w:bottom w:val="single" w:sz="8" w:color="auto"/>
              <w:right w:val="single" w:sz="8" w:color="auto"/>
            </w:tcBorders>
          </w:tcPr>
          <w:p>
            <w:pPr>
              <w:jc w:val="right"/>
              <w:ind w:right="267"/>
              <w:spacing w:after="0"/>
              <w:rPr>
                <w:sz w:val="20"/>
                <w:szCs w:val="20"/>
                <w:color w:val="auto"/>
              </w:rPr>
            </w:pPr>
            <w:r>
              <w:rPr>
                <w:rFonts w:ascii="Arial" w:cs="Arial" w:eastAsia="Arial" w:hAnsi="Arial"/>
                <w:sz w:val="11"/>
                <w:szCs w:val="11"/>
                <w:color w:val="auto"/>
              </w:rPr>
              <w:t>105%</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50%</w:t>
            </w:r>
          </w:p>
        </w:tc>
      </w:tr>
      <w:tr>
        <w:trPr>
          <w:trHeight w:val="159"/>
        </w:trPr>
        <w:tc>
          <w:tcPr>
            <w:tcW w:w="5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1"/>
                <w:szCs w:val="11"/>
                <w:color w:val="auto"/>
              </w:rPr>
              <w:t>2017</w:t>
            </w:r>
          </w:p>
        </w:tc>
        <w:tc>
          <w:tcPr>
            <w:tcW w:w="860" w:type="dxa"/>
            <w:vAlign w:val="bottom"/>
            <w:tcBorders>
              <w:bottom w:val="single" w:sz="8" w:color="auto"/>
              <w:right w:val="single" w:sz="8" w:color="auto"/>
            </w:tcBorders>
          </w:tcPr>
          <w:p>
            <w:pPr>
              <w:jc w:val="right"/>
              <w:ind w:right="267"/>
              <w:spacing w:after="0"/>
              <w:rPr>
                <w:sz w:val="20"/>
                <w:szCs w:val="20"/>
                <w:color w:val="auto"/>
              </w:rPr>
            </w:pPr>
            <w:r>
              <w:rPr>
                <w:rFonts w:ascii="Arial" w:cs="Arial" w:eastAsia="Arial" w:hAnsi="Arial"/>
                <w:sz w:val="11"/>
                <w:szCs w:val="11"/>
                <w:color w:val="auto"/>
              </w:rPr>
              <w:t>83%</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40%</w:t>
            </w:r>
          </w:p>
        </w:tc>
      </w:tr>
      <w:tr>
        <w:trPr>
          <w:trHeight w:val="159"/>
        </w:trPr>
        <w:tc>
          <w:tcPr>
            <w:tcW w:w="5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1"/>
                <w:szCs w:val="11"/>
                <w:color w:val="auto"/>
              </w:rPr>
              <w:t>2018</w:t>
            </w:r>
          </w:p>
        </w:tc>
        <w:tc>
          <w:tcPr>
            <w:tcW w:w="860" w:type="dxa"/>
            <w:vAlign w:val="bottom"/>
            <w:tcBorders>
              <w:bottom w:val="single" w:sz="8" w:color="auto"/>
              <w:right w:val="single" w:sz="8" w:color="auto"/>
            </w:tcBorders>
          </w:tcPr>
          <w:p>
            <w:pPr>
              <w:jc w:val="right"/>
              <w:ind w:right="267"/>
              <w:spacing w:after="0"/>
              <w:rPr>
                <w:sz w:val="20"/>
                <w:szCs w:val="20"/>
                <w:color w:val="auto"/>
              </w:rPr>
            </w:pPr>
            <w:r>
              <w:rPr>
                <w:rFonts w:ascii="Arial" w:cs="Arial" w:eastAsia="Arial" w:hAnsi="Arial"/>
                <w:sz w:val="11"/>
                <w:szCs w:val="11"/>
                <w:color w:val="auto"/>
              </w:rPr>
              <w:t>80%</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26%</w:t>
            </w:r>
          </w:p>
        </w:tc>
      </w:tr>
      <w:tr>
        <w:trPr>
          <w:trHeight w:val="159"/>
        </w:trPr>
        <w:tc>
          <w:tcPr>
            <w:tcW w:w="5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1"/>
                <w:szCs w:val="11"/>
                <w:color w:val="auto"/>
              </w:rPr>
              <w:t>2019</w:t>
            </w:r>
          </w:p>
        </w:tc>
        <w:tc>
          <w:tcPr>
            <w:tcW w:w="860" w:type="dxa"/>
            <w:vAlign w:val="bottom"/>
            <w:tcBorders>
              <w:bottom w:val="single" w:sz="8" w:color="auto"/>
              <w:right w:val="single" w:sz="8" w:color="auto"/>
            </w:tcBorders>
          </w:tcPr>
          <w:p>
            <w:pPr>
              <w:jc w:val="right"/>
              <w:ind w:right="267"/>
              <w:spacing w:after="0"/>
              <w:rPr>
                <w:sz w:val="20"/>
                <w:szCs w:val="20"/>
                <w:color w:val="auto"/>
              </w:rPr>
            </w:pPr>
            <w:r>
              <w:rPr>
                <w:rFonts w:ascii="Arial" w:cs="Arial" w:eastAsia="Arial" w:hAnsi="Arial"/>
                <w:sz w:val="11"/>
                <w:szCs w:val="11"/>
                <w:color w:val="auto"/>
              </w:rPr>
              <w:t>34%</w:t>
            </w:r>
          </w:p>
        </w:tc>
        <w:tc>
          <w:tcPr>
            <w:tcW w:w="1080" w:type="dxa"/>
            <w:vAlign w:val="bottom"/>
          </w:tcPr>
          <w:p>
            <w:pPr>
              <w:spacing w:after="0"/>
              <w:rPr>
                <w:sz w:val="13"/>
                <w:szCs w:val="13"/>
                <w:color w:val="auto"/>
              </w:rPr>
            </w:pPr>
          </w:p>
        </w:tc>
      </w:tr>
      <w:tr>
        <w:trPr>
          <w:trHeight w:val="159"/>
        </w:trPr>
        <w:tc>
          <w:tcPr>
            <w:tcW w:w="5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1"/>
                <w:szCs w:val="11"/>
                <w:color w:val="auto"/>
              </w:rPr>
              <w:t>2020</w:t>
            </w:r>
          </w:p>
        </w:tc>
        <w:tc>
          <w:tcPr>
            <w:tcW w:w="860" w:type="dxa"/>
            <w:vAlign w:val="bottom"/>
            <w:tcBorders>
              <w:bottom w:val="single" w:sz="8" w:color="auto"/>
              <w:right w:val="single" w:sz="8" w:color="auto"/>
            </w:tcBorders>
          </w:tcPr>
          <w:p>
            <w:pPr>
              <w:jc w:val="right"/>
              <w:ind w:right="267"/>
              <w:spacing w:after="0"/>
              <w:rPr>
                <w:sz w:val="20"/>
                <w:szCs w:val="20"/>
                <w:color w:val="auto"/>
              </w:rPr>
            </w:pPr>
            <w:r>
              <w:rPr>
                <w:rFonts w:ascii="Arial" w:cs="Arial" w:eastAsia="Arial" w:hAnsi="Arial"/>
                <w:sz w:val="11"/>
                <w:szCs w:val="11"/>
                <w:color w:val="auto"/>
              </w:rPr>
              <w:t>182%</w:t>
            </w:r>
          </w:p>
        </w:tc>
        <w:tc>
          <w:tcPr>
            <w:tcW w:w="1080" w:type="dxa"/>
            <w:vAlign w:val="bottom"/>
          </w:tcPr>
          <w:p>
            <w:pPr>
              <w:spacing w:after="0"/>
              <w:rPr>
                <w:sz w:val="13"/>
                <w:szCs w:val="13"/>
                <w:color w:val="auto"/>
              </w:rPr>
            </w:pPr>
          </w:p>
        </w:tc>
      </w:tr>
    </w:tbl>
    <w:p>
      <w:pPr>
        <w:spacing w:after="0" w:line="47" w:lineRule="exact"/>
        <w:rPr>
          <w:sz w:val="20"/>
          <w:szCs w:val="20"/>
          <w:color w:val="auto"/>
        </w:rPr>
      </w:pPr>
    </w:p>
    <w:p>
      <w:pPr>
        <w:jc w:val="both"/>
        <w:ind w:left="1740" w:right="1499" w:hanging="262"/>
        <w:spacing w:after="0" w:line="216" w:lineRule="auto"/>
        <w:tabs>
          <w:tab w:leader="none" w:pos="1740" w:val="left"/>
        </w:tabs>
        <w:numPr>
          <w:ilvl w:val="0"/>
          <w:numId w:val="88"/>
        </w:numPr>
        <w:rPr>
          <w:rFonts w:ascii="Arial" w:cs="Arial" w:eastAsia="Arial" w:hAnsi="Arial"/>
          <w:sz w:val="16"/>
          <w:szCs w:val="16"/>
          <w:color w:val="auto"/>
          <w:vertAlign w:val="superscript"/>
        </w:rPr>
      </w:pPr>
      <w:r>
        <w:rPr>
          <w:rFonts w:ascii="Arial" w:cs="Arial" w:eastAsia="Arial" w:hAnsi="Arial"/>
          <w:sz w:val="11"/>
          <w:szCs w:val="11"/>
          <w:color w:val="auto"/>
        </w:rPr>
        <w:t>The NEOs’ 2019 and 2020 compensation has not been fully realized and a significant portion remains “at-risk” as follows (representing the December 31, 2020 value of: PSUs whose performance period does not end until 2022 and 2023, respectively, and RSUs granted in each such year that remain unvested):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1064895</wp:posOffset>
            </wp:positionH>
            <wp:positionV relativeFrom="paragraph">
              <wp:posOffset>62230</wp:posOffset>
            </wp:positionV>
            <wp:extent cx="50800" cy="63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0800" cy="6350"/>
                    </a:xfrm>
                    <a:prstGeom prst="rect">
                      <a:avLst/>
                    </a:prstGeom>
                    <a:noFill/>
                  </pic:spPr>
                </pic:pic>
              </a:graphicData>
            </a:graphic>
          </wp:anchor>
        </w:drawing>
      </w:r>
    </w:p>
    <w:p>
      <w:pPr>
        <w:spacing w:after="0" w:line="58" w:lineRule="exact"/>
        <w:rPr>
          <w:sz w:val="20"/>
          <w:szCs w:val="20"/>
          <w:color w:val="auto"/>
        </w:rPr>
      </w:pPr>
    </w:p>
    <w:tbl>
      <w:tblPr>
        <w:tblLayout w:type="fixed"/>
        <w:tblInd w:w="1750" w:type="dxa"/>
        <w:tblCellMar>
          <w:top w:w="0" w:type="dxa"/>
          <w:left w:w="0" w:type="dxa"/>
          <w:bottom w:w="0" w:type="dxa"/>
          <w:right w:w="0" w:type="dxa"/>
        </w:tblCellMar>
      </w:tblPr>
      <w:tr>
        <w:trPr>
          <w:trHeight w:val="170"/>
        </w:trPr>
        <w:tc>
          <w:tcPr>
            <w:tcW w:w="52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1"/>
                <w:szCs w:val="11"/>
                <w:b w:val="1"/>
                <w:bCs w:val="1"/>
                <w:color w:val="auto"/>
              </w:rPr>
              <w:t>Year</w:t>
            </w:r>
          </w:p>
        </w:tc>
        <w:tc>
          <w:tcPr>
            <w:tcW w:w="11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5"/>
              </w:rPr>
              <w:t>Amount Still “At Risk”</w:t>
            </w:r>
          </w:p>
        </w:tc>
      </w:tr>
      <w:tr>
        <w:trPr>
          <w:trHeight w:val="159"/>
        </w:trPr>
        <w:tc>
          <w:tcPr>
            <w:tcW w:w="5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1"/>
                <w:szCs w:val="11"/>
                <w:color w:val="auto"/>
              </w:rPr>
              <w:t>2019</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1"/>
              </w:rPr>
              <w:t>$12,009,142</w:t>
            </w:r>
          </w:p>
        </w:tc>
      </w:tr>
      <w:tr>
        <w:trPr>
          <w:trHeight w:val="159"/>
        </w:trPr>
        <w:tc>
          <w:tcPr>
            <w:tcW w:w="5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1"/>
                <w:szCs w:val="11"/>
                <w:color w:val="auto"/>
              </w:rPr>
              <w:t>2020</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1"/>
              </w:rPr>
              <w:t>$13,071,738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1" w:name="page72"/>
    <w:bookmarkEnd w:id="71"/>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384810</wp:posOffset>
            </wp:positionV>
            <wp:extent cx="3843655" cy="1898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843655" cy="189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41910</wp:posOffset>
            </wp:positionV>
            <wp:extent cx="3843655" cy="63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116" w:lineRule="exact"/>
        <w:rPr>
          <w:sz w:val="20"/>
          <w:szCs w:val="20"/>
          <w:color w:val="auto"/>
        </w:rPr>
      </w:pPr>
    </w:p>
    <w:p>
      <w:pPr>
        <w:jc w:val="both"/>
        <w:ind w:left="1480" w:right="1499"/>
        <w:spacing w:after="0" w:line="244" w:lineRule="auto"/>
        <w:rPr>
          <w:sz w:val="20"/>
          <w:szCs w:val="20"/>
          <w:color w:val="auto"/>
        </w:rPr>
      </w:pPr>
      <w:r>
        <w:rPr>
          <w:rFonts w:ascii="Arial" w:cs="Arial" w:eastAsia="Arial" w:hAnsi="Arial"/>
          <w:sz w:val="13"/>
          <w:szCs w:val="13"/>
          <w:color w:val="auto"/>
        </w:rPr>
        <w:t xml:space="preserve">This section contains references to operating margin and adjusted ROIC, which are non -IFRS financial measures. See </w:t>
      </w:r>
      <w:r>
        <w:rPr>
          <w:rFonts w:ascii="Arial" w:cs="Arial" w:eastAsia="Arial" w:hAnsi="Arial"/>
          <w:sz w:val="13"/>
          <w:szCs w:val="13"/>
          <w:i w:val="1"/>
          <w:iCs w:val="1"/>
          <w:color w:val="auto"/>
        </w:rPr>
        <w:t>Compensation Discussion and Analysis — Note Regarding Non-IFRS Measures</w:t>
      </w:r>
      <w:r>
        <w:rPr>
          <w:rFonts w:ascii="Arial" w:cs="Arial" w:eastAsia="Arial" w:hAnsi="Arial"/>
          <w:sz w:val="13"/>
          <w:szCs w:val="13"/>
          <w:color w:val="auto"/>
        </w:rPr>
        <w:t xml:space="preserve"> for definitions of such non-IFRS financial measures, and where to find a discussion of the exclusions used to determine such measures, how they are used, as well as a reconciliation of historical non-IFRS operating margin and non-IFRS adjusted ROIC to the most directly comparable IFRS financial measures. These non-IFRS financial measures do not have any standardized meaning prescribed by IFRS and therefore may not be comparable to similar measures presented by other companies.</w:t>
      </w:r>
    </w:p>
    <w:p>
      <w:pPr>
        <w:spacing w:after="0" w:line="135"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38100</wp:posOffset>
            </wp:positionV>
            <wp:extent cx="3843655" cy="63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843655" cy="635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50800</wp:posOffset>
            </wp:positionV>
            <wp:extent cx="3843655" cy="63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210" w:lineRule="exact"/>
        <w:rPr>
          <w:sz w:val="20"/>
          <w:szCs w:val="20"/>
          <w:color w:val="auto"/>
        </w:rPr>
      </w:pPr>
    </w:p>
    <w:p>
      <w:pPr>
        <w:jc w:val="both"/>
        <w:ind w:left="1480" w:right="1499"/>
        <w:spacing w:after="0" w:line="269" w:lineRule="auto"/>
        <w:rPr>
          <w:sz w:val="20"/>
          <w:szCs w:val="20"/>
          <w:color w:val="auto"/>
        </w:rPr>
      </w:pPr>
      <w:r>
        <w:rPr>
          <w:rFonts w:ascii="Arial" w:cs="Arial" w:eastAsia="Arial" w:hAnsi="Arial"/>
          <w:sz w:val="13"/>
          <w:szCs w:val="13"/>
          <w:color w:val="auto"/>
        </w:rPr>
        <w:t>The following table sets forth the compensation of the NEOs for the years ended December 31, 2018 through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Table 20: Summary Compensation Table</w:t>
      </w:r>
    </w:p>
    <w:p>
      <w:pPr>
        <w:spacing w:after="0" w:line="67" w:lineRule="exact"/>
        <w:rPr>
          <w:sz w:val="20"/>
          <w:szCs w:val="20"/>
          <w:color w:val="auto"/>
        </w:rPr>
      </w:pPr>
    </w:p>
    <w:tbl>
      <w:tblPr>
        <w:tblLayout w:type="fixed"/>
        <w:tblInd w:w="1490" w:type="dxa"/>
        <w:tblCellMar>
          <w:top w:w="0" w:type="dxa"/>
          <w:left w:w="0" w:type="dxa"/>
          <w:bottom w:w="0" w:type="dxa"/>
          <w:right w:w="0" w:type="dxa"/>
        </w:tblCellMar>
      </w:tblPr>
      <w:tr>
        <w:trPr>
          <w:trHeight w:val="40"/>
        </w:trPr>
        <w:tc>
          <w:tcPr>
            <w:tcW w:w="1060" w:type="dxa"/>
            <w:vAlign w:val="bottom"/>
            <w:tcBorders>
              <w:top w:val="single" w:sz="8" w:color="auto"/>
              <w:bottom w:val="single" w:sz="8" w:color="auto"/>
            </w:tcBorders>
          </w:tcPr>
          <w:p>
            <w:pPr>
              <w:spacing w:after="0"/>
              <w:rPr>
                <w:sz w:val="3"/>
                <w:szCs w:val="3"/>
                <w:color w:val="auto"/>
              </w:rPr>
            </w:pPr>
          </w:p>
        </w:tc>
        <w:tc>
          <w:tcPr>
            <w:tcW w:w="360" w:type="dxa"/>
            <w:vAlign w:val="bottom"/>
            <w:tcBorders>
              <w:top w:val="single" w:sz="8" w:color="auto"/>
              <w:bottom w:val="single" w:sz="8" w:color="auto"/>
            </w:tcBorders>
          </w:tcPr>
          <w:p>
            <w:pPr>
              <w:spacing w:after="0"/>
              <w:rPr>
                <w:sz w:val="3"/>
                <w:szCs w:val="3"/>
                <w:color w:val="auto"/>
              </w:rPr>
            </w:pPr>
          </w:p>
        </w:tc>
        <w:tc>
          <w:tcPr>
            <w:tcW w:w="540" w:type="dxa"/>
            <w:vAlign w:val="bottom"/>
            <w:tcBorders>
              <w:top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500" w:type="dxa"/>
            <w:vAlign w:val="bottom"/>
            <w:tcBorders>
              <w:top w:val="single" w:sz="8" w:color="auto"/>
              <w:bottom w:val="single" w:sz="8" w:color="auto"/>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560" w:type="dxa"/>
            <w:vAlign w:val="bottom"/>
            <w:tcBorders>
              <w:top w:val="single" w:sz="8" w:color="auto"/>
              <w:bottom w:val="single" w:sz="8" w:color="auto"/>
            </w:tcBorders>
          </w:tcPr>
          <w:p>
            <w:pPr>
              <w:spacing w:after="0"/>
              <w:rPr>
                <w:sz w:val="3"/>
                <w:szCs w:val="3"/>
                <w:color w:val="auto"/>
              </w:rPr>
            </w:pPr>
          </w:p>
        </w:tc>
        <w:tc>
          <w:tcPr>
            <w:tcW w:w="800" w:type="dxa"/>
            <w:vAlign w:val="bottom"/>
            <w:tcBorders>
              <w:top w:val="single" w:sz="8" w:color="auto"/>
              <w:bottom w:val="single" w:sz="8" w:color="auto"/>
            </w:tcBorders>
          </w:tcPr>
          <w:p>
            <w:pPr>
              <w:spacing w:after="0"/>
              <w:rPr>
                <w:sz w:val="3"/>
                <w:szCs w:val="3"/>
                <w:color w:val="auto"/>
              </w:rPr>
            </w:pPr>
          </w:p>
        </w:tc>
        <w:tc>
          <w:tcPr>
            <w:tcW w:w="820" w:type="dxa"/>
            <w:vAlign w:val="bottom"/>
            <w:tcBorders>
              <w:top w:val="single" w:sz="8" w:color="auto"/>
              <w:bottom w:val="single" w:sz="8" w:color="auto"/>
              <w:right w:val="single" w:sz="8" w:color="auto"/>
            </w:tcBorders>
          </w:tcPr>
          <w:p>
            <w:pPr>
              <w:spacing w:after="0"/>
              <w:rPr>
                <w:sz w:val="3"/>
                <w:szCs w:val="3"/>
                <w:color w:val="auto"/>
              </w:rPr>
            </w:pPr>
          </w:p>
        </w:tc>
      </w:tr>
      <w:tr>
        <w:trPr>
          <w:trHeight w:val="147"/>
        </w:trPr>
        <w:tc>
          <w:tcPr>
            <w:tcW w:w="1060" w:type="dxa"/>
            <w:vAlign w:val="bottom"/>
            <w:tcBorders>
              <w:left w:val="single" w:sz="8" w:color="auto"/>
              <w:right w:val="single" w:sz="8" w:color="auto"/>
            </w:tcBorders>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ind w:right="7"/>
              <w:spacing w:after="0"/>
              <w:rPr>
                <w:sz w:val="20"/>
                <w:szCs w:val="20"/>
                <w:color w:val="auto"/>
              </w:rPr>
            </w:pPr>
            <w:r>
              <w:rPr>
                <w:rFonts w:ascii="Arial" w:cs="Arial" w:eastAsia="Arial" w:hAnsi="Arial"/>
                <w:sz w:val="11"/>
                <w:szCs w:val="11"/>
                <w:b w:val="1"/>
                <w:bCs w:val="1"/>
                <w:color w:val="auto"/>
                <w:w w:val="83"/>
              </w:rPr>
              <w:t>Non-equity</w:t>
            </w:r>
          </w:p>
        </w:tc>
        <w:tc>
          <w:tcPr>
            <w:tcW w:w="5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19"/>
        </w:trPr>
        <w:tc>
          <w:tcPr>
            <w:tcW w:w="1060" w:type="dxa"/>
            <w:vAlign w:val="bottom"/>
            <w:tcBorders>
              <w:left w:val="single" w:sz="8" w:color="auto"/>
              <w:right w:val="single" w:sz="8" w:color="auto"/>
            </w:tcBorders>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jc w:val="center"/>
              <w:ind w:right="27"/>
              <w:spacing w:after="0" w:line="120" w:lineRule="exact"/>
              <w:rPr>
                <w:sz w:val="20"/>
                <w:szCs w:val="20"/>
                <w:color w:val="auto"/>
              </w:rPr>
            </w:pPr>
            <w:r>
              <w:rPr>
                <w:rFonts w:ascii="Arial" w:cs="Arial" w:eastAsia="Arial" w:hAnsi="Arial"/>
                <w:sz w:val="11"/>
                <w:szCs w:val="11"/>
                <w:b w:val="1"/>
                <w:bCs w:val="1"/>
                <w:color w:val="auto"/>
                <w:w w:val="83"/>
              </w:rPr>
              <w:t>Incentive Plan</w:t>
            </w:r>
          </w:p>
        </w:tc>
        <w:tc>
          <w:tcPr>
            <w:tcW w:w="56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r>
      <w:tr>
        <w:trPr>
          <w:trHeight w:val="147"/>
        </w:trPr>
        <w:tc>
          <w:tcPr>
            <w:tcW w:w="1060" w:type="dxa"/>
            <w:vAlign w:val="bottom"/>
            <w:tcBorders>
              <w:left w:val="single" w:sz="8" w:color="auto"/>
              <w:right w:val="single" w:sz="8" w:color="auto"/>
            </w:tcBorders>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1"/>
              </w:rPr>
              <w:t>Compensation</w:t>
            </w:r>
          </w:p>
        </w:tc>
        <w:tc>
          <w:tcPr>
            <w:tcW w:w="5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51"/>
        </w:trPr>
        <w:tc>
          <w:tcPr>
            <w:tcW w:w="1060" w:type="dxa"/>
            <w:vAlign w:val="bottom"/>
            <w:tcBorders>
              <w:left w:val="single" w:sz="8" w:color="auto"/>
              <w:right w:val="single" w:sz="8" w:color="auto"/>
            </w:tcBorders>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jc w:val="center"/>
              <w:ind w:right="8"/>
              <w:spacing w:after="0"/>
              <w:rPr>
                <w:sz w:val="20"/>
                <w:szCs w:val="20"/>
                <w:color w:val="auto"/>
              </w:rPr>
            </w:pPr>
            <w:r>
              <w:rPr>
                <w:rFonts w:ascii="Arial" w:cs="Arial" w:eastAsia="Arial" w:hAnsi="Arial"/>
                <w:sz w:val="11"/>
                <w:szCs w:val="11"/>
                <w:b w:val="1"/>
                <w:bCs w:val="1"/>
                <w:color w:val="auto"/>
                <w:w w:val="87"/>
              </w:rPr>
              <w:t>Share-</w:t>
            </w:r>
          </w:p>
        </w:tc>
        <w:tc>
          <w:tcPr>
            <w:tcW w:w="500" w:type="dxa"/>
            <w:vAlign w:val="bottom"/>
            <w:tcBorders>
              <w:right w:val="single" w:sz="8" w:color="auto"/>
            </w:tcBorders>
          </w:tcPr>
          <w:p>
            <w:pPr>
              <w:jc w:val="center"/>
              <w:ind w:right="27"/>
              <w:spacing w:after="0"/>
              <w:rPr>
                <w:sz w:val="20"/>
                <w:szCs w:val="20"/>
                <w:color w:val="auto"/>
              </w:rPr>
            </w:pPr>
            <w:r>
              <w:rPr>
                <w:rFonts w:ascii="Arial" w:cs="Arial" w:eastAsia="Arial" w:hAnsi="Arial"/>
                <w:sz w:val="11"/>
                <w:szCs w:val="11"/>
                <w:b w:val="1"/>
                <w:bCs w:val="1"/>
                <w:color w:val="auto"/>
                <w:w w:val="86"/>
              </w:rPr>
              <w:t>Option-</w:t>
            </w:r>
          </w:p>
        </w:tc>
        <w:tc>
          <w:tcPr>
            <w:tcW w:w="780" w:type="dxa"/>
            <w:vAlign w:val="bottom"/>
            <w:tcBorders>
              <w:right w:val="single" w:sz="8" w:color="auto"/>
            </w:tcBorders>
          </w:tcPr>
          <w:p>
            <w:pPr>
              <w:jc w:val="center"/>
              <w:ind w:right="7"/>
              <w:spacing w:after="0"/>
              <w:rPr>
                <w:sz w:val="20"/>
                <w:szCs w:val="20"/>
                <w:color w:val="auto"/>
              </w:rPr>
            </w:pPr>
            <w:r>
              <w:rPr>
                <w:rFonts w:ascii="Arial" w:cs="Arial" w:eastAsia="Arial" w:hAnsi="Arial"/>
                <w:sz w:val="11"/>
                <w:szCs w:val="11"/>
                <w:b w:val="1"/>
                <w:bCs w:val="1"/>
                <w:color w:val="auto"/>
                <w:w w:val="85"/>
              </w:rPr>
              <w:t>Annual</w:t>
            </w:r>
          </w:p>
        </w:tc>
        <w:tc>
          <w:tcPr>
            <w:tcW w:w="56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r>
      <w:tr>
        <w:trPr>
          <w:trHeight w:val="119"/>
        </w:trPr>
        <w:tc>
          <w:tcPr>
            <w:tcW w:w="1060" w:type="dxa"/>
            <w:vAlign w:val="bottom"/>
            <w:tcBorders>
              <w:left w:val="single" w:sz="8" w:color="auto"/>
              <w:right w:val="single" w:sz="8" w:color="auto"/>
            </w:tcBorders>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jc w:val="center"/>
              <w:ind w:right="8"/>
              <w:spacing w:after="0" w:line="120" w:lineRule="exact"/>
              <w:rPr>
                <w:sz w:val="20"/>
                <w:szCs w:val="20"/>
                <w:color w:val="auto"/>
              </w:rPr>
            </w:pPr>
            <w:r>
              <w:rPr>
                <w:rFonts w:ascii="Arial" w:cs="Arial" w:eastAsia="Arial" w:hAnsi="Arial"/>
                <w:sz w:val="11"/>
                <w:szCs w:val="11"/>
                <w:b w:val="1"/>
                <w:bCs w:val="1"/>
                <w:color w:val="auto"/>
                <w:w w:val="81"/>
              </w:rPr>
              <w:t>based</w:t>
            </w:r>
          </w:p>
        </w:tc>
        <w:tc>
          <w:tcPr>
            <w:tcW w:w="500" w:type="dxa"/>
            <w:vAlign w:val="bottom"/>
            <w:tcBorders>
              <w:right w:val="single" w:sz="8" w:color="auto"/>
            </w:tcBorders>
          </w:tcPr>
          <w:p>
            <w:pPr>
              <w:jc w:val="center"/>
              <w:ind w:right="27"/>
              <w:spacing w:after="0" w:line="120" w:lineRule="exact"/>
              <w:rPr>
                <w:sz w:val="20"/>
                <w:szCs w:val="20"/>
                <w:color w:val="auto"/>
              </w:rPr>
            </w:pPr>
            <w:r>
              <w:rPr>
                <w:rFonts w:ascii="Arial" w:cs="Arial" w:eastAsia="Arial" w:hAnsi="Arial"/>
                <w:sz w:val="11"/>
                <w:szCs w:val="11"/>
                <w:b w:val="1"/>
                <w:bCs w:val="1"/>
                <w:color w:val="auto"/>
                <w:w w:val="81"/>
              </w:rPr>
              <w:t>based</w:t>
            </w:r>
          </w:p>
        </w:tc>
        <w:tc>
          <w:tcPr>
            <w:tcW w:w="780" w:type="dxa"/>
            <w:vAlign w:val="bottom"/>
            <w:tcBorders>
              <w:right w:val="single" w:sz="8" w:color="auto"/>
            </w:tcBorders>
          </w:tcPr>
          <w:p>
            <w:pPr>
              <w:jc w:val="center"/>
              <w:ind w:right="7"/>
              <w:spacing w:after="0" w:line="120" w:lineRule="exact"/>
              <w:rPr>
                <w:sz w:val="20"/>
                <w:szCs w:val="20"/>
                <w:color w:val="auto"/>
              </w:rPr>
            </w:pPr>
            <w:r>
              <w:rPr>
                <w:rFonts w:ascii="Arial" w:cs="Arial" w:eastAsia="Arial" w:hAnsi="Arial"/>
                <w:sz w:val="11"/>
                <w:szCs w:val="11"/>
                <w:b w:val="1"/>
                <w:bCs w:val="1"/>
                <w:color w:val="auto"/>
                <w:w w:val="83"/>
              </w:rPr>
              <w:t>Incentive</w:t>
            </w:r>
          </w:p>
        </w:tc>
        <w:tc>
          <w:tcPr>
            <w:tcW w:w="560" w:type="dxa"/>
            <w:vAlign w:val="bottom"/>
            <w:tcBorders>
              <w:right w:val="single" w:sz="8" w:color="auto"/>
            </w:tcBorders>
          </w:tcPr>
          <w:p>
            <w:pPr>
              <w:jc w:val="center"/>
              <w:ind w:right="7"/>
              <w:spacing w:after="0" w:line="120" w:lineRule="exact"/>
              <w:rPr>
                <w:sz w:val="20"/>
                <w:szCs w:val="20"/>
                <w:color w:val="auto"/>
              </w:rPr>
            </w:pPr>
            <w:r>
              <w:rPr>
                <w:rFonts w:ascii="Arial" w:cs="Arial" w:eastAsia="Arial" w:hAnsi="Arial"/>
                <w:sz w:val="11"/>
                <w:szCs w:val="11"/>
                <w:b w:val="1"/>
                <w:bCs w:val="1"/>
                <w:color w:val="auto"/>
                <w:w w:val="79"/>
              </w:rPr>
              <w:t>Pension</w:t>
            </w:r>
          </w:p>
        </w:tc>
        <w:tc>
          <w:tcPr>
            <w:tcW w:w="800" w:type="dxa"/>
            <w:vAlign w:val="bottom"/>
            <w:tcBorders>
              <w:right w:val="single" w:sz="8" w:color="auto"/>
            </w:tcBorders>
          </w:tcPr>
          <w:p>
            <w:pPr>
              <w:jc w:val="center"/>
              <w:ind w:right="7"/>
              <w:spacing w:after="0" w:line="120" w:lineRule="exact"/>
              <w:rPr>
                <w:sz w:val="20"/>
                <w:szCs w:val="20"/>
                <w:color w:val="auto"/>
              </w:rPr>
            </w:pPr>
            <w:r>
              <w:rPr>
                <w:rFonts w:ascii="Arial" w:cs="Arial" w:eastAsia="Arial" w:hAnsi="Arial"/>
                <w:sz w:val="11"/>
                <w:szCs w:val="11"/>
                <w:b w:val="1"/>
                <w:bCs w:val="1"/>
                <w:color w:val="auto"/>
                <w:w w:val="90"/>
              </w:rPr>
              <w:t>All Other</w:t>
            </w:r>
          </w:p>
        </w:tc>
        <w:tc>
          <w:tcPr>
            <w:tcW w:w="820" w:type="dxa"/>
            <w:vAlign w:val="bottom"/>
            <w:tcBorders>
              <w:right w:val="single" w:sz="8" w:color="auto"/>
            </w:tcBorders>
          </w:tcPr>
          <w:p>
            <w:pPr>
              <w:jc w:val="center"/>
              <w:ind w:right="27"/>
              <w:spacing w:after="0" w:line="120" w:lineRule="exact"/>
              <w:rPr>
                <w:sz w:val="20"/>
                <w:szCs w:val="20"/>
                <w:color w:val="auto"/>
              </w:rPr>
            </w:pPr>
            <w:r>
              <w:rPr>
                <w:rFonts w:ascii="Arial" w:cs="Arial" w:eastAsia="Arial" w:hAnsi="Arial"/>
                <w:sz w:val="11"/>
                <w:szCs w:val="11"/>
                <w:b w:val="1"/>
                <w:bCs w:val="1"/>
                <w:color w:val="auto"/>
                <w:w w:val="83"/>
              </w:rPr>
              <w:t>Total</w:t>
            </w:r>
          </w:p>
        </w:tc>
      </w:tr>
      <w:tr>
        <w:trPr>
          <w:trHeight w:val="117"/>
        </w:trPr>
        <w:tc>
          <w:tcPr>
            <w:tcW w:w="1060" w:type="dxa"/>
            <w:vAlign w:val="bottom"/>
            <w:tcBorders>
              <w:left w:val="single" w:sz="8" w:color="auto"/>
              <w:right w:val="single" w:sz="8" w:color="auto"/>
            </w:tcBorders>
          </w:tcPr>
          <w:p>
            <w:pPr>
              <w:ind w:left="80"/>
              <w:spacing w:after="0" w:line="117" w:lineRule="exact"/>
              <w:rPr>
                <w:sz w:val="20"/>
                <w:szCs w:val="20"/>
                <w:color w:val="auto"/>
              </w:rPr>
            </w:pPr>
            <w:r>
              <w:rPr>
                <w:rFonts w:ascii="Arial" w:cs="Arial" w:eastAsia="Arial" w:hAnsi="Arial"/>
                <w:sz w:val="11"/>
                <w:szCs w:val="11"/>
                <w:b w:val="1"/>
                <w:bCs w:val="1"/>
                <w:color w:val="auto"/>
              </w:rPr>
              <w:t>Name &amp; Principal</w:t>
            </w:r>
          </w:p>
        </w:tc>
        <w:tc>
          <w:tcPr>
            <w:tcW w:w="360" w:type="dxa"/>
            <w:vAlign w:val="bottom"/>
            <w:tcBorders>
              <w:right w:val="single" w:sz="8" w:color="auto"/>
            </w:tcBorders>
          </w:tcPr>
          <w:p>
            <w:pPr>
              <w:spacing w:after="0"/>
              <w:rPr>
                <w:sz w:val="10"/>
                <w:szCs w:val="10"/>
                <w:color w:val="auto"/>
              </w:rPr>
            </w:pPr>
          </w:p>
        </w:tc>
        <w:tc>
          <w:tcPr>
            <w:tcW w:w="540" w:type="dxa"/>
            <w:vAlign w:val="bottom"/>
            <w:tcBorders>
              <w:right w:val="single" w:sz="8" w:color="auto"/>
            </w:tcBorders>
          </w:tcPr>
          <w:p>
            <w:pPr>
              <w:ind w:left="100"/>
              <w:spacing w:after="0" w:line="117" w:lineRule="exact"/>
              <w:rPr>
                <w:sz w:val="20"/>
                <w:szCs w:val="20"/>
                <w:color w:val="auto"/>
              </w:rPr>
            </w:pPr>
            <w:r>
              <w:rPr>
                <w:rFonts w:ascii="Arial" w:cs="Arial" w:eastAsia="Arial" w:hAnsi="Arial"/>
                <w:sz w:val="11"/>
                <w:szCs w:val="11"/>
                <w:b w:val="1"/>
                <w:bCs w:val="1"/>
                <w:color w:val="auto"/>
              </w:rPr>
              <w:t>Salary</w:t>
            </w:r>
          </w:p>
        </w:tc>
        <w:tc>
          <w:tcPr>
            <w:tcW w:w="640" w:type="dxa"/>
            <w:vAlign w:val="bottom"/>
            <w:tcBorders>
              <w:right w:val="single" w:sz="8" w:color="auto"/>
            </w:tcBorders>
          </w:tcPr>
          <w:p>
            <w:pPr>
              <w:jc w:val="center"/>
              <w:ind w:right="8"/>
              <w:spacing w:after="0" w:line="117" w:lineRule="exact"/>
              <w:rPr>
                <w:sz w:val="20"/>
                <w:szCs w:val="20"/>
                <w:color w:val="auto"/>
              </w:rPr>
            </w:pPr>
            <w:r>
              <w:rPr>
                <w:rFonts w:ascii="Arial" w:cs="Arial" w:eastAsia="Arial" w:hAnsi="Arial"/>
                <w:sz w:val="11"/>
                <w:szCs w:val="11"/>
                <w:b w:val="1"/>
                <w:bCs w:val="1"/>
                <w:color w:val="auto"/>
                <w:w w:val="85"/>
              </w:rPr>
              <w:t>Awards</w:t>
            </w:r>
          </w:p>
        </w:tc>
        <w:tc>
          <w:tcPr>
            <w:tcW w:w="500" w:type="dxa"/>
            <w:vAlign w:val="bottom"/>
            <w:tcBorders>
              <w:right w:val="single" w:sz="8" w:color="auto"/>
            </w:tcBorders>
          </w:tcPr>
          <w:p>
            <w:pPr>
              <w:jc w:val="center"/>
              <w:ind w:right="27"/>
              <w:spacing w:after="0" w:line="117" w:lineRule="exact"/>
              <w:rPr>
                <w:sz w:val="20"/>
                <w:szCs w:val="20"/>
                <w:color w:val="auto"/>
              </w:rPr>
            </w:pPr>
            <w:r>
              <w:rPr>
                <w:rFonts w:ascii="Arial" w:cs="Arial" w:eastAsia="Arial" w:hAnsi="Arial"/>
                <w:sz w:val="11"/>
                <w:szCs w:val="11"/>
                <w:b w:val="1"/>
                <w:bCs w:val="1"/>
                <w:color w:val="auto"/>
                <w:w w:val="85"/>
              </w:rPr>
              <w:t>Awards</w:t>
            </w:r>
          </w:p>
        </w:tc>
        <w:tc>
          <w:tcPr>
            <w:tcW w:w="780" w:type="dxa"/>
            <w:vAlign w:val="bottom"/>
            <w:tcBorders>
              <w:right w:val="single" w:sz="8" w:color="auto"/>
            </w:tcBorders>
          </w:tcPr>
          <w:p>
            <w:pPr>
              <w:jc w:val="center"/>
              <w:ind w:right="7"/>
              <w:spacing w:after="0" w:line="117" w:lineRule="exact"/>
              <w:rPr>
                <w:sz w:val="20"/>
                <w:szCs w:val="20"/>
                <w:color w:val="auto"/>
              </w:rPr>
            </w:pPr>
            <w:r>
              <w:rPr>
                <w:rFonts w:ascii="Arial" w:cs="Arial" w:eastAsia="Arial" w:hAnsi="Arial"/>
                <w:sz w:val="11"/>
                <w:szCs w:val="11"/>
                <w:b w:val="1"/>
                <w:bCs w:val="1"/>
                <w:color w:val="auto"/>
                <w:w w:val="81"/>
              </w:rPr>
              <w:t>Plans</w:t>
            </w:r>
          </w:p>
        </w:tc>
        <w:tc>
          <w:tcPr>
            <w:tcW w:w="560" w:type="dxa"/>
            <w:vAlign w:val="bottom"/>
            <w:tcBorders>
              <w:right w:val="single" w:sz="8" w:color="auto"/>
            </w:tcBorders>
          </w:tcPr>
          <w:p>
            <w:pPr>
              <w:jc w:val="center"/>
              <w:ind w:right="27"/>
              <w:spacing w:after="0" w:line="117" w:lineRule="exact"/>
              <w:rPr>
                <w:sz w:val="20"/>
                <w:szCs w:val="20"/>
                <w:color w:val="auto"/>
              </w:rPr>
            </w:pPr>
            <w:r>
              <w:rPr>
                <w:rFonts w:ascii="Arial" w:cs="Arial" w:eastAsia="Arial" w:hAnsi="Arial"/>
                <w:sz w:val="11"/>
                <w:szCs w:val="11"/>
                <w:b w:val="1"/>
                <w:bCs w:val="1"/>
                <w:color w:val="auto"/>
                <w:w w:val="81"/>
              </w:rPr>
              <w:t>Value</w:t>
            </w:r>
          </w:p>
        </w:tc>
        <w:tc>
          <w:tcPr>
            <w:tcW w:w="800" w:type="dxa"/>
            <w:vAlign w:val="bottom"/>
            <w:tcBorders>
              <w:right w:val="single" w:sz="8" w:color="auto"/>
            </w:tcBorders>
          </w:tcPr>
          <w:p>
            <w:pPr>
              <w:jc w:val="center"/>
              <w:ind w:right="7"/>
              <w:spacing w:after="0" w:line="117" w:lineRule="exact"/>
              <w:rPr>
                <w:sz w:val="20"/>
                <w:szCs w:val="20"/>
                <w:color w:val="auto"/>
              </w:rPr>
            </w:pPr>
            <w:r>
              <w:rPr>
                <w:rFonts w:ascii="Arial" w:cs="Arial" w:eastAsia="Arial" w:hAnsi="Arial"/>
                <w:sz w:val="11"/>
                <w:szCs w:val="11"/>
                <w:b w:val="1"/>
                <w:bCs w:val="1"/>
                <w:color w:val="auto"/>
                <w:w w:val="81"/>
              </w:rPr>
              <w:t>Compensation</w:t>
            </w:r>
          </w:p>
        </w:tc>
        <w:tc>
          <w:tcPr>
            <w:tcW w:w="820" w:type="dxa"/>
            <w:vAlign w:val="bottom"/>
            <w:tcBorders>
              <w:right w:val="single" w:sz="8" w:color="auto"/>
            </w:tcBorders>
          </w:tcPr>
          <w:p>
            <w:pPr>
              <w:jc w:val="center"/>
              <w:ind w:right="7"/>
              <w:spacing w:after="0" w:line="117" w:lineRule="exact"/>
              <w:rPr>
                <w:sz w:val="20"/>
                <w:szCs w:val="20"/>
                <w:color w:val="auto"/>
              </w:rPr>
            </w:pPr>
            <w:r>
              <w:rPr>
                <w:rFonts w:ascii="Arial" w:cs="Arial" w:eastAsia="Arial" w:hAnsi="Arial"/>
                <w:sz w:val="11"/>
                <w:szCs w:val="11"/>
                <w:b w:val="1"/>
                <w:bCs w:val="1"/>
                <w:color w:val="auto"/>
                <w:w w:val="83"/>
              </w:rPr>
              <w:t>Compensation</w:t>
            </w:r>
          </w:p>
        </w:tc>
      </w:tr>
      <w:tr>
        <w:trPr>
          <w:trHeight w:val="169"/>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1"/>
                <w:szCs w:val="11"/>
                <w:b w:val="1"/>
                <w:bCs w:val="1"/>
                <w:color w:val="auto"/>
              </w:rPr>
              <w:t>Position</w:t>
            </w:r>
          </w:p>
        </w:tc>
        <w:tc>
          <w:tcPr>
            <w:tcW w:w="360" w:type="dxa"/>
            <w:vAlign w:val="bottom"/>
            <w:tcBorders>
              <w:bottom w:val="single" w:sz="8" w:color="auto"/>
              <w:right w:val="single" w:sz="8" w:color="auto"/>
            </w:tcBorders>
          </w:tcPr>
          <w:p>
            <w:pPr>
              <w:jc w:val="right"/>
              <w:ind w:right="47"/>
              <w:spacing w:after="0"/>
              <w:rPr>
                <w:sz w:val="20"/>
                <w:szCs w:val="20"/>
                <w:color w:val="auto"/>
              </w:rPr>
            </w:pPr>
            <w:r>
              <w:rPr>
                <w:rFonts w:ascii="Arial" w:cs="Arial" w:eastAsia="Arial" w:hAnsi="Arial"/>
                <w:sz w:val="11"/>
                <w:szCs w:val="11"/>
                <w:b w:val="1"/>
                <w:bCs w:val="1"/>
                <w:color w:val="auto"/>
              </w:rPr>
              <w:t>Year</w:t>
            </w:r>
          </w:p>
        </w:tc>
        <w:tc>
          <w:tcPr>
            <w:tcW w:w="540" w:type="dxa"/>
            <w:vAlign w:val="bottom"/>
            <w:tcBorders>
              <w:bottom w:val="single" w:sz="8" w:color="auto"/>
              <w:right w:val="single" w:sz="8" w:color="auto"/>
            </w:tcBorders>
          </w:tcPr>
          <w:p>
            <w:pPr>
              <w:jc w:val="center"/>
              <w:ind w:right="7"/>
              <w:spacing w:after="0"/>
              <w:rPr>
                <w:sz w:val="20"/>
                <w:szCs w:val="20"/>
                <w:color w:val="auto"/>
              </w:rPr>
            </w:pPr>
            <w:r>
              <w:rPr>
                <w:rFonts w:ascii="Arial" w:cs="Arial" w:eastAsia="Arial" w:hAnsi="Arial"/>
                <w:sz w:val="11"/>
                <w:szCs w:val="11"/>
                <w:b w:val="1"/>
                <w:bCs w:val="1"/>
                <w:color w:val="auto"/>
                <w:w w:val="88"/>
              </w:rPr>
              <w:t>($)</w:t>
            </w:r>
          </w:p>
        </w:tc>
        <w:tc>
          <w:tcPr>
            <w:tcW w:w="640" w:type="dxa"/>
            <w:vAlign w:val="bottom"/>
            <w:tcBorders>
              <w:bottom w:val="single" w:sz="8" w:color="auto"/>
              <w:right w:val="single" w:sz="8" w:color="auto"/>
            </w:tcBorders>
          </w:tcPr>
          <w:p>
            <w:pPr>
              <w:jc w:val="center"/>
              <w:spacing w:after="0" w:line="169" w:lineRule="exact"/>
              <w:rPr>
                <w:sz w:val="20"/>
                <w:szCs w:val="20"/>
                <w:color w:val="auto"/>
              </w:rPr>
            </w:pPr>
            <w:r>
              <w:rPr>
                <w:rFonts w:ascii="Arial" w:cs="Arial" w:eastAsia="Arial" w:hAnsi="Arial"/>
                <w:sz w:val="19"/>
                <w:szCs w:val="19"/>
                <w:b w:val="1"/>
                <w:bCs w:val="1"/>
                <w:color w:val="auto"/>
                <w:w w:val="85"/>
                <w:vertAlign w:val="subscript"/>
              </w:rPr>
              <w:t>($)</w:t>
            </w:r>
            <w:r>
              <w:rPr>
                <w:rFonts w:ascii="Arial" w:cs="Arial" w:eastAsia="Arial" w:hAnsi="Arial"/>
                <w:sz w:val="7"/>
                <w:szCs w:val="7"/>
                <w:b w:val="1"/>
                <w:bCs w:val="1"/>
                <w:color w:val="auto"/>
                <w:w w:val="85"/>
              </w:rPr>
              <w:t>(1)(2)</w:t>
            </w:r>
          </w:p>
        </w:tc>
        <w:tc>
          <w:tcPr>
            <w:tcW w:w="500" w:type="dxa"/>
            <w:vAlign w:val="bottom"/>
            <w:tcBorders>
              <w:bottom w:val="single" w:sz="8" w:color="auto"/>
              <w:right w:val="single" w:sz="8" w:color="auto"/>
            </w:tcBorders>
          </w:tcPr>
          <w:p>
            <w:pPr>
              <w:jc w:val="center"/>
              <w:spacing w:after="0" w:line="169" w:lineRule="exact"/>
              <w:rPr>
                <w:sz w:val="20"/>
                <w:szCs w:val="20"/>
                <w:color w:val="auto"/>
              </w:rPr>
            </w:pPr>
            <w:r>
              <w:rPr>
                <w:rFonts w:ascii="Arial" w:cs="Arial" w:eastAsia="Arial" w:hAnsi="Arial"/>
                <w:sz w:val="11"/>
                <w:szCs w:val="11"/>
                <w:b w:val="1"/>
                <w:bCs w:val="1"/>
                <w:color w:val="auto"/>
                <w:w w:val="85"/>
              </w:rPr>
              <w:t>($)</w:t>
            </w:r>
            <w:r>
              <w:rPr>
                <w:rFonts w:ascii="Arial" w:cs="Arial" w:eastAsia="Arial" w:hAnsi="Arial"/>
                <w:sz w:val="15"/>
                <w:szCs w:val="15"/>
                <w:b w:val="1"/>
                <w:bCs w:val="1"/>
                <w:color w:val="auto"/>
                <w:w w:val="85"/>
                <w:vertAlign w:val="superscript"/>
              </w:rPr>
              <w:t>(3)</w:t>
            </w:r>
          </w:p>
        </w:tc>
        <w:tc>
          <w:tcPr>
            <w:tcW w:w="780" w:type="dxa"/>
            <w:vAlign w:val="bottom"/>
            <w:tcBorders>
              <w:bottom w:val="single" w:sz="8" w:color="auto"/>
              <w:right w:val="single" w:sz="8" w:color="auto"/>
            </w:tcBorders>
          </w:tcPr>
          <w:p>
            <w:pPr>
              <w:jc w:val="center"/>
              <w:spacing w:after="0" w:line="169" w:lineRule="exact"/>
              <w:rPr>
                <w:sz w:val="20"/>
                <w:szCs w:val="20"/>
                <w:color w:val="auto"/>
              </w:rPr>
            </w:pPr>
            <w:r>
              <w:rPr>
                <w:rFonts w:ascii="Arial" w:cs="Arial" w:eastAsia="Arial" w:hAnsi="Arial"/>
                <w:sz w:val="11"/>
                <w:szCs w:val="11"/>
                <w:b w:val="1"/>
                <w:bCs w:val="1"/>
                <w:color w:val="auto"/>
                <w:w w:val="85"/>
              </w:rPr>
              <w:t>($)</w:t>
            </w:r>
            <w:r>
              <w:rPr>
                <w:rFonts w:ascii="Arial" w:cs="Arial" w:eastAsia="Arial" w:hAnsi="Arial"/>
                <w:sz w:val="15"/>
                <w:szCs w:val="15"/>
                <w:b w:val="1"/>
                <w:bCs w:val="1"/>
                <w:color w:val="auto"/>
                <w:w w:val="85"/>
                <w:vertAlign w:val="superscript"/>
              </w:rPr>
              <w:t>(4)</w:t>
            </w:r>
          </w:p>
        </w:tc>
        <w:tc>
          <w:tcPr>
            <w:tcW w:w="560" w:type="dxa"/>
            <w:vAlign w:val="bottom"/>
            <w:tcBorders>
              <w:bottom w:val="single" w:sz="8" w:color="auto"/>
              <w:right w:val="single" w:sz="8" w:color="auto"/>
            </w:tcBorders>
          </w:tcPr>
          <w:p>
            <w:pPr>
              <w:jc w:val="center"/>
              <w:spacing w:after="0" w:line="169" w:lineRule="exact"/>
              <w:rPr>
                <w:sz w:val="20"/>
                <w:szCs w:val="20"/>
                <w:color w:val="auto"/>
              </w:rPr>
            </w:pPr>
            <w:r>
              <w:rPr>
                <w:rFonts w:ascii="Arial" w:cs="Arial" w:eastAsia="Arial" w:hAnsi="Arial"/>
                <w:sz w:val="11"/>
                <w:szCs w:val="11"/>
                <w:b w:val="1"/>
                <w:bCs w:val="1"/>
                <w:color w:val="auto"/>
                <w:w w:val="77"/>
              </w:rPr>
              <w:t>($)</w:t>
            </w:r>
            <w:r>
              <w:rPr>
                <w:rFonts w:ascii="Arial" w:cs="Arial" w:eastAsia="Arial" w:hAnsi="Arial"/>
                <w:sz w:val="15"/>
                <w:szCs w:val="15"/>
                <w:b w:val="1"/>
                <w:bCs w:val="1"/>
                <w:color w:val="auto"/>
                <w:w w:val="77"/>
                <w:vertAlign w:val="superscript"/>
              </w:rPr>
              <w:t>(5)</w:t>
            </w:r>
          </w:p>
        </w:tc>
        <w:tc>
          <w:tcPr>
            <w:tcW w:w="800" w:type="dxa"/>
            <w:vAlign w:val="bottom"/>
            <w:tcBorders>
              <w:bottom w:val="single" w:sz="8" w:color="auto"/>
              <w:right w:val="single" w:sz="8" w:color="auto"/>
            </w:tcBorders>
          </w:tcPr>
          <w:p>
            <w:pPr>
              <w:jc w:val="center"/>
              <w:spacing w:after="0" w:line="169" w:lineRule="exact"/>
              <w:rPr>
                <w:sz w:val="20"/>
                <w:szCs w:val="20"/>
                <w:color w:val="auto"/>
              </w:rPr>
            </w:pPr>
            <w:r>
              <w:rPr>
                <w:rFonts w:ascii="Arial" w:cs="Arial" w:eastAsia="Arial" w:hAnsi="Arial"/>
                <w:sz w:val="11"/>
                <w:szCs w:val="11"/>
                <w:b w:val="1"/>
                <w:bCs w:val="1"/>
                <w:color w:val="auto"/>
                <w:w w:val="77"/>
              </w:rPr>
              <w:t>($)</w:t>
            </w:r>
            <w:r>
              <w:rPr>
                <w:rFonts w:ascii="Arial" w:cs="Arial" w:eastAsia="Arial" w:hAnsi="Arial"/>
                <w:sz w:val="15"/>
                <w:szCs w:val="15"/>
                <w:b w:val="1"/>
                <w:bCs w:val="1"/>
                <w:color w:val="auto"/>
                <w:w w:val="77"/>
                <w:vertAlign w:val="superscript"/>
              </w:rPr>
              <w:t>(6)</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w:t>
            </w:r>
          </w:p>
        </w:tc>
      </w:tr>
      <w:tr>
        <w:trPr>
          <w:trHeight w:val="161"/>
        </w:trPr>
        <w:tc>
          <w:tcPr>
            <w:tcW w:w="1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1"/>
                <w:szCs w:val="11"/>
                <w:color w:val="auto"/>
              </w:rPr>
              <w:t>Robert A. Mionis</w:t>
            </w:r>
          </w:p>
        </w:tc>
        <w:tc>
          <w:tcPr>
            <w:tcW w:w="360" w:type="dxa"/>
            <w:vAlign w:val="bottom"/>
            <w:tcBorders>
              <w:right w:val="single" w:sz="8" w:color="auto"/>
            </w:tcBorders>
          </w:tcPr>
          <w:p>
            <w:pPr>
              <w:jc w:val="right"/>
              <w:ind w:right="47"/>
              <w:spacing w:after="0"/>
              <w:rPr>
                <w:sz w:val="20"/>
                <w:szCs w:val="20"/>
                <w:color w:val="auto"/>
              </w:rPr>
            </w:pPr>
            <w:r>
              <w:rPr>
                <w:rFonts w:ascii="Arial" w:cs="Arial" w:eastAsia="Arial" w:hAnsi="Arial"/>
                <w:sz w:val="11"/>
                <w:szCs w:val="11"/>
                <w:color w:val="auto"/>
                <w:w w:val="97"/>
              </w:rPr>
              <w:t>2020</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$950,000</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$7,200,000</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$2,375,000</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$89,735</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$500,220</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8"/>
              </w:rPr>
              <w:t>$11,114,955</w:t>
            </w:r>
          </w:p>
        </w:tc>
      </w:tr>
      <w:tr>
        <w:trPr>
          <w:trHeight w:val="139"/>
        </w:trPr>
        <w:tc>
          <w:tcPr>
            <w:tcW w:w="1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1"/>
                <w:szCs w:val="11"/>
                <w:i w:val="1"/>
                <w:iCs w:val="1"/>
                <w:color w:val="auto"/>
                <w:w w:val="97"/>
              </w:rPr>
              <w:t>President and Chief</w:t>
            </w:r>
          </w:p>
        </w:tc>
        <w:tc>
          <w:tcPr>
            <w:tcW w:w="360" w:type="dxa"/>
            <w:vAlign w:val="bottom"/>
            <w:tcBorders>
              <w:right w:val="single" w:sz="8" w:color="auto"/>
            </w:tcBorders>
          </w:tcPr>
          <w:p>
            <w:pPr>
              <w:jc w:val="right"/>
              <w:ind w:right="47"/>
              <w:spacing w:after="0"/>
              <w:rPr>
                <w:sz w:val="20"/>
                <w:szCs w:val="20"/>
                <w:color w:val="auto"/>
              </w:rPr>
            </w:pPr>
            <w:r>
              <w:rPr>
                <w:rFonts w:ascii="Arial" w:cs="Arial" w:eastAsia="Arial" w:hAnsi="Arial"/>
                <w:sz w:val="11"/>
                <w:szCs w:val="11"/>
                <w:color w:val="auto"/>
                <w:w w:val="97"/>
              </w:rPr>
              <w:t>2019</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$950,000</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$7,200,000</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$383,562</w:t>
            </w:r>
          </w:p>
        </w:tc>
        <w:tc>
          <w:tcPr>
            <w:tcW w:w="560" w:type="dxa"/>
            <w:vAlign w:val="bottom"/>
            <w:tcBorders>
              <w:right w:val="single" w:sz="8" w:color="auto"/>
            </w:tcBorders>
          </w:tcPr>
          <w:p>
            <w:pPr>
              <w:jc w:val="center"/>
              <w:ind w:right="7"/>
              <w:spacing w:after="0"/>
              <w:rPr>
                <w:sz w:val="20"/>
                <w:szCs w:val="20"/>
                <w:color w:val="auto"/>
              </w:rPr>
            </w:pPr>
            <w:r>
              <w:rPr>
                <w:rFonts w:ascii="Arial" w:cs="Arial" w:eastAsia="Arial" w:hAnsi="Arial"/>
                <w:sz w:val="11"/>
                <w:szCs w:val="11"/>
                <w:color w:val="auto"/>
                <w:w w:val="91"/>
              </w:rPr>
              <w:t>$131,850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$691,354</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$9,356,766</w:t>
            </w:r>
          </w:p>
        </w:tc>
      </w:tr>
      <w:tr>
        <w:trPr>
          <w:trHeight w:val="148"/>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1"/>
                <w:szCs w:val="11"/>
                <w:i w:val="1"/>
                <w:iCs w:val="1"/>
                <w:color w:val="auto"/>
              </w:rPr>
              <w:t>Executive Officer</w:t>
            </w:r>
          </w:p>
        </w:tc>
        <w:tc>
          <w:tcPr>
            <w:tcW w:w="360" w:type="dxa"/>
            <w:vAlign w:val="bottom"/>
            <w:tcBorders>
              <w:bottom w:val="single" w:sz="8" w:color="auto"/>
              <w:right w:val="single" w:sz="8" w:color="auto"/>
            </w:tcBorders>
          </w:tcPr>
          <w:p>
            <w:pPr>
              <w:jc w:val="right"/>
              <w:ind w:right="47"/>
              <w:spacing w:after="0"/>
              <w:rPr>
                <w:sz w:val="20"/>
                <w:szCs w:val="20"/>
                <w:color w:val="auto"/>
              </w:rPr>
            </w:pPr>
            <w:r>
              <w:rPr>
                <w:rFonts w:ascii="Arial" w:cs="Arial" w:eastAsia="Arial" w:hAnsi="Arial"/>
                <w:sz w:val="11"/>
                <w:szCs w:val="11"/>
                <w:color w:val="auto"/>
                <w:w w:val="97"/>
              </w:rPr>
              <w:t>2018</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1"/>
              </w:rPr>
              <w:t>$950,000</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7"/>
              </w:rPr>
              <w:t>$7,200,000</w:t>
            </w:r>
          </w:p>
        </w:tc>
        <w:tc>
          <w:tcPr>
            <w:tcW w:w="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1"/>
              </w:rPr>
              <w:t>$902,500</w:t>
            </w:r>
          </w:p>
        </w:tc>
        <w:tc>
          <w:tcPr>
            <w:tcW w:w="560" w:type="dxa"/>
            <w:vAlign w:val="bottom"/>
            <w:tcBorders>
              <w:bottom w:val="single" w:sz="8" w:color="auto"/>
              <w:right w:val="single" w:sz="8" w:color="auto"/>
            </w:tcBorders>
          </w:tcPr>
          <w:p>
            <w:pPr>
              <w:jc w:val="center"/>
              <w:ind w:right="7"/>
              <w:spacing w:after="0"/>
              <w:rPr>
                <w:sz w:val="20"/>
                <w:szCs w:val="20"/>
                <w:color w:val="auto"/>
              </w:rPr>
            </w:pPr>
            <w:r>
              <w:rPr>
                <w:rFonts w:ascii="Arial" w:cs="Arial" w:eastAsia="Arial" w:hAnsi="Arial"/>
                <w:sz w:val="11"/>
                <w:szCs w:val="11"/>
                <w:color w:val="auto"/>
                <w:w w:val="91"/>
              </w:rPr>
              <w:t>$132,613</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$1,051,189</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8"/>
              </w:rPr>
              <w:t>$10,236,302</w:t>
            </w:r>
          </w:p>
        </w:tc>
      </w:tr>
      <w:tr>
        <w:trPr>
          <w:trHeight w:val="185"/>
        </w:trPr>
        <w:tc>
          <w:tcPr>
            <w:tcW w:w="1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1"/>
                <w:szCs w:val="11"/>
                <w:color w:val="auto"/>
                <w:w w:val="96"/>
              </w:rPr>
              <w:t>Mandeep Chawla</w:t>
            </w:r>
            <w:r>
              <w:rPr>
                <w:rFonts w:ascii="Arial" w:cs="Arial" w:eastAsia="Arial" w:hAnsi="Arial"/>
                <w:sz w:val="14"/>
                <w:szCs w:val="14"/>
                <w:color w:val="auto"/>
                <w:w w:val="96"/>
                <w:vertAlign w:val="superscript"/>
              </w:rPr>
              <w:t>(7)</w:t>
            </w:r>
          </w:p>
        </w:tc>
        <w:tc>
          <w:tcPr>
            <w:tcW w:w="360" w:type="dxa"/>
            <w:vAlign w:val="bottom"/>
            <w:tcBorders>
              <w:right w:val="single" w:sz="8" w:color="auto"/>
            </w:tcBorders>
          </w:tcPr>
          <w:p>
            <w:pPr>
              <w:jc w:val="right"/>
              <w:ind w:right="47"/>
              <w:spacing w:after="0"/>
              <w:rPr>
                <w:sz w:val="20"/>
                <w:szCs w:val="20"/>
                <w:color w:val="auto"/>
              </w:rPr>
            </w:pPr>
            <w:r>
              <w:rPr>
                <w:rFonts w:ascii="Arial" w:cs="Arial" w:eastAsia="Arial" w:hAnsi="Arial"/>
                <w:sz w:val="11"/>
                <w:szCs w:val="11"/>
                <w:color w:val="auto"/>
                <w:w w:val="97"/>
              </w:rPr>
              <w:t>2020</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$490,492</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$1,850,000</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$784,787</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$46,876</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9"/>
              </w:rPr>
              <w:t>$4,399</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$3,176,554</w:t>
            </w:r>
          </w:p>
        </w:tc>
      </w:tr>
      <w:tr>
        <w:trPr>
          <w:trHeight w:val="135"/>
        </w:trPr>
        <w:tc>
          <w:tcPr>
            <w:tcW w:w="1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1"/>
                <w:szCs w:val="11"/>
                <w:i w:val="1"/>
                <w:iCs w:val="1"/>
                <w:color w:val="auto"/>
              </w:rPr>
              <w:t>Chief Financial</w:t>
            </w:r>
          </w:p>
        </w:tc>
        <w:tc>
          <w:tcPr>
            <w:tcW w:w="360" w:type="dxa"/>
            <w:vAlign w:val="bottom"/>
            <w:tcBorders>
              <w:right w:val="single" w:sz="8" w:color="auto"/>
            </w:tcBorders>
          </w:tcPr>
          <w:p>
            <w:pPr>
              <w:jc w:val="right"/>
              <w:ind w:right="47"/>
              <w:spacing w:after="0"/>
              <w:rPr>
                <w:sz w:val="20"/>
                <w:szCs w:val="20"/>
                <w:color w:val="auto"/>
              </w:rPr>
            </w:pPr>
            <w:r>
              <w:rPr>
                <w:rFonts w:ascii="Arial" w:cs="Arial" w:eastAsia="Arial" w:hAnsi="Arial"/>
                <w:sz w:val="11"/>
                <w:szCs w:val="11"/>
                <w:color w:val="auto"/>
                <w:w w:val="97"/>
              </w:rPr>
              <w:t>2019</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$457,534</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$1,600,000</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$118,227</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$61,346</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9"/>
              </w:rPr>
              <w:t>$1,462</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$2,238,569</w:t>
            </w:r>
          </w:p>
        </w:tc>
      </w:tr>
      <w:tr>
        <w:trPr>
          <w:trHeight w:val="148"/>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1"/>
                <w:szCs w:val="11"/>
                <w:i w:val="1"/>
                <w:iCs w:val="1"/>
                <w:color w:val="auto"/>
              </w:rPr>
              <w:t>Officer</w:t>
            </w:r>
          </w:p>
        </w:tc>
        <w:tc>
          <w:tcPr>
            <w:tcW w:w="360" w:type="dxa"/>
            <w:vAlign w:val="bottom"/>
            <w:tcBorders>
              <w:bottom w:val="single" w:sz="8" w:color="auto"/>
              <w:right w:val="single" w:sz="8" w:color="auto"/>
            </w:tcBorders>
          </w:tcPr>
          <w:p>
            <w:pPr>
              <w:jc w:val="right"/>
              <w:ind w:right="47"/>
              <w:spacing w:after="0"/>
              <w:rPr>
                <w:sz w:val="20"/>
                <w:szCs w:val="20"/>
                <w:color w:val="auto"/>
              </w:rPr>
            </w:pPr>
            <w:r>
              <w:rPr>
                <w:rFonts w:ascii="Arial" w:cs="Arial" w:eastAsia="Arial" w:hAnsi="Arial"/>
                <w:sz w:val="11"/>
                <w:szCs w:val="11"/>
                <w:color w:val="auto"/>
                <w:w w:val="97"/>
              </w:rPr>
              <w:t>2018</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1"/>
              </w:rPr>
              <w:t>$450,000</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7"/>
              </w:rPr>
              <w:t>$1,450,000</w:t>
            </w:r>
          </w:p>
        </w:tc>
        <w:tc>
          <w:tcPr>
            <w:tcW w:w="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1"/>
              </w:rPr>
              <w:t>$316,800</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$48,692</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$479</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$2,265,971</w:t>
            </w:r>
          </w:p>
        </w:tc>
      </w:tr>
      <w:tr>
        <w:trPr>
          <w:trHeight w:val="185"/>
        </w:trPr>
        <w:tc>
          <w:tcPr>
            <w:tcW w:w="1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1"/>
                <w:szCs w:val="11"/>
                <w:color w:val="auto"/>
              </w:rPr>
              <w:t>Jason Phillips</w:t>
            </w:r>
            <w:r>
              <w:rPr>
                <w:rFonts w:ascii="Arial" w:cs="Arial" w:eastAsia="Arial" w:hAnsi="Arial"/>
                <w:sz w:val="15"/>
                <w:szCs w:val="15"/>
                <w:color w:val="auto"/>
                <w:vertAlign w:val="superscript"/>
              </w:rPr>
              <w:t>(7)</w:t>
            </w:r>
          </w:p>
        </w:tc>
        <w:tc>
          <w:tcPr>
            <w:tcW w:w="360" w:type="dxa"/>
            <w:vAlign w:val="bottom"/>
            <w:tcBorders>
              <w:right w:val="single" w:sz="8" w:color="auto"/>
            </w:tcBorders>
          </w:tcPr>
          <w:p>
            <w:pPr>
              <w:jc w:val="right"/>
              <w:ind w:right="47"/>
              <w:spacing w:after="0"/>
              <w:rPr>
                <w:sz w:val="20"/>
                <w:szCs w:val="20"/>
                <w:color w:val="auto"/>
              </w:rPr>
            </w:pPr>
            <w:r>
              <w:rPr>
                <w:rFonts w:ascii="Arial" w:cs="Arial" w:eastAsia="Arial" w:hAnsi="Arial"/>
                <w:sz w:val="11"/>
                <w:szCs w:val="11"/>
                <w:color w:val="auto"/>
                <w:w w:val="97"/>
              </w:rPr>
              <w:t>2020</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$460,000</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$2,000,000</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$736,000</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$29,057</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$27,594</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$3,252,651</w:t>
            </w:r>
          </w:p>
        </w:tc>
      </w:tr>
      <w:tr>
        <w:trPr>
          <w:trHeight w:val="135"/>
        </w:trPr>
        <w:tc>
          <w:tcPr>
            <w:tcW w:w="1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1"/>
                <w:szCs w:val="11"/>
                <w:i w:val="1"/>
                <w:iCs w:val="1"/>
                <w:color w:val="auto"/>
              </w:rPr>
              <w:t>President, CCS</w:t>
            </w:r>
          </w:p>
        </w:tc>
        <w:tc>
          <w:tcPr>
            <w:tcW w:w="360" w:type="dxa"/>
            <w:vAlign w:val="bottom"/>
            <w:tcBorders>
              <w:right w:val="single" w:sz="8" w:color="auto"/>
            </w:tcBorders>
          </w:tcPr>
          <w:p>
            <w:pPr>
              <w:jc w:val="right"/>
              <w:ind w:right="47"/>
              <w:spacing w:after="0"/>
              <w:rPr>
                <w:sz w:val="20"/>
                <w:szCs w:val="20"/>
                <w:color w:val="auto"/>
              </w:rPr>
            </w:pPr>
            <w:r>
              <w:rPr>
                <w:rFonts w:ascii="Arial" w:cs="Arial" w:eastAsia="Arial" w:hAnsi="Arial"/>
                <w:sz w:val="11"/>
                <w:szCs w:val="11"/>
                <w:color w:val="auto"/>
                <w:w w:val="97"/>
              </w:rPr>
              <w:t>2019</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$438,137</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$1,600,000</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$113,215</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$31,828</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$58,826</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$2,242,006</w:t>
            </w:r>
          </w:p>
        </w:tc>
      </w:tr>
      <w:tr>
        <w:trPr>
          <w:trHeight w:val="148"/>
        </w:trPr>
        <w:tc>
          <w:tcPr>
            <w:tcW w:w="1060" w:type="dxa"/>
            <w:vAlign w:val="bottom"/>
            <w:tcBorders>
              <w:left w:val="single" w:sz="8" w:color="auto"/>
              <w:bottom w:val="single" w:sz="8" w:color="auto"/>
              <w:right w:val="single" w:sz="8" w:color="auto"/>
            </w:tcBorders>
          </w:tcPr>
          <w:p>
            <w:pPr>
              <w:spacing w:after="0"/>
              <w:rPr>
                <w:sz w:val="12"/>
                <w:szCs w:val="12"/>
                <w:color w:val="auto"/>
              </w:rPr>
            </w:pPr>
          </w:p>
        </w:tc>
        <w:tc>
          <w:tcPr>
            <w:tcW w:w="360" w:type="dxa"/>
            <w:vAlign w:val="bottom"/>
            <w:tcBorders>
              <w:bottom w:val="single" w:sz="8" w:color="auto"/>
              <w:right w:val="single" w:sz="8" w:color="auto"/>
            </w:tcBorders>
          </w:tcPr>
          <w:p>
            <w:pPr>
              <w:jc w:val="right"/>
              <w:ind w:right="47"/>
              <w:spacing w:after="0"/>
              <w:rPr>
                <w:sz w:val="20"/>
                <w:szCs w:val="20"/>
                <w:color w:val="auto"/>
              </w:rPr>
            </w:pPr>
            <w:r>
              <w:rPr>
                <w:rFonts w:ascii="Arial" w:cs="Arial" w:eastAsia="Arial" w:hAnsi="Arial"/>
                <w:sz w:val="11"/>
                <w:szCs w:val="11"/>
                <w:color w:val="auto"/>
                <w:w w:val="97"/>
              </w:rPr>
              <w:t>2018</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1"/>
              </w:rPr>
              <w:t>$350,000</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7"/>
              </w:rPr>
              <w:t>$1,200,000</w:t>
            </w:r>
          </w:p>
        </w:tc>
        <w:tc>
          <w:tcPr>
            <w:tcW w:w="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1"/>
              </w:rPr>
              <w:t>$168,000</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$25,594</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$17,132</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$1,760,726</w:t>
            </w:r>
          </w:p>
        </w:tc>
      </w:tr>
      <w:tr>
        <w:trPr>
          <w:trHeight w:val="170"/>
        </w:trPr>
        <w:tc>
          <w:tcPr>
            <w:tcW w:w="1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1"/>
                <w:szCs w:val="11"/>
                <w:color w:val="auto"/>
              </w:rPr>
              <w:t>Jack J. Lawless</w:t>
            </w:r>
          </w:p>
        </w:tc>
        <w:tc>
          <w:tcPr>
            <w:tcW w:w="360" w:type="dxa"/>
            <w:vAlign w:val="bottom"/>
            <w:tcBorders>
              <w:right w:val="single" w:sz="8" w:color="auto"/>
            </w:tcBorders>
          </w:tcPr>
          <w:p>
            <w:pPr>
              <w:jc w:val="right"/>
              <w:ind w:right="47"/>
              <w:spacing w:after="0"/>
              <w:rPr>
                <w:sz w:val="20"/>
                <w:szCs w:val="20"/>
                <w:color w:val="auto"/>
              </w:rPr>
            </w:pPr>
            <w:r>
              <w:rPr>
                <w:rFonts w:ascii="Arial" w:cs="Arial" w:eastAsia="Arial" w:hAnsi="Arial"/>
                <w:sz w:val="11"/>
                <w:szCs w:val="11"/>
                <w:color w:val="auto"/>
                <w:w w:val="97"/>
              </w:rPr>
              <w:t>2020</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$460,000</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$1,750,000</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$636,272</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$29,509</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$16,512</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$2,892,293</w:t>
            </w:r>
          </w:p>
        </w:tc>
      </w:tr>
      <w:tr>
        <w:trPr>
          <w:trHeight w:val="139"/>
        </w:trPr>
        <w:tc>
          <w:tcPr>
            <w:tcW w:w="1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1"/>
                <w:szCs w:val="11"/>
                <w:i w:val="1"/>
                <w:iCs w:val="1"/>
                <w:color w:val="auto"/>
              </w:rPr>
              <w:t>President, ATS</w:t>
            </w:r>
          </w:p>
        </w:tc>
        <w:tc>
          <w:tcPr>
            <w:tcW w:w="360" w:type="dxa"/>
            <w:vAlign w:val="bottom"/>
            <w:tcBorders>
              <w:right w:val="single" w:sz="8" w:color="auto"/>
            </w:tcBorders>
          </w:tcPr>
          <w:p>
            <w:pPr>
              <w:jc w:val="right"/>
              <w:ind w:right="47"/>
              <w:spacing w:after="0"/>
              <w:rPr>
                <w:sz w:val="20"/>
                <w:szCs w:val="20"/>
                <w:color w:val="auto"/>
              </w:rPr>
            </w:pPr>
            <w:r>
              <w:rPr>
                <w:rFonts w:ascii="Arial" w:cs="Arial" w:eastAsia="Arial" w:hAnsi="Arial"/>
                <w:sz w:val="11"/>
                <w:szCs w:val="11"/>
                <w:color w:val="auto"/>
                <w:w w:val="97"/>
              </w:rPr>
              <w:t>2019</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$460,000</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$1,750,000</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$118,864</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$46,357</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$19,247</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$2,394,468</w:t>
            </w:r>
          </w:p>
        </w:tc>
      </w:tr>
      <w:tr>
        <w:trPr>
          <w:trHeight w:val="148"/>
        </w:trPr>
        <w:tc>
          <w:tcPr>
            <w:tcW w:w="1060" w:type="dxa"/>
            <w:vAlign w:val="bottom"/>
            <w:tcBorders>
              <w:left w:val="single" w:sz="8" w:color="auto"/>
              <w:bottom w:val="single" w:sz="8" w:color="auto"/>
              <w:right w:val="single" w:sz="8" w:color="auto"/>
            </w:tcBorders>
          </w:tcPr>
          <w:p>
            <w:pPr>
              <w:spacing w:after="0"/>
              <w:rPr>
                <w:sz w:val="12"/>
                <w:szCs w:val="12"/>
                <w:color w:val="auto"/>
              </w:rPr>
            </w:pPr>
          </w:p>
        </w:tc>
        <w:tc>
          <w:tcPr>
            <w:tcW w:w="360" w:type="dxa"/>
            <w:vAlign w:val="bottom"/>
            <w:tcBorders>
              <w:bottom w:val="single" w:sz="8" w:color="auto"/>
              <w:right w:val="single" w:sz="8" w:color="auto"/>
            </w:tcBorders>
          </w:tcPr>
          <w:p>
            <w:pPr>
              <w:jc w:val="right"/>
              <w:ind w:right="47"/>
              <w:spacing w:after="0"/>
              <w:rPr>
                <w:sz w:val="20"/>
                <w:szCs w:val="20"/>
                <w:color w:val="auto"/>
              </w:rPr>
            </w:pPr>
            <w:r>
              <w:rPr>
                <w:rFonts w:ascii="Arial" w:cs="Arial" w:eastAsia="Arial" w:hAnsi="Arial"/>
                <w:sz w:val="11"/>
                <w:szCs w:val="11"/>
                <w:color w:val="auto"/>
                <w:w w:val="97"/>
              </w:rPr>
              <w:t>2018</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1"/>
              </w:rPr>
              <w:t>$460,000</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7"/>
              </w:rPr>
              <w:t>$1,650,000</w:t>
            </w:r>
          </w:p>
        </w:tc>
        <w:tc>
          <w:tcPr>
            <w:tcW w:w="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1"/>
              </w:rPr>
              <w:t>$323,840</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$44,230</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$41,194</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$2,519,264</w:t>
            </w:r>
          </w:p>
        </w:tc>
      </w:tr>
      <w:tr>
        <w:trPr>
          <w:trHeight w:val="170"/>
        </w:trPr>
        <w:tc>
          <w:tcPr>
            <w:tcW w:w="1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1"/>
                <w:szCs w:val="11"/>
                <w:color w:val="auto"/>
              </w:rPr>
              <w:t>Todd C. Cooper</w:t>
            </w:r>
          </w:p>
        </w:tc>
        <w:tc>
          <w:tcPr>
            <w:tcW w:w="360" w:type="dxa"/>
            <w:vAlign w:val="bottom"/>
            <w:tcBorders>
              <w:right w:val="single" w:sz="8" w:color="auto"/>
            </w:tcBorders>
          </w:tcPr>
          <w:p>
            <w:pPr>
              <w:jc w:val="right"/>
              <w:ind w:right="47"/>
              <w:spacing w:after="0"/>
              <w:rPr>
                <w:sz w:val="20"/>
                <w:szCs w:val="20"/>
                <w:color w:val="auto"/>
              </w:rPr>
            </w:pPr>
            <w:r>
              <w:rPr>
                <w:rFonts w:ascii="Arial" w:cs="Arial" w:eastAsia="Arial" w:hAnsi="Arial"/>
                <w:sz w:val="11"/>
                <w:szCs w:val="11"/>
                <w:color w:val="auto"/>
                <w:w w:val="97"/>
              </w:rPr>
              <w:t>2020</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$460,000</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$1,600,000</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$736,000</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$29,509</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$17,100</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$2,842,609</w:t>
            </w:r>
          </w:p>
        </w:tc>
      </w:tr>
      <w:tr>
        <w:trPr>
          <w:trHeight w:val="139"/>
        </w:trPr>
        <w:tc>
          <w:tcPr>
            <w:tcW w:w="1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1"/>
                <w:szCs w:val="11"/>
                <w:i w:val="1"/>
                <w:iCs w:val="1"/>
                <w:color w:val="auto"/>
              </w:rPr>
              <w:t>Chief Operations</w:t>
            </w:r>
          </w:p>
        </w:tc>
        <w:tc>
          <w:tcPr>
            <w:tcW w:w="360" w:type="dxa"/>
            <w:vAlign w:val="bottom"/>
            <w:tcBorders>
              <w:right w:val="single" w:sz="8" w:color="auto"/>
            </w:tcBorders>
          </w:tcPr>
          <w:p>
            <w:pPr>
              <w:jc w:val="right"/>
              <w:ind w:right="47"/>
              <w:spacing w:after="0"/>
              <w:rPr>
                <w:sz w:val="20"/>
                <w:szCs w:val="20"/>
                <w:color w:val="auto"/>
              </w:rPr>
            </w:pPr>
            <w:r>
              <w:rPr>
                <w:rFonts w:ascii="Arial" w:cs="Arial" w:eastAsia="Arial" w:hAnsi="Arial"/>
                <w:sz w:val="11"/>
                <w:szCs w:val="11"/>
                <w:color w:val="auto"/>
                <w:w w:val="97"/>
              </w:rPr>
              <w:t>2019</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$460,000</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$1,600,000</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$118,864</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$52,058</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$16,800</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$2,247,722</w:t>
            </w:r>
          </w:p>
        </w:tc>
      </w:tr>
      <w:tr>
        <w:trPr>
          <w:trHeight w:val="148"/>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1"/>
                <w:szCs w:val="11"/>
                <w:i w:val="1"/>
                <w:iCs w:val="1"/>
                <w:color w:val="auto"/>
              </w:rPr>
              <w:t>Officer</w:t>
            </w:r>
          </w:p>
        </w:tc>
        <w:tc>
          <w:tcPr>
            <w:tcW w:w="360" w:type="dxa"/>
            <w:vAlign w:val="bottom"/>
            <w:tcBorders>
              <w:bottom w:val="single" w:sz="8" w:color="auto"/>
              <w:right w:val="single" w:sz="8" w:color="auto"/>
            </w:tcBorders>
          </w:tcPr>
          <w:p>
            <w:pPr>
              <w:jc w:val="right"/>
              <w:ind w:right="47"/>
              <w:spacing w:after="0"/>
              <w:rPr>
                <w:sz w:val="20"/>
                <w:szCs w:val="20"/>
                <w:color w:val="auto"/>
              </w:rPr>
            </w:pPr>
            <w:r>
              <w:rPr>
                <w:rFonts w:ascii="Arial" w:cs="Arial" w:eastAsia="Arial" w:hAnsi="Arial"/>
                <w:sz w:val="11"/>
                <w:szCs w:val="11"/>
                <w:color w:val="auto"/>
                <w:w w:val="97"/>
              </w:rPr>
              <w:t>2018</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1"/>
              </w:rPr>
              <w:t>$454,959</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7"/>
              </w:rPr>
              <w:t>$1,600,000</w:t>
            </w:r>
          </w:p>
        </w:tc>
        <w:tc>
          <w:tcPr>
            <w:tcW w:w="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1"/>
              </w:rPr>
              <w:t>$491,980</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$27,568</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$10,477</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$2,584,984</w:t>
            </w:r>
          </w:p>
        </w:tc>
      </w:tr>
      <w:tr>
        <w:trPr>
          <w:trHeight w:val="24"/>
        </w:trPr>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970280</wp:posOffset>
            </wp:positionH>
            <wp:positionV relativeFrom="paragraph">
              <wp:posOffset>-1924050</wp:posOffset>
            </wp:positionV>
            <wp:extent cx="3786505" cy="63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786505" cy="6350"/>
                    </a:xfrm>
                    <a:prstGeom prst="rect">
                      <a:avLst/>
                    </a:prstGeom>
                    <a:noFill/>
                  </pic:spPr>
                </pic:pic>
              </a:graphicData>
            </a:graphic>
          </wp:anchor>
        </w:drawing>
      </w:r>
    </w:p>
    <w:p>
      <w:pPr>
        <w:spacing w:after="0" w:line="52" w:lineRule="exact"/>
        <w:rPr>
          <w:sz w:val="20"/>
          <w:szCs w:val="20"/>
          <w:color w:val="auto"/>
        </w:rPr>
      </w:pPr>
    </w:p>
    <w:p>
      <w:pPr>
        <w:jc w:val="both"/>
        <w:ind w:left="1740" w:right="1499" w:hanging="262"/>
        <w:spacing w:after="0" w:line="263" w:lineRule="auto"/>
        <w:tabs>
          <w:tab w:leader="none" w:pos="1740" w:val="left"/>
        </w:tabs>
        <w:numPr>
          <w:ilvl w:val="0"/>
          <w:numId w:val="89"/>
        </w:numPr>
        <w:rPr>
          <w:rFonts w:ascii="Arial" w:cs="Arial" w:eastAsia="Arial" w:hAnsi="Arial"/>
          <w:sz w:val="15"/>
          <w:szCs w:val="15"/>
          <w:color w:val="auto"/>
          <w:vertAlign w:val="superscript"/>
        </w:rPr>
      </w:pPr>
      <w:r>
        <w:rPr>
          <w:rFonts w:ascii="Arial" w:cs="Arial" w:eastAsia="Arial" w:hAnsi="Arial"/>
          <w:sz w:val="10"/>
          <w:szCs w:val="10"/>
          <w:color w:val="auto"/>
        </w:rPr>
        <w:t xml:space="preserve">All amounts in this column represent the grant date fair value of share-based awards. Amounts in this column for 2020 represent RSU and PSU grants made on February 4, 2020 to all NEOs. Grants were based on a share price of $8.89, which was the closing price of the SVS on the NYSE on February 3, 2020 (the day prior to the date of the grant). Additionally, Mr. Phillips’ amount includes a one-time performance award of $400,000 in PSUs made on February 4, 2020 based on a share price of $8.89. Amounts in this column for 2019 represent RSU and PSU grants made on February 6, 2019 to all NEOs and a grant of 22,124 RSUs made to Mr. Phillips on August 6, 2019 in recognition of his expanded responsibilities. The February 2019 grants were based on a share price of $8.04, which was the closing price of the SVS on the NYSE on February 5, 2019 (the day prior to the date of the grant) and the August 2019 grant to Mr. Phillips was based on a share price of $6.78, which was the closing price of the SVS on the NYSE on August 5, 2019 (the day prior to the date of the grant). Amounts in this column for 2018 represent RSU and PSU grants made on January 30, 2018 to all NEOs. Grants were based on a share price of $10.51, which was the closing price of the SVS on the NYSE on January 29, 2018 (the day prior to the date of the grant). See </w:t>
      </w:r>
      <w:r>
        <w:rPr>
          <w:rFonts w:ascii="Arial" w:cs="Arial" w:eastAsia="Arial" w:hAnsi="Arial"/>
          <w:sz w:val="10"/>
          <w:szCs w:val="10"/>
          <w:i w:val="1"/>
          <w:iCs w:val="1"/>
          <w:color w:val="auto"/>
        </w:rPr>
        <w:t>Compensation Discussion and Analysis —</w:t>
      </w:r>
      <w:r>
        <w:rPr>
          <w:rFonts w:ascii="Arial" w:cs="Arial" w:eastAsia="Arial" w:hAnsi="Arial"/>
          <w:sz w:val="10"/>
          <w:szCs w:val="10"/>
          <w:color w:val="auto"/>
        </w:rPr>
        <w:t xml:space="preserve"> </w:t>
      </w:r>
      <w:r>
        <w:rPr>
          <w:rFonts w:ascii="Arial" w:cs="Arial" w:eastAsia="Arial" w:hAnsi="Arial"/>
          <w:sz w:val="10"/>
          <w:szCs w:val="10"/>
          <w:i w:val="1"/>
          <w:iCs w:val="1"/>
          <w:color w:val="auto"/>
        </w:rPr>
        <w:t xml:space="preserve">Compensation Elements for the Named Executive Officers — Equity-Based Incentives </w:t>
      </w:r>
      <w:r>
        <w:rPr>
          <w:rFonts w:ascii="Arial" w:cs="Arial" w:eastAsia="Arial" w:hAnsi="Arial"/>
          <w:sz w:val="10"/>
          <w:szCs w:val="10"/>
          <w:color w:val="auto"/>
        </w:rPr>
        <w:t>for a description of the process followed in</w:t>
      </w:r>
      <w:r>
        <w:rPr>
          <w:rFonts w:ascii="Arial" w:cs="Arial" w:eastAsia="Arial" w:hAnsi="Arial"/>
          <w:sz w:val="10"/>
          <w:szCs w:val="10"/>
          <w:i w:val="1"/>
          <w:iCs w:val="1"/>
          <w:color w:val="auto"/>
        </w:rPr>
        <w:t xml:space="preserve"> </w:t>
      </w:r>
      <w:r>
        <w:rPr>
          <w:rFonts w:ascii="Arial" w:cs="Arial" w:eastAsia="Arial" w:hAnsi="Arial"/>
          <w:sz w:val="10"/>
          <w:szCs w:val="10"/>
          <w:color w:val="auto"/>
        </w:rPr>
        <w:t xml:space="preserve">determining the grants for 2020, and see </w:t>
      </w:r>
      <w:r>
        <w:rPr>
          <w:rFonts w:ascii="Arial" w:cs="Arial" w:eastAsia="Arial" w:hAnsi="Arial"/>
          <w:sz w:val="10"/>
          <w:szCs w:val="10"/>
          <w:i w:val="1"/>
          <w:iCs w:val="1"/>
          <w:color w:val="auto"/>
        </w:rPr>
        <w:t xml:space="preserve">Compensation Discussion and Analysis — 2020 Compensation Decisions — Equity-Based Incentives </w:t>
      </w:r>
      <w:r>
        <w:rPr>
          <w:rFonts w:ascii="Arial" w:cs="Arial" w:eastAsia="Arial" w:hAnsi="Arial"/>
          <w:sz w:val="10"/>
          <w:szCs w:val="10"/>
          <w:color w:val="auto"/>
        </w:rPr>
        <w:t>for a description of the vesting terms of the RSU and PSU awards. Grants made in-year are reported for such</w:t>
      </w:r>
      <w:r>
        <w:rPr>
          <w:rFonts w:ascii="Arial" w:cs="Arial" w:eastAsia="Arial" w:hAnsi="Arial"/>
          <w:sz w:val="10"/>
          <w:szCs w:val="10"/>
          <w:i w:val="1"/>
          <w:iCs w:val="1"/>
          <w:color w:val="auto"/>
        </w:rPr>
        <w:t xml:space="preserve"> </w:t>
      </w:r>
      <w:r>
        <w:rPr>
          <w:rFonts w:ascii="Arial" w:cs="Arial" w:eastAsia="Arial" w:hAnsi="Arial"/>
          <w:sz w:val="10"/>
          <w:szCs w:val="10"/>
          <w:color w:val="auto"/>
        </w:rPr>
        <w:t>year.</w:t>
      </w:r>
    </w:p>
    <w:p>
      <w:pPr>
        <w:spacing w:after="0" w:line="27" w:lineRule="exact"/>
        <w:rPr>
          <w:rFonts w:ascii="Arial" w:cs="Arial" w:eastAsia="Arial" w:hAnsi="Arial"/>
          <w:sz w:val="15"/>
          <w:szCs w:val="15"/>
          <w:color w:val="auto"/>
          <w:vertAlign w:val="superscript"/>
        </w:rPr>
      </w:pPr>
    </w:p>
    <w:p>
      <w:pPr>
        <w:jc w:val="both"/>
        <w:ind w:left="1740" w:right="1499" w:hanging="262"/>
        <w:spacing w:after="0" w:line="234" w:lineRule="auto"/>
        <w:tabs>
          <w:tab w:leader="none" w:pos="1740" w:val="left"/>
        </w:tabs>
        <w:numPr>
          <w:ilvl w:val="0"/>
          <w:numId w:val="89"/>
        </w:numPr>
        <w:rPr>
          <w:rFonts w:ascii="Arial" w:cs="Arial" w:eastAsia="Arial" w:hAnsi="Arial"/>
          <w:sz w:val="16"/>
          <w:szCs w:val="16"/>
          <w:color w:val="auto"/>
          <w:vertAlign w:val="superscript"/>
        </w:rPr>
      </w:pPr>
      <w:r>
        <w:rPr>
          <w:rFonts w:ascii="Arial" w:cs="Arial" w:eastAsia="Arial" w:hAnsi="Arial"/>
          <w:sz w:val="11"/>
          <w:szCs w:val="11"/>
          <w:color w:val="auto"/>
        </w:rPr>
        <w:t>The estimated accounting fair value of the share based awards is calculated using the market price of SVS as defined under each of the plans and in the case of PSUs, various fair value pricing models may apply. The grant date fair value of the RSU portion of the share based awards in Table 20 is the same as their accounting fair value. The accounting fair values for the PSU portion of the share based awards in Table 20 reflects various assumptions as to estimated vesting for such awards in accordance with applicable accounting standards. The grant date fair value for the PSU portion of the share based awards reflects the dollar amount of the award intended for compensation purposes, based on the market value of the underlying shares on the grant dates based on an assumption of the vesting of 100% of the target number of PSUs granted. The accounting fair value for all share based awards in the table assumed a zero forfeiture rate. The number of PSUs granted in 2018 – 2020 that will actually vest will range from 0% to</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2" w:name="page73"/>
    <w:bookmarkEnd w:id="72"/>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1740" w:right="1499"/>
        <w:spacing w:after="0" w:line="272" w:lineRule="auto"/>
        <w:rPr>
          <w:sz w:val="20"/>
          <w:szCs w:val="20"/>
          <w:color w:val="auto"/>
        </w:rPr>
      </w:pPr>
      <w:r>
        <w:rPr>
          <w:rFonts w:ascii="Arial" w:cs="Arial" w:eastAsia="Arial" w:hAnsi="Arial"/>
          <w:sz w:val="10"/>
          <w:szCs w:val="10"/>
          <w:color w:val="auto"/>
        </w:rPr>
        <w:t>200% of the target number granted and will be primarily based on the Corporation’s OM Result in the final year of the three-year performance period, subject to modification by the Corporation’s ROIC Factor and TSR Factor over the performance period, as described in detail under NEO Equity Awards and Mix above. 26% of the target amount of PSUs granted in 2018 vested in January 2021. For PSUs granted in 2019 and 2020, the Corporation’s TSR will be measured relative to that of companies in the BMI Index, with the addition of Flex Ltd, that remain publicly traded on an established U.S. stock exchange for the entire performance period. For PSUs granted in 2018, the Corporation’s TSR was measured relative to the information technology companies within the S&amp;P 1500 Technology Index as at January 1, 2018, with the addition of Flex Ltd., that remained publicly traded on an established U.S. stock exchange for the entire performance period. The Corporation estimated the grant date fair value of the TSR Factor using a Monte Carlo simulation model. The number of awards expected to be earned was factored into the grant date Monte Carlo valuation for the award. The accounting grant date fair value is not subsequently adjusted regardless of the eventual number of awards that are earned based on TSR. The grant date fair value for the non-TSR based performance measurement and modifier was based on the market value of our SVS at the time of grant and may be adjusted in subsequent periods to reflect a change in the estimated level of achievement related to the applicable performance condition. The accounting grant date fair value is not subsequently adjusted regardless of the eventual number of awards that were earned based on the market performance condition. The cost the Corporation recorded for these PSUs was determined based on the market value of the SVS at the time of grant, and such cost was adjusted during 2020 (with respect to 2018 PSU grants) based on management’s estimate of the relative level of achievement of the relevant performance conditions.</w:t>
      </w:r>
    </w:p>
    <w:p>
      <w:pPr>
        <w:ind w:left="1740" w:hanging="262"/>
        <w:spacing w:after="0" w:line="207" w:lineRule="auto"/>
        <w:tabs>
          <w:tab w:leader="none" w:pos="1740" w:val="left"/>
        </w:tabs>
        <w:numPr>
          <w:ilvl w:val="0"/>
          <w:numId w:val="90"/>
        </w:numPr>
        <w:rPr>
          <w:rFonts w:ascii="Arial" w:cs="Arial" w:eastAsia="Arial" w:hAnsi="Arial"/>
          <w:sz w:val="16"/>
          <w:szCs w:val="16"/>
          <w:color w:val="auto"/>
          <w:vertAlign w:val="superscript"/>
        </w:rPr>
      </w:pPr>
      <w:r>
        <w:rPr>
          <w:rFonts w:ascii="Arial" w:cs="Arial" w:eastAsia="Arial" w:hAnsi="Arial"/>
          <w:sz w:val="11"/>
          <w:szCs w:val="11"/>
          <w:color w:val="auto"/>
        </w:rPr>
        <w:t>There were no stock options granted to the NEOs in 2018, 2019 or 2020.</w:t>
      </w:r>
    </w:p>
    <w:p>
      <w:pPr>
        <w:spacing w:after="0" w:line="48" w:lineRule="exact"/>
        <w:rPr>
          <w:rFonts w:ascii="Arial" w:cs="Arial" w:eastAsia="Arial" w:hAnsi="Arial"/>
          <w:sz w:val="16"/>
          <w:szCs w:val="16"/>
          <w:color w:val="auto"/>
          <w:vertAlign w:val="superscript"/>
        </w:rPr>
      </w:pPr>
    </w:p>
    <w:p>
      <w:pPr>
        <w:jc w:val="both"/>
        <w:ind w:left="1740" w:right="1499" w:hanging="262"/>
        <w:spacing w:after="0" w:line="220" w:lineRule="auto"/>
        <w:tabs>
          <w:tab w:leader="none" w:pos="1740" w:val="left"/>
        </w:tabs>
        <w:numPr>
          <w:ilvl w:val="0"/>
          <w:numId w:val="90"/>
        </w:numPr>
        <w:rPr>
          <w:rFonts w:ascii="Arial" w:cs="Arial" w:eastAsia="Arial" w:hAnsi="Arial"/>
          <w:sz w:val="16"/>
          <w:szCs w:val="16"/>
          <w:color w:val="auto"/>
          <w:vertAlign w:val="superscript"/>
        </w:rPr>
      </w:pPr>
      <w:r>
        <w:rPr>
          <w:rFonts w:ascii="Arial" w:cs="Arial" w:eastAsia="Arial" w:hAnsi="Arial"/>
          <w:sz w:val="11"/>
          <w:szCs w:val="11"/>
          <w:color w:val="auto"/>
        </w:rPr>
        <w:t xml:space="preserve">Amounts in this column represent CTI incentive payments made to NEOs. See </w:t>
      </w:r>
      <w:r>
        <w:rPr>
          <w:rFonts w:ascii="Arial" w:cs="Arial" w:eastAsia="Arial" w:hAnsi="Arial"/>
          <w:sz w:val="11"/>
          <w:szCs w:val="11"/>
          <w:i w:val="1"/>
          <w:iCs w:val="1"/>
          <w:color w:val="auto"/>
        </w:rPr>
        <w:t>Compensation Discussion and Analysis —</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Compensation Elements for the Named Executive Officers — Celestica Team Incentive Plan </w:t>
      </w:r>
      <w:r>
        <w:rPr>
          <w:rFonts w:ascii="Arial" w:cs="Arial" w:eastAsia="Arial" w:hAnsi="Arial"/>
          <w:sz w:val="11"/>
          <w:szCs w:val="11"/>
          <w:color w:val="auto"/>
        </w:rPr>
        <w:t>for a description of the CTI.</w:t>
      </w:r>
      <w:r>
        <w:rPr>
          <w:rFonts w:ascii="Arial" w:cs="Arial" w:eastAsia="Arial" w:hAnsi="Arial"/>
          <w:sz w:val="11"/>
          <w:szCs w:val="11"/>
          <w:i w:val="1"/>
          <w:iCs w:val="1"/>
          <w:color w:val="auto"/>
        </w:rPr>
        <w:t xml:space="preserve"> </w:t>
      </w:r>
      <w:r>
        <w:rPr>
          <w:rFonts w:ascii="Arial" w:cs="Arial" w:eastAsia="Arial" w:hAnsi="Arial"/>
          <w:sz w:val="11"/>
          <w:szCs w:val="11"/>
          <w:color w:val="auto"/>
        </w:rPr>
        <w:t>Amounts in this column for Mr. Cooper for 2018 also include the one-time cash award of $200,000 paid to him in connection with his appointment as Chief Operations Officer.</w:t>
      </w:r>
    </w:p>
    <w:p>
      <w:pPr>
        <w:spacing w:after="0" w:line="36" w:lineRule="exact"/>
        <w:rPr>
          <w:rFonts w:ascii="Arial" w:cs="Arial" w:eastAsia="Arial" w:hAnsi="Arial"/>
          <w:sz w:val="16"/>
          <w:szCs w:val="16"/>
          <w:color w:val="auto"/>
          <w:vertAlign w:val="superscript"/>
        </w:rPr>
      </w:pPr>
    </w:p>
    <w:p>
      <w:pPr>
        <w:jc w:val="both"/>
        <w:ind w:left="1740" w:right="1499" w:hanging="262"/>
        <w:spacing w:after="0" w:line="222" w:lineRule="auto"/>
        <w:tabs>
          <w:tab w:leader="none" w:pos="1740" w:val="left"/>
        </w:tabs>
        <w:numPr>
          <w:ilvl w:val="0"/>
          <w:numId w:val="90"/>
        </w:numPr>
        <w:rPr>
          <w:rFonts w:ascii="Arial" w:cs="Arial" w:eastAsia="Arial" w:hAnsi="Arial"/>
          <w:sz w:val="16"/>
          <w:szCs w:val="16"/>
          <w:color w:val="auto"/>
          <w:vertAlign w:val="superscript"/>
        </w:rPr>
      </w:pPr>
      <w:r>
        <w:rPr>
          <w:rFonts w:ascii="Arial" w:cs="Arial" w:eastAsia="Arial" w:hAnsi="Arial"/>
          <w:sz w:val="11"/>
          <w:szCs w:val="11"/>
          <w:color w:val="auto"/>
        </w:rPr>
        <w:t xml:space="preserve">Amounts in this column represent Celestica’s contributions to defined contribution pension plans (other than 401(k) plans) on behalf of the NEOs — see </w:t>
      </w:r>
      <w:r>
        <w:rPr>
          <w:rFonts w:ascii="Arial" w:cs="Arial" w:eastAsia="Arial" w:hAnsi="Arial"/>
          <w:sz w:val="11"/>
          <w:szCs w:val="11"/>
          <w:i w:val="1"/>
          <w:iCs w:val="1"/>
          <w:color w:val="auto"/>
        </w:rPr>
        <w:t>Pension Plans</w:t>
      </w:r>
      <w:r>
        <w:rPr>
          <w:rFonts w:ascii="Arial" w:cs="Arial" w:eastAsia="Arial" w:hAnsi="Arial"/>
          <w:sz w:val="11"/>
          <w:szCs w:val="11"/>
          <w:color w:val="auto"/>
        </w:rPr>
        <w:t xml:space="preserve"> for a full description of the plans. Contributions for Messrs. Mionis, Phillips, Lawless and Cooper are reported in U.S. dollars. Contributions for Mr. Chawla are reported in U.S. dollars, having been converted from Canadian dollars at the average exchange rate for 2020 of $1.00 equals C$1.3422.</w:t>
      </w:r>
    </w:p>
    <w:p>
      <w:pPr>
        <w:spacing w:after="0" w:line="36" w:lineRule="exact"/>
        <w:rPr>
          <w:rFonts w:ascii="Arial" w:cs="Arial" w:eastAsia="Arial" w:hAnsi="Arial"/>
          <w:sz w:val="16"/>
          <w:szCs w:val="16"/>
          <w:color w:val="auto"/>
          <w:vertAlign w:val="superscript"/>
        </w:rPr>
      </w:pPr>
    </w:p>
    <w:p>
      <w:pPr>
        <w:jc w:val="both"/>
        <w:ind w:left="1740" w:right="1499" w:hanging="262"/>
        <w:spacing w:after="0" w:line="265" w:lineRule="auto"/>
        <w:tabs>
          <w:tab w:leader="none" w:pos="1740" w:val="left"/>
        </w:tabs>
        <w:numPr>
          <w:ilvl w:val="0"/>
          <w:numId w:val="90"/>
        </w:numPr>
        <w:rPr>
          <w:rFonts w:ascii="Arial" w:cs="Arial" w:eastAsia="Arial" w:hAnsi="Arial"/>
          <w:sz w:val="15"/>
          <w:szCs w:val="15"/>
          <w:color w:val="auto"/>
          <w:vertAlign w:val="superscript"/>
        </w:rPr>
      </w:pPr>
      <w:r>
        <w:rPr>
          <w:rFonts w:ascii="Arial" w:cs="Arial" w:eastAsia="Arial" w:hAnsi="Arial"/>
          <w:sz w:val="10"/>
          <w:szCs w:val="10"/>
          <w:color w:val="auto"/>
        </w:rPr>
        <w:t>Amounts in this column for Mr. Mionis include amounts for items provided for under the CEO Employment Agreement, which for 2020 consisted of tax equalization payments of $400,602, housing expenses of $72,196 while in Canada, group life insurance premiums of $7,482 and a 401(k) contribution of $17,100. For 2019, the amount in this column for Mr. Mionis consisted of tax equalization payments of $578,947, housing expenses of $72,569 while in Canada, group life insurance premiums of $8,105 and a 401(k) contribution of $16,800. For 2018, the amount in this column for Mr. Mionis includes tax equalization payments of $948,353, housing expenses of $76,261 while in Canada, group life insurance premiums of $7,482 and a 401(k) contribution of $16,500. Amounts in this column for Mr. Chawla for 2020 include a tax equalization payment of $2,582. Amounts in this column for Mr. Phillips for 2020 consisted of a tax equalization payment of $10,121 and a 401(k) contribution of $16,973. For 2019, the amount in this column for Mr. Phillips include a tax equalization payment of $41,719 and a 401(k) contribution of $16,607. For 2018, the amount in this column for Mr. Phillips includes a 401(k) contribution of $16,221. Amounts in this column for Mr. Lawless for 2020 consisted of a 401(k) contribution of $16,512. For 2019, the amount in this column for Mr. Lawless include tax equalization payments of $3,451 and a 401(k) contribution of $15,796. For 2018, amounts in this column for Mr. Lawless include tax equalization payments of $25,013 and a 401(k) contribution of $15,681. Amounts in this column for Mr. Cooper for 2020 consisted of a 401(k) contribution of $17,100. For 2019, the amount in this column for Mr. Cooper include a 401(k) contribution of $16,800. For 2018, the amount in this column for Mr. Cooper includes a 401(k) contribution of $8,250. In accordance with the Corporation’s Short-Term Business Travel Program, tax equalization payments for Messrs. Mionis, Phillips, and Lawless were made in order to cover taxes on their compensation in excess of the taxes they would have incurred in the U.S. Due largely to variables such as timing and tax rate differences between Canada and the U.S., tax equalization amounts may vary from one year to the next and the net benefit may be positive or negative in the year. While the Corporation is incorporated and headquartered in Canada, our business is global, and we compete for executive talent worldwide. As a result, we believe it is appropriate to make tax equalization payments under certain circumstances in order to attract and retain non-Canadian executive officers with specific capabilities.</w:t>
      </w:r>
    </w:p>
    <w:p>
      <w:pPr>
        <w:spacing w:after="0" w:line="30" w:lineRule="exact"/>
        <w:rPr>
          <w:rFonts w:ascii="Arial" w:cs="Arial" w:eastAsia="Arial" w:hAnsi="Arial"/>
          <w:sz w:val="15"/>
          <w:szCs w:val="15"/>
          <w:color w:val="auto"/>
          <w:vertAlign w:val="superscript"/>
        </w:rPr>
      </w:pPr>
    </w:p>
    <w:p>
      <w:pPr>
        <w:jc w:val="both"/>
        <w:ind w:left="1740" w:right="1499" w:hanging="262"/>
        <w:spacing w:after="0" w:line="249" w:lineRule="auto"/>
        <w:tabs>
          <w:tab w:leader="none" w:pos="1740" w:val="left"/>
        </w:tabs>
        <w:numPr>
          <w:ilvl w:val="0"/>
          <w:numId w:val="90"/>
        </w:numPr>
        <w:rPr>
          <w:rFonts w:ascii="Arial" w:cs="Arial" w:eastAsia="Arial" w:hAnsi="Arial"/>
          <w:sz w:val="15"/>
          <w:szCs w:val="15"/>
          <w:color w:val="auto"/>
          <w:vertAlign w:val="superscript"/>
        </w:rPr>
      </w:pPr>
      <w:r>
        <w:rPr>
          <w:rFonts w:ascii="Arial" w:cs="Arial" w:eastAsia="Arial" w:hAnsi="Arial"/>
          <w:sz w:val="10"/>
          <w:szCs w:val="10"/>
          <w:color w:val="auto"/>
        </w:rPr>
        <w:t>In April 2020, Mr. Chawla’s base salary was increased from $460,000 to $500,000 to better align it with the median base salary of CFOs within the Comparator Group, and to reflect the expanded scope of his responsibilities to include additional functional areas. In 2019, the HRCC approved an increase in Mr. Chawla’s base salary from $450,000 to $460,000. Mr. Phillips was appointed President, CCS effective January 1, 2019 and his base salary increased from $350,000 to $425,000. In August 2019, Mr. Phillips’ base salary was increased from $425,000 to $460,000 to reflect his significantly expanded responsibilities.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3" w:name="page74"/>
    <w:bookmarkEnd w:id="73"/>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32"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Option-Based and Share-Based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38100</wp:posOffset>
            </wp:positionV>
            <wp:extent cx="3843655" cy="63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843655" cy="635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50800</wp:posOffset>
            </wp:positionV>
            <wp:extent cx="3843655" cy="63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230" w:lineRule="exact"/>
        <w:rPr>
          <w:sz w:val="20"/>
          <w:szCs w:val="20"/>
          <w:color w:val="auto"/>
        </w:rPr>
      </w:pPr>
    </w:p>
    <w:p>
      <w:pPr>
        <w:ind w:left="1480" w:right="1499"/>
        <w:spacing w:after="0" w:line="285" w:lineRule="auto"/>
        <w:rPr>
          <w:sz w:val="20"/>
          <w:szCs w:val="20"/>
          <w:color w:val="auto"/>
        </w:rPr>
      </w:pPr>
      <w:r>
        <w:rPr>
          <w:rFonts w:ascii="Arial" w:cs="Arial" w:eastAsia="Arial" w:hAnsi="Arial"/>
          <w:sz w:val="13"/>
          <w:szCs w:val="13"/>
          <w:color w:val="auto"/>
        </w:rPr>
        <w:t>The following table provides details of each stock option grant outstanding (vested and unvested) and the aggregate number of unvested share-based awards for each of the NEOs as of December 31, 2020.</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Table 21: Outstanding Option-Based and Share-Based Awards</w:t>
      </w:r>
      <w:r>
        <w:rPr>
          <w:rFonts w:ascii="Arial" w:cs="Arial" w:eastAsia="Arial" w:hAnsi="Arial"/>
          <w:sz w:val="19"/>
          <w:szCs w:val="19"/>
          <w:b w:val="1"/>
          <w:bCs w:val="1"/>
          <w:color w:val="auto"/>
          <w:vertAlign w:val="superscript"/>
        </w:rPr>
        <w:t>(1)</w:t>
      </w:r>
    </w:p>
    <w:p>
      <w:pPr>
        <w:spacing w:after="0" w:line="44" w:lineRule="exact"/>
        <w:rPr>
          <w:sz w:val="20"/>
          <w:szCs w:val="20"/>
          <w:color w:val="auto"/>
        </w:rPr>
      </w:pPr>
    </w:p>
    <w:tbl>
      <w:tblPr>
        <w:tblLayout w:type="fixed"/>
        <w:tblInd w:w="1490" w:type="dxa"/>
        <w:tblCellMar>
          <w:top w:w="0" w:type="dxa"/>
          <w:left w:w="0" w:type="dxa"/>
          <w:bottom w:w="0" w:type="dxa"/>
          <w:right w:w="0" w:type="dxa"/>
        </w:tblCellMar>
      </w:tblPr>
      <w:tr>
        <w:trPr>
          <w:trHeight w:val="192"/>
        </w:trPr>
        <w:tc>
          <w:tcPr>
            <w:tcW w:w="980" w:type="dxa"/>
            <w:vAlign w:val="bottom"/>
            <w:tcBorders>
              <w:top w:val="single" w:sz="8" w:color="auto"/>
              <w:left w:val="single" w:sz="8" w:color="auto"/>
              <w:right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120"/>
              <w:spacing w:after="0"/>
              <w:rPr>
                <w:sz w:val="20"/>
                <w:szCs w:val="20"/>
                <w:color w:val="auto"/>
              </w:rPr>
            </w:pPr>
            <w:r>
              <w:rPr>
                <w:rFonts w:ascii="Arial" w:cs="Arial" w:eastAsia="Arial" w:hAnsi="Arial"/>
                <w:sz w:val="9"/>
                <w:szCs w:val="9"/>
                <w:b w:val="1"/>
                <w:bCs w:val="1"/>
                <w:color w:val="auto"/>
                <w:w w:val="99"/>
              </w:rPr>
              <w:t>Option-Based Awards</w:t>
            </w:r>
          </w:p>
        </w:tc>
        <w:tc>
          <w:tcPr>
            <w:tcW w:w="560" w:type="dxa"/>
            <w:vAlign w:val="bottom"/>
            <w:tcBorders>
              <w:top w:val="single" w:sz="8" w:color="auto"/>
              <w:right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3"/>
          </w:tcPr>
          <w:p>
            <w:pPr>
              <w:jc w:val="center"/>
              <w:spacing w:after="0"/>
              <w:rPr>
                <w:sz w:val="20"/>
                <w:szCs w:val="20"/>
                <w:color w:val="auto"/>
              </w:rPr>
            </w:pPr>
            <w:r>
              <w:rPr>
                <w:rFonts w:ascii="Arial" w:cs="Arial" w:eastAsia="Arial" w:hAnsi="Arial"/>
                <w:sz w:val="9"/>
                <w:szCs w:val="9"/>
                <w:b w:val="1"/>
                <w:bCs w:val="1"/>
                <w:color w:val="auto"/>
                <w:w w:val="88"/>
              </w:rPr>
              <w:t>Share-Based Awards</w:t>
            </w:r>
          </w:p>
        </w:tc>
        <w:tc>
          <w:tcPr>
            <w:tcW w:w="600" w:type="dxa"/>
            <w:vAlign w:val="bottom"/>
            <w:tcBorders>
              <w:top w:val="single" w:sz="8" w:color="auto"/>
              <w:right w:val="single" w:sz="8" w:color="auto"/>
            </w:tcBorders>
          </w:tcPr>
          <w:p>
            <w:pPr>
              <w:spacing w:after="0"/>
              <w:rPr>
                <w:sz w:val="16"/>
                <w:szCs w:val="16"/>
                <w:color w:val="auto"/>
              </w:rPr>
            </w:pPr>
          </w:p>
        </w:tc>
      </w:tr>
      <w:tr>
        <w:trPr>
          <w:trHeight w:val="22"/>
        </w:trPr>
        <w:tc>
          <w:tcPr>
            <w:tcW w:w="980" w:type="dxa"/>
            <w:vAlign w:val="bottom"/>
            <w:tcBorders>
              <w:left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r>
      <w:tr>
        <w:trPr>
          <w:trHeight w:val="116"/>
        </w:trPr>
        <w:tc>
          <w:tcPr>
            <w:tcW w:w="980" w:type="dxa"/>
            <w:vAlign w:val="bottom"/>
            <w:tcBorders>
              <w:left w:val="single" w:sz="8" w:color="auto"/>
              <w:right w:val="single" w:sz="8" w:color="auto"/>
            </w:tcBorders>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560" w:type="dxa"/>
            <w:vAlign w:val="bottom"/>
            <w:tcBorders>
              <w:right w:val="single" w:sz="8" w:color="auto"/>
            </w:tcBorders>
          </w:tcPr>
          <w:p>
            <w:pPr>
              <w:jc w:val="center"/>
              <w:ind w:right="14"/>
              <w:spacing w:after="0"/>
              <w:rPr>
                <w:sz w:val="20"/>
                <w:szCs w:val="20"/>
                <w:color w:val="auto"/>
              </w:rPr>
            </w:pPr>
            <w:r>
              <w:rPr>
                <w:rFonts w:ascii="Arial" w:cs="Arial" w:eastAsia="Arial" w:hAnsi="Arial"/>
                <w:sz w:val="9"/>
                <w:szCs w:val="9"/>
                <w:b w:val="1"/>
                <w:bCs w:val="1"/>
                <w:color w:val="auto"/>
                <w:w w:val="86"/>
              </w:rPr>
              <w:t>Payout</w:t>
            </w:r>
          </w:p>
        </w:tc>
        <w:tc>
          <w:tcPr>
            <w:tcW w:w="560" w:type="dxa"/>
            <w:vAlign w:val="bottom"/>
            <w:tcBorders>
              <w:right w:val="single" w:sz="8" w:color="auto"/>
            </w:tcBorders>
          </w:tcPr>
          <w:p>
            <w:pPr>
              <w:jc w:val="center"/>
              <w:ind w:right="14"/>
              <w:spacing w:after="0"/>
              <w:rPr>
                <w:sz w:val="20"/>
                <w:szCs w:val="20"/>
                <w:color w:val="auto"/>
              </w:rPr>
            </w:pPr>
            <w:r>
              <w:rPr>
                <w:rFonts w:ascii="Arial" w:cs="Arial" w:eastAsia="Arial" w:hAnsi="Arial"/>
                <w:sz w:val="9"/>
                <w:szCs w:val="9"/>
                <w:b w:val="1"/>
                <w:bCs w:val="1"/>
                <w:color w:val="auto"/>
                <w:w w:val="86"/>
              </w:rPr>
              <w:t>Payout</w:t>
            </w:r>
          </w:p>
        </w:tc>
        <w:tc>
          <w:tcPr>
            <w:tcW w:w="560" w:type="dxa"/>
            <w:vAlign w:val="bottom"/>
            <w:tcBorders>
              <w:right w:val="single" w:sz="8" w:color="auto"/>
            </w:tcBorders>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r>
      <w:tr>
        <w:trPr>
          <w:trHeight w:val="103"/>
        </w:trPr>
        <w:tc>
          <w:tcPr>
            <w:tcW w:w="980" w:type="dxa"/>
            <w:vAlign w:val="bottom"/>
            <w:tcBorders>
              <w:left w:val="single" w:sz="8" w:color="auto"/>
              <w:right w:val="single" w:sz="8" w:color="auto"/>
            </w:tcBorders>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560" w:type="dxa"/>
            <w:vAlign w:val="bottom"/>
            <w:tcBorders>
              <w:right w:val="single" w:sz="8" w:color="auto"/>
            </w:tcBorders>
          </w:tcPr>
          <w:p>
            <w:pPr>
              <w:jc w:val="center"/>
              <w:ind w:right="14"/>
              <w:spacing w:after="0"/>
              <w:rPr>
                <w:sz w:val="20"/>
                <w:szCs w:val="20"/>
                <w:color w:val="auto"/>
              </w:rPr>
            </w:pPr>
            <w:r>
              <w:rPr>
                <w:rFonts w:ascii="Arial" w:cs="Arial" w:eastAsia="Arial" w:hAnsi="Arial"/>
                <w:sz w:val="9"/>
                <w:szCs w:val="9"/>
                <w:b w:val="1"/>
                <w:bCs w:val="1"/>
                <w:color w:val="auto"/>
                <w:w w:val="85"/>
              </w:rPr>
              <w:t>Value of</w:t>
            </w:r>
          </w:p>
        </w:tc>
        <w:tc>
          <w:tcPr>
            <w:tcW w:w="560" w:type="dxa"/>
            <w:vAlign w:val="bottom"/>
            <w:tcBorders>
              <w:right w:val="single" w:sz="8" w:color="auto"/>
            </w:tcBorders>
          </w:tcPr>
          <w:p>
            <w:pPr>
              <w:jc w:val="center"/>
              <w:ind w:right="14"/>
              <w:spacing w:after="0"/>
              <w:rPr>
                <w:sz w:val="20"/>
                <w:szCs w:val="20"/>
                <w:color w:val="auto"/>
              </w:rPr>
            </w:pPr>
            <w:r>
              <w:rPr>
                <w:rFonts w:ascii="Arial" w:cs="Arial" w:eastAsia="Arial" w:hAnsi="Arial"/>
                <w:sz w:val="9"/>
                <w:szCs w:val="9"/>
                <w:b w:val="1"/>
                <w:bCs w:val="1"/>
                <w:color w:val="auto"/>
                <w:w w:val="85"/>
              </w:rPr>
              <w:t>Value of</w:t>
            </w:r>
          </w:p>
        </w:tc>
        <w:tc>
          <w:tcPr>
            <w:tcW w:w="560" w:type="dxa"/>
            <w:vAlign w:val="bottom"/>
            <w:tcBorders>
              <w:right w:val="single" w:sz="8" w:color="auto"/>
            </w:tcBorders>
          </w:tcPr>
          <w:p>
            <w:pPr>
              <w:spacing w:after="0"/>
              <w:rPr>
                <w:sz w:val="8"/>
                <w:szCs w:val="8"/>
                <w:color w:val="auto"/>
              </w:rPr>
            </w:pPr>
          </w:p>
        </w:tc>
        <w:tc>
          <w:tcPr>
            <w:tcW w:w="600" w:type="dxa"/>
            <w:vAlign w:val="bottom"/>
            <w:tcBorders>
              <w:right w:val="single" w:sz="8" w:color="auto"/>
            </w:tcBorders>
          </w:tcPr>
          <w:p>
            <w:pPr>
              <w:jc w:val="center"/>
              <w:ind w:right="74"/>
              <w:spacing w:after="0"/>
              <w:rPr>
                <w:sz w:val="20"/>
                <w:szCs w:val="20"/>
                <w:color w:val="auto"/>
              </w:rPr>
            </w:pPr>
            <w:r>
              <w:rPr>
                <w:rFonts w:ascii="Arial" w:cs="Arial" w:eastAsia="Arial" w:hAnsi="Arial"/>
                <w:sz w:val="9"/>
                <w:szCs w:val="9"/>
                <w:b w:val="1"/>
                <w:bCs w:val="1"/>
                <w:color w:val="auto"/>
                <w:w w:val="93"/>
              </w:rPr>
              <w:t>Payout</w:t>
            </w:r>
          </w:p>
        </w:tc>
      </w:tr>
      <w:tr>
        <w:trPr>
          <w:trHeight w:val="100"/>
        </w:trPr>
        <w:tc>
          <w:tcPr>
            <w:tcW w:w="980" w:type="dxa"/>
            <w:vAlign w:val="bottom"/>
            <w:tcBorders>
              <w:left w:val="single" w:sz="8" w:color="auto"/>
              <w:right w:val="single" w:sz="8" w:color="auto"/>
            </w:tcBorders>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560" w:type="dxa"/>
            <w:vAlign w:val="bottom"/>
            <w:tcBorders>
              <w:right w:val="single" w:sz="8" w:color="auto"/>
            </w:tcBorders>
          </w:tcPr>
          <w:p>
            <w:pPr>
              <w:jc w:val="center"/>
              <w:ind w:right="14"/>
              <w:spacing w:after="0" w:line="100" w:lineRule="exact"/>
              <w:rPr>
                <w:sz w:val="20"/>
                <w:szCs w:val="20"/>
                <w:color w:val="auto"/>
              </w:rPr>
            </w:pPr>
            <w:r>
              <w:rPr>
                <w:rFonts w:ascii="Arial" w:cs="Arial" w:eastAsia="Arial" w:hAnsi="Arial"/>
                <w:sz w:val="9"/>
                <w:szCs w:val="9"/>
                <w:b w:val="1"/>
                <w:bCs w:val="1"/>
                <w:color w:val="auto"/>
                <w:w w:val="92"/>
              </w:rPr>
              <w:t>Share-</w:t>
            </w:r>
          </w:p>
        </w:tc>
        <w:tc>
          <w:tcPr>
            <w:tcW w:w="560" w:type="dxa"/>
            <w:vAlign w:val="bottom"/>
            <w:tcBorders>
              <w:right w:val="single" w:sz="8" w:color="auto"/>
            </w:tcBorders>
          </w:tcPr>
          <w:p>
            <w:pPr>
              <w:jc w:val="center"/>
              <w:ind w:right="14"/>
              <w:spacing w:after="0" w:line="100" w:lineRule="exact"/>
              <w:rPr>
                <w:sz w:val="20"/>
                <w:szCs w:val="20"/>
                <w:color w:val="auto"/>
              </w:rPr>
            </w:pPr>
            <w:r>
              <w:rPr>
                <w:rFonts w:ascii="Arial" w:cs="Arial" w:eastAsia="Arial" w:hAnsi="Arial"/>
                <w:sz w:val="9"/>
                <w:szCs w:val="9"/>
                <w:b w:val="1"/>
                <w:bCs w:val="1"/>
                <w:color w:val="auto"/>
                <w:w w:val="92"/>
              </w:rPr>
              <w:t>Share-</w:t>
            </w:r>
          </w:p>
        </w:tc>
        <w:tc>
          <w:tcPr>
            <w:tcW w:w="560" w:type="dxa"/>
            <w:vAlign w:val="bottom"/>
            <w:tcBorders>
              <w:right w:val="single" w:sz="8" w:color="auto"/>
            </w:tcBorders>
          </w:tcPr>
          <w:p>
            <w:pPr>
              <w:jc w:val="center"/>
              <w:ind w:right="14"/>
              <w:spacing w:after="0" w:line="100" w:lineRule="exact"/>
              <w:rPr>
                <w:sz w:val="20"/>
                <w:szCs w:val="20"/>
                <w:color w:val="auto"/>
              </w:rPr>
            </w:pPr>
            <w:r>
              <w:rPr>
                <w:rFonts w:ascii="Arial" w:cs="Arial" w:eastAsia="Arial" w:hAnsi="Arial"/>
                <w:sz w:val="9"/>
                <w:szCs w:val="9"/>
                <w:b w:val="1"/>
                <w:bCs w:val="1"/>
                <w:color w:val="auto"/>
                <w:w w:val="86"/>
              </w:rPr>
              <w:t>Payout</w:t>
            </w:r>
          </w:p>
        </w:tc>
        <w:tc>
          <w:tcPr>
            <w:tcW w:w="600" w:type="dxa"/>
            <w:vAlign w:val="bottom"/>
            <w:tcBorders>
              <w:right w:val="single" w:sz="8" w:color="auto"/>
            </w:tcBorders>
          </w:tcPr>
          <w:p>
            <w:pPr>
              <w:jc w:val="center"/>
              <w:ind w:right="74"/>
              <w:spacing w:after="0" w:line="100" w:lineRule="exact"/>
              <w:rPr>
                <w:sz w:val="20"/>
                <w:szCs w:val="20"/>
                <w:color w:val="auto"/>
              </w:rPr>
            </w:pPr>
            <w:r>
              <w:rPr>
                <w:rFonts w:ascii="Arial" w:cs="Arial" w:eastAsia="Arial" w:hAnsi="Arial"/>
                <w:sz w:val="9"/>
                <w:szCs w:val="9"/>
                <w:b w:val="1"/>
                <w:bCs w:val="1"/>
                <w:color w:val="auto"/>
                <w:w w:val="91"/>
              </w:rPr>
              <w:t>Value of</w:t>
            </w:r>
          </w:p>
        </w:tc>
      </w:tr>
      <w:tr>
        <w:trPr>
          <w:trHeight w:val="100"/>
        </w:trPr>
        <w:tc>
          <w:tcPr>
            <w:tcW w:w="980" w:type="dxa"/>
            <w:vAlign w:val="bottom"/>
            <w:tcBorders>
              <w:left w:val="single" w:sz="8" w:color="auto"/>
              <w:right w:val="single" w:sz="8" w:color="auto"/>
            </w:tcBorders>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560" w:type="dxa"/>
            <w:vAlign w:val="bottom"/>
            <w:tcBorders>
              <w:right w:val="single" w:sz="8" w:color="auto"/>
            </w:tcBorders>
          </w:tcPr>
          <w:p>
            <w:pPr>
              <w:jc w:val="center"/>
              <w:ind w:right="14"/>
              <w:spacing w:after="0" w:line="100" w:lineRule="exact"/>
              <w:rPr>
                <w:sz w:val="20"/>
                <w:szCs w:val="20"/>
                <w:color w:val="auto"/>
              </w:rPr>
            </w:pPr>
            <w:r>
              <w:rPr>
                <w:rFonts w:ascii="Arial" w:cs="Arial" w:eastAsia="Arial" w:hAnsi="Arial"/>
                <w:sz w:val="9"/>
                <w:szCs w:val="9"/>
                <w:b w:val="1"/>
                <w:bCs w:val="1"/>
                <w:color w:val="auto"/>
                <w:w w:val="81"/>
              </w:rPr>
              <w:t>Based</w:t>
            </w:r>
          </w:p>
        </w:tc>
        <w:tc>
          <w:tcPr>
            <w:tcW w:w="560" w:type="dxa"/>
            <w:vAlign w:val="bottom"/>
            <w:tcBorders>
              <w:right w:val="single" w:sz="8" w:color="auto"/>
            </w:tcBorders>
          </w:tcPr>
          <w:p>
            <w:pPr>
              <w:jc w:val="center"/>
              <w:ind w:right="14"/>
              <w:spacing w:after="0" w:line="100" w:lineRule="exact"/>
              <w:rPr>
                <w:sz w:val="20"/>
                <w:szCs w:val="20"/>
                <w:color w:val="auto"/>
              </w:rPr>
            </w:pPr>
            <w:r>
              <w:rPr>
                <w:rFonts w:ascii="Arial" w:cs="Arial" w:eastAsia="Arial" w:hAnsi="Arial"/>
                <w:sz w:val="9"/>
                <w:szCs w:val="9"/>
                <w:b w:val="1"/>
                <w:bCs w:val="1"/>
                <w:color w:val="auto"/>
                <w:w w:val="81"/>
              </w:rPr>
              <w:t>Based</w:t>
            </w:r>
          </w:p>
        </w:tc>
        <w:tc>
          <w:tcPr>
            <w:tcW w:w="560" w:type="dxa"/>
            <w:vAlign w:val="bottom"/>
            <w:tcBorders>
              <w:right w:val="single" w:sz="8" w:color="auto"/>
            </w:tcBorders>
          </w:tcPr>
          <w:p>
            <w:pPr>
              <w:jc w:val="center"/>
              <w:ind w:right="34"/>
              <w:spacing w:after="0" w:line="100" w:lineRule="exact"/>
              <w:rPr>
                <w:sz w:val="20"/>
                <w:szCs w:val="20"/>
                <w:color w:val="auto"/>
              </w:rPr>
            </w:pPr>
            <w:r>
              <w:rPr>
                <w:rFonts w:ascii="Arial" w:cs="Arial" w:eastAsia="Arial" w:hAnsi="Arial"/>
                <w:sz w:val="9"/>
                <w:szCs w:val="9"/>
                <w:b w:val="1"/>
                <w:bCs w:val="1"/>
                <w:color w:val="auto"/>
                <w:w w:val="91"/>
              </w:rPr>
              <w:t>Value of</w:t>
            </w:r>
          </w:p>
        </w:tc>
        <w:tc>
          <w:tcPr>
            <w:tcW w:w="600" w:type="dxa"/>
            <w:vAlign w:val="bottom"/>
            <w:tcBorders>
              <w:right w:val="single" w:sz="8" w:color="auto"/>
            </w:tcBorders>
          </w:tcPr>
          <w:p>
            <w:pPr>
              <w:jc w:val="center"/>
              <w:ind w:right="74"/>
              <w:spacing w:after="0" w:line="100" w:lineRule="exact"/>
              <w:rPr>
                <w:sz w:val="20"/>
                <w:szCs w:val="20"/>
                <w:color w:val="auto"/>
              </w:rPr>
            </w:pPr>
            <w:r>
              <w:rPr>
                <w:rFonts w:ascii="Arial" w:cs="Arial" w:eastAsia="Arial" w:hAnsi="Arial"/>
                <w:sz w:val="9"/>
                <w:szCs w:val="9"/>
                <w:b w:val="1"/>
                <w:bCs w:val="1"/>
                <w:color w:val="auto"/>
                <w:w w:val="81"/>
              </w:rPr>
              <w:t>Vested</w:t>
            </w:r>
          </w:p>
        </w:tc>
      </w:tr>
      <w:tr>
        <w:trPr>
          <w:trHeight w:val="100"/>
        </w:trPr>
        <w:tc>
          <w:tcPr>
            <w:tcW w:w="980" w:type="dxa"/>
            <w:vAlign w:val="bottom"/>
            <w:tcBorders>
              <w:left w:val="single" w:sz="8" w:color="auto"/>
              <w:right w:val="single" w:sz="8" w:color="auto"/>
            </w:tcBorders>
          </w:tcPr>
          <w:p>
            <w:pPr>
              <w:spacing w:after="0"/>
              <w:rPr>
                <w:sz w:val="8"/>
                <w:szCs w:val="8"/>
                <w:color w:val="auto"/>
              </w:rPr>
            </w:pPr>
          </w:p>
        </w:tc>
        <w:tc>
          <w:tcPr>
            <w:tcW w:w="560" w:type="dxa"/>
            <w:vAlign w:val="bottom"/>
            <w:tcBorders>
              <w:right w:val="single" w:sz="8" w:color="auto"/>
            </w:tcBorders>
          </w:tcPr>
          <w:p>
            <w:pPr>
              <w:jc w:val="center"/>
              <w:ind w:right="14"/>
              <w:spacing w:after="0" w:line="100" w:lineRule="exact"/>
              <w:rPr>
                <w:sz w:val="20"/>
                <w:szCs w:val="20"/>
                <w:color w:val="auto"/>
              </w:rPr>
            </w:pPr>
            <w:r>
              <w:rPr>
                <w:rFonts w:ascii="Arial" w:cs="Arial" w:eastAsia="Arial" w:hAnsi="Arial"/>
                <w:sz w:val="9"/>
                <w:szCs w:val="9"/>
                <w:b w:val="1"/>
                <w:bCs w:val="1"/>
                <w:color w:val="auto"/>
                <w:w w:val="93"/>
              </w:rPr>
              <w:t>Number of</w:t>
            </w:r>
          </w:p>
        </w:tc>
        <w:tc>
          <w:tcPr>
            <w:tcW w:w="540" w:type="dxa"/>
            <w:vAlign w:val="bottom"/>
            <w:tcBorders>
              <w:right w:val="single" w:sz="8" w:color="auto"/>
            </w:tcBorders>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56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9"/>
                <w:szCs w:val="9"/>
                <w:b w:val="1"/>
                <w:bCs w:val="1"/>
                <w:color w:val="auto"/>
                <w:w w:val="91"/>
              </w:rPr>
              <w:t>Value of</w:t>
            </w:r>
          </w:p>
        </w:tc>
        <w:tc>
          <w:tcPr>
            <w:tcW w:w="560" w:type="dxa"/>
            <w:vAlign w:val="bottom"/>
            <w:tcBorders>
              <w:right w:val="single" w:sz="8" w:color="auto"/>
            </w:tcBorders>
          </w:tcPr>
          <w:p>
            <w:pPr>
              <w:jc w:val="center"/>
              <w:ind w:right="14"/>
              <w:spacing w:after="0" w:line="100" w:lineRule="exact"/>
              <w:rPr>
                <w:sz w:val="20"/>
                <w:szCs w:val="20"/>
                <w:color w:val="auto"/>
              </w:rPr>
            </w:pPr>
            <w:r>
              <w:rPr>
                <w:rFonts w:ascii="Arial" w:cs="Arial" w:eastAsia="Arial" w:hAnsi="Arial"/>
                <w:sz w:val="9"/>
                <w:szCs w:val="9"/>
                <w:b w:val="1"/>
                <w:bCs w:val="1"/>
                <w:color w:val="auto"/>
                <w:w w:val="93"/>
              </w:rPr>
              <w:t>Number of</w:t>
            </w:r>
          </w:p>
        </w:tc>
        <w:tc>
          <w:tcPr>
            <w:tcW w:w="560" w:type="dxa"/>
            <w:vAlign w:val="bottom"/>
            <w:tcBorders>
              <w:right w:val="single" w:sz="8" w:color="auto"/>
            </w:tcBorders>
          </w:tcPr>
          <w:p>
            <w:pPr>
              <w:jc w:val="center"/>
              <w:ind w:right="14"/>
              <w:spacing w:after="0" w:line="100" w:lineRule="exact"/>
              <w:rPr>
                <w:sz w:val="20"/>
                <w:szCs w:val="20"/>
                <w:color w:val="auto"/>
              </w:rPr>
            </w:pPr>
            <w:r>
              <w:rPr>
                <w:rFonts w:ascii="Arial" w:cs="Arial" w:eastAsia="Arial" w:hAnsi="Arial"/>
                <w:sz w:val="9"/>
                <w:szCs w:val="9"/>
                <w:b w:val="1"/>
                <w:bCs w:val="1"/>
                <w:color w:val="auto"/>
                <w:w w:val="92"/>
              </w:rPr>
              <w:t>Awards</w:t>
            </w:r>
          </w:p>
        </w:tc>
        <w:tc>
          <w:tcPr>
            <w:tcW w:w="560" w:type="dxa"/>
            <w:vAlign w:val="bottom"/>
            <w:tcBorders>
              <w:right w:val="single" w:sz="8" w:color="auto"/>
            </w:tcBorders>
          </w:tcPr>
          <w:p>
            <w:pPr>
              <w:jc w:val="center"/>
              <w:ind w:right="14"/>
              <w:spacing w:after="0" w:line="100" w:lineRule="exact"/>
              <w:rPr>
                <w:sz w:val="20"/>
                <w:szCs w:val="20"/>
                <w:color w:val="auto"/>
              </w:rPr>
            </w:pPr>
            <w:r>
              <w:rPr>
                <w:rFonts w:ascii="Arial" w:cs="Arial" w:eastAsia="Arial" w:hAnsi="Arial"/>
                <w:sz w:val="9"/>
                <w:szCs w:val="9"/>
                <w:b w:val="1"/>
                <w:bCs w:val="1"/>
                <w:color w:val="auto"/>
                <w:w w:val="92"/>
              </w:rPr>
              <w:t>Awards</w:t>
            </w:r>
          </w:p>
        </w:tc>
        <w:tc>
          <w:tcPr>
            <w:tcW w:w="560" w:type="dxa"/>
            <w:vAlign w:val="bottom"/>
            <w:tcBorders>
              <w:right w:val="single" w:sz="8" w:color="auto"/>
            </w:tcBorders>
          </w:tcPr>
          <w:p>
            <w:pPr>
              <w:jc w:val="center"/>
              <w:ind w:right="34"/>
              <w:spacing w:after="0" w:line="100" w:lineRule="exact"/>
              <w:rPr>
                <w:sz w:val="20"/>
                <w:szCs w:val="20"/>
                <w:color w:val="auto"/>
              </w:rPr>
            </w:pPr>
            <w:r>
              <w:rPr>
                <w:rFonts w:ascii="Arial" w:cs="Arial" w:eastAsia="Arial" w:hAnsi="Arial"/>
                <w:sz w:val="9"/>
                <w:szCs w:val="9"/>
                <w:b w:val="1"/>
                <w:bCs w:val="1"/>
                <w:color w:val="auto"/>
                <w:w w:val="87"/>
              </w:rPr>
              <w:t>Share-Based</w:t>
            </w:r>
          </w:p>
        </w:tc>
        <w:tc>
          <w:tcPr>
            <w:tcW w:w="600" w:type="dxa"/>
            <w:vAlign w:val="bottom"/>
            <w:tcBorders>
              <w:right w:val="single" w:sz="8" w:color="auto"/>
            </w:tcBorders>
          </w:tcPr>
          <w:p>
            <w:pPr>
              <w:jc w:val="center"/>
              <w:ind w:right="74"/>
              <w:spacing w:after="0" w:line="100" w:lineRule="exact"/>
              <w:rPr>
                <w:sz w:val="20"/>
                <w:szCs w:val="20"/>
                <w:color w:val="auto"/>
              </w:rPr>
            </w:pPr>
            <w:r>
              <w:rPr>
                <w:rFonts w:ascii="Arial" w:cs="Arial" w:eastAsia="Arial" w:hAnsi="Arial"/>
                <w:sz w:val="9"/>
                <w:szCs w:val="9"/>
                <w:b w:val="1"/>
                <w:bCs w:val="1"/>
                <w:color w:val="auto"/>
                <w:w w:val="87"/>
              </w:rPr>
              <w:t>Share-Based</w:t>
            </w:r>
          </w:p>
        </w:tc>
      </w:tr>
      <w:tr>
        <w:trPr>
          <w:trHeight w:val="100"/>
        </w:trPr>
        <w:tc>
          <w:tcPr>
            <w:tcW w:w="980" w:type="dxa"/>
            <w:vAlign w:val="bottom"/>
            <w:tcBorders>
              <w:left w:val="single" w:sz="8" w:color="auto"/>
              <w:right w:val="single" w:sz="8" w:color="auto"/>
            </w:tcBorders>
          </w:tcPr>
          <w:p>
            <w:pPr>
              <w:spacing w:after="0"/>
              <w:rPr>
                <w:sz w:val="8"/>
                <w:szCs w:val="8"/>
                <w:color w:val="auto"/>
              </w:rPr>
            </w:pPr>
          </w:p>
        </w:tc>
        <w:tc>
          <w:tcPr>
            <w:tcW w:w="560" w:type="dxa"/>
            <w:vAlign w:val="bottom"/>
            <w:tcBorders>
              <w:right w:val="single" w:sz="8" w:color="auto"/>
            </w:tcBorders>
          </w:tcPr>
          <w:p>
            <w:pPr>
              <w:jc w:val="center"/>
              <w:ind w:right="34"/>
              <w:spacing w:after="0" w:line="100" w:lineRule="exact"/>
              <w:rPr>
                <w:sz w:val="20"/>
                <w:szCs w:val="20"/>
                <w:color w:val="auto"/>
              </w:rPr>
            </w:pPr>
            <w:r>
              <w:rPr>
                <w:rFonts w:ascii="Arial" w:cs="Arial" w:eastAsia="Arial" w:hAnsi="Arial"/>
                <w:sz w:val="9"/>
                <w:szCs w:val="9"/>
                <w:b w:val="1"/>
                <w:bCs w:val="1"/>
                <w:color w:val="auto"/>
                <w:w w:val="83"/>
              </w:rPr>
              <w:t>Securities</w:t>
            </w:r>
          </w:p>
        </w:tc>
        <w:tc>
          <w:tcPr>
            <w:tcW w:w="540" w:type="dxa"/>
            <w:vAlign w:val="bottom"/>
            <w:tcBorders>
              <w:right w:val="single" w:sz="8" w:color="auto"/>
            </w:tcBorders>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560" w:type="dxa"/>
            <w:vAlign w:val="bottom"/>
            <w:tcBorders>
              <w:right w:val="single" w:sz="8" w:color="auto"/>
            </w:tcBorders>
          </w:tcPr>
          <w:p>
            <w:pPr>
              <w:jc w:val="center"/>
              <w:ind w:right="14"/>
              <w:spacing w:after="0" w:line="100" w:lineRule="exact"/>
              <w:rPr>
                <w:sz w:val="20"/>
                <w:szCs w:val="20"/>
                <w:color w:val="auto"/>
              </w:rPr>
            </w:pPr>
            <w:r>
              <w:rPr>
                <w:rFonts w:ascii="Arial" w:cs="Arial" w:eastAsia="Arial" w:hAnsi="Arial"/>
                <w:sz w:val="9"/>
                <w:szCs w:val="9"/>
                <w:b w:val="1"/>
                <w:bCs w:val="1"/>
                <w:color w:val="auto"/>
                <w:w w:val="85"/>
              </w:rPr>
              <w:t>Unexercised</w:t>
            </w:r>
          </w:p>
        </w:tc>
        <w:tc>
          <w:tcPr>
            <w:tcW w:w="56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9"/>
                <w:szCs w:val="9"/>
                <w:b w:val="1"/>
                <w:bCs w:val="1"/>
                <w:color w:val="auto"/>
                <w:w w:val="86"/>
              </w:rPr>
              <w:t>Shares or</w:t>
            </w:r>
          </w:p>
        </w:tc>
        <w:tc>
          <w:tcPr>
            <w:tcW w:w="560" w:type="dxa"/>
            <w:vAlign w:val="bottom"/>
            <w:tcBorders>
              <w:right w:val="single" w:sz="8" w:color="auto"/>
            </w:tcBorders>
          </w:tcPr>
          <w:p>
            <w:pPr>
              <w:jc w:val="center"/>
              <w:ind w:right="14"/>
              <w:spacing w:after="0" w:line="100" w:lineRule="exact"/>
              <w:rPr>
                <w:sz w:val="20"/>
                <w:szCs w:val="20"/>
                <w:color w:val="auto"/>
              </w:rPr>
            </w:pPr>
            <w:r>
              <w:rPr>
                <w:rFonts w:ascii="Arial" w:cs="Arial" w:eastAsia="Arial" w:hAnsi="Arial"/>
                <w:sz w:val="9"/>
                <w:szCs w:val="9"/>
                <w:b w:val="1"/>
                <w:bCs w:val="1"/>
                <w:color w:val="auto"/>
                <w:w w:val="84"/>
              </w:rPr>
              <w:t>that</w:t>
            </w:r>
          </w:p>
        </w:tc>
        <w:tc>
          <w:tcPr>
            <w:tcW w:w="560" w:type="dxa"/>
            <w:vAlign w:val="bottom"/>
            <w:tcBorders>
              <w:right w:val="single" w:sz="8" w:color="auto"/>
            </w:tcBorders>
          </w:tcPr>
          <w:p>
            <w:pPr>
              <w:jc w:val="center"/>
              <w:ind w:right="14"/>
              <w:spacing w:after="0" w:line="100" w:lineRule="exact"/>
              <w:rPr>
                <w:sz w:val="20"/>
                <w:szCs w:val="20"/>
                <w:color w:val="auto"/>
              </w:rPr>
            </w:pPr>
            <w:r>
              <w:rPr>
                <w:rFonts w:ascii="Arial" w:cs="Arial" w:eastAsia="Arial" w:hAnsi="Arial"/>
                <w:sz w:val="9"/>
                <w:szCs w:val="9"/>
                <w:b w:val="1"/>
                <w:bCs w:val="1"/>
                <w:color w:val="auto"/>
                <w:w w:val="84"/>
              </w:rPr>
              <w:t>that</w:t>
            </w:r>
          </w:p>
        </w:tc>
        <w:tc>
          <w:tcPr>
            <w:tcW w:w="560" w:type="dxa"/>
            <w:vAlign w:val="bottom"/>
            <w:tcBorders>
              <w:right w:val="single" w:sz="8" w:color="auto"/>
            </w:tcBorders>
          </w:tcPr>
          <w:p>
            <w:pPr>
              <w:jc w:val="center"/>
              <w:ind w:right="14"/>
              <w:spacing w:after="0" w:line="100" w:lineRule="exact"/>
              <w:rPr>
                <w:sz w:val="20"/>
                <w:szCs w:val="20"/>
                <w:color w:val="auto"/>
              </w:rPr>
            </w:pPr>
            <w:r>
              <w:rPr>
                <w:rFonts w:ascii="Arial" w:cs="Arial" w:eastAsia="Arial" w:hAnsi="Arial"/>
                <w:sz w:val="9"/>
                <w:szCs w:val="9"/>
                <w:b w:val="1"/>
                <w:bCs w:val="1"/>
                <w:color w:val="auto"/>
                <w:w w:val="89"/>
              </w:rPr>
              <w:t>Awards that</w:t>
            </w:r>
          </w:p>
        </w:tc>
        <w:tc>
          <w:tcPr>
            <w:tcW w:w="600" w:type="dxa"/>
            <w:vAlign w:val="bottom"/>
            <w:tcBorders>
              <w:right w:val="single" w:sz="8" w:color="auto"/>
            </w:tcBorders>
          </w:tcPr>
          <w:p>
            <w:pPr>
              <w:jc w:val="center"/>
              <w:ind w:right="74"/>
              <w:spacing w:after="0" w:line="100" w:lineRule="exact"/>
              <w:rPr>
                <w:sz w:val="20"/>
                <w:szCs w:val="20"/>
                <w:color w:val="auto"/>
              </w:rPr>
            </w:pPr>
            <w:r>
              <w:rPr>
                <w:rFonts w:ascii="Arial" w:cs="Arial" w:eastAsia="Arial" w:hAnsi="Arial"/>
                <w:sz w:val="9"/>
                <w:szCs w:val="9"/>
                <w:b w:val="1"/>
                <w:bCs w:val="1"/>
                <w:color w:val="auto"/>
                <w:w w:val="85"/>
              </w:rPr>
              <w:t>Awards</w:t>
            </w:r>
          </w:p>
        </w:tc>
      </w:tr>
      <w:tr>
        <w:trPr>
          <w:trHeight w:val="100"/>
        </w:trPr>
        <w:tc>
          <w:tcPr>
            <w:tcW w:w="980" w:type="dxa"/>
            <w:vAlign w:val="bottom"/>
            <w:tcBorders>
              <w:left w:val="single" w:sz="8" w:color="auto"/>
              <w:right w:val="single" w:sz="8" w:color="auto"/>
            </w:tcBorders>
          </w:tcPr>
          <w:p>
            <w:pPr>
              <w:spacing w:after="0"/>
              <w:rPr>
                <w:sz w:val="8"/>
                <w:szCs w:val="8"/>
                <w:color w:val="auto"/>
              </w:rPr>
            </w:pPr>
          </w:p>
        </w:tc>
        <w:tc>
          <w:tcPr>
            <w:tcW w:w="560" w:type="dxa"/>
            <w:vAlign w:val="bottom"/>
            <w:tcBorders>
              <w:right w:val="single" w:sz="8" w:color="auto"/>
            </w:tcBorders>
          </w:tcPr>
          <w:p>
            <w:pPr>
              <w:jc w:val="center"/>
              <w:ind w:right="34"/>
              <w:spacing w:after="0" w:line="100" w:lineRule="exact"/>
              <w:rPr>
                <w:sz w:val="20"/>
                <w:szCs w:val="20"/>
                <w:color w:val="auto"/>
              </w:rPr>
            </w:pPr>
            <w:r>
              <w:rPr>
                <w:rFonts w:ascii="Arial" w:cs="Arial" w:eastAsia="Arial" w:hAnsi="Arial"/>
                <w:sz w:val="9"/>
                <w:szCs w:val="9"/>
                <w:b w:val="1"/>
                <w:bCs w:val="1"/>
                <w:color w:val="auto"/>
                <w:w w:val="93"/>
              </w:rPr>
              <w:t>Underlying</w:t>
            </w:r>
          </w:p>
        </w:tc>
        <w:tc>
          <w:tcPr>
            <w:tcW w:w="540" w:type="dxa"/>
            <w:vAlign w:val="bottom"/>
            <w:tcBorders>
              <w:right w:val="single" w:sz="8" w:color="auto"/>
            </w:tcBorders>
          </w:tcPr>
          <w:p>
            <w:pPr>
              <w:jc w:val="center"/>
              <w:ind w:right="14"/>
              <w:spacing w:after="0" w:line="100" w:lineRule="exact"/>
              <w:rPr>
                <w:sz w:val="20"/>
                <w:szCs w:val="20"/>
                <w:color w:val="auto"/>
              </w:rPr>
            </w:pPr>
            <w:r>
              <w:rPr>
                <w:rFonts w:ascii="Arial" w:cs="Arial" w:eastAsia="Arial" w:hAnsi="Arial"/>
                <w:sz w:val="9"/>
                <w:szCs w:val="9"/>
                <w:b w:val="1"/>
                <w:bCs w:val="1"/>
                <w:color w:val="auto"/>
                <w:w w:val="96"/>
              </w:rPr>
              <w:t>Option</w:t>
            </w:r>
          </w:p>
        </w:tc>
        <w:tc>
          <w:tcPr>
            <w:tcW w:w="560" w:type="dxa"/>
            <w:vAlign w:val="bottom"/>
            <w:tcBorders>
              <w:right w:val="single" w:sz="8" w:color="auto"/>
            </w:tcBorders>
          </w:tcPr>
          <w:p>
            <w:pPr>
              <w:spacing w:after="0"/>
              <w:rPr>
                <w:sz w:val="8"/>
                <w:szCs w:val="8"/>
                <w:color w:val="auto"/>
              </w:rPr>
            </w:pPr>
          </w:p>
        </w:tc>
        <w:tc>
          <w:tcPr>
            <w:tcW w:w="560" w:type="dxa"/>
            <w:vAlign w:val="bottom"/>
            <w:tcBorders>
              <w:right w:val="single" w:sz="8" w:color="auto"/>
            </w:tcBorders>
          </w:tcPr>
          <w:p>
            <w:pPr>
              <w:jc w:val="center"/>
              <w:ind w:right="14"/>
              <w:spacing w:after="0" w:line="100" w:lineRule="exact"/>
              <w:rPr>
                <w:sz w:val="20"/>
                <w:szCs w:val="20"/>
                <w:color w:val="auto"/>
              </w:rPr>
            </w:pPr>
            <w:r>
              <w:rPr>
                <w:rFonts w:ascii="Arial" w:cs="Arial" w:eastAsia="Arial" w:hAnsi="Arial"/>
                <w:sz w:val="9"/>
                <w:szCs w:val="9"/>
                <w:b w:val="1"/>
                <w:bCs w:val="1"/>
                <w:color w:val="auto"/>
                <w:w w:val="94"/>
              </w:rPr>
              <w:t>In-the-</w:t>
            </w:r>
          </w:p>
        </w:tc>
        <w:tc>
          <w:tcPr>
            <w:tcW w:w="560" w:type="dxa"/>
            <w:vAlign w:val="bottom"/>
            <w:tcBorders>
              <w:right w:val="single" w:sz="8" w:color="auto"/>
            </w:tcBorders>
          </w:tcPr>
          <w:p>
            <w:pPr>
              <w:jc w:val="center"/>
              <w:ind w:right="14"/>
              <w:spacing w:after="0" w:line="100" w:lineRule="exact"/>
              <w:rPr>
                <w:sz w:val="20"/>
                <w:szCs w:val="20"/>
                <w:color w:val="auto"/>
              </w:rPr>
            </w:pPr>
            <w:r>
              <w:rPr>
                <w:rFonts w:ascii="Arial" w:cs="Arial" w:eastAsia="Arial" w:hAnsi="Arial"/>
                <w:sz w:val="9"/>
                <w:szCs w:val="9"/>
                <w:b w:val="1"/>
                <w:bCs w:val="1"/>
                <w:color w:val="auto"/>
                <w:w w:val="91"/>
              </w:rPr>
              <w:t>Units that</w:t>
            </w:r>
          </w:p>
        </w:tc>
        <w:tc>
          <w:tcPr>
            <w:tcW w:w="560" w:type="dxa"/>
            <w:vAlign w:val="bottom"/>
            <w:tcBorders>
              <w:right w:val="single" w:sz="8" w:color="auto"/>
            </w:tcBorders>
          </w:tcPr>
          <w:p>
            <w:pPr>
              <w:jc w:val="center"/>
              <w:ind w:right="14"/>
              <w:spacing w:after="0" w:line="100" w:lineRule="exact"/>
              <w:rPr>
                <w:sz w:val="20"/>
                <w:szCs w:val="20"/>
                <w:color w:val="auto"/>
              </w:rPr>
            </w:pPr>
            <w:r>
              <w:rPr>
                <w:rFonts w:ascii="Arial" w:cs="Arial" w:eastAsia="Arial" w:hAnsi="Arial"/>
                <w:sz w:val="9"/>
                <w:szCs w:val="9"/>
                <w:b w:val="1"/>
                <w:bCs w:val="1"/>
                <w:color w:val="auto"/>
                <w:w w:val="91"/>
              </w:rPr>
              <w:t>have not</w:t>
            </w:r>
          </w:p>
        </w:tc>
        <w:tc>
          <w:tcPr>
            <w:tcW w:w="560" w:type="dxa"/>
            <w:vAlign w:val="bottom"/>
            <w:tcBorders>
              <w:right w:val="single" w:sz="8" w:color="auto"/>
            </w:tcBorders>
          </w:tcPr>
          <w:p>
            <w:pPr>
              <w:jc w:val="center"/>
              <w:ind w:right="14"/>
              <w:spacing w:after="0" w:line="100" w:lineRule="exact"/>
              <w:rPr>
                <w:sz w:val="20"/>
                <w:szCs w:val="20"/>
                <w:color w:val="auto"/>
              </w:rPr>
            </w:pPr>
            <w:r>
              <w:rPr>
                <w:rFonts w:ascii="Arial" w:cs="Arial" w:eastAsia="Arial" w:hAnsi="Arial"/>
                <w:sz w:val="9"/>
                <w:szCs w:val="9"/>
                <w:b w:val="1"/>
                <w:bCs w:val="1"/>
                <w:color w:val="auto"/>
                <w:w w:val="91"/>
              </w:rPr>
              <w:t>have not</w:t>
            </w:r>
          </w:p>
        </w:tc>
        <w:tc>
          <w:tcPr>
            <w:tcW w:w="560" w:type="dxa"/>
            <w:vAlign w:val="bottom"/>
            <w:tcBorders>
              <w:right w:val="single" w:sz="8" w:color="auto"/>
            </w:tcBorders>
          </w:tcPr>
          <w:p>
            <w:pPr>
              <w:jc w:val="center"/>
              <w:ind w:right="34"/>
              <w:spacing w:after="0" w:line="100" w:lineRule="exact"/>
              <w:rPr>
                <w:sz w:val="20"/>
                <w:szCs w:val="20"/>
                <w:color w:val="auto"/>
              </w:rPr>
            </w:pPr>
            <w:r>
              <w:rPr>
                <w:rFonts w:ascii="Arial" w:cs="Arial" w:eastAsia="Arial" w:hAnsi="Arial"/>
                <w:sz w:val="9"/>
                <w:szCs w:val="9"/>
                <w:b w:val="1"/>
                <w:bCs w:val="1"/>
                <w:color w:val="auto"/>
                <w:w w:val="86"/>
              </w:rPr>
              <w:t>have not</w:t>
            </w:r>
          </w:p>
        </w:tc>
        <w:tc>
          <w:tcPr>
            <w:tcW w:w="600" w:type="dxa"/>
            <w:vAlign w:val="bottom"/>
            <w:tcBorders>
              <w:right w:val="single" w:sz="8" w:color="auto"/>
            </w:tcBorders>
          </w:tcPr>
          <w:p>
            <w:pPr>
              <w:jc w:val="center"/>
              <w:ind w:right="54"/>
              <w:spacing w:after="0" w:line="100" w:lineRule="exact"/>
              <w:rPr>
                <w:sz w:val="20"/>
                <w:szCs w:val="20"/>
                <w:color w:val="auto"/>
              </w:rPr>
            </w:pPr>
            <w:r>
              <w:rPr>
                <w:rFonts w:ascii="Arial" w:cs="Arial" w:eastAsia="Arial" w:hAnsi="Arial"/>
                <w:sz w:val="9"/>
                <w:szCs w:val="9"/>
                <w:b w:val="1"/>
                <w:bCs w:val="1"/>
                <w:color w:val="auto"/>
                <w:w w:val="93"/>
              </w:rPr>
              <w:t>Not Paid</w:t>
            </w:r>
          </w:p>
        </w:tc>
      </w:tr>
      <w:tr>
        <w:trPr>
          <w:trHeight w:val="100"/>
        </w:trPr>
        <w:tc>
          <w:tcPr>
            <w:tcW w:w="980" w:type="dxa"/>
            <w:vAlign w:val="bottom"/>
            <w:tcBorders>
              <w:left w:val="single" w:sz="8" w:color="auto"/>
              <w:right w:val="single" w:sz="8" w:color="auto"/>
            </w:tcBorders>
          </w:tcPr>
          <w:p>
            <w:pPr>
              <w:spacing w:after="0"/>
              <w:rPr>
                <w:sz w:val="8"/>
                <w:szCs w:val="8"/>
                <w:color w:val="auto"/>
              </w:rPr>
            </w:pPr>
          </w:p>
        </w:tc>
        <w:tc>
          <w:tcPr>
            <w:tcW w:w="560" w:type="dxa"/>
            <w:vAlign w:val="bottom"/>
            <w:tcBorders>
              <w:right w:val="single" w:sz="8" w:color="auto"/>
            </w:tcBorders>
          </w:tcPr>
          <w:p>
            <w:pPr>
              <w:jc w:val="center"/>
              <w:ind w:right="14"/>
              <w:spacing w:after="0" w:line="100" w:lineRule="exact"/>
              <w:rPr>
                <w:sz w:val="20"/>
                <w:szCs w:val="20"/>
                <w:color w:val="auto"/>
              </w:rPr>
            </w:pPr>
            <w:r>
              <w:rPr>
                <w:rFonts w:ascii="Arial" w:cs="Arial" w:eastAsia="Arial" w:hAnsi="Arial"/>
                <w:sz w:val="9"/>
                <w:szCs w:val="9"/>
                <w:b w:val="1"/>
                <w:bCs w:val="1"/>
                <w:color w:val="auto"/>
                <w:w w:val="85"/>
              </w:rPr>
              <w:t>Unexercised</w:t>
            </w:r>
          </w:p>
        </w:tc>
        <w:tc>
          <w:tcPr>
            <w:tcW w:w="540" w:type="dxa"/>
            <w:vAlign w:val="bottom"/>
            <w:tcBorders>
              <w:right w:val="single" w:sz="8" w:color="auto"/>
            </w:tcBorders>
          </w:tcPr>
          <w:p>
            <w:pPr>
              <w:jc w:val="center"/>
              <w:ind w:right="14"/>
              <w:spacing w:after="0" w:line="100" w:lineRule="exact"/>
              <w:rPr>
                <w:sz w:val="20"/>
                <w:szCs w:val="20"/>
                <w:color w:val="auto"/>
              </w:rPr>
            </w:pPr>
            <w:r>
              <w:rPr>
                <w:rFonts w:ascii="Arial" w:cs="Arial" w:eastAsia="Arial" w:hAnsi="Arial"/>
                <w:sz w:val="9"/>
                <w:szCs w:val="9"/>
                <w:b w:val="1"/>
                <w:bCs w:val="1"/>
                <w:color w:val="auto"/>
                <w:w w:val="86"/>
              </w:rPr>
              <w:t>Exercise</w:t>
            </w:r>
          </w:p>
        </w:tc>
        <w:tc>
          <w:tcPr>
            <w:tcW w:w="56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9"/>
                <w:szCs w:val="9"/>
                <w:b w:val="1"/>
                <w:bCs w:val="1"/>
                <w:color w:val="auto"/>
                <w:w w:val="96"/>
              </w:rPr>
              <w:t>Option</w:t>
            </w:r>
          </w:p>
        </w:tc>
        <w:tc>
          <w:tcPr>
            <w:tcW w:w="560" w:type="dxa"/>
            <w:vAlign w:val="bottom"/>
            <w:tcBorders>
              <w:right w:val="single" w:sz="8" w:color="auto"/>
            </w:tcBorders>
          </w:tcPr>
          <w:p>
            <w:pPr>
              <w:jc w:val="center"/>
              <w:ind w:right="14"/>
              <w:spacing w:after="0" w:line="100" w:lineRule="exact"/>
              <w:rPr>
                <w:sz w:val="20"/>
                <w:szCs w:val="20"/>
                <w:color w:val="auto"/>
              </w:rPr>
            </w:pPr>
            <w:r>
              <w:rPr>
                <w:rFonts w:ascii="Arial" w:cs="Arial" w:eastAsia="Arial" w:hAnsi="Arial"/>
                <w:sz w:val="9"/>
                <w:szCs w:val="9"/>
                <w:b w:val="1"/>
                <w:bCs w:val="1"/>
                <w:color w:val="auto"/>
                <w:w w:val="91"/>
              </w:rPr>
              <w:t>Money</w:t>
            </w:r>
          </w:p>
        </w:tc>
        <w:tc>
          <w:tcPr>
            <w:tcW w:w="56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9"/>
                <w:szCs w:val="9"/>
                <w:b w:val="1"/>
                <w:bCs w:val="1"/>
                <w:color w:val="auto"/>
                <w:w w:val="86"/>
              </w:rPr>
              <w:t>have not</w:t>
            </w:r>
          </w:p>
        </w:tc>
        <w:tc>
          <w:tcPr>
            <w:tcW w:w="560" w:type="dxa"/>
            <w:vAlign w:val="bottom"/>
            <w:tcBorders>
              <w:right w:val="single" w:sz="8" w:color="auto"/>
            </w:tcBorders>
          </w:tcPr>
          <w:p>
            <w:pPr>
              <w:jc w:val="center"/>
              <w:ind w:right="14"/>
              <w:spacing w:after="0" w:line="100" w:lineRule="exact"/>
              <w:rPr>
                <w:sz w:val="20"/>
                <w:szCs w:val="20"/>
                <w:color w:val="auto"/>
              </w:rPr>
            </w:pPr>
            <w:r>
              <w:rPr>
                <w:rFonts w:ascii="Arial" w:cs="Arial" w:eastAsia="Arial" w:hAnsi="Arial"/>
                <w:sz w:val="9"/>
                <w:szCs w:val="9"/>
                <w:b w:val="1"/>
                <w:bCs w:val="1"/>
                <w:color w:val="auto"/>
                <w:w w:val="84"/>
              </w:rPr>
              <w:t>Vested at</w:t>
            </w:r>
          </w:p>
        </w:tc>
        <w:tc>
          <w:tcPr>
            <w:tcW w:w="560" w:type="dxa"/>
            <w:vAlign w:val="bottom"/>
            <w:tcBorders>
              <w:right w:val="single" w:sz="8" w:color="auto"/>
            </w:tcBorders>
          </w:tcPr>
          <w:p>
            <w:pPr>
              <w:jc w:val="center"/>
              <w:ind w:right="14"/>
              <w:spacing w:after="0" w:line="100" w:lineRule="exact"/>
              <w:rPr>
                <w:sz w:val="20"/>
                <w:szCs w:val="20"/>
                <w:color w:val="auto"/>
              </w:rPr>
            </w:pPr>
            <w:r>
              <w:rPr>
                <w:rFonts w:ascii="Arial" w:cs="Arial" w:eastAsia="Arial" w:hAnsi="Arial"/>
                <w:sz w:val="9"/>
                <w:szCs w:val="9"/>
                <w:b w:val="1"/>
                <w:bCs w:val="1"/>
                <w:color w:val="auto"/>
                <w:w w:val="84"/>
              </w:rPr>
              <w:t>Vested at</w:t>
            </w:r>
          </w:p>
        </w:tc>
        <w:tc>
          <w:tcPr>
            <w:tcW w:w="560" w:type="dxa"/>
            <w:vAlign w:val="bottom"/>
            <w:tcBorders>
              <w:right w:val="single" w:sz="8" w:color="auto"/>
            </w:tcBorders>
          </w:tcPr>
          <w:p>
            <w:pPr>
              <w:jc w:val="center"/>
              <w:ind w:right="14"/>
              <w:spacing w:after="0" w:line="100" w:lineRule="exact"/>
              <w:rPr>
                <w:sz w:val="20"/>
                <w:szCs w:val="20"/>
                <w:color w:val="auto"/>
              </w:rPr>
            </w:pPr>
            <w:r>
              <w:rPr>
                <w:rFonts w:ascii="Arial" w:cs="Arial" w:eastAsia="Arial" w:hAnsi="Arial"/>
                <w:sz w:val="9"/>
                <w:szCs w:val="9"/>
                <w:b w:val="1"/>
                <w:bCs w:val="1"/>
                <w:color w:val="auto"/>
                <w:w w:val="84"/>
              </w:rPr>
              <w:t>Vested at</w:t>
            </w:r>
          </w:p>
        </w:tc>
        <w:tc>
          <w:tcPr>
            <w:tcW w:w="600" w:type="dxa"/>
            <w:vAlign w:val="bottom"/>
            <w:tcBorders>
              <w:right w:val="single" w:sz="8" w:color="auto"/>
            </w:tcBorders>
          </w:tcPr>
          <w:p>
            <w:pPr>
              <w:jc w:val="center"/>
              <w:ind w:right="54"/>
              <w:spacing w:after="0" w:line="100" w:lineRule="exact"/>
              <w:rPr>
                <w:sz w:val="20"/>
                <w:szCs w:val="20"/>
                <w:color w:val="auto"/>
              </w:rPr>
            </w:pPr>
            <w:r>
              <w:rPr>
                <w:rFonts w:ascii="Arial" w:cs="Arial" w:eastAsia="Arial" w:hAnsi="Arial"/>
                <w:sz w:val="9"/>
                <w:szCs w:val="9"/>
                <w:b w:val="1"/>
                <w:bCs w:val="1"/>
                <w:color w:val="auto"/>
                <w:w w:val="96"/>
              </w:rPr>
              <w:t>Out or</w:t>
            </w:r>
          </w:p>
        </w:tc>
      </w:tr>
      <w:tr>
        <w:trPr>
          <w:trHeight w:val="100"/>
        </w:trPr>
        <w:tc>
          <w:tcPr>
            <w:tcW w:w="980" w:type="dxa"/>
            <w:vAlign w:val="bottom"/>
            <w:tcBorders>
              <w:left w:val="single" w:sz="8" w:color="auto"/>
              <w:right w:val="single" w:sz="8" w:color="auto"/>
            </w:tcBorders>
          </w:tcPr>
          <w:p>
            <w:pPr>
              <w:spacing w:after="0"/>
              <w:rPr>
                <w:sz w:val="8"/>
                <w:szCs w:val="8"/>
                <w:color w:val="auto"/>
              </w:rPr>
            </w:pPr>
          </w:p>
        </w:tc>
        <w:tc>
          <w:tcPr>
            <w:tcW w:w="560" w:type="dxa"/>
            <w:vAlign w:val="bottom"/>
            <w:tcBorders>
              <w:right w:val="single" w:sz="8" w:color="auto"/>
            </w:tcBorders>
          </w:tcPr>
          <w:p>
            <w:pPr>
              <w:jc w:val="center"/>
              <w:ind w:right="14"/>
              <w:spacing w:after="0" w:line="100" w:lineRule="exact"/>
              <w:rPr>
                <w:sz w:val="20"/>
                <w:szCs w:val="20"/>
                <w:color w:val="auto"/>
              </w:rPr>
            </w:pPr>
            <w:r>
              <w:rPr>
                <w:rFonts w:ascii="Arial" w:cs="Arial" w:eastAsia="Arial" w:hAnsi="Arial"/>
                <w:sz w:val="9"/>
                <w:szCs w:val="9"/>
                <w:b w:val="1"/>
                <w:bCs w:val="1"/>
                <w:color w:val="auto"/>
                <w:w w:val="88"/>
              </w:rPr>
              <w:t>Options</w:t>
            </w:r>
          </w:p>
        </w:tc>
        <w:tc>
          <w:tcPr>
            <w:tcW w:w="540" w:type="dxa"/>
            <w:vAlign w:val="bottom"/>
            <w:tcBorders>
              <w:right w:val="single" w:sz="8" w:color="auto"/>
            </w:tcBorders>
          </w:tcPr>
          <w:p>
            <w:pPr>
              <w:jc w:val="center"/>
              <w:ind w:right="14"/>
              <w:spacing w:after="0" w:line="100" w:lineRule="exact"/>
              <w:rPr>
                <w:sz w:val="20"/>
                <w:szCs w:val="20"/>
                <w:color w:val="auto"/>
              </w:rPr>
            </w:pPr>
            <w:r>
              <w:rPr>
                <w:rFonts w:ascii="Arial" w:cs="Arial" w:eastAsia="Arial" w:hAnsi="Arial"/>
                <w:sz w:val="9"/>
                <w:szCs w:val="9"/>
                <w:b w:val="1"/>
                <w:bCs w:val="1"/>
                <w:color w:val="auto"/>
                <w:w w:val="90"/>
              </w:rPr>
              <w:t>Price</w:t>
            </w:r>
          </w:p>
        </w:tc>
        <w:tc>
          <w:tcPr>
            <w:tcW w:w="56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9"/>
                <w:szCs w:val="9"/>
                <w:b w:val="1"/>
                <w:bCs w:val="1"/>
                <w:color w:val="auto"/>
                <w:w w:val="90"/>
              </w:rPr>
              <w:t>Expiration</w:t>
            </w:r>
          </w:p>
        </w:tc>
        <w:tc>
          <w:tcPr>
            <w:tcW w:w="560" w:type="dxa"/>
            <w:vAlign w:val="bottom"/>
            <w:tcBorders>
              <w:right w:val="single" w:sz="8" w:color="auto"/>
            </w:tcBorders>
          </w:tcPr>
          <w:p>
            <w:pPr>
              <w:jc w:val="center"/>
              <w:ind w:right="14"/>
              <w:spacing w:after="0" w:line="100" w:lineRule="exact"/>
              <w:rPr>
                <w:sz w:val="20"/>
                <w:szCs w:val="20"/>
                <w:color w:val="auto"/>
              </w:rPr>
            </w:pPr>
            <w:r>
              <w:rPr>
                <w:rFonts w:ascii="Arial" w:cs="Arial" w:eastAsia="Arial" w:hAnsi="Arial"/>
                <w:sz w:val="9"/>
                <w:szCs w:val="9"/>
                <w:b w:val="1"/>
                <w:bCs w:val="1"/>
                <w:color w:val="auto"/>
                <w:w w:val="88"/>
              </w:rPr>
              <w:t>Options</w:t>
            </w:r>
          </w:p>
        </w:tc>
        <w:tc>
          <w:tcPr>
            <w:tcW w:w="560" w:type="dxa"/>
            <w:vAlign w:val="bottom"/>
            <w:tcBorders>
              <w:right w:val="single" w:sz="8" w:color="auto"/>
            </w:tcBorders>
          </w:tcPr>
          <w:p>
            <w:pPr>
              <w:jc w:val="center"/>
              <w:ind w:right="14"/>
              <w:spacing w:after="0" w:line="100" w:lineRule="exact"/>
              <w:rPr>
                <w:sz w:val="20"/>
                <w:szCs w:val="20"/>
                <w:color w:val="auto"/>
              </w:rPr>
            </w:pPr>
            <w:r>
              <w:rPr>
                <w:rFonts w:ascii="Arial" w:cs="Arial" w:eastAsia="Arial" w:hAnsi="Arial"/>
                <w:sz w:val="9"/>
                <w:szCs w:val="9"/>
                <w:b w:val="1"/>
                <w:bCs w:val="1"/>
                <w:color w:val="auto"/>
                <w:w w:val="87"/>
              </w:rPr>
              <w:t>Vested</w:t>
            </w:r>
          </w:p>
        </w:tc>
        <w:tc>
          <w:tcPr>
            <w:tcW w:w="560" w:type="dxa"/>
            <w:vAlign w:val="bottom"/>
            <w:tcBorders>
              <w:right w:val="single" w:sz="8" w:color="auto"/>
            </w:tcBorders>
          </w:tcPr>
          <w:p>
            <w:pPr>
              <w:jc w:val="center"/>
              <w:ind w:right="14"/>
              <w:spacing w:after="0" w:line="100" w:lineRule="exact"/>
              <w:rPr>
                <w:sz w:val="20"/>
                <w:szCs w:val="20"/>
                <w:color w:val="auto"/>
              </w:rPr>
            </w:pPr>
            <w:r>
              <w:rPr>
                <w:rFonts w:ascii="Arial" w:cs="Arial" w:eastAsia="Arial" w:hAnsi="Arial"/>
                <w:sz w:val="9"/>
                <w:szCs w:val="9"/>
                <w:b w:val="1"/>
                <w:bCs w:val="1"/>
                <w:color w:val="auto"/>
                <w:w w:val="96"/>
              </w:rPr>
              <w:t>Minimum</w:t>
            </w:r>
          </w:p>
        </w:tc>
        <w:tc>
          <w:tcPr>
            <w:tcW w:w="560" w:type="dxa"/>
            <w:vAlign w:val="bottom"/>
            <w:tcBorders>
              <w:right w:val="single" w:sz="8" w:color="auto"/>
            </w:tcBorders>
          </w:tcPr>
          <w:p>
            <w:pPr>
              <w:jc w:val="center"/>
              <w:ind w:right="14"/>
              <w:spacing w:after="0" w:line="100" w:lineRule="exact"/>
              <w:rPr>
                <w:sz w:val="20"/>
                <w:szCs w:val="20"/>
                <w:color w:val="auto"/>
              </w:rPr>
            </w:pPr>
            <w:r>
              <w:rPr>
                <w:rFonts w:ascii="Arial" w:cs="Arial" w:eastAsia="Arial" w:hAnsi="Arial"/>
                <w:sz w:val="9"/>
                <w:szCs w:val="9"/>
                <w:b w:val="1"/>
                <w:bCs w:val="1"/>
                <w:color w:val="auto"/>
                <w:w w:val="94"/>
              </w:rPr>
              <w:t>Target</w:t>
            </w:r>
          </w:p>
        </w:tc>
        <w:tc>
          <w:tcPr>
            <w:tcW w:w="560" w:type="dxa"/>
            <w:vAlign w:val="bottom"/>
            <w:tcBorders>
              <w:right w:val="single" w:sz="8" w:color="auto"/>
            </w:tcBorders>
          </w:tcPr>
          <w:p>
            <w:pPr>
              <w:jc w:val="center"/>
              <w:ind w:right="34"/>
              <w:spacing w:after="0" w:line="100" w:lineRule="exact"/>
              <w:rPr>
                <w:sz w:val="20"/>
                <w:szCs w:val="20"/>
                <w:color w:val="auto"/>
              </w:rPr>
            </w:pPr>
            <w:r>
              <w:rPr>
                <w:rFonts w:ascii="Arial" w:cs="Arial" w:eastAsia="Arial" w:hAnsi="Arial"/>
                <w:sz w:val="9"/>
                <w:szCs w:val="9"/>
                <w:b w:val="1"/>
                <w:bCs w:val="1"/>
                <w:color w:val="auto"/>
                <w:w w:val="96"/>
              </w:rPr>
              <w:t>Maximum</w:t>
            </w:r>
          </w:p>
        </w:tc>
        <w:tc>
          <w:tcPr>
            <w:tcW w:w="600" w:type="dxa"/>
            <w:vAlign w:val="bottom"/>
            <w:tcBorders>
              <w:right w:val="single" w:sz="8" w:color="auto"/>
            </w:tcBorders>
          </w:tcPr>
          <w:p>
            <w:pPr>
              <w:jc w:val="center"/>
              <w:ind w:right="74"/>
              <w:spacing w:after="0" w:line="100" w:lineRule="exact"/>
              <w:rPr>
                <w:sz w:val="20"/>
                <w:szCs w:val="20"/>
                <w:color w:val="auto"/>
              </w:rPr>
            </w:pPr>
            <w:r>
              <w:rPr>
                <w:rFonts w:ascii="Arial" w:cs="Arial" w:eastAsia="Arial" w:hAnsi="Arial"/>
                <w:sz w:val="9"/>
                <w:szCs w:val="9"/>
                <w:b w:val="1"/>
                <w:bCs w:val="1"/>
                <w:color w:val="auto"/>
                <w:w w:val="92"/>
              </w:rPr>
              <w:t>Distributed</w:t>
            </w:r>
          </w:p>
        </w:tc>
      </w:tr>
      <w:tr>
        <w:trPr>
          <w:trHeight w:val="149"/>
        </w:trPr>
        <w:tc>
          <w:tcPr>
            <w:tcW w:w="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9"/>
                <w:szCs w:val="9"/>
                <w:b w:val="1"/>
                <w:bCs w:val="1"/>
                <w:color w:val="auto"/>
              </w:rPr>
              <w:t>Name</w:t>
            </w:r>
          </w:p>
        </w:tc>
        <w:tc>
          <w:tcPr>
            <w:tcW w:w="560" w:type="dxa"/>
            <w:vAlign w:val="bottom"/>
            <w:tcBorders>
              <w:bottom w:val="single" w:sz="8" w:color="auto"/>
              <w:right w:val="single" w:sz="8" w:color="auto"/>
            </w:tcBorders>
          </w:tcPr>
          <w:p>
            <w:pPr>
              <w:jc w:val="center"/>
              <w:ind w:right="14"/>
              <w:spacing w:after="0"/>
              <w:rPr>
                <w:sz w:val="20"/>
                <w:szCs w:val="20"/>
                <w:color w:val="auto"/>
              </w:rPr>
            </w:pPr>
            <w:r>
              <w:rPr>
                <w:rFonts w:ascii="Arial" w:cs="Arial" w:eastAsia="Arial" w:hAnsi="Arial"/>
                <w:sz w:val="9"/>
                <w:szCs w:val="9"/>
                <w:b w:val="1"/>
                <w:bCs w:val="1"/>
                <w:color w:val="auto"/>
                <w:w w:val="90"/>
              </w:rPr>
              <w:t>(#)</w:t>
            </w:r>
          </w:p>
        </w:tc>
        <w:tc>
          <w:tcPr>
            <w:tcW w:w="5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9"/>
                <w:szCs w:val="9"/>
                <w:b w:val="1"/>
                <w:bCs w:val="1"/>
                <w:color w:val="auto"/>
              </w:rPr>
              <w:t>($)</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9"/>
                <w:szCs w:val="9"/>
                <w:b w:val="1"/>
                <w:bCs w:val="1"/>
                <w:color w:val="auto"/>
                <w:w w:val="92"/>
              </w:rPr>
              <w:t>Date</w:t>
            </w:r>
          </w:p>
        </w:tc>
        <w:tc>
          <w:tcPr>
            <w:tcW w:w="5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9"/>
                <w:szCs w:val="9"/>
                <w:b w:val="1"/>
                <w:bCs w:val="1"/>
                <w:color w:val="auto"/>
              </w:rPr>
              <w:t>($)</w:t>
            </w:r>
          </w:p>
        </w:tc>
        <w:tc>
          <w:tcPr>
            <w:tcW w:w="560" w:type="dxa"/>
            <w:vAlign w:val="bottom"/>
            <w:tcBorders>
              <w:bottom w:val="single" w:sz="8" w:color="auto"/>
              <w:right w:val="single" w:sz="8" w:color="auto"/>
            </w:tcBorders>
          </w:tcPr>
          <w:p>
            <w:pPr>
              <w:jc w:val="center"/>
              <w:spacing w:after="0" w:line="150" w:lineRule="exact"/>
              <w:rPr>
                <w:sz w:val="20"/>
                <w:szCs w:val="20"/>
                <w:color w:val="auto"/>
              </w:rPr>
            </w:pPr>
            <w:r>
              <w:rPr>
                <w:rFonts w:ascii="Arial" w:cs="Arial" w:eastAsia="Arial" w:hAnsi="Arial"/>
                <w:sz w:val="17"/>
                <w:szCs w:val="17"/>
                <w:b w:val="1"/>
                <w:bCs w:val="1"/>
                <w:color w:val="auto"/>
                <w:w w:val="80"/>
                <w:vertAlign w:val="subscript"/>
              </w:rPr>
              <w:t>(#)</w:t>
            </w:r>
            <w:r>
              <w:rPr>
                <w:rFonts w:ascii="Arial" w:cs="Arial" w:eastAsia="Arial" w:hAnsi="Arial"/>
                <w:sz w:val="7"/>
                <w:szCs w:val="7"/>
                <w:b w:val="1"/>
                <w:bCs w:val="1"/>
                <w:color w:val="auto"/>
                <w:w w:val="80"/>
              </w:rPr>
              <w:t>(2)</w:t>
            </w:r>
          </w:p>
        </w:tc>
        <w:tc>
          <w:tcPr>
            <w:tcW w:w="560" w:type="dxa"/>
            <w:vAlign w:val="bottom"/>
            <w:tcBorders>
              <w:bottom w:val="single" w:sz="8" w:color="auto"/>
              <w:right w:val="single" w:sz="8" w:color="auto"/>
            </w:tcBorders>
          </w:tcPr>
          <w:p>
            <w:pPr>
              <w:jc w:val="center"/>
              <w:spacing w:after="0" w:line="150" w:lineRule="exact"/>
              <w:rPr>
                <w:sz w:val="20"/>
                <w:szCs w:val="20"/>
                <w:color w:val="auto"/>
              </w:rPr>
            </w:pPr>
            <w:r>
              <w:rPr>
                <w:rFonts w:ascii="Arial" w:cs="Arial" w:eastAsia="Arial" w:hAnsi="Arial"/>
                <w:sz w:val="17"/>
                <w:szCs w:val="17"/>
                <w:b w:val="1"/>
                <w:bCs w:val="1"/>
                <w:color w:val="auto"/>
                <w:w w:val="89"/>
                <w:vertAlign w:val="subscript"/>
              </w:rPr>
              <w:t>($)</w:t>
            </w:r>
            <w:r>
              <w:rPr>
                <w:rFonts w:ascii="Arial" w:cs="Arial" w:eastAsia="Arial" w:hAnsi="Arial"/>
                <w:sz w:val="7"/>
                <w:szCs w:val="7"/>
                <w:b w:val="1"/>
                <w:bCs w:val="1"/>
                <w:color w:val="auto"/>
                <w:w w:val="89"/>
              </w:rPr>
              <w:t>(3)</w:t>
            </w:r>
          </w:p>
        </w:tc>
        <w:tc>
          <w:tcPr>
            <w:tcW w:w="560" w:type="dxa"/>
            <w:vAlign w:val="bottom"/>
            <w:tcBorders>
              <w:bottom w:val="single" w:sz="8" w:color="auto"/>
              <w:right w:val="single" w:sz="8" w:color="auto"/>
            </w:tcBorders>
          </w:tcPr>
          <w:p>
            <w:pPr>
              <w:jc w:val="center"/>
              <w:spacing w:after="0" w:line="150" w:lineRule="exact"/>
              <w:rPr>
                <w:sz w:val="20"/>
                <w:szCs w:val="20"/>
                <w:color w:val="auto"/>
              </w:rPr>
            </w:pPr>
            <w:r>
              <w:rPr>
                <w:rFonts w:ascii="Arial" w:cs="Arial" w:eastAsia="Arial" w:hAnsi="Arial"/>
                <w:sz w:val="17"/>
                <w:szCs w:val="17"/>
                <w:b w:val="1"/>
                <w:bCs w:val="1"/>
                <w:color w:val="auto"/>
                <w:w w:val="89"/>
                <w:vertAlign w:val="subscript"/>
              </w:rPr>
              <w:t>($)</w:t>
            </w:r>
            <w:r>
              <w:rPr>
                <w:rFonts w:ascii="Arial" w:cs="Arial" w:eastAsia="Arial" w:hAnsi="Arial"/>
                <w:sz w:val="7"/>
                <w:szCs w:val="7"/>
                <w:b w:val="1"/>
                <w:bCs w:val="1"/>
                <w:color w:val="auto"/>
                <w:w w:val="89"/>
              </w:rPr>
              <w:t>(3)</w:t>
            </w:r>
          </w:p>
        </w:tc>
        <w:tc>
          <w:tcPr>
            <w:tcW w:w="560" w:type="dxa"/>
            <w:vAlign w:val="bottom"/>
            <w:tcBorders>
              <w:bottom w:val="single" w:sz="8" w:color="auto"/>
              <w:right w:val="single" w:sz="8" w:color="auto"/>
            </w:tcBorders>
          </w:tcPr>
          <w:p>
            <w:pPr>
              <w:jc w:val="center"/>
              <w:ind w:right="14"/>
              <w:spacing w:after="0" w:line="150" w:lineRule="exact"/>
              <w:rPr>
                <w:sz w:val="20"/>
                <w:szCs w:val="20"/>
                <w:color w:val="auto"/>
              </w:rPr>
            </w:pPr>
            <w:r>
              <w:rPr>
                <w:rFonts w:ascii="Arial" w:cs="Arial" w:eastAsia="Arial" w:hAnsi="Arial"/>
                <w:sz w:val="17"/>
                <w:szCs w:val="17"/>
                <w:b w:val="1"/>
                <w:bCs w:val="1"/>
                <w:color w:val="auto"/>
                <w:w w:val="80"/>
                <w:vertAlign w:val="subscript"/>
              </w:rPr>
              <w:t>($)</w:t>
            </w:r>
            <w:r>
              <w:rPr>
                <w:rFonts w:ascii="Arial" w:cs="Arial" w:eastAsia="Arial" w:hAnsi="Arial"/>
                <w:sz w:val="7"/>
                <w:szCs w:val="7"/>
                <w:b w:val="1"/>
                <w:bCs w:val="1"/>
                <w:color w:val="auto"/>
                <w:w w:val="80"/>
              </w:rPr>
              <w:t>(3)</w:t>
            </w:r>
          </w:p>
        </w:tc>
        <w:tc>
          <w:tcPr>
            <w:tcW w:w="6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9"/>
                <w:szCs w:val="9"/>
                <w:b w:val="1"/>
                <w:bCs w:val="1"/>
                <w:color w:val="auto"/>
              </w:rPr>
              <w:t>($)</w:t>
            </w:r>
          </w:p>
        </w:tc>
      </w:tr>
      <w:tr>
        <w:trPr>
          <w:trHeight w:val="137"/>
        </w:trPr>
        <w:tc>
          <w:tcPr>
            <w:tcW w:w="9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9"/>
                <w:szCs w:val="9"/>
                <w:b w:val="1"/>
                <w:bCs w:val="1"/>
                <w:color w:val="auto"/>
              </w:rPr>
              <w:t>Robert A. Mionis</w:t>
            </w:r>
          </w:p>
        </w:tc>
        <w:tc>
          <w:tcPr>
            <w:tcW w:w="5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r>
      <w:tr>
        <w:trPr>
          <w:trHeight w:val="119"/>
        </w:trPr>
        <w:tc>
          <w:tcPr>
            <w:tcW w:w="9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9"/>
                <w:szCs w:val="9"/>
                <w:color w:val="auto"/>
              </w:rPr>
              <w:t>Aug. 1, 2015</w:t>
            </w:r>
          </w:p>
        </w:tc>
        <w:tc>
          <w:tcPr>
            <w:tcW w:w="560" w:type="dxa"/>
            <w:vAlign w:val="bottom"/>
            <w:tcBorders>
              <w:right w:val="single" w:sz="8" w:color="auto"/>
            </w:tcBorders>
          </w:tcPr>
          <w:p>
            <w:pPr>
              <w:jc w:val="center"/>
              <w:ind w:right="14"/>
              <w:spacing w:after="0"/>
              <w:rPr>
                <w:sz w:val="20"/>
                <w:szCs w:val="20"/>
                <w:color w:val="auto"/>
              </w:rPr>
            </w:pPr>
            <w:r>
              <w:rPr>
                <w:rFonts w:ascii="Arial" w:cs="Arial" w:eastAsia="Arial" w:hAnsi="Arial"/>
                <w:sz w:val="9"/>
                <w:szCs w:val="9"/>
                <w:color w:val="auto"/>
                <w:w w:val="92"/>
              </w:rPr>
              <w:t>298,954</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99"/>
              </w:rPr>
              <w:t>C$17.52</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97"/>
              </w:rPr>
              <w:t>Aug. 1, 2025</w:t>
            </w:r>
          </w:p>
        </w:tc>
        <w:tc>
          <w:tcPr>
            <w:tcW w:w="560" w:type="dxa"/>
            <w:vAlign w:val="bottom"/>
            <w:tcBorders>
              <w:right w:val="single" w:sz="8" w:color="auto"/>
            </w:tcBorders>
          </w:tcPr>
          <w:p>
            <w:pPr>
              <w:ind w:left="220"/>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right"/>
              <w:ind w:right="134"/>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right"/>
              <w:ind w:right="134"/>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right"/>
              <w:ind w:right="114"/>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right"/>
              <w:ind w:right="114"/>
              <w:spacing w:after="0"/>
              <w:rPr>
                <w:sz w:val="20"/>
                <w:szCs w:val="20"/>
                <w:color w:val="auto"/>
              </w:rPr>
            </w:pPr>
            <w:r>
              <w:rPr>
                <w:rFonts w:ascii="Arial" w:cs="Arial" w:eastAsia="Arial" w:hAnsi="Arial"/>
                <w:sz w:val="9"/>
                <w:szCs w:val="9"/>
                <w:color w:val="auto"/>
              </w:rPr>
              <w:t>—</w:t>
            </w:r>
          </w:p>
        </w:tc>
        <w:tc>
          <w:tcPr>
            <w:tcW w:w="600" w:type="dxa"/>
            <w:vAlign w:val="bottom"/>
            <w:tcBorders>
              <w:right w:val="single" w:sz="8" w:color="auto"/>
            </w:tcBorders>
          </w:tcPr>
          <w:p>
            <w:pPr>
              <w:ind w:left="200"/>
              <w:spacing w:after="0"/>
              <w:rPr>
                <w:sz w:val="20"/>
                <w:szCs w:val="20"/>
                <w:color w:val="auto"/>
              </w:rPr>
            </w:pPr>
            <w:r>
              <w:rPr>
                <w:rFonts w:ascii="Arial" w:cs="Arial" w:eastAsia="Arial" w:hAnsi="Arial"/>
                <w:sz w:val="9"/>
                <w:szCs w:val="9"/>
                <w:color w:val="auto"/>
              </w:rPr>
              <w:t>—</w:t>
            </w:r>
          </w:p>
        </w:tc>
      </w:tr>
      <w:tr>
        <w:trPr>
          <w:trHeight w:val="119"/>
        </w:trPr>
        <w:tc>
          <w:tcPr>
            <w:tcW w:w="9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9"/>
                <w:szCs w:val="9"/>
                <w:color w:val="auto"/>
              </w:rPr>
              <w:t>Jan. 30, 2018</w:t>
            </w:r>
          </w:p>
        </w:tc>
        <w:tc>
          <w:tcPr>
            <w:tcW w:w="560" w:type="dxa"/>
            <w:vAlign w:val="bottom"/>
            <w:tcBorders>
              <w:right w:val="single" w:sz="8" w:color="auto"/>
            </w:tcBorders>
          </w:tcPr>
          <w:p>
            <w:pPr>
              <w:jc w:val="center"/>
              <w:ind w:right="14"/>
              <w:spacing w:after="0"/>
              <w:rPr>
                <w:sz w:val="20"/>
                <w:szCs w:val="20"/>
                <w:color w:val="auto"/>
              </w:rPr>
            </w:pPr>
            <w:r>
              <w:rPr>
                <w:rFonts w:ascii="Arial" w:cs="Arial" w:eastAsia="Arial" w:hAnsi="Arial"/>
                <w:sz w:val="9"/>
                <w:szCs w:val="9"/>
                <w:color w:val="auto"/>
              </w:rPr>
              <w:t>—</w:t>
            </w:r>
          </w:p>
        </w:tc>
        <w:tc>
          <w:tcPr>
            <w:tcW w:w="540" w:type="dxa"/>
            <w:vAlign w:val="bottom"/>
            <w:tcBorders>
              <w:right w:val="single" w:sz="8" w:color="auto"/>
            </w:tcBorders>
          </w:tcPr>
          <w:p>
            <w:pPr>
              <w:ind w:left="200"/>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ind w:left="220"/>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right"/>
              <w:ind w:right="54"/>
              <w:spacing w:after="0"/>
              <w:rPr>
                <w:sz w:val="20"/>
                <w:szCs w:val="20"/>
                <w:color w:val="auto"/>
              </w:rPr>
            </w:pPr>
            <w:r>
              <w:rPr>
                <w:rFonts w:ascii="Arial" w:cs="Arial" w:eastAsia="Arial" w:hAnsi="Arial"/>
                <w:sz w:val="9"/>
                <w:szCs w:val="9"/>
                <w:color w:val="auto"/>
              </w:rPr>
              <w:t>411,037</w:t>
            </w:r>
          </w:p>
        </w:tc>
        <w:tc>
          <w:tcPr>
            <w:tcW w:w="560" w:type="dxa"/>
            <w:vAlign w:val="bottom"/>
            <w:tcBorders>
              <w:right w:val="single" w:sz="8" w:color="auto"/>
            </w:tcBorders>
          </w:tcPr>
          <w:p>
            <w:pPr>
              <w:jc w:val="right"/>
              <w:ind w:right="134"/>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right"/>
              <w:ind w:right="14"/>
              <w:spacing w:after="0"/>
              <w:rPr>
                <w:sz w:val="20"/>
                <w:szCs w:val="20"/>
                <w:color w:val="auto"/>
              </w:rPr>
            </w:pPr>
            <w:r>
              <w:rPr>
                <w:rFonts w:ascii="Arial" w:cs="Arial" w:eastAsia="Arial" w:hAnsi="Arial"/>
                <w:sz w:val="9"/>
                <w:szCs w:val="9"/>
                <w:color w:val="auto"/>
              </w:rPr>
              <w:t>$3,317,069</w:t>
            </w:r>
          </w:p>
        </w:tc>
        <w:tc>
          <w:tcPr>
            <w:tcW w:w="560" w:type="dxa"/>
            <w:vAlign w:val="bottom"/>
            <w:tcBorders>
              <w:right w:val="single" w:sz="8" w:color="auto"/>
            </w:tcBorders>
          </w:tcPr>
          <w:p>
            <w:pPr>
              <w:jc w:val="right"/>
              <w:ind w:right="14"/>
              <w:spacing w:after="0"/>
              <w:rPr>
                <w:sz w:val="20"/>
                <w:szCs w:val="20"/>
                <w:color w:val="auto"/>
              </w:rPr>
            </w:pPr>
            <w:r>
              <w:rPr>
                <w:rFonts w:ascii="Arial" w:cs="Arial" w:eastAsia="Arial" w:hAnsi="Arial"/>
                <w:sz w:val="9"/>
                <w:szCs w:val="9"/>
                <w:color w:val="auto"/>
              </w:rPr>
              <w:t>$6,634,137</w:t>
            </w:r>
          </w:p>
        </w:tc>
        <w:tc>
          <w:tcPr>
            <w:tcW w:w="600" w:type="dxa"/>
            <w:vAlign w:val="bottom"/>
            <w:tcBorders>
              <w:right w:val="single" w:sz="8" w:color="auto"/>
            </w:tcBorders>
          </w:tcPr>
          <w:p>
            <w:pPr>
              <w:ind w:left="200"/>
              <w:spacing w:after="0"/>
              <w:rPr>
                <w:sz w:val="20"/>
                <w:szCs w:val="20"/>
                <w:color w:val="auto"/>
              </w:rPr>
            </w:pPr>
            <w:r>
              <w:rPr>
                <w:rFonts w:ascii="Arial" w:cs="Arial" w:eastAsia="Arial" w:hAnsi="Arial"/>
                <w:sz w:val="9"/>
                <w:szCs w:val="9"/>
                <w:color w:val="auto"/>
              </w:rPr>
              <w:t>—</w:t>
            </w:r>
          </w:p>
        </w:tc>
      </w:tr>
      <w:tr>
        <w:trPr>
          <w:trHeight w:val="119"/>
        </w:trPr>
        <w:tc>
          <w:tcPr>
            <w:tcW w:w="9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9"/>
                <w:szCs w:val="9"/>
                <w:color w:val="auto"/>
              </w:rPr>
              <w:t>Feb. 6, 2019</w:t>
            </w:r>
          </w:p>
        </w:tc>
        <w:tc>
          <w:tcPr>
            <w:tcW w:w="560" w:type="dxa"/>
            <w:vAlign w:val="bottom"/>
            <w:tcBorders>
              <w:right w:val="single" w:sz="8" w:color="auto"/>
            </w:tcBorders>
          </w:tcPr>
          <w:p>
            <w:pPr>
              <w:jc w:val="center"/>
              <w:ind w:right="14"/>
              <w:spacing w:after="0"/>
              <w:rPr>
                <w:sz w:val="20"/>
                <w:szCs w:val="20"/>
                <w:color w:val="auto"/>
              </w:rPr>
            </w:pPr>
            <w:r>
              <w:rPr>
                <w:rFonts w:ascii="Arial" w:cs="Arial" w:eastAsia="Arial" w:hAnsi="Arial"/>
                <w:sz w:val="9"/>
                <w:szCs w:val="9"/>
                <w:color w:val="auto"/>
              </w:rPr>
              <w:t>—</w:t>
            </w:r>
          </w:p>
        </w:tc>
        <w:tc>
          <w:tcPr>
            <w:tcW w:w="540" w:type="dxa"/>
            <w:vAlign w:val="bottom"/>
            <w:tcBorders>
              <w:right w:val="single" w:sz="8" w:color="auto"/>
            </w:tcBorders>
          </w:tcPr>
          <w:p>
            <w:pPr>
              <w:ind w:left="200"/>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ind w:left="220"/>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right"/>
              <w:ind w:right="54"/>
              <w:spacing w:after="0"/>
              <w:rPr>
                <w:sz w:val="20"/>
                <w:szCs w:val="20"/>
                <w:color w:val="auto"/>
              </w:rPr>
            </w:pPr>
            <w:r>
              <w:rPr>
                <w:rFonts w:ascii="Arial" w:cs="Arial" w:eastAsia="Arial" w:hAnsi="Arial"/>
                <w:sz w:val="9"/>
                <w:szCs w:val="9"/>
                <w:color w:val="auto"/>
              </w:rPr>
              <w:t>776,118</w:t>
            </w:r>
          </w:p>
        </w:tc>
        <w:tc>
          <w:tcPr>
            <w:tcW w:w="560" w:type="dxa"/>
            <w:vAlign w:val="bottom"/>
            <w:tcBorders>
              <w:right w:val="single" w:sz="8" w:color="auto"/>
            </w:tcBorders>
          </w:tcPr>
          <w:p>
            <w:pPr>
              <w:jc w:val="right"/>
              <w:ind w:right="34"/>
              <w:spacing w:after="0"/>
              <w:rPr>
                <w:sz w:val="20"/>
                <w:szCs w:val="20"/>
                <w:color w:val="auto"/>
              </w:rPr>
            </w:pPr>
            <w:r>
              <w:rPr>
                <w:rFonts w:ascii="Arial" w:cs="Arial" w:eastAsia="Arial" w:hAnsi="Arial"/>
                <w:sz w:val="9"/>
                <w:szCs w:val="9"/>
                <w:color w:val="auto"/>
              </w:rPr>
              <w:t>$1,927,156</w:t>
            </w:r>
          </w:p>
        </w:tc>
        <w:tc>
          <w:tcPr>
            <w:tcW w:w="560" w:type="dxa"/>
            <w:vAlign w:val="bottom"/>
            <w:tcBorders>
              <w:right w:val="single" w:sz="8" w:color="auto"/>
            </w:tcBorders>
          </w:tcPr>
          <w:p>
            <w:pPr>
              <w:jc w:val="right"/>
              <w:ind w:right="14"/>
              <w:spacing w:after="0"/>
              <w:rPr>
                <w:sz w:val="20"/>
                <w:szCs w:val="20"/>
                <w:color w:val="auto"/>
              </w:rPr>
            </w:pPr>
            <w:r>
              <w:rPr>
                <w:rFonts w:ascii="Arial" w:cs="Arial" w:eastAsia="Arial" w:hAnsi="Arial"/>
                <w:sz w:val="9"/>
                <w:szCs w:val="9"/>
                <w:color w:val="auto"/>
              </w:rPr>
              <w:t>$6,263,272</w:t>
            </w:r>
          </w:p>
        </w:tc>
        <w:tc>
          <w:tcPr>
            <w:tcW w:w="560" w:type="dxa"/>
            <w:vAlign w:val="bottom"/>
            <w:tcBorders>
              <w:right w:val="single" w:sz="8" w:color="auto"/>
            </w:tcBorders>
          </w:tcPr>
          <w:p>
            <w:pPr>
              <w:jc w:val="right"/>
              <w:ind w:right="14"/>
              <w:spacing w:after="0"/>
              <w:rPr>
                <w:sz w:val="20"/>
                <w:szCs w:val="20"/>
                <w:color w:val="auto"/>
              </w:rPr>
            </w:pPr>
            <w:r>
              <w:rPr>
                <w:rFonts w:ascii="Arial" w:cs="Arial" w:eastAsia="Arial" w:hAnsi="Arial"/>
                <w:sz w:val="9"/>
                <w:szCs w:val="9"/>
                <w:color w:val="auto"/>
                <w:w w:val="95"/>
              </w:rPr>
              <w:t>$10,599,388</w:t>
            </w:r>
          </w:p>
        </w:tc>
        <w:tc>
          <w:tcPr>
            <w:tcW w:w="600" w:type="dxa"/>
            <w:vAlign w:val="bottom"/>
            <w:tcBorders>
              <w:right w:val="single" w:sz="8" w:color="auto"/>
            </w:tcBorders>
          </w:tcPr>
          <w:p>
            <w:pPr>
              <w:ind w:left="200"/>
              <w:spacing w:after="0"/>
              <w:rPr>
                <w:sz w:val="20"/>
                <w:szCs w:val="20"/>
                <w:color w:val="auto"/>
              </w:rPr>
            </w:pPr>
            <w:r>
              <w:rPr>
                <w:rFonts w:ascii="Arial" w:cs="Arial" w:eastAsia="Arial" w:hAnsi="Arial"/>
                <w:sz w:val="9"/>
                <w:szCs w:val="9"/>
                <w:color w:val="auto"/>
              </w:rPr>
              <w:t>—</w:t>
            </w:r>
          </w:p>
        </w:tc>
      </w:tr>
      <w:tr>
        <w:trPr>
          <w:trHeight w:val="118"/>
        </w:trPr>
        <w:tc>
          <w:tcPr>
            <w:tcW w:w="9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9"/>
                <w:szCs w:val="9"/>
                <w:color w:val="auto"/>
              </w:rPr>
              <w:t>Feb. 4, 2020</w:t>
            </w:r>
          </w:p>
        </w:tc>
        <w:tc>
          <w:tcPr>
            <w:tcW w:w="560" w:type="dxa"/>
            <w:vAlign w:val="bottom"/>
            <w:tcBorders>
              <w:right w:val="single" w:sz="8" w:color="auto"/>
            </w:tcBorders>
          </w:tcPr>
          <w:p>
            <w:pPr>
              <w:jc w:val="center"/>
              <w:ind w:right="14"/>
              <w:spacing w:after="0"/>
              <w:rPr>
                <w:sz w:val="20"/>
                <w:szCs w:val="20"/>
                <w:color w:val="auto"/>
              </w:rPr>
            </w:pPr>
            <w:r>
              <w:rPr>
                <w:rFonts w:ascii="Arial" w:cs="Arial" w:eastAsia="Arial" w:hAnsi="Arial"/>
                <w:sz w:val="9"/>
                <w:szCs w:val="9"/>
                <w:color w:val="auto"/>
              </w:rPr>
              <w:t>—</w:t>
            </w:r>
          </w:p>
        </w:tc>
        <w:tc>
          <w:tcPr>
            <w:tcW w:w="540" w:type="dxa"/>
            <w:vAlign w:val="bottom"/>
            <w:tcBorders>
              <w:right w:val="single" w:sz="8" w:color="auto"/>
            </w:tcBorders>
          </w:tcPr>
          <w:p>
            <w:pPr>
              <w:ind w:left="200"/>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ind w:left="220"/>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right"/>
              <w:ind w:right="54"/>
              <w:spacing w:after="0"/>
              <w:rPr>
                <w:sz w:val="20"/>
                <w:szCs w:val="20"/>
                <w:color w:val="auto"/>
              </w:rPr>
            </w:pPr>
            <w:r>
              <w:rPr>
                <w:rFonts w:ascii="Arial" w:cs="Arial" w:eastAsia="Arial" w:hAnsi="Arial"/>
                <w:sz w:val="9"/>
                <w:szCs w:val="9"/>
                <w:color w:val="auto"/>
              </w:rPr>
              <w:t>809,898</w:t>
            </w:r>
          </w:p>
        </w:tc>
        <w:tc>
          <w:tcPr>
            <w:tcW w:w="560" w:type="dxa"/>
            <w:vAlign w:val="bottom"/>
            <w:tcBorders>
              <w:right w:val="single" w:sz="8" w:color="auto"/>
            </w:tcBorders>
          </w:tcPr>
          <w:p>
            <w:pPr>
              <w:jc w:val="right"/>
              <w:ind w:right="34"/>
              <w:spacing w:after="0"/>
              <w:rPr>
                <w:sz w:val="20"/>
                <w:szCs w:val="20"/>
                <w:color w:val="auto"/>
              </w:rPr>
            </w:pPr>
            <w:r>
              <w:rPr>
                <w:rFonts w:ascii="Arial" w:cs="Arial" w:eastAsia="Arial" w:hAnsi="Arial"/>
                <w:sz w:val="9"/>
                <w:szCs w:val="9"/>
                <w:color w:val="auto"/>
              </w:rPr>
              <w:t>$2,614,349</w:t>
            </w:r>
          </w:p>
        </w:tc>
        <w:tc>
          <w:tcPr>
            <w:tcW w:w="560" w:type="dxa"/>
            <w:vAlign w:val="bottom"/>
            <w:tcBorders>
              <w:right w:val="single" w:sz="8" w:color="auto"/>
            </w:tcBorders>
          </w:tcPr>
          <w:p>
            <w:pPr>
              <w:jc w:val="right"/>
              <w:ind w:right="14"/>
              <w:spacing w:after="0"/>
              <w:rPr>
                <w:sz w:val="20"/>
                <w:szCs w:val="20"/>
                <w:color w:val="auto"/>
              </w:rPr>
            </w:pPr>
            <w:r>
              <w:rPr>
                <w:rFonts w:ascii="Arial" w:cs="Arial" w:eastAsia="Arial" w:hAnsi="Arial"/>
                <w:sz w:val="9"/>
                <w:szCs w:val="9"/>
                <w:color w:val="auto"/>
              </w:rPr>
              <w:t>$6,535,877</w:t>
            </w:r>
          </w:p>
        </w:tc>
        <w:tc>
          <w:tcPr>
            <w:tcW w:w="560" w:type="dxa"/>
            <w:vAlign w:val="bottom"/>
            <w:tcBorders>
              <w:right w:val="single" w:sz="8" w:color="auto"/>
            </w:tcBorders>
          </w:tcPr>
          <w:p>
            <w:pPr>
              <w:jc w:val="right"/>
              <w:ind w:right="14"/>
              <w:spacing w:after="0"/>
              <w:rPr>
                <w:sz w:val="20"/>
                <w:szCs w:val="20"/>
                <w:color w:val="auto"/>
              </w:rPr>
            </w:pPr>
            <w:r>
              <w:rPr>
                <w:rFonts w:ascii="Arial" w:cs="Arial" w:eastAsia="Arial" w:hAnsi="Arial"/>
                <w:sz w:val="9"/>
                <w:szCs w:val="9"/>
                <w:color w:val="auto"/>
                <w:w w:val="95"/>
              </w:rPr>
              <w:t>$10,457,405</w:t>
            </w:r>
          </w:p>
        </w:tc>
        <w:tc>
          <w:tcPr>
            <w:tcW w:w="600" w:type="dxa"/>
            <w:vAlign w:val="bottom"/>
            <w:tcBorders>
              <w:right w:val="single" w:sz="8" w:color="auto"/>
            </w:tcBorders>
          </w:tcPr>
          <w:p>
            <w:pPr>
              <w:ind w:left="200"/>
              <w:spacing w:after="0"/>
              <w:rPr>
                <w:sz w:val="20"/>
                <w:szCs w:val="20"/>
                <w:color w:val="auto"/>
              </w:rPr>
            </w:pPr>
            <w:r>
              <w:rPr>
                <w:rFonts w:ascii="Arial" w:cs="Arial" w:eastAsia="Arial" w:hAnsi="Arial"/>
                <w:sz w:val="9"/>
                <w:szCs w:val="9"/>
                <w:color w:val="auto"/>
              </w:rPr>
              <w:t>—</w:t>
            </w:r>
          </w:p>
        </w:tc>
      </w:tr>
      <w:tr>
        <w:trPr>
          <w:trHeight w:val="121"/>
        </w:trPr>
        <w:tc>
          <w:tcPr>
            <w:tcW w:w="9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9"/>
                <w:szCs w:val="9"/>
                <w:b w:val="1"/>
                <w:bCs w:val="1"/>
                <w:color w:val="auto"/>
              </w:rPr>
              <w:t>Total</w:t>
            </w:r>
          </w:p>
        </w:tc>
        <w:tc>
          <w:tcPr>
            <w:tcW w:w="560" w:type="dxa"/>
            <w:vAlign w:val="bottom"/>
            <w:tcBorders>
              <w:right w:val="single" w:sz="8" w:color="auto"/>
            </w:tcBorders>
          </w:tcPr>
          <w:p>
            <w:pPr>
              <w:jc w:val="center"/>
              <w:ind w:right="14"/>
              <w:spacing w:after="0"/>
              <w:rPr>
                <w:sz w:val="20"/>
                <w:szCs w:val="20"/>
                <w:color w:val="auto"/>
              </w:rPr>
            </w:pPr>
            <w:r>
              <w:rPr>
                <w:rFonts w:ascii="Arial" w:cs="Arial" w:eastAsia="Arial" w:hAnsi="Arial"/>
                <w:sz w:val="9"/>
                <w:szCs w:val="9"/>
                <w:b w:val="1"/>
                <w:bCs w:val="1"/>
                <w:color w:val="auto"/>
                <w:w w:val="92"/>
              </w:rPr>
              <w:t>298,954</w:t>
            </w:r>
          </w:p>
        </w:tc>
        <w:tc>
          <w:tcPr>
            <w:tcW w:w="540" w:type="dxa"/>
            <w:vAlign w:val="bottom"/>
            <w:tcBorders>
              <w:right w:val="single" w:sz="8" w:color="auto"/>
            </w:tcBorders>
          </w:tcPr>
          <w:p>
            <w:pPr>
              <w:ind w:left="200"/>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ind w:left="220"/>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right"/>
              <w:ind w:right="74"/>
              <w:spacing w:after="0"/>
              <w:rPr>
                <w:sz w:val="20"/>
                <w:szCs w:val="20"/>
                <w:color w:val="auto"/>
              </w:rPr>
            </w:pPr>
            <w:r>
              <w:rPr>
                <w:rFonts w:ascii="Arial" w:cs="Arial" w:eastAsia="Arial" w:hAnsi="Arial"/>
                <w:sz w:val="9"/>
                <w:szCs w:val="9"/>
                <w:b w:val="1"/>
                <w:bCs w:val="1"/>
                <w:color w:val="auto"/>
              </w:rPr>
              <w:t>1,997,053</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9"/>
                <w:szCs w:val="9"/>
                <w:b w:val="1"/>
                <w:bCs w:val="1"/>
                <w:color w:val="auto"/>
                <w:w w:val="88"/>
              </w:rPr>
              <w:t>$4,541,505</w:t>
            </w:r>
          </w:p>
        </w:tc>
        <w:tc>
          <w:tcPr>
            <w:tcW w:w="560" w:type="dxa"/>
            <w:vAlign w:val="bottom"/>
            <w:tcBorders>
              <w:right w:val="single" w:sz="8" w:color="auto"/>
            </w:tcBorders>
          </w:tcPr>
          <w:p>
            <w:pPr>
              <w:jc w:val="right"/>
              <w:ind w:right="34"/>
              <w:spacing w:after="0"/>
              <w:rPr>
                <w:sz w:val="20"/>
                <w:szCs w:val="20"/>
                <w:color w:val="auto"/>
              </w:rPr>
            </w:pPr>
            <w:r>
              <w:rPr>
                <w:rFonts w:ascii="Arial" w:cs="Arial" w:eastAsia="Arial" w:hAnsi="Arial"/>
                <w:sz w:val="9"/>
                <w:szCs w:val="9"/>
                <w:b w:val="1"/>
                <w:bCs w:val="1"/>
                <w:color w:val="auto"/>
                <w:w w:val="91"/>
              </w:rPr>
              <w:t>$16,116,218</w:t>
            </w:r>
          </w:p>
        </w:tc>
        <w:tc>
          <w:tcPr>
            <w:tcW w:w="560" w:type="dxa"/>
            <w:vAlign w:val="bottom"/>
            <w:tcBorders>
              <w:right w:val="single" w:sz="8" w:color="auto"/>
            </w:tcBorders>
          </w:tcPr>
          <w:p>
            <w:pPr>
              <w:jc w:val="right"/>
              <w:ind w:right="34"/>
              <w:spacing w:after="0"/>
              <w:rPr>
                <w:sz w:val="20"/>
                <w:szCs w:val="20"/>
                <w:color w:val="auto"/>
              </w:rPr>
            </w:pPr>
            <w:r>
              <w:rPr>
                <w:rFonts w:ascii="Arial" w:cs="Arial" w:eastAsia="Arial" w:hAnsi="Arial"/>
                <w:sz w:val="9"/>
                <w:szCs w:val="9"/>
                <w:b w:val="1"/>
                <w:bCs w:val="1"/>
                <w:color w:val="auto"/>
                <w:w w:val="91"/>
              </w:rPr>
              <w:t>$27,690,930</w:t>
            </w:r>
          </w:p>
        </w:tc>
        <w:tc>
          <w:tcPr>
            <w:tcW w:w="600" w:type="dxa"/>
            <w:vAlign w:val="bottom"/>
            <w:tcBorders>
              <w:right w:val="single" w:sz="8" w:color="auto"/>
            </w:tcBorders>
          </w:tcPr>
          <w:p>
            <w:pPr>
              <w:ind w:left="200"/>
              <w:spacing w:after="0"/>
              <w:rPr>
                <w:sz w:val="20"/>
                <w:szCs w:val="20"/>
                <w:color w:val="auto"/>
              </w:rPr>
            </w:pPr>
            <w:r>
              <w:rPr>
                <w:rFonts w:ascii="Arial" w:cs="Arial" w:eastAsia="Arial" w:hAnsi="Arial"/>
                <w:sz w:val="9"/>
                <w:szCs w:val="9"/>
                <w:color w:val="auto"/>
              </w:rPr>
              <w:t>—</w:t>
            </w:r>
          </w:p>
        </w:tc>
      </w:tr>
      <w:tr>
        <w:trPr>
          <w:trHeight w:val="22"/>
        </w:trPr>
        <w:tc>
          <w:tcPr>
            <w:tcW w:w="9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r>
      <w:tr>
        <w:trPr>
          <w:trHeight w:val="137"/>
        </w:trPr>
        <w:tc>
          <w:tcPr>
            <w:tcW w:w="9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9"/>
                <w:szCs w:val="9"/>
                <w:b w:val="1"/>
                <w:bCs w:val="1"/>
                <w:color w:val="auto"/>
              </w:rPr>
              <w:t>Mandeep Chawla</w:t>
            </w:r>
          </w:p>
        </w:tc>
        <w:tc>
          <w:tcPr>
            <w:tcW w:w="5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r>
      <w:tr>
        <w:trPr>
          <w:trHeight w:val="119"/>
        </w:trPr>
        <w:tc>
          <w:tcPr>
            <w:tcW w:w="9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9"/>
                <w:szCs w:val="9"/>
                <w:color w:val="auto"/>
              </w:rPr>
              <w:t>Jan. 30, 2018</w:t>
            </w:r>
          </w:p>
        </w:tc>
        <w:tc>
          <w:tcPr>
            <w:tcW w:w="560" w:type="dxa"/>
            <w:vAlign w:val="bottom"/>
            <w:tcBorders>
              <w:right w:val="single" w:sz="8" w:color="auto"/>
            </w:tcBorders>
          </w:tcPr>
          <w:p>
            <w:pPr>
              <w:jc w:val="center"/>
              <w:ind w:right="14"/>
              <w:spacing w:after="0"/>
              <w:rPr>
                <w:sz w:val="20"/>
                <w:szCs w:val="20"/>
                <w:color w:val="auto"/>
              </w:rPr>
            </w:pPr>
            <w:r>
              <w:rPr>
                <w:rFonts w:ascii="Arial" w:cs="Arial" w:eastAsia="Arial" w:hAnsi="Arial"/>
                <w:sz w:val="9"/>
                <w:szCs w:val="9"/>
                <w:color w:val="auto"/>
              </w:rPr>
              <w:t>—</w:t>
            </w:r>
          </w:p>
        </w:tc>
        <w:tc>
          <w:tcPr>
            <w:tcW w:w="540" w:type="dxa"/>
            <w:vAlign w:val="bottom"/>
            <w:tcBorders>
              <w:right w:val="single" w:sz="8" w:color="auto"/>
            </w:tcBorders>
          </w:tcPr>
          <w:p>
            <w:pPr>
              <w:ind w:left="200"/>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ind w:left="220"/>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right"/>
              <w:ind w:right="54"/>
              <w:spacing w:after="0"/>
              <w:rPr>
                <w:sz w:val="20"/>
                <w:szCs w:val="20"/>
                <w:color w:val="auto"/>
              </w:rPr>
            </w:pPr>
            <w:r>
              <w:rPr>
                <w:rFonts w:ascii="Arial" w:cs="Arial" w:eastAsia="Arial" w:hAnsi="Arial"/>
                <w:sz w:val="9"/>
                <w:szCs w:val="9"/>
                <w:color w:val="auto"/>
              </w:rPr>
              <w:t>82,778</w:t>
            </w:r>
          </w:p>
        </w:tc>
        <w:tc>
          <w:tcPr>
            <w:tcW w:w="560" w:type="dxa"/>
            <w:vAlign w:val="bottom"/>
            <w:tcBorders>
              <w:right w:val="single" w:sz="8" w:color="auto"/>
            </w:tcBorders>
          </w:tcPr>
          <w:p>
            <w:pPr>
              <w:jc w:val="right"/>
              <w:ind w:right="134"/>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right"/>
              <w:ind w:right="14"/>
              <w:spacing w:after="0"/>
              <w:rPr>
                <w:sz w:val="20"/>
                <w:szCs w:val="20"/>
                <w:color w:val="auto"/>
              </w:rPr>
            </w:pPr>
            <w:r>
              <w:rPr>
                <w:rFonts w:ascii="Arial" w:cs="Arial" w:eastAsia="Arial" w:hAnsi="Arial"/>
                <w:sz w:val="9"/>
                <w:szCs w:val="9"/>
                <w:color w:val="auto"/>
              </w:rPr>
              <w:t>$633,386</w:t>
            </w:r>
          </w:p>
        </w:tc>
        <w:tc>
          <w:tcPr>
            <w:tcW w:w="560" w:type="dxa"/>
            <w:vAlign w:val="bottom"/>
            <w:tcBorders>
              <w:right w:val="single" w:sz="8" w:color="auto"/>
            </w:tcBorders>
          </w:tcPr>
          <w:p>
            <w:pPr>
              <w:jc w:val="right"/>
              <w:ind w:right="14"/>
              <w:spacing w:after="0"/>
              <w:rPr>
                <w:sz w:val="20"/>
                <w:szCs w:val="20"/>
                <w:color w:val="auto"/>
              </w:rPr>
            </w:pPr>
            <w:r>
              <w:rPr>
                <w:rFonts w:ascii="Arial" w:cs="Arial" w:eastAsia="Arial" w:hAnsi="Arial"/>
                <w:sz w:val="9"/>
                <w:szCs w:val="9"/>
                <w:color w:val="auto"/>
              </w:rPr>
              <w:t>$1,266,771</w:t>
            </w:r>
          </w:p>
        </w:tc>
        <w:tc>
          <w:tcPr>
            <w:tcW w:w="600" w:type="dxa"/>
            <w:vAlign w:val="bottom"/>
            <w:tcBorders>
              <w:right w:val="single" w:sz="8" w:color="auto"/>
            </w:tcBorders>
          </w:tcPr>
          <w:p>
            <w:pPr>
              <w:ind w:left="200"/>
              <w:spacing w:after="0"/>
              <w:rPr>
                <w:sz w:val="20"/>
                <w:szCs w:val="20"/>
                <w:color w:val="auto"/>
              </w:rPr>
            </w:pPr>
            <w:r>
              <w:rPr>
                <w:rFonts w:ascii="Arial" w:cs="Arial" w:eastAsia="Arial" w:hAnsi="Arial"/>
                <w:sz w:val="9"/>
                <w:szCs w:val="9"/>
                <w:color w:val="auto"/>
              </w:rPr>
              <w:t>—</w:t>
            </w:r>
          </w:p>
        </w:tc>
      </w:tr>
      <w:tr>
        <w:trPr>
          <w:trHeight w:val="119"/>
        </w:trPr>
        <w:tc>
          <w:tcPr>
            <w:tcW w:w="9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9"/>
                <w:szCs w:val="9"/>
                <w:color w:val="auto"/>
              </w:rPr>
              <w:t>Feb. 6, 2019</w:t>
            </w:r>
          </w:p>
        </w:tc>
        <w:tc>
          <w:tcPr>
            <w:tcW w:w="560" w:type="dxa"/>
            <w:vAlign w:val="bottom"/>
            <w:tcBorders>
              <w:right w:val="single" w:sz="8" w:color="auto"/>
            </w:tcBorders>
          </w:tcPr>
          <w:p>
            <w:pPr>
              <w:jc w:val="center"/>
              <w:ind w:right="14"/>
              <w:spacing w:after="0"/>
              <w:rPr>
                <w:sz w:val="20"/>
                <w:szCs w:val="20"/>
                <w:color w:val="auto"/>
              </w:rPr>
            </w:pPr>
            <w:r>
              <w:rPr>
                <w:rFonts w:ascii="Arial" w:cs="Arial" w:eastAsia="Arial" w:hAnsi="Arial"/>
                <w:sz w:val="9"/>
                <w:szCs w:val="9"/>
                <w:color w:val="auto"/>
              </w:rPr>
              <w:t>—</w:t>
            </w:r>
          </w:p>
        </w:tc>
        <w:tc>
          <w:tcPr>
            <w:tcW w:w="540" w:type="dxa"/>
            <w:vAlign w:val="bottom"/>
            <w:tcBorders>
              <w:right w:val="single" w:sz="8" w:color="auto"/>
            </w:tcBorders>
          </w:tcPr>
          <w:p>
            <w:pPr>
              <w:ind w:left="200"/>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ind w:left="220"/>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right"/>
              <w:ind w:right="54"/>
              <w:spacing w:after="0"/>
              <w:rPr>
                <w:sz w:val="20"/>
                <w:szCs w:val="20"/>
                <w:color w:val="auto"/>
              </w:rPr>
            </w:pPr>
            <w:r>
              <w:rPr>
                <w:rFonts w:ascii="Arial" w:cs="Arial" w:eastAsia="Arial" w:hAnsi="Arial"/>
                <w:sz w:val="9"/>
                <w:szCs w:val="9"/>
                <w:color w:val="auto"/>
              </w:rPr>
              <w:t>172,469</w:t>
            </w:r>
          </w:p>
        </w:tc>
        <w:tc>
          <w:tcPr>
            <w:tcW w:w="560" w:type="dxa"/>
            <w:vAlign w:val="bottom"/>
            <w:tcBorders>
              <w:right w:val="single" w:sz="8" w:color="auto"/>
            </w:tcBorders>
          </w:tcPr>
          <w:p>
            <w:pPr>
              <w:jc w:val="right"/>
              <w:ind w:right="34"/>
              <w:spacing w:after="0"/>
              <w:rPr>
                <w:sz w:val="20"/>
                <w:szCs w:val="20"/>
                <w:color w:val="auto"/>
              </w:rPr>
            </w:pPr>
            <w:r>
              <w:rPr>
                <w:rFonts w:ascii="Arial" w:cs="Arial" w:eastAsia="Arial" w:hAnsi="Arial"/>
                <w:sz w:val="9"/>
                <w:szCs w:val="9"/>
                <w:color w:val="auto"/>
              </w:rPr>
              <w:t>$406,048</w:t>
            </w:r>
          </w:p>
        </w:tc>
        <w:tc>
          <w:tcPr>
            <w:tcW w:w="560" w:type="dxa"/>
            <w:vAlign w:val="bottom"/>
            <w:tcBorders>
              <w:right w:val="single" w:sz="8" w:color="auto"/>
            </w:tcBorders>
          </w:tcPr>
          <w:p>
            <w:pPr>
              <w:jc w:val="right"/>
              <w:ind w:right="14"/>
              <w:spacing w:after="0"/>
              <w:rPr>
                <w:sz w:val="20"/>
                <w:szCs w:val="20"/>
                <w:color w:val="auto"/>
              </w:rPr>
            </w:pPr>
            <w:r>
              <w:rPr>
                <w:rFonts w:ascii="Arial" w:cs="Arial" w:eastAsia="Arial" w:hAnsi="Arial"/>
                <w:sz w:val="9"/>
                <w:szCs w:val="9"/>
                <w:color w:val="auto"/>
              </w:rPr>
              <w:t>$1,319.667</w:t>
            </w:r>
          </w:p>
        </w:tc>
        <w:tc>
          <w:tcPr>
            <w:tcW w:w="560" w:type="dxa"/>
            <w:vAlign w:val="bottom"/>
            <w:tcBorders>
              <w:right w:val="single" w:sz="8" w:color="auto"/>
            </w:tcBorders>
          </w:tcPr>
          <w:p>
            <w:pPr>
              <w:jc w:val="right"/>
              <w:ind w:right="14"/>
              <w:spacing w:after="0"/>
              <w:rPr>
                <w:sz w:val="20"/>
                <w:szCs w:val="20"/>
                <w:color w:val="auto"/>
              </w:rPr>
            </w:pPr>
            <w:r>
              <w:rPr>
                <w:rFonts w:ascii="Arial" w:cs="Arial" w:eastAsia="Arial" w:hAnsi="Arial"/>
                <w:sz w:val="9"/>
                <w:szCs w:val="9"/>
                <w:color w:val="auto"/>
              </w:rPr>
              <w:t>$2,233,285</w:t>
            </w:r>
          </w:p>
        </w:tc>
        <w:tc>
          <w:tcPr>
            <w:tcW w:w="600" w:type="dxa"/>
            <w:vAlign w:val="bottom"/>
            <w:tcBorders>
              <w:right w:val="single" w:sz="8" w:color="auto"/>
            </w:tcBorders>
          </w:tcPr>
          <w:p>
            <w:pPr>
              <w:ind w:left="200"/>
              <w:spacing w:after="0"/>
              <w:rPr>
                <w:sz w:val="20"/>
                <w:szCs w:val="20"/>
                <w:color w:val="auto"/>
              </w:rPr>
            </w:pPr>
            <w:r>
              <w:rPr>
                <w:rFonts w:ascii="Arial" w:cs="Arial" w:eastAsia="Arial" w:hAnsi="Arial"/>
                <w:sz w:val="9"/>
                <w:szCs w:val="9"/>
                <w:color w:val="auto"/>
              </w:rPr>
              <w:t>—</w:t>
            </w:r>
          </w:p>
        </w:tc>
      </w:tr>
      <w:tr>
        <w:trPr>
          <w:trHeight w:val="118"/>
        </w:trPr>
        <w:tc>
          <w:tcPr>
            <w:tcW w:w="9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9"/>
                <w:szCs w:val="9"/>
                <w:color w:val="auto"/>
              </w:rPr>
              <w:t>Feb. 4, 2020</w:t>
            </w:r>
          </w:p>
        </w:tc>
        <w:tc>
          <w:tcPr>
            <w:tcW w:w="560" w:type="dxa"/>
            <w:vAlign w:val="bottom"/>
            <w:tcBorders>
              <w:right w:val="single" w:sz="8" w:color="auto"/>
            </w:tcBorders>
          </w:tcPr>
          <w:p>
            <w:pPr>
              <w:jc w:val="center"/>
              <w:ind w:right="14"/>
              <w:spacing w:after="0"/>
              <w:rPr>
                <w:sz w:val="20"/>
                <w:szCs w:val="20"/>
                <w:color w:val="auto"/>
              </w:rPr>
            </w:pPr>
            <w:r>
              <w:rPr>
                <w:rFonts w:ascii="Arial" w:cs="Arial" w:eastAsia="Arial" w:hAnsi="Arial"/>
                <w:sz w:val="9"/>
                <w:szCs w:val="9"/>
                <w:color w:val="auto"/>
              </w:rPr>
              <w:t>—</w:t>
            </w:r>
          </w:p>
        </w:tc>
        <w:tc>
          <w:tcPr>
            <w:tcW w:w="540" w:type="dxa"/>
            <w:vAlign w:val="bottom"/>
            <w:tcBorders>
              <w:right w:val="single" w:sz="8" w:color="auto"/>
            </w:tcBorders>
          </w:tcPr>
          <w:p>
            <w:pPr>
              <w:ind w:left="200"/>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ind w:left="220"/>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right"/>
              <w:ind w:right="54"/>
              <w:spacing w:after="0"/>
              <w:rPr>
                <w:sz w:val="20"/>
                <w:szCs w:val="20"/>
                <w:color w:val="auto"/>
              </w:rPr>
            </w:pPr>
            <w:r>
              <w:rPr>
                <w:rFonts w:ascii="Arial" w:cs="Arial" w:eastAsia="Arial" w:hAnsi="Arial"/>
                <w:sz w:val="9"/>
                <w:szCs w:val="9"/>
                <w:color w:val="auto"/>
              </w:rPr>
              <w:t>208,098</w:t>
            </w:r>
          </w:p>
        </w:tc>
        <w:tc>
          <w:tcPr>
            <w:tcW w:w="560" w:type="dxa"/>
            <w:vAlign w:val="bottom"/>
            <w:tcBorders>
              <w:right w:val="single" w:sz="8" w:color="auto"/>
            </w:tcBorders>
          </w:tcPr>
          <w:p>
            <w:pPr>
              <w:jc w:val="right"/>
              <w:ind w:right="34"/>
              <w:spacing w:after="0"/>
              <w:rPr>
                <w:sz w:val="20"/>
                <w:szCs w:val="20"/>
                <w:color w:val="auto"/>
              </w:rPr>
            </w:pPr>
            <w:r>
              <w:rPr>
                <w:rFonts w:ascii="Arial" w:cs="Arial" w:eastAsia="Arial" w:hAnsi="Arial"/>
                <w:sz w:val="9"/>
                <w:szCs w:val="9"/>
                <w:color w:val="auto"/>
              </w:rPr>
              <w:t>$636,913</w:t>
            </w:r>
          </w:p>
        </w:tc>
        <w:tc>
          <w:tcPr>
            <w:tcW w:w="560" w:type="dxa"/>
            <w:vAlign w:val="bottom"/>
            <w:tcBorders>
              <w:right w:val="single" w:sz="8" w:color="auto"/>
            </w:tcBorders>
          </w:tcPr>
          <w:p>
            <w:pPr>
              <w:jc w:val="right"/>
              <w:ind w:right="14"/>
              <w:spacing w:after="0"/>
              <w:rPr>
                <w:sz w:val="20"/>
                <w:szCs w:val="20"/>
                <w:color w:val="auto"/>
              </w:rPr>
            </w:pPr>
            <w:r>
              <w:rPr>
                <w:rFonts w:ascii="Arial" w:cs="Arial" w:eastAsia="Arial" w:hAnsi="Arial"/>
                <w:sz w:val="9"/>
                <w:szCs w:val="9"/>
                <w:color w:val="auto"/>
              </w:rPr>
              <w:t>$1,592,286</w:t>
            </w:r>
          </w:p>
        </w:tc>
        <w:tc>
          <w:tcPr>
            <w:tcW w:w="560" w:type="dxa"/>
            <w:vAlign w:val="bottom"/>
            <w:tcBorders>
              <w:right w:val="single" w:sz="8" w:color="auto"/>
            </w:tcBorders>
          </w:tcPr>
          <w:p>
            <w:pPr>
              <w:jc w:val="right"/>
              <w:ind w:right="14"/>
              <w:spacing w:after="0"/>
              <w:rPr>
                <w:sz w:val="20"/>
                <w:szCs w:val="20"/>
                <w:color w:val="auto"/>
              </w:rPr>
            </w:pPr>
            <w:r>
              <w:rPr>
                <w:rFonts w:ascii="Arial" w:cs="Arial" w:eastAsia="Arial" w:hAnsi="Arial"/>
                <w:sz w:val="9"/>
                <w:szCs w:val="9"/>
                <w:color w:val="auto"/>
              </w:rPr>
              <w:t>$2,547,659</w:t>
            </w:r>
          </w:p>
        </w:tc>
        <w:tc>
          <w:tcPr>
            <w:tcW w:w="600" w:type="dxa"/>
            <w:vAlign w:val="bottom"/>
            <w:tcBorders>
              <w:right w:val="single" w:sz="8" w:color="auto"/>
            </w:tcBorders>
          </w:tcPr>
          <w:p>
            <w:pPr>
              <w:ind w:left="200"/>
              <w:spacing w:after="0"/>
              <w:rPr>
                <w:sz w:val="20"/>
                <w:szCs w:val="20"/>
                <w:color w:val="auto"/>
              </w:rPr>
            </w:pPr>
            <w:r>
              <w:rPr>
                <w:rFonts w:ascii="Arial" w:cs="Arial" w:eastAsia="Arial" w:hAnsi="Arial"/>
                <w:sz w:val="9"/>
                <w:szCs w:val="9"/>
                <w:color w:val="auto"/>
              </w:rPr>
              <w:t>—</w:t>
            </w:r>
          </w:p>
        </w:tc>
      </w:tr>
      <w:tr>
        <w:trPr>
          <w:trHeight w:val="121"/>
        </w:trPr>
        <w:tc>
          <w:tcPr>
            <w:tcW w:w="9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9"/>
                <w:szCs w:val="9"/>
                <w:b w:val="1"/>
                <w:bCs w:val="1"/>
                <w:color w:val="auto"/>
              </w:rPr>
              <w:t>Total</w:t>
            </w:r>
          </w:p>
        </w:tc>
        <w:tc>
          <w:tcPr>
            <w:tcW w:w="560" w:type="dxa"/>
            <w:vAlign w:val="bottom"/>
            <w:tcBorders>
              <w:right w:val="single" w:sz="8" w:color="auto"/>
            </w:tcBorders>
          </w:tcPr>
          <w:p>
            <w:pPr>
              <w:jc w:val="center"/>
              <w:ind w:right="14"/>
              <w:spacing w:after="0"/>
              <w:rPr>
                <w:sz w:val="20"/>
                <w:szCs w:val="20"/>
                <w:color w:val="auto"/>
              </w:rPr>
            </w:pPr>
            <w:r>
              <w:rPr>
                <w:rFonts w:ascii="Arial" w:cs="Arial" w:eastAsia="Arial" w:hAnsi="Arial"/>
                <w:sz w:val="9"/>
                <w:szCs w:val="9"/>
                <w:color w:val="auto"/>
              </w:rPr>
              <w:t>—</w:t>
            </w:r>
          </w:p>
        </w:tc>
        <w:tc>
          <w:tcPr>
            <w:tcW w:w="540" w:type="dxa"/>
            <w:vAlign w:val="bottom"/>
            <w:tcBorders>
              <w:right w:val="single" w:sz="8" w:color="auto"/>
            </w:tcBorders>
          </w:tcPr>
          <w:p>
            <w:pPr>
              <w:ind w:left="200"/>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ind w:left="220"/>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right"/>
              <w:ind w:right="74"/>
              <w:spacing w:after="0"/>
              <w:rPr>
                <w:sz w:val="20"/>
                <w:szCs w:val="20"/>
                <w:color w:val="auto"/>
              </w:rPr>
            </w:pPr>
            <w:r>
              <w:rPr>
                <w:rFonts w:ascii="Arial" w:cs="Arial" w:eastAsia="Arial" w:hAnsi="Arial"/>
                <w:sz w:val="9"/>
                <w:szCs w:val="9"/>
                <w:b w:val="1"/>
                <w:bCs w:val="1"/>
                <w:color w:val="auto"/>
              </w:rPr>
              <w:t>463,345</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9"/>
                <w:szCs w:val="9"/>
                <w:b w:val="1"/>
                <w:bCs w:val="1"/>
                <w:color w:val="auto"/>
                <w:w w:val="88"/>
              </w:rPr>
              <w:t>$1,042,961</w:t>
            </w:r>
          </w:p>
        </w:tc>
        <w:tc>
          <w:tcPr>
            <w:tcW w:w="560" w:type="dxa"/>
            <w:vAlign w:val="bottom"/>
            <w:tcBorders>
              <w:right w:val="single" w:sz="8" w:color="auto"/>
            </w:tcBorders>
          </w:tcPr>
          <w:p>
            <w:pPr>
              <w:jc w:val="right"/>
              <w:ind w:right="34"/>
              <w:spacing w:after="0"/>
              <w:rPr>
                <w:sz w:val="20"/>
                <w:szCs w:val="20"/>
                <w:color w:val="auto"/>
              </w:rPr>
            </w:pPr>
            <w:r>
              <w:rPr>
                <w:rFonts w:ascii="Arial" w:cs="Arial" w:eastAsia="Arial" w:hAnsi="Arial"/>
                <w:sz w:val="9"/>
                <w:szCs w:val="9"/>
                <w:b w:val="1"/>
                <w:bCs w:val="1"/>
                <w:color w:val="auto"/>
              </w:rPr>
              <w:t>$3,545,339</w:t>
            </w:r>
          </w:p>
        </w:tc>
        <w:tc>
          <w:tcPr>
            <w:tcW w:w="560" w:type="dxa"/>
            <w:vAlign w:val="bottom"/>
            <w:tcBorders>
              <w:right w:val="single" w:sz="8" w:color="auto"/>
            </w:tcBorders>
          </w:tcPr>
          <w:p>
            <w:pPr>
              <w:jc w:val="right"/>
              <w:ind w:right="34"/>
              <w:spacing w:after="0"/>
              <w:rPr>
                <w:sz w:val="20"/>
                <w:szCs w:val="20"/>
                <w:color w:val="auto"/>
              </w:rPr>
            </w:pPr>
            <w:r>
              <w:rPr>
                <w:rFonts w:ascii="Arial" w:cs="Arial" w:eastAsia="Arial" w:hAnsi="Arial"/>
                <w:sz w:val="9"/>
                <w:szCs w:val="9"/>
                <w:b w:val="1"/>
                <w:bCs w:val="1"/>
                <w:color w:val="auto"/>
              </w:rPr>
              <w:t>$6,047,715</w:t>
            </w:r>
          </w:p>
        </w:tc>
        <w:tc>
          <w:tcPr>
            <w:tcW w:w="600" w:type="dxa"/>
            <w:vAlign w:val="bottom"/>
            <w:tcBorders>
              <w:right w:val="single" w:sz="8" w:color="auto"/>
            </w:tcBorders>
          </w:tcPr>
          <w:p>
            <w:pPr>
              <w:spacing w:after="0"/>
              <w:rPr>
                <w:sz w:val="10"/>
                <w:szCs w:val="10"/>
                <w:color w:val="auto"/>
              </w:rPr>
            </w:pPr>
          </w:p>
        </w:tc>
      </w:tr>
      <w:tr>
        <w:trPr>
          <w:trHeight w:val="22"/>
        </w:trPr>
        <w:tc>
          <w:tcPr>
            <w:tcW w:w="9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r>
      <w:tr>
        <w:trPr>
          <w:trHeight w:val="137"/>
        </w:trPr>
        <w:tc>
          <w:tcPr>
            <w:tcW w:w="9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9"/>
                <w:szCs w:val="9"/>
                <w:b w:val="1"/>
                <w:bCs w:val="1"/>
                <w:color w:val="auto"/>
              </w:rPr>
              <w:t>Jason Phillips</w:t>
            </w:r>
          </w:p>
        </w:tc>
        <w:tc>
          <w:tcPr>
            <w:tcW w:w="5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r>
      <w:tr>
        <w:trPr>
          <w:trHeight w:val="119"/>
        </w:trPr>
        <w:tc>
          <w:tcPr>
            <w:tcW w:w="9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9"/>
                <w:szCs w:val="9"/>
                <w:color w:val="auto"/>
              </w:rPr>
              <w:t>Jan. 30, 2018</w:t>
            </w:r>
          </w:p>
        </w:tc>
        <w:tc>
          <w:tcPr>
            <w:tcW w:w="560" w:type="dxa"/>
            <w:vAlign w:val="bottom"/>
            <w:tcBorders>
              <w:right w:val="single" w:sz="8" w:color="auto"/>
            </w:tcBorders>
          </w:tcPr>
          <w:p>
            <w:pPr>
              <w:jc w:val="center"/>
              <w:ind w:right="14"/>
              <w:spacing w:after="0"/>
              <w:rPr>
                <w:sz w:val="20"/>
                <w:szCs w:val="20"/>
                <w:color w:val="auto"/>
              </w:rPr>
            </w:pPr>
            <w:r>
              <w:rPr>
                <w:rFonts w:ascii="Arial" w:cs="Arial" w:eastAsia="Arial" w:hAnsi="Arial"/>
                <w:sz w:val="9"/>
                <w:szCs w:val="9"/>
                <w:color w:val="auto"/>
              </w:rPr>
              <w:t>—</w:t>
            </w:r>
          </w:p>
        </w:tc>
        <w:tc>
          <w:tcPr>
            <w:tcW w:w="540" w:type="dxa"/>
            <w:vAlign w:val="bottom"/>
            <w:tcBorders>
              <w:right w:val="single" w:sz="8" w:color="auto"/>
            </w:tcBorders>
          </w:tcPr>
          <w:p>
            <w:pPr>
              <w:ind w:left="200"/>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ind w:left="220"/>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right"/>
              <w:ind w:right="54"/>
              <w:spacing w:after="0"/>
              <w:rPr>
                <w:sz w:val="20"/>
                <w:szCs w:val="20"/>
                <w:color w:val="auto"/>
              </w:rPr>
            </w:pPr>
            <w:r>
              <w:rPr>
                <w:rFonts w:ascii="Arial" w:cs="Arial" w:eastAsia="Arial" w:hAnsi="Arial"/>
                <w:sz w:val="9"/>
                <w:szCs w:val="9"/>
                <w:color w:val="auto"/>
              </w:rPr>
              <w:t>39,961</w:t>
            </w:r>
          </w:p>
        </w:tc>
        <w:tc>
          <w:tcPr>
            <w:tcW w:w="560" w:type="dxa"/>
            <w:vAlign w:val="bottom"/>
            <w:tcBorders>
              <w:right w:val="single" w:sz="8" w:color="auto"/>
            </w:tcBorders>
          </w:tcPr>
          <w:p>
            <w:pPr>
              <w:jc w:val="right"/>
              <w:ind w:right="134"/>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right"/>
              <w:ind w:right="14"/>
              <w:spacing w:after="0"/>
              <w:rPr>
                <w:sz w:val="20"/>
                <w:szCs w:val="20"/>
                <w:color w:val="auto"/>
              </w:rPr>
            </w:pPr>
            <w:r>
              <w:rPr>
                <w:rFonts w:ascii="Arial" w:cs="Arial" w:eastAsia="Arial" w:hAnsi="Arial"/>
                <w:sz w:val="9"/>
                <w:szCs w:val="9"/>
                <w:color w:val="auto"/>
              </w:rPr>
              <w:t>$322,485</w:t>
            </w:r>
          </w:p>
        </w:tc>
        <w:tc>
          <w:tcPr>
            <w:tcW w:w="560" w:type="dxa"/>
            <w:vAlign w:val="bottom"/>
            <w:tcBorders>
              <w:right w:val="single" w:sz="8" w:color="auto"/>
            </w:tcBorders>
          </w:tcPr>
          <w:p>
            <w:pPr>
              <w:jc w:val="right"/>
              <w:ind w:right="14"/>
              <w:spacing w:after="0"/>
              <w:rPr>
                <w:sz w:val="20"/>
                <w:szCs w:val="20"/>
                <w:color w:val="auto"/>
              </w:rPr>
            </w:pPr>
            <w:r>
              <w:rPr>
                <w:rFonts w:ascii="Arial" w:cs="Arial" w:eastAsia="Arial" w:hAnsi="Arial"/>
                <w:sz w:val="9"/>
                <w:szCs w:val="9"/>
                <w:color w:val="auto"/>
              </w:rPr>
              <w:t>$644,971</w:t>
            </w:r>
          </w:p>
        </w:tc>
        <w:tc>
          <w:tcPr>
            <w:tcW w:w="600" w:type="dxa"/>
            <w:vAlign w:val="bottom"/>
            <w:tcBorders>
              <w:right w:val="single" w:sz="8" w:color="auto"/>
            </w:tcBorders>
          </w:tcPr>
          <w:p>
            <w:pPr>
              <w:ind w:left="200"/>
              <w:spacing w:after="0"/>
              <w:rPr>
                <w:sz w:val="20"/>
                <w:szCs w:val="20"/>
                <w:color w:val="auto"/>
              </w:rPr>
            </w:pPr>
            <w:r>
              <w:rPr>
                <w:rFonts w:ascii="Arial" w:cs="Arial" w:eastAsia="Arial" w:hAnsi="Arial"/>
                <w:sz w:val="9"/>
                <w:szCs w:val="9"/>
                <w:color w:val="auto"/>
              </w:rPr>
              <w:t>—</w:t>
            </w:r>
          </w:p>
        </w:tc>
      </w:tr>
      <w:tr>
        <w:trPr>
          <w:trHeight w:val="119"/>
        </w:trPr>
        <w:tc>
          <w:tcPr>
            <w:tcW w:w="9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9"/>
                <w:szCs w:val="9"/>
                <w:color w:val="auto"/>
              </w:rPr>
              <w:t>May. 7, 2018</w:t>
            </w:r>
          </w:p>
        </w:tc>
        <w:tc>
          <w:tcPr>
            <w:tcW w:w="560" w:type="dxa"/>
            <w:vAlign w:val="bottom"/>
            <w:tcBorders>
              <w:right w:val="single" w:sz="8" w:color="auto"/>
            </w:tcBorders>
          </w:tcPr>
          <w:p>
            <w:pPr>
              <w:jc w:val="center"/>
              <w:ind w:right="14"/>
              <w:spacing w:after="0"/>
              <w:rPr>
                <w:sz w:val="20"/>
                <w:szCs w:val="20"/>
                <w:color w:val="auto"/>
              </w:rPr>
            </w:pPr>
            <w:r>
              <w:rPr>
                <w:rFonts w:ascii="Arial" w:cs="Arial" w:eastAsia="Arial" w:hAnsi="Arial"/>
                <w:sz w:val="9"/>
                <w:szCs w:val="9"/>
                <w:color w:val="auto"/>
              </w:rPr>
              <w:t>—</w:t>
            </w:r>
          </w:p>
        </w:tc>
        <w:tc>
          <w:tcPr>
            <w:tcW w:w="540" w:type="dxa"/>
            <w:vAlign w:val="bottom"/>
            <w:tcBorders>
              <w:right w:val="single" w:sz="8" w:color="auto"/>
            </w:tcBorders>
          </w:tcPr>
          <w:p>
            <w:pPr>
              <w:ind w:left="200"/>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ind w:left="220"/>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right"/>
              <w:ind w:right="54"/>
              <w:spacing w:after="0"/>
              <w:rPr>
                <w:sz w:val="20"/>
                <w:szCs w:val="20"/>
                <w:color w:val="auto"/>
              </w:rPr>
            </w:pPr>
            <w:r>
              <w:rPr>
                <w:rFonts w:ascii="Arial" w:cs="Arial" w:eastAsia="Arial" w:hAnsi="Arial"/>
                <w:sz w:val="9"/>
                <w:szCs w:val="9"/>
                <w:color w:val="auto"/>
              </w:rPr>
              <w:t>42,052</w:t>
            </w:r>
          </w:p>
        </w:tc>
        <w:tc>
          <w:tcPr>
            <w:tcW w:w="560" w:type="dxa"/>
            <w:vAlign w:val="bottom"/>
            <w:tcBorders>
              <w:right w:val="single" w:sz="8" w:color="auto"/>
            </w:tcBorders>
          </w:tcPr>
          <w:p>
            <w:pPr>
              <w:jc w:val="right"/>
              <w:ind w:right="34"/>
              <w:spacing w:after="0"/>
              <w:rPr>
                <w:sz w:val="20"/>
                <w:szCs w:val="20"/>
                <w:color w:val="auto"/>
              </w:rPr>
            </w:pPr>
            <w:r>
              <w:rPr>
                <w:rFonts w:ascii="Arial" w:cs="Arial" w:eastAsia="Arial" w:hAnsi="Arial"/>
                <w:sz w:val="9"/>
                <w:szCs w:val="9"/>
                <w:color w:val="auto"/>
              </w:rPr>
              <w:t>$339,360</w:t>
            </w:r>
          </w:p>
        </w:tc>
        <w:tc>
          <w:tcPr>
            <w:tcW w:w="560" w:type="dxa"/>
            <w:vAlign w:val="bottom"/>
            <w:tcBorders>
              <w:right w:val="single" w:sz="8" w:color="auto"/>
            </w:tcBorders>
          </w:tcPr>
          <w:p>
            <w:pPr>
              <w:jc w:val="right"/>
              <w:ind w:right="14"/>
              <w:spacing w:after="0"/>
              <w:rPr>
                <w:sz w:val="20"/>
                <w:szCs w:val="20"/>
                <w:color w:val="auto"/>
              </w:rPr>
            </w:pPr>
            <w:r>
              <w:rPr>
                <w:rFonts w:ascii="Arial" w:cs="Arial" w:eastAsia="Arial" w:hAnsi="Arial"/>
                <w:sz w:val="9"/>
                <w:szCs w:val="9"/>
                <w:color w:val="auto"/>
              </w:rPr>
              <w:t>$339,360</w:t>
            </w:r>
          </w:p>
        </w:tc>
        <w:tc>
          <w:tcPr>
            <w:tcW w:w="560" w:type="dxa"/>
            <w:vAlign w:val="bottom"/>
            <w:tcBorders>
              <w:right w:val="single" w:sz="8" w:color="auto"/>
            </w:tcBorders>
          </w:tcPr>
          <w:p>
            <w:pPr>
              <w:jc w:val="right"/>
              <w:ind w:right="14"/>
              <w:spacing w:after="0"/>
              <w:rPr>
                <w:sz w:val="20"/>
                <w:szCs w:val="20"/>
                <w:color w:val="auto"/>
              </w:rPr>
            </w:pPr>
            <w:r>
              <w:rPr>
                <w:rFonts w:ascii="Arial" w:cs="Arial" w:eastAsia="Arial" w:hAnsi="Arial"/>
                <w:sz w:val="9"/>
                <w:szCs w:val="9"/>
                <w:color w:val="auto"/>
              </w:rPr>
              <w:t>$339,360</w:t>
            </w:r>
          </w:p>
        </w:tc>
        <w:tc>
          <w:tcPr>
            <w:tcW w:w="600" w:type="dxa"/>
            <w:vAlign w:val="bottom"/>
            <w:tcBorders>
              <w:right w:val="single" w:sz="8" w:color="auto"/>
            </w:tcBorders>
          </w:tcPr>
          <w:p>
            <w:pPr>
              <w:ind w:left="200"/>
              <w:spacing w:after="0"/>
              <w:rPr>
                <w:sz w:val="20"/>
                <w:szCs w:val="20"/>
                <w:color w:val="auto"/>
              </w:rPr>
            </w:pPr>
            <w:r>
              <w:rPr>
                <w:rFonts w:ascii="Arial" w:cs="Arial" w:eastAsia="Arial" w:hAnsi="Arial"/>
                <w:sz w:val="9"/>
                <w:szCs w:val="9"/>
                <w:color w:val="auto"/>
              </w:rPr>
              <w:t>—</w:t>
            </w:r>
          </w:p>
        </w:tc>
      </w:tr>
      <w:tr>
        <w:trPr>
          <w:trHeight w:val="119"/>
        </w:trPr>
        <w:tc>
          <w:tcPr>
            <w:tcW w:w="9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9"/>
                <w:szCs w:val="9"/>
                <w:color w:val="auto"/>
              </w:rPr>
              <w:t>Feb. 6, 2019</w:t>
            </w:r>
          </w:p>
        </w:tc>
        <w:tc>
          <w:tcPr>
            <w:tcW w:w="560" w:type="dxa"/>
            <w:vAlign w:val="bottom"/>
            <w:tcBorders>
              <w:right w:val="single" w:sz="8" w:color="auto"/>
            </w:tcBorders>
          </w:tcPr>
          <w:p>
            <w:pPr>
              <w:jc w:val="center"/>
              <w:ind w:right="14"/>
              <w:spacing w:after="0"/>
              <w:rPr>
                <w:sz w:val="20"/>
                <w:szCs w:val="20"/>
                <w:color w:val="auto"/>
              </w:rPr>
            </w:pPr>
            <w:r>
              <w:rPr>
                <w:rFonts w:ascii="Arial" w:cs="Arial" w:eastAsia="Arial" w:hAnsi="Arial"/>
                <w:sz w:val="9"/>
                <w:szCs w:val="9"/>
                <w:color w:val="auto"/>
              </w:rPr>
              <w:t>—</w:t>
            </w:r>
          </w:p>
        </w:tc>
        <w:tc>
          <w:tcPr>
            <w:tcW w:w="540" w:type="dxa"/>
            <w:vAlign w:val="bottom"/>
            <w:tcBorders>
              <w:right w:val="single" w:sz="8" w:color="auto"/>
            </w:tcBorders>
          </w:tcPr>
          <w:p>
            <w:pPr>
              <w:ind w:left="200"/>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ind w:left="220"/>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right"/>
              <w:ind w:right="54"/>
              <w:spacing w:after="0"/>
              <w:rPr>
                <w:sz w:val="20"/>
                <w:szCs w:val="20"/>
                <w:color w:val="auto"/>
              </w:rPr>
            </w:pPr>
            <w:r>
              <w:rPr>
                <w:rFonts w:ascii="Arial" w:cs="Arial" w:eastAsia="Arial" w:hAnsi="Arial"/>
                <w:sz w:val="9"/>
                <w:szCs w:val="9"/>
                <w:color w:val="auto"/>
              </w:rPr>
              <w:t>156,301</w:t>
            </w:r>
          </w:p>
        </w:tc>
        <w:tc>
          <w:tcPr>
            <w:tcW w:w="560" w:type="dxa"/>
            <w:vAlign w:val="bottom"/>
            <w:tcBorders>
              <w:right w:val="single" w:sz="8" w:color="auto"/>
            </w:tcBorders>
          </w:tcPr>
          <w:p>
            <w:pPr>
              <w:jc w:val="right"/>
              <w:ind w:right="34"/>
              <w:spacing w:after="0"/>
              <w:rPr>
                <w:sz w:val="20"/>
                <w:szCs w:val="20"/>
                <w:color w:val="auto"/>
              </w:rPr>
            </w:pPr>
            <w:r>
              <w:rPr>
                <w:rFonts w:ascii="Arial" w:cs="Arial" w:eastAsia="Arial" w:hAnsi="Arial"/>
                <w:sz w:val="9"/>
                <w:szCs w:val="9"/>
                <w:color w:val="auto"/>
              </w:rPr>
              <w:t>$388,111</w:t>
            </w:r>
          </w:p>
        </w:tc>
        <w:tc>
          <w:tcPr>
            <w:tcW w:w="560" w:type="dxa"/>
            <w:vAlign w:val="bottom"/>
            <w:tcBorders>
              <w:right w:val="single" w:sz="8" w:color="auto"/>
            </w:tcBorders>
          </w:tcPr>
          <w:p>
            <w:pPr>
              <w:jc w:val="right"/>
              <w:ind w:right="14"/>
              <w:spacing w:after="0"/>
              <w:rPr>
                <w:sz w:val="20"/>
                <w:szCs w:val="20"/>
                <w:color w:val="auto"/>
              </w:rPr>
            </w:pPr>
            <w:r>
              <w:rPr>
                <w:rFonts w:ascii="Arial" w:cs="Arial" w:eastAsia="Arial" w:hAnsi="Arial"/>
                <w:sz w:val="9"/>
                <w:szCs w:val="9"/>
                <w:color w:val="auto"/>
              </w:rPr>
              <w:t>$1,261,349</w:t>
            </w:r>
          </w:p>
        </w:tc>
        <w:tc>
          <w:tcPr>
            <w:tcW w:w="560" w:type="dxa"/>
            <w:vAlign w:val="bottom"/>
            <w:tcBorders>
              <w:right w:val="single" w:sz="8" w:color="auto"/>
            </w:tcBorders>
          </w:tcPr>
          <w:p>
            <w:pPr>
              <w:jc w:val="right"/>
              <w:ind w:right="14"/>
              <w:spacing w:after="0"/>
              <w:rPr>
                <w:sz w:val="20"/>
                <w:szCs w:val="20"/>
                <w:color w:val="auto"/>
              </w:rPr>
            </w:pPr>
            <w:r>
              <w:rPr>
                <w:rFonts w:ascii="Arial" w:cs="Arial" w:eastAsia="Arial" w:hAnsi="Arial"/>
                <w:sz w:val="9"/>
                <w:szCs w:val="9"/>
                <w:color w:val="auto"/>
              </w:rPr>
              <w:t>$2,134,588</w:t>
            </w:r>
          </w:p>
        </w:tc>
        <w:tc>
          <w:tcPr>
            <w:tcW w:w="600" w:type="dxa"/>
            <w:vAlign w:val="bottom"/>
            <w:tcBorders>
              <w:right w:val="single" w:sz="8" w:color="auto"/>
            </w:tcBorders>
          </w:tcPr>
          <w:p>
            <w:pPr>
              <w:ind w:left="200"/>
              <w:spacing w:after="0"/>
              <w:rPr>
                <w:sz w:val="20"/>
                <w:szCs w:val="20"/>
                <w:color w:val="auto"/>
              </w:rPr>
            </w:pPr>
            <w:r>
              <w:rPr>
                <w:rFonts w:ascii="Arial" w:cs="Arial" w:eastAsia="Arial" w:hAnsi="Arial"/>
                <w:sz w:val="9"/>
                <w:szCs w:val="9"/>
                <w:color w:val="auto"/>
              </w:rPr>
              <w:t>—</w:t>
            </w:r>
          </w:p>
        </w:tc>
      </w:tr>
      <w:tr>
        <w:trPr>
          <w:trHeight w:val="119"/>
        </w:trPr>
        <w:tc>
          <w:tcPr>
            <w:tcW w:w="9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9"/>
                <w:szCs w:val="9"/>
                <w:color w:val="auto"/>
              </w:rPr>
              <w:t>Aug. 6, 2019</w:t>
            </w:r>
          </w:p>
        </w:tc>
        <w:tc>
          <w:tcPr>
            <w:tcW w:w="560" w:type="dxa"/>
            <w:vAlign w:val="bottom"/>
            <w:tcBorders>
              <w:right w:val="single" w:sz="8" w:color="auto"/>
            </w:tcBorders>
          </w:tcPr>
          <w:p>
            <w:pPr>
              <w:jc w:val="center"/>
              <w:ind w:right="14"/>
              <w:spacing w:after="0"/>
              <w:rPr>
                <w:sz w:val="20"/>
                <w:szCs w:val="20"/>
                <w:color w:val="auto"/>
              </w:rPr>
            </w:pPr>
            <w:r>
              <w:rPr>
                <w:rFonts w:ascii="Arial" w:cs="Arial" w:eastAsia="Arial" w:hAnsi="Arial"/>
                <w:sz w:val="9"/>
                <w:szCs w:val="9"/>
                <w:color w:val="auto"/>
              </w:rPr>
              <w:t>—</w:t>
            </w:r>
          </w:p>
        </w:tc>
        <w:tc>
          <w:tcPr>
            <w:tcW w:w="540" w:type="dxa"/>
            <w:vAlign w:val="bottom"/>
            <w:tcBorders>
              <w:right w:val="single" w:sz="8" w:color="auto"/>
            </w:tcBorders>
          </w:tcPr>
          <w:p>
            <w:pPr>
              <w:ind w:left="200"/>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ind w:left="220"/>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right"/>
              <w:ind w:right="54"/>
              <w:spacing w:after="0"/>
              <w:rPr>
                <w:sz w:val="20"/>
                <w:szCs w:val="20"/>
                <w:color w:val="auto"/>
              </w:rPr>
            </w:pPr>
            <w:r>
              <w:rPr>
                <w:rFonts w:ascii="Arial" w:cs="Arial" w:eastAsia="Arial" w:hAnsi="Arial"/>
                <w:sz w:val="9"/>
                <w:szCs w:val="9"/>
                <w:color w:val="auto"/>
              </w:rPr>
              <w:t>22,124</w:t>
            </w:r>
          </w:p>
        </w:tc>
        <w:tc>
          <w:tcPr>
            <w:tcW w:w="560" w:type="dxa"/>
            <w:vAlign w:val="bottom"/>
            <w:tcBorders>
              <w:right w:val="single" w:sz="8" w:color="auto"/>
            </w:tcBorders>
          </w:tcPr>
          <w:p>
            <w:pPr>
              <w:jc w:val="right"/>
              <w:ind w:right="34"/>
              <w:spacing w:after="0"/>
              <w:rPr>
                <w:sz w:val="20"/>
                <w:szCs w:val="20"/>
                <w:color w:val="auto"/>
              </w:rPr>
            </w:pPr>
            <w:r>
              <w:rPr>
                <w:rFonts w:ascii="Arial" w:cs="Arial" w:eastAsia="Arial" w:hAnsi="Arial"/>
                <w:sz w:val="9"/>
                <w:szCs w:val="9"/>
                <w:color w:val="auto"/>
              </w:rPr>
              <w:t>$178,541</w:t>
            </w:r>
          </w:p>
        </w:tc>
        <w:tc>
          <w:tcPr>
            <w:tcW w:w="560" w:type="dxa"/>
            <w:vAlign w:val="bottom"/>
            <w:tcBorders>
              <w:right w:val="single" w:sz="8" w:color="auto"/>
            </w:tcBorders>
          </w:tcPr>
          <w:p>
            <w:pPr>
              <w:jc w:val="right"/>
              <w:ind w:right="14"/>
              <w:spacing w:after="0"/>
              <w:rPr>
                <w:sz w:val="20"/>
                <w:szCs w:val="20"/>
                <w:color w:val="auto"/>
              </w:rPr>
            </w:pPr>
            <w:r>
              <w:rPr>
                <w:rFonts w:ascii="Arial" w:cs="Arial" w:eastAsia="Arial" w:hAnsi="Arial"/>
                <w:sz w:val="9"/>
                <w:szCs w:val="9"/>
                <w:color w:val="auto"/>
              </w:rPr>
              <w:t>$178,541</w:t>
            </w:r>
          </w:p>
        </w:tc>
        <w:tc>
          <w:tcPr>
            <w:tcW w:w="560" w:type="dxa"/>
            <w:vAlign w:val="bottom"/>
            <w:tcBorders>
              <w:right w:val="single" w:sz="8" w:color="auto"/>
            </w:tcBorders>
          </w:tcPr>
          <w:p>
            <w:pPr>
              <w:jc w:val="right"/>
              <w:ind w:right="14"/>
              <w:spacing w:after="0"/>
              <w:rPr>
                <w:sz w:val="20"/>
                <w:szCs w:val="20"/>
                <w:color w:val="auto"/>
              </w:rPr>
            </w:pPr>
            <w:r>
              <w:rPr>
                <w:rFonts w:ascii="Arial" w:cs="Arial" w:eastAsia="Arial" w:hAnsi="Arial"/>
                <w:sz w:val="9"/>
                <w:szCs w:val="9"/>
                <w:color w:val="auto"/>
              </w:rPr>
              <w:t>$178,541</w:t>
            </w:r>
          </w:p>
        </w:tc>
        <w:tc>
          <w:tcPr>
            <w:tcW w:w="600" w:type="dxa"/>
            <w:vAlign w:val="bottom"/>
            <w:tcBorders>
              <w:right w:val="single" w:sz="8" w:color="auto"/>
            </w:tcBorders>
          </w:tcPr>
          <w:p>
            <w:pPr>
              <w:ind w:left="200"/>
              <w:spacing w:after="0"/>
              <w:rPr>
                <w:sz w:val="20"/>
                <w:szCs w:val="20"/>
                <w:color w:val="auto"/>
              </w:rPr>
            </w:pPr>
            <w:r>
              <w:rPr>
                <w:rFonts w:ascii="Arial" w:cs="Arial" w:eastAsia="Arial" w:hAnsi="Arial"/>
                <w:sz w:val="9"/>
                <w:szCs w:val="9"/>
                <w:color w:val="auto"/>
              </w:rPr>
              <w:t>—</w:t>
            </w:r>
          </w:p>
        </w:tc>
      </w:tr>
      <w:tr>
        <w:trPr>
          <w:trHeight w:val="118"/>
        </w:trPr>
        <w:tc>
          <w:tcPr>
            <w:tcW w:w="9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9"/>
                <w:szCs w:val="9"/>
                <w:color w:val="auto"/>
              </w:rPr>
              <w:t>Feb. 4, 2020</w:t>
            </w:r>
          </w:p>
        </w:tc>
        <w:tc>
          <w:tcPr>
            <w:tcW w:w="560" w:type="dxa"/>
            <w:vAlign w:val="bottom"/>
            <w:tcBorders>
              <w:right w:val="single" w:sz="8" w:color="auto"/>
            </w:tcBorders>
          </w:tcPr>
          <w:p>
            <w:pPr>
              <w:jc w:val="center"/>
              <w:ind w:right="14"/>
              <w:spacing w:after="0"/>
              <w:rPr>
                <w:sz w:val="20"/>
                <w:szCs w:val="20"/>
                <w:color w:val="auto"/>
              </w:rPr>
            </w:pPr>
            <w:r>
              <w:rPr>
                <w:rFonts w:ascii="Arial" w:cs="Arial" w:eastAsia="Arial" w:hAnsi="Arial"/>
                <w:sz w:val="9"/>
                <w:szCs w:val="9"/>
                <w:color w:val="auto"/>
              </w:rPr>
              <w:t>—</w:t>
            </w:r>
          </w:p>
        </w:tc>
        <w:tc>
          <w:tcPr>
            <w:tcW w:w="540" w:type="dxa"/>
            <w:vAlign w:val="bottom"/>
            <w:tcBorders>
              <w:right w:val="single" w:sz="8" w:color="auto"/>
            </w:tcBorders>
          </w:tcPr>
          <w:p>
            <w:pPr>
              <w:ind w:left="200"/>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ind w:left="220"/>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right"/>
              <w:ind w:right="54"/>
              <w:spacing w:after="0"/>
              <w:rPr>
                <w:sz w:val="20"/>
                <w:szCs w:val="20"/>
                <w:color w:val="auto"/>
              </w:rPr>
            </w:pPr>
            <w:r>
              <w:rPr>
                <w:rFonts w:ascii="Arial" w:cs="Arial" w:eastAsia="Arial" w:hAnsi="Arial"/>
                <w:sz w:val="9"/>
                <w:szCs w:val="9"/>
                <w:color w:val="auto"/>
              </w:rPr>
              <w:t>224,971</w:t>
            </w:r>
          </w:p>
        </w:tc>
        <w:tc>
          <w:tcPr>
            <w:tcW w:w="560" w:type="dxa"/>
            <w:vAlign w:val="bottom"/>
            <w:tcBorders>
              <w:right w:val="single" w:sz="8" w:color="auto"/>
            </w:tcBorders>
          </w:tcPr>
          <w:p>
            <w:pPr>
              <w:jc w:val="right"/>
              <w:ind w:right="34"/>
              <w:spacing w:after="0"/>
              <w:rPr>
                <w:sz w:val="20"/>
                <w:szCs w:val="20"/>
                <w:color w:val="auto"/>
              </w:rPr>
            </w:pPr>
            <w:r>
              <w:rPr>
                <w:rFonts w:ascii="Arial" w:cs="Arial" w:eastAsia="Arial" w:hAnsi="Arial"/>
                <w:sz w:val="9"/>
                <w:szCs w:val="9"/>
                <w:color w:val="auto"/>
              </w:rPr>
              <w:t>$580,967</w:t>
            </w:r>
          </w:p>
        </w:tc>
        <w:tc>
          <w:tcPr>
            <w:tcW w:w="560" w:type="dxa"/>
            <w:vAlign w:val="bottom"/>
            <w:tcBorders>
              <w:right w:val="single" w:sz="8" w:color="auto"/>
            </w:tcBorders>
          </w:tcPr>
          <w:p>
            <w:pPr>
              <w:jc w:val="right"/>
              <w:ind w:right="14"/>
              <w:spacing w:after="0"/>
              <w:rPr>
                <w:sz w:val="20"/>
                <w:szCs w:val="20"/>
                <w:color w:val="auto"/>
              </w:rPr>
            </w:pPr>
            <w:r>
              <w:rPr>
                <w:rFonts w:ascii="Arial" w:cs="Arial" w:eastAsia="Arial" w:hAnsi="Arial"/>
                <w:sz w:val="9"/>
                <w:szCs w:val="9"/>
                <w:color w:val="auto"/>
              </w:rPr>
              <w:t>$1,815,516</w:t>
            </w:r>
          </w:p>
        </w:tc>
        <w:tc>
          <w:tcPr>
            <w:tcW w:w="560" w:type="dxa"/>
            <w:vAlign w:val="bottom"/>
            <w:tcBorders>
              <w:right w:val="single" w:sz="8" w:color="auto"/>
            </w:tcBorders>
          </w:tcPr>
          <w:p>
            <w:pPr>
              <w:jc w:val="right"/>
              <w:ind w:right="14"/>
              <w:spacing w:after="0"/>
              <w:rPr>
                <w:sz w:val="20"/>
                <w:szCs w:val="20"/>
                <w:color w:val="auto"/>
              </w:rPr>
            </w:pPr>
            <w:r>
              <w:rPr>
                <w:rFonts w:ascii="Arial" w:cs="Arial" w:eastAsia="Arial" w:hAnsi="Arial"/>
                <w:sz w:val="9"/>
                <w:szCs w:val="9"/>
                <w:color w:val="auto"/>
              </w:rPr>
              <w:t>$3,050,065</w:t>
            </w:r>
          </w:p>
        </w:tc>
        <w:tc>
          <w:tcPr>
            <w:tcW w:w="600" w:type="dxa"/>
            <w:vAlign w:val="bottom"/>
            <w:tcBorders>
              <w:right w:val="single" w:sz="8" w:color="auto"/>
            </w:tcBorders>
          </w:tcPr>
          <w:p>
            <w:pPr>
              <w:ind w:left="200"/>
              <w:spacing w:after="0"/>
              <w:rPr>
                <w:sz w:val="20"/>
                <w:szCs w:val="20"/>
                <w:color w:val="auto"/>
              </w:rPr>
            </w:pPr>
            <w:r>
              <w:rPr>
                <w:rFonts w:ascii="Arial" w:cs="Arial" w:eastAsia="Arial" w:hAnsi="Arial"/>
                <w:sz w:val="9"/>
                <w:szCs w:val="9"/>
                <w:color w:val="auto"/>
              </w:rPr>
              <w:t>—</w:t>
            </w:r>
          </w:p>
        </w:tc>
      </w:tr>
      <w:tr>
        <w:trPr>
          <w:trHeight w:val="121"/>
        </w:trPr>
        <w:tc>
          <w:tcPr>
            <w:tcW w:w="9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9"/>
                <w:szCs w:val="9"/>
                <w:b w:val="1"/>
                <w:bCs w:val="1"/>
                <w:color w:val="auto"/>
              </w:rPr>
              <w:t>Total</w:t>
            </w:r>
          </w:p>
        </w:tc>
        <w:tc>
          <w:tcPr>
            <w:tcW w:w="560" w:type="dxa"/>
            <w:vAlign w:val="bottom"/>
            <w:tcBorders>
              <w:right w:val="single" w:sz="8" w:color="auto"/>
            </w:tcBorders>
          </w:tcPr>
          <w:p>
            <w:pPr>
              <w:jc w:val="center"/>
              <w:ind w:right="14"/>
              <w:spacing w:after="0"/>
              <w:rPr>
                <w:sz w:val="20"/>
                <w:szCs w:val="20"/>
                <w:color w:val="auto"/>
              </w:rPr>
            </w:pPr>
            <w:r>
              <w:rPr>
                <w:rFonts w:ascii="Arial" w:cs="Arial" w:eastAsia="Arial" w:hAnsi="Arial"/>
                <w:sz w:val="9"/>
                <w:szCs w:val="9"/>
                <w:color w:val="auto"/>
              </w:rPr>
              <w:t>—</w:t>
            </w:r>
          </w:p>
        </w:tc>
        <w:tc>
          <w:tcPr>
            <w:tcW w:w="540" w:type="dxa"/>
            <w:vAlign w:val="bottom"/>
            <w:tcBorders>
              <w:right w:val="single" w:sz="8" w:color="auto"/>
            </w:tcBorders>
          </w:tcPr>
          <w:p>
            <w:pPr>
              <w:ind w:left="200"/>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ind w:left="220"/>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right"/>
              <w:ind w:right="74"/>
              <w:spacing w:after="0"/>
              <w:rPr>
                <w:sz w:val="20"/>
                <w:szCs w:val="20"/>
                <w:color w:val="auto"/>
              </w:rPr>
            </w:pPr>
            <w:r>
              <w:rPr>
                <w:rFonts w:ascii="Arial" w:cs="Arial" w:eastAsia="Arial" w:hAnsi="Arial"/>
                <w:sz w:val="9"/>
                <w:szCs w:val="9"/>
                <w:b w:val="1"/>
                <w:bCs w:val="1"/>
                <w:color w:val="auto"/>
              </w:rPr>
              <w:t>485,409</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9"/>
                <w:szCs w:val="9"/>
                <w:b w:val="1"/>
                <w:bCs w:val="1"/>
                <w:color w:val="auto"/>
                <w:w w:val="88"/>
              </w:rPr>
              <w:t>$1,486,979</w:t>
            </w:r>
          </w:p>
        </w:tc>
        <w:tc>
          <w:tcPr>
            <w:tcW w:w="560" w:type="dxa"/>
            <w:vAlign w:val="bottom"/>
            <w:tcBorders>
              <w:right w:val="single" w:sz="8" w:color="auto"/>
            </w:tcBorders>
          </w:tcPr>
          <w:p>
            <w:pPr>
              <w:jc w:val="right"/>
              <w:ind w:right="34"/>
              <w:spacing w:after="0"/>
              <w:rPr>
                <w:sz w:val="20"/>
                <w:szCs w:val="20"/>
                <w:color w:val="auto"/>
              </w:rPr>
            </w:pPr>
            <w:r>
              <w:rPr>
                <w:rFonts w:ascii="Arial" w:cs="Arial" w:eastAsia="Arial" w:hAnsi="Arial"/>
                <w:sz w:val="9"/>
                <w:szCs w:val="9"/>
                <w:b w:val="1"/>
                <w:bCs w:val="1"/>
                <w:color w:val="auto"/>
              </w:rPr>
              <w:t>$3,917,251</w:t>
            </w:r>
          </w:p>
        </w:tc>
        <w:tc>
          <w:tcPr>
            <w:tcW w:w="560" w:type="dxa"/>
            <w:vAlign w:val="bottom"/>
            <w:tcBorders>
              <w:right w:val="single" w:sz="8" w:color="auto"/>
            </w:tcBorders>
          </w:tcPr>
          <w:p>
            <w:pPr>
              <w:jc w:val="right"/>
              <w:ind w:right="34"/>
              <w:spacing w:after="0"/>
              <w:rPr>
                <w:sz w:val="20"/>
                <w:szCs w:val="20"/>
                <w:color w:val="auto"/>
              </w:rPr>
            </w:pPr>
            <w:r>
              <w:rPr>
                <w:rFonts w:ascii="Arial" w:cs="Arial" w:eastAsia="Arial" w:hAnsi="Arial"/>
                <w:sz w:val="9"/>
                <w:szCs w:val="9"/>
                <w:b w:val="1"/>
                <w:bCs w:val="1"/>
                <w:color w:val="auto"/>
              </w:rPr>
              <w:t>$6,347,525</w:t>
            </w:r>
          </w:p>
        </w:tc>
        <w:tc>
          <w:tcPr>
            <w:tcW w:w="600" w:type="dxa"/>
            <w:vAlign w:val="bottom"/>
            <w:tcBorders>
              <w:right w:val="single" w:sz="8" w:color="auto"/>
            </w:tcBorders>
          </w:tcPr>
          <w:p>
            <w:pPr>
              <w:ind w:left="200"/>
              <w:spacing w:after="0"/>
              <w:rPr>
                <w:sz w:val="20"/>
                <w:szCs w:val="20"/>
                <w:color w:val="auto"/>
              </w:rPr>
            </w:pPr>
            <w:r>
              <w:rPr>
                <w:rFonts w:ascii="Arial" w:cs="Arial" w:eastAsia="Arial" w:hAnsi="Arial"/>
                <w:sz w:val="9"/>
                <w:szCs w:val="9"/>
                <w:color w:val="auto"/>
              </w:rPr>
              <w:t>—</w:t>
            </w:r>
          </w:p>
        </w:tc>
      </w:tr>
      <w:tr>
        <w:trPr>
          <w:trHeight w:val="22"/>
        </w:trPr>
        <w:tc>
          <w:tcPr>
            <w:tcW w:w="9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r>
      <w:tr>
        <w:trPr>
          <w:trHeight w:val="137"/>
        </w:trPr>
        <w:tc>
          <w:tcPr>
            <w:tcW w:w="9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9"/>
                <w:szCs w:val="9"/>
                <w:b w:val="1"/>
                <w:bCs w:val="1"/>
                <w:color w:val="auto"/>
              </w:rPr>
              <w:t>Jack J. Lawless</w:t>
            </w:r>
          </w:p>
        </w:tc>
        <w:tc>
          <w:tcPr>
            <w:tcW w:w="5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r>
      <w:tr>
        <w:trPr>
          <w:trHeight w:val="119"/>
        </w:trPr>
        <w:tc>
          <w:tcPr>
            <w:tcW w:w="9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9"/>
                <w:szCs w:val="9"/>
                <w:color w:val="auto"/>
              </w:rPr>
              <w:t>Jan. 30, 2018</w:t>
            </w:r>
          </w:p>
        </w:tc>
        <w:tc>
          <w:tcPr>
            <w:tcW w:w="560" w:type="dxa"/>
            <w:vAlign w:val="bottom"/>
            <w:tcBorders>
              <w:right w:val="single" w:sz="8" w:color="auto"/>
            </w:tcBorders>
          </w:tcPr>
          <w:p>
            <w:pPr>
              <w:jc w:val="center"/>
              <w:ind w:right="14"/>
              <w:spacing w:after="0"/>
              <w:rPr>
                <w:sz w:val="20"/>
                <w:szCs w:val="20"/>
                <w:color w:val="auto"/>
              </w:rPr>
            </w:pPr>
            <w:r>
              <w:rPr>
                <w:rFonts w:ascii="Arial" w:cs="Arial" w:eastAsia="Arial" w:hAnsi="Arial"/>
                <w:sz w:val="9"/>
                <w:szCs w:val="9"/>
                <w:color w:val="auto"/>
              </w:rPr>
              <w:t>—</w:t>
            </w:r>
          </w:p>
        </w:tc>
        <w:tc>
          <w:tcPr>
            <w:tcW w:w="540" w:type="dxa"/>
            <w:vAlign w:val="bottom"/>
            <w:tcBorders>
              <w:right w:val="single" w:sz="8" w:color="auto"/>
            </w:tcBorders>
          </w:tcPr>
          <w:p>
            <w:pPr>
              <w:ind w:left="200"/>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ind w:left="220"/>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right"/>
              <w:ind w:right="54"/>
              <w:spacing w:after="0"/>
              <w:rPr>
                <w:sz w:val="20"/>
                <w:szCs w:val="20"/>
                <w:color w:val="auto"/>
              </w:rPr>
            </w:pPr>
            <w:r>
              <w:rPr>
                <w:rFonts w:ascii="Arial" w:cs="Arial" w:eastAsia="Arial" w:hAnsi="Arial"/>
                <w:sz w:val="9"/>
                <w:szCs w:val="9"/>
                <w:color w:val="auto"/>
              </w:rPr>
              <w:t>94,196</w:t>
            </w:r>
          </w:p>
        </w:tc>
        <w:tc>
          <w:tcPr>
            <w:tcW w:w="560" w:type="dxa"/>
            <w:vAlign w:val="bottom"/>
            <w:tcBorders>
              <w:right w:val="single" w:sz="8" w:color="auto"/>
            </w:tcBorders>
          </w:tcPr>
          <w:p>
            <w:pPr>
              <w:jc w:val="right"/>
              <w:ind w:right="134"/>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right"/>
              <w:ind w:right="14"/>
              <w:spacing w:after="0"/>
              <w:rPr>
                <w:sz w:val="20"/>
                <w:szCs w:val="20"/>
                <w:color w:val="auto"/>
              </w:rPr>
            </w:pPr>
            <w:r>
              <w:rPr>
                <w:rFonts w:ascii="Arial" w:cs="Arial" w:eastAsia="Arial" w:hAnsi="Arial"/>
                <w:sz w:val="9"/>
                <w:szCs w:val="9"/>
                <w:color w:val="auto"/>
              </w:rPr>
              <w:t>$760,162</w:t>
            </w:r>
          </w:p>
        </w:tc>
        <w:tc>
          <w:tcPr>
            <w:tcW w:w="560" w:type="dxa"/>
            <w:vAlign w:val="bottom"/>
            <w:tcBorders>
              <w:right w:val="single" w:sz="8" w:color="auto"/>
            </w:tcBorders>
          </w:tcPr>
          <w:p>
            <w:pPr>
              <w:jc w:val="right"/>
              <w:ind w:right="14"/>
              <w:spacing w:after="0"/>
              <w:rPr>
                <w:sz w:val="20"/>
                <w:szCs w:val="20"/>
                <w:color w:val="auto"/>
              </w:rPr>
            </w:pPr>
            <w:r>
              <w:rPr>
                <w:rFonts w:ascii="Arial" w:cs="Arial" w:eastAsia="Arial" w:hAnsi="Arial"/>
                <w:sz w:val="9"/>
                <w:szCs w:val="9"/>
                <w:color w:val="auto"/>
              </w:rPr>
              <w:t>$1,520,323</w:t>
            </w:r>
          </w:p>
        </w:tc>
        <w:tc>
          <w:tcPr>
            <w:tcW w:w="600" w:type="dxa"/>
            <w:vAlign w:val="bottom"/>
            <w:tcBorders>
              <w:right w:val="single" w:sz="8" w:color="auto"/>
            </w:tcBorders>
          </w:tcPr>
          <w:p>
            <w:pPr>
              <w:ind w:left="200"/>
              <w:spacing w:after="0"/>
              <w:rPr>
                <w:sz w:val="20"/>
                <w:szCs w:val="20"/>
                <w:color w:val="auto"/>
              </w:rPr>
            </w:pPr>
            <w:r>
              <w:rPr>
                <w:rFonts w:ascii="Arial" w:cs="Arial" w:eastAsia="Arial" w:hAnsi="Arial"/>
                <w:sz w:val="9"/>
                <w:szCs w:val="9"/>
                <w:color w:val="auto"/>
              </w:rPr>
              <w:t>—</w:t>
            </w:r>
          </w:p>
        </w:tc>
      </w:tr>
      <w:tr>
        <w:trPr>
          <w:trHeight w:val="119"/>
        </w:trPr>
        <w:tc>
          <w:tcPr>
            <w:tcW w:w="9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9"/>
                <w:szCs w:val="9"/>
                <w:color w:val="auto"/>
              </w:rPr>
              <w:t>Feb. 6, 2019</w:t>
            </w:r>
          </w:p>
        </w:tc>
        <w:tc>
          <w:tcPr>
            <w:tcW w:w="560" w:type="dxa"/>
            <w:vAlign w:val="bottom"/>
            <w:tcBorders>
              <w:right w:val="single" w:sz="8" w:color="auto"/>
            </w:tcBorders>
          </w:tcPr>
          <w:p>
            <w:pPr>
              <w:jc w:val="center"/>
              <w:ind w:right="14"/>
              <w:spacing w:after="0"/>
              <w:rPr>
                <w:sz w:val="20"/>
                <w:szCs w:val="20"/>
                <w:color w:val="auto"/>
              </w:rPr>
            </w:pPr>
            <w:r>
              <w:rPr>
                <w:rFonts w:ascii="Arial" w:cs="Arial" w:eastAsia="Arial" w:hAnsi="Arial"/>
                <w:sz w:val="9"/>
                <w:szCs w:val="9"/>
                <w:color w:val="auto"/>
              </w:rPr>
              <w:t>—</w:t>
            </w:r>
          </w:p>
        </w:tc>
        <w:tc>
          <w:tcPr>
            <w:tcW w:w="540" w:type="dxa"/>
            <w:vAlign w:val="bottom"/>
            <w:tcBorders>
              <w:right w:val="single" w:sz="8" w:color="auto"/>
            </w:tcBorders>
          </w:tcPr>
          <w:p>
            <w:pPr>
              <w:ind w:left="200"/>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ind w:left="220"/>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right"/>
              <w:ind w:right="54"/>
              <w:spacing w:after="0"/>
              <w:rPr>
                <w:sz w:val="20"/>
                <w:szCs w:val="20"/>
                <w:color w:val="auto"/>
              </w:rPr>
            </w:pPr>
            <w:r>
              <w:rPr>
                <w:rFonts w:ascii="Arial" w:cs="Arial" w:eastAsia="Arial" w:hAnsi="Arial"/>
                <w:sz w:val="9"/>
                <w:szCs w:val="9"/>
                <w:color w:val="auto"/>
              </w:rPr>
              <w:t>188,640</w:t>
            </w:r>
          </w:p>
        </w:tc>
        <w:tc>
          <w:tcPr>
            <w:tcW w:w="560" w:type="dxa"/>
            <w:vAlign w:val="bottom"/>
            <w:tcBorders>
              <w:right w:val="single" w:sz="8" w:color="auto"/>
            </w:tcBorders>
          </w:tcPr>
          <w:p>
            <w:pPr>
              <w:jc w:val="right"/>
              <w:ind w:right="34"/>
              <w:spacing w:after="0"/>
              <w:rPr>
                <w:sz w:val="20"/>
                <w:szCs w:val="20"/>
                <w:color w:val="auto"/>
              </w:rPr>
            </w:pPr>
            <w:r>
              <w:rPr>
                <w:rFonts w:ascii="Arial" w:cs="Arial" w:eastAsia="Arial" w:hAnsi="Arial"/>
                <w:sz w:val="9"/>
                <w:szCs w:val="9"/>
                <w:color w:val="auto"/>
              </w:rPr>
              <w:t>$468,407</w:t>
            </w:r>
          </w:p>
        </w:tc>
        <w:tc>
          <w:tcPr>
            <w:tcW w:w="560" w:type="dxa"/>
            <w:vAlign w:val="bottom"/>
            <w:tcBorders>
              <w:right w:val="single" w:sz="8" w:color="auto"/>
            </w:tcBorders>
          </w:tcPr>
          <w:p>
            <w:pPr>
              <w:jc w:val="right"/>
              <w:ind w:right="14"/>
              <w:spacing w:after="0"/>
              <w:rPr>
                <w:sz w:val="20"/>
                <w:szCs w:val="20"/>
                <w:color w:val="auto"/>
              </w:rPr>
            </w:pPr>
            <w:r>
              <w:rPr>
                <w:rFonts w:ascii="Arial" w:cs="Arial" w:eastAsia="Arial" w:hAnsi="Arial"/>
                <w:sz w:val="9"/>
                <w:szCs w:val="9"/>
                <w:color w:val="auto"/>
              </w:rPr>
              <w:t>$1,522,325</w:t>
            </w:r>
          </w:p>
        </w:tc>
        <w:tc>
          <w:tcPr>
            <w:tcW w:w="560" w:type="dxa"/>
            <w:vAlign w:val="bottom"/>
            <w:tcBorders>
              <w:right w:val="single" w:sz="8" w:color="auto"/>
            </w:tcBorders>
          </w:tcPr>
          <w:p>
            <w:pPr>
              <w:jc w:val="right"/>
              <w:ind w:right="14"/>
              <w:spacing w:after="0"/>
              <w:rPr>
                <w:sz w:val="20"/>
                <w:szCs w:val="20"/>
                <w:color w:val="auto"/>
              </w:rPr>
            </w:pPr>
            <w:r>
              <w:rPr>
                <w:rFonts w:ascii="Arial" w:cs="Arial" w:eastAsia="Arial" w:hAnsi="Arial"/>
                <w:sz w:val="9"/>
                <w:szCs w:val="9"/>
                <w:color w:val="auto"/>
              </w:rPr>
              <w:t>$2,576,243</w:t>
            </w:r>
          </w:p>
        </w:tc>
        <w:tc>
          <w:tcPr>
            <w:tcW w:w="600" w:type="dxa"/>
            <w:vAlign w:val="bottom"/>
            <w:tcBorders>
              <w:right w:val="single" w:sz="8" w:color="auto"/>
            </w:tcBorders>
          </w:tcPr>
          <w:p>
            <w:pPr>
              <w:ind w:left="200"/>
              <w:spacing w:after="0"/>
              <w:rPr>
                <w:sz w:val="20"/>
                <w:szCs w:val="20"/>
                <w:color w:val="auto"/>
              </w:rPr>
            </w:pPr>
            <w:r>
              <w:rPr>
                <w:rFonts w:ascii="Arial" w:cs="Arial" w:eastAsia="Arial" w:hAnsi="Arial"/>
                <w:sz w:val="9"/>
                <w:szCs w:val="9"/>
                <w:color w:val="auto"/>
              </w:rPr>
              <w:t>—</w:t>
            </w:r>
          </w:p>
        </w:tc>
      </w:tr>
      <w:tr>
        <w:trPr>
          <w:trHeight w:val="118"/>
        </w:trPr>
        <w:tc>
          <w:tcPr>
            <w:tcW w:w="9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9"/>
                <w:szCs w:val="9"/>
                <w:color w:val="auto"/>
              </w:rPr>
              <w:t>Feb. 4, 2020</w:t>
            </w:r>
          </w:p>
        </w:tc>
        <w:tc>
          <w:tcPr>
            <w:tcW w:w="560" w:type="dxa"/>
            <w:vAlign w:val="bottom"/>
            <w:tcBorders>
              <w:right w:val="single" w:sz="8" w:color="auto"/>
            </w:tcBorders>
          </w:tcPr>
          <w:p>
            <w:pPr>
              <w:jc w:val="center"/>
              <w:ind w:right="14"/>
              <w:spacing w:after="0"/>
              <w:rPr>
                <w:sz w:val="20"/>
                <w:szCs w:val="20"/>
                <w:color w:val="auto"/>
              </w:rPr>
            </w:pPr>
            <w:r>
              <w:rPr>
                <w:rFonts w:ascii="Arial" w:cs="Arial" w:eastAsia="Arial" w:hAnsi="Arial"/>
                <w:sz w:val="9"/>
                <w:szCs w:val="9"/>
                <w:color w:val="auto"/>
              </w:rPr>
              <w:t>—</w:t>
            </w:r>
          </w:p>
        </w:tc>
        <w:tc>
          <w:tcPr>
            <w:tcW w:w="540" w:type="dxa"/>
            <w:vAlign w:val="bottom"/>
            <w:tcBorders>
              <w:right w:val="single" w:sz="8" w:color="auto"/>
            </w:tcBorders>
          </w:tcPr>
          <w:p>
            <w:pPr>
              <w:ind w:left="200"/>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ind w:left="220"/>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right"/>
              <w:ind w:right="54"/>
              <w:spacing w:after="0"/>
              <w:rPr>
                <w:sz w:val="20"/>
                <w:szCs w:val="20"/>
                <w:color w:val="auto"/>
              </w:rPr>
            </w:pPr>
            <w:r>
              <w:rPr>
                <w:rFonts w:ascii="Arial" w:cs="Arial" w:eastAsia="Arial" w:hAnsi="Arial"/>
                <w:sz w:val="9"/>
                <w:szCs w:val="9"/>
                <w:color w:val="auto"/>
              </w:rPr>
              <w:t>196,850</w:t>
            </w:r>
          </w:p>
        </w:tc>
        <w:tc>
          <w:tcPr>
            <w:tcW w:w="560" w:type="dxa"/>
            <w:vAlign w:val="bottom"/>
            <w:tcBorders>
              <w:right w:val="single" w:sz="8" w:color="auto"/>
            </w:tcBorders>
          </w:tcPr>
          <w:p>
            <w:pPr>
              <w:jc w:val="right"/>
              <w:ind w:right="34"/>
              <w:spacing w:after="0"/>
              <w:rPr>
                <w:sz w:val="20"/>
                <w:szCs w:val="20"/>
                <w:color w:val="auto"/>
              </w:rPr>
            </w:pPr>
            <w:r>
              <w:rPr>
                <w:rFonts w:ascii="Arial" w:cs="Arial" w:eastAsia="Arial" w:hAnsi="Arial"/>
                <w:sz w:val="9"/>
                <w:szCs w:val="9"/>
                <w:color w:val="auto"/>
              </w:rPr>
              <w:t>$635,432</w:t>
            </w:r>
          </w:p>
        </w:tc>
        <w:tc>
          <w:tcPr>
            <w:tcW w:w="560" w:type="dxa"/>
            <w:vAlign w:val="bottom"/>
            <w:tcBorders>
              <w:right w:val="single" w:sz="8" w:color="auto"/>
            </w:tcBorders>
          </w:tcPr>
          <w:p>
            <w:pPr>
              <w:jc w:val="right"/>
              <w:ind w:right="14"/>
              <w:spacing w:after="0"/>
              <w:rPr>
                <w:sz w:val="20"/>
                <w:szCs w:val="20"/>
                <w:color w:val="auto"/>
              </w:rPr>
            </w:pPr>
            <w:r>
              <w:rPr>
                <w:rFonts w:ascii="Arial" w:cs="Arial" w:eastAsia="Arial" w:hAnsi="Arial"/>
                <w:sz w:val="9"/>
                <w:szCs w:val="9"/>
                <w:color w:val="auto"/>
              </w:rPr>
              <w:t>$1,588,580</w:t>
            </w:r>
          </w:p>
        </w:tc>
        <w:tc>
          <w:tcPr>
            <w:tcW w:w="560" w:type="dxa"/>
            <w:vAlign w:val="bottom"/>
            <w:tcBorders>
              <w:right w:val="single" w:sz="8" w:color="auto"/>
            </w:tcBorders>
          </w:tcPr>
          <w:p>
            <w:pPr>
              <w:jc w:val="right"/>
              <w:ind w:right="14"/>
              <w:spacing w:after="0"/>
              <w:rPr>
                <w:sz w:val="20"/>
                <w:szCs w:val="20"/>
                <w:color w:val="auto"/>
              </w:rPr>
            </w:pPr>
            <w:r>
              <w:rPr>
                <w:rFonts w:ascii="Arial" w:cs="Arial" w:eastAsia="Arial" w:hAnsi="Arial"/>
                <w:sz w:val="9"/>
                <w:szCs w:val="9"/>
                <w:color w:val="auto"/>
              </w:rPr>
              <w:t>$2,541,727</w:t>
            </w:r>
          </w:p>
        </w:tc>
        <w:tc>
          <w:tcPr>
            <w:tcW w:w="600" w:type="dxa"/>
            <w:vAlign w:val="bottom"/>
            <w:tcBorders>
              <w:right w:val="single" w:sz="8" w:color="auto"/>
            </w:tcBorders>
          </w:tcPr>
          <w:p>
            <w:pPr>
              <w:ind w:left="200"/>
              <w:spacing w:after="0"/>
              <w:rPr>
                <w:sz w:val="20"/>
                <w:szCs w:val="20"/>
                <w:color w:val="auto"/>
              </w:rPr>
            </w:pPr>
            <w:r>
              <w:rPr>
                <w:rFonts w:ascii="Arial" w:cs="Arial" w:eastAsia="Arial" w:hAnsi="Arial"/>
                <w:sz w:val="9"/>
                <w:szCs w:val="9"/>
                <w:color w:val="auto"/>
              </w:rPr>
              <w:t>—</w:t>
            </w:r>
          </w:p>
        </w:tc>
      </w:tr>
      <w:tr>
        <w:trPr>
          <w:trHeight w:val="121"/>
        </w:trPr>
        <w:tc>
          <w:tcPr>
            <w:tcW w:w="9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9"/>
                <w:szCs w:val="9"/>
                <w:b w:val="1"/>
                <w:bCs w:val="1"/>
                <w:color w:val="auto"/>
              </w:rPr>
              <w:t>Total</w:t>
            </w:r>
          </w:p>
        </w:tc>
        <w:tc>
          <w:tcPr>
            <w:tcW w:w="560" w:type="dxa"/>
            <w:vAlign w:val="bottom"/>
            <w:tcBorders>
              <w:right w:val="single" w:sz="8" w:color="auto"/>
            </w:tcBorders>
          </w:tcPr>
          <w:p>
            <w:pPr>
              <w:jc w:val="center"/>
              <w:ind w:right="14"/>
              <w:spacing w:after="0"/>
              <w:rPr>
                <w:sz w:val="20"/>
                <w:szCs w:val="20"/>
                <w:color w:val="auto"/>
              </w:rPr>
            </w:pPr>
            <w:r>
              <w:rPr>
                <w:rFonts w:ascii="Arial" w:cs="Arial" w:eastAsia="Arial" w:hAnsi="Arial"/>
                <w:sz w:val="9"/>
                <w:szCs w:val="9"/>
                <w:color w:val="auto"/>
              </w:rPr>
              <w:t>—</w:t>
            </w:r>
          </w:p>
        </w:tc>
        <w:tc>
          <w:tcPr>
            <w:tcW w:w="540" w:type="dxa"/>
            <w:vAlign w:val="bottom"/>
            <w:tcBorders>
              <w:right w:val="single" w:sz="8" w:color="auto"/>
            </w:tcBorders>
          </w:tcPr>
          <w:p>
            <w:pPr>
              <w:ind w:left="200"/>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ind w:left="220"/>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right"/>
              <w:ind w:right="74"/>
              <w:spacing w:after="0"/>
              <w:rPr>
                <w:sz w:val="20"/>
                <w:szCs w:val="20"/>
                <w:color w:val="auto"/>
              </w:rPr>
            </w:pPr>
            <w:r>
              <w:rPr>
                <w:rFonts w:ascii="Arial" w:cs="Arial" w:eastAsia="Arial" w:hAnsi="Arial"/>
                <w:sz w:val="9"/>
                <w:szCs w:val="9"/>
                <w:b w:val="1"/>
                <w:bCs w:val="1"/>
                <w:color w:val="auto"/>
              </w:rPr>
              <w:t>479,686</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9"/>
                <w:szCs w:val="9"/>
                <w:b w:val="1"/>
                <w:bCs w:val="1"/>
                <w:color w:val="auto"/>
                <w:w w:val="88"/>
              </w:rPr>
              <w:t>$1,103,839</w:t>
            </w:r>
          </w:p>
        </w:tc>
        <w:tc>
          <w:tcPr>
            <w:tcW w:w="560" w:type="dxa"/>
            <w:vAlign w:val="bottom"/>
            <w:tcBorders>
              <w:right w:val="single" w:sz="8" w:color="auto"/>
            </w:tcBorders>
          </w:tcPr>
          <w:p>
            <w:pPr>
              <w:jc w:val="right"/>
              <w:ind w:right="34"/>
              <w:spacing w:after="0"/>
              <w:rPr>
                <w:sz w:val="20"/>
                <w:szCs w:val="20"/>
                <w:color w:val="auto"/>
              </w:rPr>
            </w:pPr>
            <w:r>
              <w:rPr>
                <w:rFonts w:ascii="Arial" w:cs="Arial" w:eastAsia="Arial" w:hAnsi="Arial"/>
                <w:sz w:val="9"/>
                <w:szCs w:val="9"/>
                <w:b w:val="1"/>
                <w:bCs w:val="1"/>
                <w:color w:val="auto"/>
              </w:rPr>
              <w:t>$3,871,067</w:t>
            </w:r>
          </w:p>
        </w:tc>
        <w:tc>
          <w:tcPr>
            <w:tcW w:w="560" w:type="dxa"/>
            <w:vAlign w:val="bottom"/>
            <w:tcBorders>
              <w:right w:val="single" w:sz="8" w:color="auto"/>
            </w:tcBorders>
          </w:tcPr>
          <w:p>
            <w:pPr>
              <w:jc w:val="right"/>
              <w:ind w:right="34"/>
              <w:spacing w:after="0"/>
              <w:rPr>
                <w:sz w:val="20"/>
                <w:szCs w:val="20"/>
                <w:color w:val="auto"/>
              </w:rPr>
            </w:pPr>
            <w:r>
              <w:rPr>
                <w:rFonts w:ascii="Arial" w:cs="Arial" w:eastAsia="Arial" w:hAnsi="Arial"/>
                <w:sz w:val="9"/>
                <w:szCs w:val="9"/>
                <w:b w:val="1"/>
                <w:bCs w:val="1"/>
                <w:color w:val="auto"/>
              </w:rPr>
              <w:t>$6,638,293</w:t>
            </w:r>
          </w:p>
        </w:tc>
        <w:tc>
          <w:tcPr>
            <w:tcW w:w="600" w:type="dxa"/>
            <w:vAlign w:val="bottom"/>
            <w:tcBorders>
              <w:right w:val="single" w:sz="8" w:color="auto"/>
            </w:tcBorders>
          </w:tcPr>
          <w:p>
            <w:pPr>
              <w:ind w:left="200"/>
              <w:spacing w:after="0"/>
              <w:rPr>
                <w:sz w:val="20"/>
                <w:szCs w:val="20"/>
                <w:color w:val="auto"/>
              </w:rPr>
            </w:pPr>
            <w:r>
              <w:rPr>
                <w:rFonts w:ascii="Arial" w:cs="Arial" w:eastAsia="Arial" w:hAnsi="Arial"/>
                <w:sz w:val="9"/>
                <w:szCs w:val="9"/>
                <w:color w:val="auto"/>
              </w:rPr>
              <w:t>—</w:t>
            </w:r>
          </w:p>
        </w:tc>
      </w:tr>
      <w:tr>
        <w:trPr>
          <w:trHeight w:val="22"/>
        </w:trPr>
        <w:tc>
          <w:tcPr>
            <w:tcW w:w="9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r>
      <w:tr>
        <w:trPr>
          <w:trHeight w:val="137"/>
        </w:trPr>
        <w:tc>
          <w:tcPr>
            <w:tcW w:w="9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9"/>
                <w:szCs w:val="9"/>
                <w:b w:val="1"/>
                <w:bCs w:val="1"/>
                <w:color w:val="auto"/>
              </w:rPr>
              <w:t>Todd C. Cooper</w:t>
            </w:r>
          </w:p>
        </w:tc>
        <w:tc>
          <w:tcPr>
            <w:tcW w:w="5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r>
      <w:tr>
        <w:trPr>
          <w:trHeight w:val="119"/>
        </w:trPr>
        <w:tc>
          <w:tcPr>
            <w:tcW w:w="9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9"/>
                <w:szCs w:val="9"/>
                <w:color w:val="auto"/>
              </w:rPr>
              <w:t>Jan. 30, 2018</w:t>
            </w:r>
          </w:p>
        </w:tc>
        <w:tc>
          <w:tcPr>
            <w:tcW w:w="560" w:type="dxa"/>
            <w:vAlign w:val="bottom"/>
            <w:tcBorders>
              <w:right w:val="single" w:sz="8" w:color="auto"/>
            </w:tcBorders>
          </w:tcPr>
          <w:p>
            <w:pPr>
              <w:jc w:val="center"/>
              <w:ind w:right="14"/>
              <w:spacing w:after="0"/>
              <w:rPr>
                <w:sz w:val="20"/>
                <w:szCs w:val="20"/>
                <w:color w:val="auto"/>
              </w:rPr>
            </w:pPr>
            <w:r>
              <w:rPr>
                <w:rFonts w:ascii="Arial" w:cs="Arial" w:eastAsia="Arial" w:hAnsi="Arial"/>
                <w:sz w:val="9"/>
                <w:szCs w:val="9"/>
                <w:color w:val="auto"/>
              </w:rPr>
              <w:t>—</w:t>
            </w:r>
          </w:p>
        </w:tc>
        <w:tc>
          <w:tcPr>
            <w:tcW w:w="540" w:type="dxa"/>
            <w:vAlign w:val="bottom"/>
            <w:tcBorders>
              <w:right w:val="single" w:sz="8" w:color="auto"/>
            </w:tcBorders>
          </w:tcPr>
          <w:p>
            <w:pPr>
              <w:ind w:left="200"/>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ind w:left="220"/>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right"/>
              <w:ind w:right="54"/>
              <w:spacing w:after="0"/>
              <w:rPr>
                <w:sz w:val="20"/>
                <w:szCs w:val="20"/>
                <w:color w:val="auto"/>
              </w:rPr>
            </w:pPr>
            <w:r>
              <w:rPr>
                <w:rFonts w:ascii="Arial" w:cs="Arial" w:eastAsia="Arial" w:hAnsi="Arial"/>
                <w:sz w:val="9"/>
                <w:szCs w:val="9"/>
                <w:color w:val="auto"/>
              </w:rPr>
              <w:t>91,341</w:t>
            </w:r>
          </w:p>
        </w:tc>
        <w:tc>
          <w:tcPr>
            <w:tcW w:w="560" w:type="dxa"/>
            <w:vAlign w:val="bottom"/>
            <w:tcBorders>
              <w:right w:val="single" w:sz="8" w:color="auto"/>
            </w:tcBorders>
          </w:tcPr>
          <w:p>
            <w:pPr>
              <w:jc w:val="right"/>
              <w:ind w:right="134"/>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right"/>
              <w:ind w:right="14"/>
              <w:spacing w:after="0"/>
              <w:rPr>
                <w:sz w:val="20"/>
                <w:szCs w:val="20"/>
                <w:color w:val="auto"/>
              </w:rPr>
            </w:pPr>
            <w:r>
              <w:rPr>
                <w:rFonts w:ascii="Arial" w:cs="Arial" w:eastAsia="Arial" w:hAnsi="Arial"/>
                <w:sz w:val="9"/>
                <w:szCs w:val="9"/>
                <w:color w:val="auto"/>
              </w:rPr>
              <w:t>$737,122</w:t>
            </w:r>
          </w:p>
        </w:tc>
        <w:tc>
          <w:tcPr>
            <w:tcW w:w="560" w:type="dxa"/>
            <w:vAlign w:val="bottom"/>
            <w:tcBorders>
              <w:right w:val="single" w:sz="8" w:color="auto"/>
            </w:tcBorders>
          </w:tcPr>
          <w:p>
            <w:pPr>
              <w:jc w:val="right"/>
              <w:ind w:right="14"/>
              <w:spacing w:after="0"/>
              <w:rPr>
                <w:sz w:val="20"/>
                <w:szCs w:val="20"/>
                <w:color w:val="auto"/>
              </w:rPr>
            </w:pPr>
            <w:r>
              <w:rPr>
                <w:rFonts w:ascii="Arial" w:cs="Arial" w:eastAsia="Arial" w:hAnsi="Arial"/>
                <w:sz w:val="9"/>
                <w:szCs w:val="9"/>
                <w:color w:val="auto"/>
              </w:rPr>
              <w:t>$1,474,244</w:t>
            </w:r>
          </w:p>
        </w:tc>
        <w:tc>
          <w:tcPr>
            <w:tcW w:w="600" w:type="dxa"/>
            <w:vAlign w:val="bottom"/>
            <w:tcBorders>
              <w:right w:val="single" w:sz="8" w:color="auto"/>
            </w:tcBorders>
          </w:tcPr>
          <w:p>
            <w:pPr>
              <w:ind w:left="200"/>
              <w:spacing w:after="0"/>
              <w:rPr>
                <w:sz w:val="20"/>
                <w:szCs w:val="20"/>
                <w:color w:val="auto"/>
              </w:rPr>
            </w:pPr>
            <w:r>
              <w:rPr>
                <w:rFonts w:ascii="Arial" w:cs="Arial" w:eastAsia="Arial" w:hAnsi="Arial"/>
                <w:sz w:val="9"/>
                <w:szCs w:val="9"/>
                <w:color w:val="auto"/>
              </w:rPr>
              <w:t>—</w:t>
            </w:r>
          </w:p>
        </w:tc>
      </w:tr>
      <w:tr>
        <w:trPr>
          <w:trHeight w:val="119"/>
        </w:trPr>
        <w:tc>
          <w:tcPr>
            <w:tcW w:w="9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9"/>
                <w:szCs w:val="9"/>
                <w:color w:val="auto"/>
              </w:rPr>
              <w:t>Feb. 6, 2019</w:t>
            </w:r>
          </w:p>
        </w:tc>
        <w:tc>
          <w:tcPr>
            <w:tcW w:w="560" w:type="dxa"/>
            <w:vAlign w:val="bottom"/>
            <w:tcBorders>
              <w:right w:val="single" w:sz="8" w:color="auto"/>
            </w:tcBorders>
          </w:tcPr>
          <w:p>
            <w:pPr>
              <w:jc w:val="center"/>
              <w:ind w:right="14"/>
              <w:spacing w:after="0"/>
              <w:rPr>
                <w:sz w:val="20"/>
                <w:szCs w:val="20"/>
                <w:color w:val="auto"/>
              </w:rPr>
            </w:pPr>
            <w:r>
              <w:rPr>
                <w:rFonts w:ascii="Arial" w:cs="Arial" w:eastAsia="Arial" w:hAnsi="Arial"/>
                <w:sz w:val="9"/>
                <w:szCs w:val="9"/>
                <w:color w:val="auto"/>
              </w:rPr>
              <w:t>—</w:t>
            </w:r>
          </w:p>
        </w:tc>
        <w:tc>
          <w:tcPr>
            <w:tcW w:w="540" w:type="dxa"/>
            <w:vAlign w:val="bottom"/>
            <w:tcBorders>
              <w:right w:val="single" w:sz="8" w:color="auto"/>
            </w:tcBorders>
          </w:tcPr>
          <w:p>
            <w:pPr>
              <w:ind w:left="200"/>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ind w:left="220"/>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right"/>
              <w:ind w:right="54"/>
              <w:spacing w:after="0"/>
              <w:rPr>
                <w:sz w:val="20"/>
                <w:szCs w:val="20"/>
                <w:color w:val="auto"/>
              </w:rPr>
            </w:pPr>
            <w:r>
              <w:rPr>
                <w:rFonts w:ascii="Arial" w:cs="Arial" w:eastAsia="Arial" w:hAnsi="Arial"/>
                <w:sz w:val="9"/>
                <w:szCs w:val="9"/>
                <w:color w:val="auto"/>
              </w:rPr>
              <w:t>172,469</w:t>
            </w:r>
          </w:p>
        </w:tc>
        <w:tc>
          <w:tcPr>
            <w:tcW w:w="560" w:type="dxa"/>
            <w:vAlign w:val="bottom"/>
            <w:tcBorders>
              <w:right w:val="single" w:sz="8" w:color="auto"/>
            </w:tcBorders>
          </w:tcPr>
          <w:p>
            <w:pPr>
              <w:jc w:val="right"/>
              <w:ind w:right="34"/>
              <w:spacing w:after="0"/>
              <w:rPr>
                <w:sz w:val="20"/>
                <w:szCs w:val="20"/>
                <w:color w:val="auto"/>
              </w:rPr>
            </w:pPr>
            <w:r>
              <w:rPr>
                <w:rFonts w:ascii="Arial" w:cs="Arial" w:eastAsia="Arial" w:hAnsi="Arial"/>
                <w:sz w:val="9"/>
                <w:szCs w:val="9"/>
                <w:color w:val="auto"/>
              </w:rPr>
              <w:t>$428,251</w:t>
            </w:r>
          </w:p>
        </w:tc>
        <w:tc>
          <w:tcPr>
            <w:tcW w:w="560" w:type="dxa"/>
            <w:vAlign w:val="bottom"/>
            <w:tcBorders>
              <w:right w:val="single" w:sz="8" w:color="auto"/>
            </w:tcBorders>
          </w:tcPr>
          <w:p>
            <w:pPr>
              <w:jc w:val="right"/>
              <w:ind w:right="14"/>
              <w:spacing w:after="0"/>
              <w:rPr>
                <w:sz w:val="20"/>
                <w:szCs w:val="20"/>
                <w:color w:val="auto"/>
              </w:rPr>
            </w:pPr>
            <w:r>
              <w:rPr>
                <w:rFonts w:ascii="Arial" w:cs="Arial" w:eastAsia="Arial" w:hAnsi="Arial"/>
                <w:sz w:val="9"/>
                <w:szCs w:val="9"/>
                <w:color w:val="auto"/>
              </w:rPr>
              <w:t>$1,391,825</w:t>
            </w:r>
          </w:p>
        </w:tc>
        <w:tc>
          <w:tcPr>
            <w:tcW w:w="560" w:type="dxa"/>
            <w:vAlign w:val="bottom"/>
            <w:tcBorders>
              <w:right w:val="single" w:sz="8" w:color="auto"/>
            </w:tcBorders>
          </w:tcPr>
          <w:p>
            <w:pPr>
              <w:jc w:val="right"/>
              <w:ind w:right="14"/>
              <w:spacing w:after="0"/>
              <w:rPr>
                <w:sz w:val="20"/>
                <w:szCs w:val="20"/>
                <w:color w:val="auto"/>
              </w:rPr>
            </w:pPr>
            <w:r>
              <w:rPr>
                <w:rFonts w:ascii="Arial" w:cs="Arial" w:eastAsia="Arial" w:hAnsi="Arial"/>
                <w:sz w:val="9"/>
                <w:szCs w:val="9"/>
                <w:color w:val="auto"/>
              </w:rPr>
              <w:t>$2,355,399</w:t>
            </w:r>
          </w:p>
        </w:tc>
        <w:tc>
          <w:tcPr>
            <w:tcW w:w="600" w:type="dxa"/>
            <w:vAlign w:val="bottom"/>
            <w:tcBorders>
              <w:right w:val="single" w:sz="8" w:color="auto"/>
            </w:tcBorders>
          </w:tcPr>
          <w:p>
            <w:pPr>
              <w:ind w:left="200"/>
              <w:spacing w:after="0"/>
              <w:rPr>
                <w:sz w:val="20"/>
                <w:szCs w:val="20"/>
                <w:color w:val="auto"/>
              </w:rPr>
            </w:pPr>
            <w:r>
              <w:rPr>
                <w:rFonts w:ascii="Arial" w:cs="Arial" w:eastAsia="Arial" w:hAnsi="Arial"/>
                <w:sz w:val="9"/>
                <w:szCs w:val="9"/>
                <w:color w:val="auto"/>
              </w:rPr>
              <w:t>—</w:t>
            </w:r>
          </w:p>
        </w:tc>
      </w:tr>
      <w:tr>
        <w:trPr>
          <w:trHeight w:val="118"/>
        </w:trPr>
        <w:tc>
          <w:tcPr>
            <w:tcW w:w="9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9"/>
                <w:szCs w:val="9"/>
                <w:color w:val="auto"/>
              </w:rPr>
              <w:t>Feb. 4, 2020</w:t>
            </w:r>
          </w:p>
        </w:tc>
        <w:tc>
          <w:tcPr>
            <w:tcW w:w="560" w:type="dxa"/>
            <w:vAlign w:val="bottom"/>
            <w:tcBorders>
              <w:right w:val="single" w:sz="8" w:color="auto"/>
            </w:tcBorders>
          </w:tcPr>
          <w:p>
            <w:pPr>
              <w:jc w:val="center"/>
              <w:ind w:right="14"/>
              <w:spacing w:after="0"/>
              <w:rPr>
                <w:sz w:val="20"/>
                <w:szCs w:val="20"/>
                <w:color w:val="auto"/>
              </w:rPr>
            </w:pPr>
            <w:r>
              <w:rPr>
                <w:rFonts w:ascii="Arial" w:cs="Arial" w:eastAsia="Arial" w:hAnsi="Arial"/>
                <w:sz w:val="9"/>
                <w:szCs w:val="9"/>
                <w:color w:val="auto"/>
              </w:rPr>
              <w:t>—</w:t>
            </w:r>
          </w:p>
        </w:tc>
        <w:tc>
          <w:tcPr>
            <w:tcW w:w="540" w:type="dxa"/>
            <w:vAlign w:val="bottom"/>
            <w:tcBorders>
              <w:right w:val="single" w:sz="8" w:color="auto"/>
            </w:tcBorders>
          </w:tcPr>
          <w:p>
            <w:pPr>
              <w:ind w:left="200"/>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ind w:left="220"/>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right"/>
              <w:ind w:right="54"/>
              <w:spacing w:after="0"/>
              <w:rPr>
                <w:sz w:val="20"/>
                <w:szCs w:val="20"/>
                <w:color w:val="auto"/>
              </w:rPr>
            </w:pPr>
            <w:r>
              <w:rPr>
                <w:rFonts w:ascii="Arial" w:cs="Arial" w:eastAsia="Arial" w:hAnsi="Arial"/>
                <w:sz w:val="9"/>
                <w:szCs w:val="9"/>
                <w:color w:val="auto"/>
              </w:rPr>
              <w:t>179,977</w:t>
            </w:r>
          </w:p>
        </w:tc>
        <w:tc>
          <w:tcPr>
            <w:tcW w:w="560" w:type="dxa"/>
            <w:vAlign w:val="bottom"/>
            <w:tcBorders>
              <w:right w:val="single" w:sz="8" w:color="auto"/>
            </w:tcBorders>
          </w:tcPr>
          <w:p>
            <w:pPr>
              <w:jc w:val="right"/>
              <w:ind w:right="34"/>
              <w:spacing w:after="0"/>
              <w:rPr>
                <w:sz w:val="20"/>
                <w:szCs w:val="20"/>
                <w:color w:val="auto"/>
              </w:rPr>
            </w:pPr>
            <w:r>
              <w:rPr>
                <w:rFonts w:ascii="Arial" w:cs="Arial" w:eastAsia="Arial" w:hAnsi="Arial"/>
                <w:sz w:val="9"/>
                <w:szCs w:val="9"/>
                <w:color w:val="auto"/>
              </w:rPr>
              <w:t>$580,967</w:t>
            </w:r>
          </w:p>
        </w:tc>
        <w:tc>
          <w:tcPr>
            <w:tcW w:w="560" w:type="dxa"/>
            <w:vAlign w:val="bottom"/>
            <w:tcBorders>
              <w:right w:val="single" w:sz="8" w:color="auto"/>
            </w:tcBorders>
          </w:tcPr>
          <w:p>
            <w:pPr>
              <w:jc w:val="right"/>
              <w:ind w:right="14"/>
              <w:spacing w:after="0"/>
              <w:rPr>
                <w:sz w:val="20"/>
                <w:szCs w:val="20"/>
                <w:color w:val="auto"/>
              </w:rPr>
            </w:pPr>
            <w:r>
              <w:rPr>
                <w:rFonts w:ascii="Arial" w:cs="Arial" w:eastAsia="Arial" w:hAnsi="Arial"/>
                <w:sz w:val="9"/>
                <w:szCs w:val="9"/>
                <w:color w:val="auto"/>
              </w:rPr>
              <w:t>$1,452,414</w:t>
            </w:r>
          </w:p>
        </w:tc>
        <w:tc>
          <w:tcPr>
            <w:tcW w:w="560" w:type="dxa"/>
            <w:vAlign w:val="bottom"/>
            <w:tcBorders>
              <w:right w:val="single" w:sz="8" w:color="auto"/>
            </w:tcBorders>
          </w:tcPr>
          <w:p>
            <w:pPr>
              <w:jc w:val="right"/>
              <w:ind w:right="14"/>
              <w:spacing w:after="0"/>
              <w:rPr>
                <w:sz w:val="20"/>
                <w:szCs w:val="20"/>
                <w:color w:val="auto"/>
              </w:rPr>
            </w:pPr>
            <w:r>
              <w:rPr>
                <w:rFonts w:ascii="Arial" w:cs="Arial" w:eastAsia="Arial" w:hAnsi="Arial"/>
                <w:sz w:val="9"/>
                <w:szCs w:val="9"/>
                <w:color w:val="auto"/>
              </w:rPr>
              <w:t>$2,323,861</w:t>
            </w:r>
          </w:p>
        </w:tc>
        <w:tc>
          <w:tcPr>
            <w:tcW w:w="600" w:type="dxa"/>
            <w:vAlign w:val="bottom"/>
            <w:tcBorders>
              <w:right w:val="single" w:sz="8" w:color="auto"/>
            </w:tcBorders>
          </w:tcPr>
          <w:p>
            <w:pPr>
              <w:ind w:left="200"/>
              <w:spacing w:after="0"/>
              <w:rPr>
                <w:sz w:val="20"/>
                <w:szCs w:val="20"/>
                <w:color w:val="auto"/>
              </w:rPr>
            </w:pPr>
            <w:r>
              <w:rPr>
                <w:rFonts w:ascii="Arial" w:cs="Arial" w:eastAsia="Arial" w:hAnsi="Arial"/>
                <w:sz w:val="9"/>
                <w:szCs w:val="9"/>
                <w:color w:val="auto"/>
              </w:rPr>
              <w:t>—</w:t>
            </w:r>
          </w:p>
        </w:tc>
      </w:tr>
      <w:tr>
        <w:trPr>
          <w:trHeight w:val="121"/>
        </w:trPr>
        <w:tc>
          <w:tcPr>
            <w:tcW w:w="9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9"/>
                <w:szCs w:val="9"/>
                <w:b w:val="1"/>
                <w:bCs w:val="1"/>
                <w:color w:val="auto"/>
              </w:rPr>
              <w:t>Total</w:t>
            </w:r>
          </w:p>
        </w:tc>
        <w:tc>
          <w:tcPr>
            <w:tcW w:w="560" w:type="dxa"/>
            <w:vAlign w:val="bottom"/>
            <w:tcBorders>
              <w:right w:val="single" w:sz="8" w:color="auto"/>
            </w:tcBorders>
          </w:tcPr>
          <w:p>
            <w:pPr>
              <w:jc w:val="center"/>
              <w:ind w:right="14"/>
              <w:spacing w:after="0"/>
              <w:rPr>
                <w:sz w:val="20"/>
                <w:szCs w:val="20"/>
                <w:color w:val="auto"/>
              </w:rPr>
            </w:pPr>
            <w:r>
              <w:rPr>
                <w:rFonts w:ascii="Arial" w:cs="Arial" w:eastAsia="Arial" w:hAnsi="Arial"/>
                <w:sz w:val="9"/>
                <w:szCs w:val="9"/>
                <w:color w:val="auto"/>
              </w:rPr>
              <w:t>—</w:t>
            </w:r>
          </w:p>
        </w:tc>
        <w:tc>
          <w:tcPr>
            <w:tcW w:w="540" w:type="dxa"/>
            <w:vAlign w:val="bottom"/>
            <w:tcBorders>
              <w:right w:val="single" w:sz="8" w:color="auto"/>
            </w:tcBorders>
          </w:tcPr>
          <w:p>
            <w:pPr>
              <w:ind w:left="200"/>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ind w:left="220"/>
              <w:spacing w:after="0"/>
              <w:rPr>
                <w:sz w:val="20"/>
                <w:szCs w:val="20"/>
                <w:color w:val="auto"/>
              </w:rPr>
            </w:pPr>
            <w:r>
              <w:rPr>
                <w:rFonts w:ascii="Arial" w:cs="Arial" w:eastAsia="Arial" w:hAnsi="Arial"/>
                <w:sz w:val="9"/>
                <w:szCs w:val="9"/>
                <w:color w:val="auto"/>
              </w:rPr>
              <w:t>—</w:t>
            </w:r>
          </w:p>
        </w:tc>
        <w:tc>
          <w:tcPr>
            <w:tcW w:w="560" w:type="dxa"/>
            <w:vAlign w:val="bottom"/>
            <w:tcBorders>
              <w:right w:val="single" w:sz="8" w:color="auto"/>
            </w:tcBorders>
          </w:tcPr>
          <w:p>
            <w:pPr>
              <w:jc w:val="right"/>
              <w:ind w:right="74"/>
              <w:spacing w:after="0"/>
              <w:rPr>
                <w:sz w:val="20"/>
                <w:szCs w:val="20"/>
                <w:color w:val="auto"/>
              </w:rPr>
            </w:pPr>
            <w:r>
              <w:rPr>
                <w:rFonts w:ascii="Arial" w:cs="Arial" w:eastAsia="Arial" w:hAnsi="Arial"/>
                <w:sz w:val="9"/>
                <w:szCs w:val="9"/>
                <w:b w:val="1"/>
                <w:bCs w:val="1"/>
                <w:color w:val="auto"/>
              </w:rPr>
              <w:t>443,787</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9"/>
                <w:szCs w:val="9"/>
                <w:b w:val="1"/>
                <w:bCs w:val="1"/>
                <w:color w:val="auto"/>
                <w:w w:val="88"/>
              </w:rPr>
              <w:t>$1,009,218</w:t>
            </w:r>
          </w:p>
        </w:tc>
        <w:tc>
          <w:tcPr>
            <w:tcW w:w="560" w:type="dxa"/>
            <w:vAlign w:val="bottom"/>
            <w:tcBorders>
              <w:right w:val="single" w:sz="8" w:color="auto"/>
            </w:tcBorders>
          </w:tcPr>
          <w:p>
            <w:pPr>
              <w:jc w:val="right"/>
              <w:ind w:right="34"/>
              <w:spacing w:after="0"/>
              <w:rPr>
                <w:sz w:val="20"/>
                <w:szCs w:val="20"/>
                <w:color w:val="auto"/>
              </w:rPr>
            </w:pPr>
            <w:r>
              <w:rPr>
                <w:rFonts w:ascii="Arial" w:cs="Arial" w:eastAsia="Arial" w:hAnsi="Arial"/>
                <w:sz w:val="9"/>
                <w:szCs w:val="9"/>
                <w:b w:val="1"/>
                <w:bCs w:val="1"/>
                <w:color w:val="auto"/>
              </w:rPr>
              <w:t>$3,581,361</w:t>
            </w:r>
          </w:p>
        </w:tc>
        <w:tc>
          <w:tcPr>
            <w:tcW w:w="560" w:type="dxa"/>
            <w:vAlign w:val="bottom"/>
            <w:tcBorders>
              <w:right w:val="single" w:sz="8" w:color="auto"/>
            </w:tcBorders>
          </w:tcPr>
          <w:p>
            <w:pPr>
              <w:jc w:val="right"/>
              <w:ind w:right="34"/>
              <w:spacing w:after="0"/>
              <w:rPr>
                <w:sz w:val="20"/>
                <w:szCs w:val="20"/>
                <w:color w:val="auto"/>
              </w:rPr>
            </w:pPr>
            <w:r>
              <w:rPr>
                <w:rFonts w:ascii="Arial" w:cs="Arial" w:eastAsia="Arial" w:hAnsi="Arial"/>
                <w:sz w:val="9"/>
                <w:szCs w:val="9"/>
                <w:b w:val="1"/>
                <w:bCs w:val="1"/>
                <w:color w:val="auto"/>
              </w:rPr>
              <w:t>$6,153,504</w:t>
            </w:r>
          </w:p>
        </w:tc>
        <w:tc>
          <w:tcPr>
            <w:tcW w:w="600" w:type="dxa"/>
            <w:vAlign w:val="bottom"/>
            <w:tcBorders>
              <w:right w:val="single" w:sz="8" w:color="auto"/>
            </w:tcBorders>
          </w:tcPr>
          <w:p>
            <w:pPr>
              <w:ind w:left="200"/>
              <w:spacing w:after="0"/>
              <w:rPr>
                <w:sz w:val="20"/>
                <w:szCs w:val="20"/>
                <w:color w:val="auto"/>
              </w:rPr>
            </w:pPr>
            <w:r>
              <w:rPr>
                <w:rFonts w:ascii="Arial" w:cs="Arial" w:eastAsia="Arial" w:hAnsi="Arial"/>
                <w:sz w:val="9"/>
                <w:szCs w:val="9"/>
                <w:color w:val="auto"/>
              </w:rPr>
              <w:t>—</w:t>
            </w:r>
          </w:p>
        </w:tc>
      </w:tr>
      <w:tr>
        <w:trPr>
          <w:trHeight w:val="22"/>
        </w:trPr>
        <w:tc>
          <w:tcPr>
            <w:tcW w:w="9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963930</wp:posOffset>
            </wp:positionH>
            <wp:positionV relativeFrom="paragraph">
              <wp:posOffset>-3036570</wp:posOffset>
            </wp:positionV>
            <wp:extent cx="581660" cy="127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81660" cy="12700"/>
                    </a:xfrm>
                    <a:prstGeom prst="rect">
                      <a:avLst/>
                    </a:prstGeom>
                    <a:noFill/>
                  </pic:spPr>
                </pic:pic>
              </a:graphicData>
            </a:graphic>
          </wp:anchor>
        </w:drawing>
      </w:r>
    </w:p>
    <w:p>
      <w:pPr>
        <w:spacing w:after="0" w:line="62" w:lineRule="exact"/>
        <w:rPr>
          <w:sz w:val="20"/>
          <w:szCs w:val="20"/>
          <w:color w:val="auto"/>
        </w:rPr>
      </w:pPr>
    </w:p>
    <w:p>
      <w:pPr>
        <w:ind w:left="1740" w:right="1499" w:hanging="262"/>
        <w:spacing w:after="0" w:line="204" w:lineRule="auto"/>
        <w:tabs>
          <w:tab w:leader="none" w:pos="1740" w:val="left"/>
        </w:tabs>
        <w:numPr>
          <w:ilvl w:val="0"/>
          <w:numId w:val="91"/>
        </w:numPr>
        <w:rPr>
          <w:rFonts w:ascii="Arial" w:cs="Arial" w:eastAsia="Arial" w:hAnsi="Arial"/>
          <w:sz w:val="16"/>
          <w:szCs w:val="16"/>
          <w:color w:val="auto"/>
          <w:vertAlign w:val="superscript"/>
        </w:rPr>
      </w:pPr>
      <w:r>
        <w:rPr>
          <w:rFonts w:ascii="Arial" w:cs="Arial" w:eastAsia="Arial" w:hAnsi="Arial"/>
          <w:sz w:val="11"/>
          <w:szCs w:val="11"/>
          <w:color w:val="auto"/>
        </w:rPr>
        <w:t xml:space="preserve">See </w:t>
      </w:r>
      <w:r>
        <w:rPr>
          <w:rFonts w:ascii="Arial" w:cs="Arial" w:eastAsia="Arial" w:hAnsi="Arial"/>
          <w:sz w:val="11"/>
          <w:szCs w:val="11"/>
          <w:i w:val="1"/>
          <w:iCs w:val="1"/>
          <w:color w:val="auto"/>
        </w:rPr>
        <w:t>Compensation Discussion and Analysis — 2020 Compensation Decisions — Equity-Based Incentives</w:t>
      </w:r>
      <w:r>
        <w:rPr>
          <w:rFonts w:ascii="Arial" w:cs="Arial" w:eastAsia="Arial" w:hAnsi="Arial"/>
          <w:sz w:val="11"/>
          <w:szCs w:val="11"/>
          <w:color w:val="auto"/>
        </w:rPr>
        <w:t xml:space="preserve"> for a discussion of the equity-based grants.</w:t>
      </w:r>
    </w:p>
    <w:p>
      <w:pPr>
        <w:ind w:left="1740" w:hanging="262"/>
        <w:spacing w:after="0" w:line="233" w:lineRule="auto"/>
        <w:tabs>
          <w:tab w:leader="none" w:pos="1740" w:val="left"/>
        </w:tabs>
        <w:numPr>
          <w:ilvl w:val="0"/>
          <w:numId w:val="91"/>
        </w:numPr>
        <w:rPr>
          <w:rFonts w:ascii="Arial" w:cs="Arial" w:eastAsia="Arial" w:hAnsi="Arial"/>
          <w:sz w:val="16"/>
          <w:szCs w:val="16"/>
          <w:color w:val="auto"/>
          <w:vertAlign w:val="superscript"/>
        </w:rPr>
      </w:pPr>
      <w:r>
        <w:rPr>
          <w:rFonts w:ascii="Arial" w:cs="Arial" w:eastAsia="Arial" w:hAnsi="Arial"/>
          <w:sz w:val="11"/>
          <w:szCs w:val="11"/>
          <w:color w:val="auto"/>
        </w:rPr>
        <w:t>Includes unvested RSUs, as well as PSUs assuming achievement of 100% of target level performance.</w:t>
      </w:r>
    </w:p>
    <w:p>
      <w:pPr>
        <w:spacing w:after="0" w:line="65" w:lineRule="exact"/>
        <w:rPr>
          <w:rFonts w:ascii="Arial" w:cs="Arial" w:eastAsia="Arial" w:hAnsi="Arial"/>
          <w:sz w:val="16"/>
          <w:szCs w:val="16"/>
          <w:color w:val="auto"/>
          <w:vertAlign w:val="superscript"/>
        </w:rPr>
      </w:pPr>
    </w:p>
    <w:p>
      <w:pPr>
        <w:jc w:val="both"/>
        <w:ind w:left="1740" w:right="1499" w:hanging="262"/>
        <w:spacing w:after="0" w:line="255" w:lineRule="auto"/>
        <w:tabs>
          <w:tab w:leader="none" w:pos="1740" w:val="left"/>
        </w:tabs>
        <w:numPr>
          <w:ilvl w:val="0"/>
          <w:numId w:val="91"/>
        </w:numPr>
        <w:rPr>
          <w:rFonts w:ascii="Arial" w:cs="Arial" w:eastAsia="Arial" w:hAnsi="Arial"/>
          <w:sz w:val="15"/>
          <w:szCs w:val="15"/>
          <w:color w:val="auto"/>
          <w:vertAlign w:val="superscript"/>
        </w:rPr>
      </w:pPr>
      <w:r>
        <w:rPr>
          <w:rFonts w:ascii="Arial" w:cs="Arial" w:eastAsia="Arial" w:hAnsi="Arial"/>
          <w:sz w:val="10"/>
          <w:szCs w:val="10"/>
          <w:color w:val="auto"/>
        </w:rPr>
        <w:t>Payout values at minimum vesting include the value of RSUs only, as the minimum value of PSUs would be $0.00 if the minimum performance condition is not met. Payout value at target vesting is determined assuming vesting of 100% of the target number of PSUs granted and payout values at maximum vesting is determined assuming vesting of 200% of the target number of PSUs granted. Payout values for Mr. Chawla were determined using a share price of C$10.27, which was the closing price of the SVS on the TSX on December 31, 2020, converted to U.S. dollars at the average exchange rate for 2020 of $1.00 equals C$1.3422. Payout values for Messrs. Mionis, Phillips, Lawless and Cooper were determined using a share price of $8.07, which was the closing price of the SVS on the NYSE on December 31, 2020.</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4" w:name="page75"/>
    <w:bookmarkEnd w:id="74"/>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97" w:lineRule="exact"/>
        <w:rPr>
          <w:sz w:val="20"/>
          <w:szCs w:val="20"/>
          <w:color w:val="auto"/>
        </w:rPr>
      </w:pPr>
    </w:p>
    <w:p>
      <w:pPr>
        <w:ind w:left="1480" w:right="1499"/>
        <w:spacing w:after="0" w:line="329" w:lineRule="auto"/>
        <w:rPr>
          <w:sz w:val="20"/>
          <w:szCs w:val="20"/>
          <w:color w:val="auto"/>
        </w:rPr>
      </w:pPr>
      <w:r>
        <w:rPr>
          <w:rFonts w:ascii="Arial" w:cs="Arial" w:eastAsia="Arial" w:hAnsi="Arial"/>
          <w:sz w:val="12"/>
          <w:szCs w:val="12"/>
          <w:color w:val="auto"/>
        </w:rPr>
        <w:t>The following table provides details for each NEO of the value of option-based and share-based awards that vested during 2020 and the value of annual incentive awards earned in respect of 2020 performance.</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Table 22: Incentive Plan Awards — Value Vested or Earned in 2020</w:t>
      </w:r>
    </w:p>
    <w:p>
      <w:pPr>
        <w:spacing w:after="0" w:line="67" w:lineRule="exact"/>
        <w:rPr>
          <w:sz w:val="20"/>
          <w:szCs w:val="20"/>
          <w:color w:val="auto"/>
        </w:rPr>
      </w:pPr>
    </w:p>
    <w:tbl>
      <w:tblPr>
        <w:tblLayout w:type="fixed"/>
        <w:tblInd w:w="1490" w:type="dxa"/>
        <w:tblCellMar>
          <w:top w:w="0" w:type="dxa"/>
          <w:left w:w="0" w:type="dxa"/>
          <w:bottom w:w="0" w:type="dxa"/>
          <w:right w:w="0" w:type="dxa"/>
        </w:tblCellMar>
      </w:tblPr>
      <w:tr>
        <w:trPr>
          <w:trHeight w:val="40"/>
        </w:trPr>
        <w:tc>
          <w:tcPr>
            <w:tcW w:w="24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tcBorders>
          </w:tcPr>
          <w:p>
            <w:pPr>
              <w:spacing w:after="0"/>
              <w:rPr>
                <w:sz w:val="3"/>
                <w:szCs w:val="3"/>
                <w:color w:val="auto"/>
              </w:rPr>
            </w:pPr>
          </w:p>
        </w:tc>
        <w:tc>
          <w:tcPr>
            <w:tcW w:w="114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r>
      <w:tr>
        <w:trPr>
          <w:trHeight w:val="147"/>
        </w:trPr>
        <w:tc>
          <w:tcPr>
            <w:tcW w:w="242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83"/>
              </w:rPr>
              <w:t>Non-equity Incentive</w:t>
            </w:r>
          </w:p>
        </w:tc>
        <w:tc>
          <w:tcPr>
            <w:tcW w:w="40" w:type="dxa"/>
            <w:vAlign w:val="bottom"/>
            <w:tcBorders>
              <w:right w:val="single" w:sz="8" w:color="auto"/>
            </w:tcBorders>
          </w:tcPr>
          <w:p>
            <w:pPr>
              <w:spacing w:after="0"/>
              <w:rPr>
                <w:sz w:val="12"/>
                <w:szCs w:val="12"/>
                <w:color w:val="auto"/>
              </w:rPr>
            </w:pPr>
          </w:p>
        </w:tc>
      </w:tr>
      <w:tr>
        <w:trPr>
          <w:trHeight w:val="119"/>
        </w:trPr>
        <w:tc>
          <w:tcPr>
            <w:tcW w:w="2420" w:type="dxa"/>
            <w:vAlign w:val="bottom"/>
            <w:tcBorders>
              <w:left w:val="single" w:sz="8" w:color="auto"/>
              <w:right w:val="single" w:sz="8" w:color="auto"/>
            </w:tcBorders>
          </w:tcPr>
          <w:p>
            <w:pPr>
              <w:spacing w:after="0"/>
              <w:rPr>
                <w:sz w:val="10"/>
                <w:szCs w:val="10"/>
                <w:color w:val="auto"/>
              </w:rPr>
            </w:pPr>
          </w:p>
        </w:tc>
        <w:tc>
          <w:tcPr>
            <w:tcW w:w="1260" w:type="dxa"/>
            <w:vAlign w:val="bottom"/>
            <w:tcBorders>
              <w:right w:val="single" w:sz="8" w:color="auto"/>
            </w:tcBorders>
          </w:tcPr>
          <w:p>
            <w:pPr>
              <w:jc w:val="center"/>
              <w:spacing w:after="0" w:line="120" w:lineRule="exact"/>
              <w:rPr>
                <w:sz w:val="20"/>
                <w:szCs w:val="20"/>
                <w:color w:val="auto"/>
              </w:rPr>
            </w:pPr>
            <w:r>
              <w:rPr>
                <w:rFonts w:ascii="Arial" w:cs="Arial" w:eastAsia="Arial" w:hAnsi="Arial"/>
                <w:sz w:val="11"/>
                <w:szCs w:val="11"/>
                <w:b w:val="1"/>
                <w:bCs w:val="1"/>
                <w:color w:val="auto"/>
                <w:w w:val="84"/>
              </w:rPr>
              <w:t>Option-based Awards —</w:t>
            </w:r>
          </w:p>
        </w:tc>
        <w:tc>
          <w:tcPr>
            <w:tcW w:w="1200" w:type="dxa"/>
            <w:vAlign w:val="bottom"/>
            <w:tcBorders>
              <w:right w:val="single" w:sz="8" w:color="auto"/>
            </w:tcBorders>
          </w:tcPr>
          <w:p>
            <w:pPr>
              <w:jc w:val="center"/>
              <w:spacing w:after="0" w:line="120" w:lineRule="exact"/>
              <w:rPr>
                <w:sz w:val="20"/>
                <w:szCs w:val="20"/>
                <w:color w:val="auto"/>
              </w:rPr>
            </w:pPr>
            <w:r>
              <w:rPr>
                <w:rFonts w:ascii="Arial" w:cs="Arial" w:eastAsia="Arial" w:hAnsi="Arial"/>
                <w:sz w:val="11"/>
                <w:szCs w:val="11"/>
                <w:b w:val="1"/>
                <w:bCs w:val="1"/>
                <w:color w:val="auto"/>
                <w:w w:val="82"/>
              </w:rPr>
              <w:t>Share-based Awards —</w:t>
            </w:r>
          </w:p>
        </w:tc>
        <w:tc>
          <w:tcPr>
            <w:tcW w:w="1140" w:type="dxa"/>
            <w:vAlign w:val="bottom"/>
            <w:tcBorders>
              <w:right w:val="single" w:sz="8" w:color="auto"/>
            </w:tcBorders>
          </w:tcPr>
          <w:p>
            <w:pPr>
              <w:jc w:val="center"/>
              <w:spacing w:after="0" w:line="120" w:lineRule="exact"/>
              <w:rPr>
                <w:sz w:val="20"/>
                <w:szCs w:val="20"/>
                <w:color w:val="auto"/>
              </w:rPr>
            </w:pPr>
            <w:r>
              <w:rPr>
                <w:rFonts w:ascii="Arial" w:cs="Arial" w:eastAsia="Arial" w:hAnsi="Arial"/>
                <w:sz w:val="11"/>
                <w:szCs w:val="11"/>
                <w:b w:val="1"/>
                <w:bCs w:val="1"/>
                <w:color w:val="auto"/>
                <w:w w:val="83"/>
              </w:rPr>
              <w:t>Plan Compensation —</w:t>
            </w:r>
          </w:p>
        </w:tc>
        <w:tc>
          <w:tcPr>
            <w:tcW w:w="40" w:type="dxa"/>
            <w:vAlign w:val="bottom"/>
            <w:tcBorders>
              <w:right w:val="single" w:sz="8" w:color="auto"/>
            </w:tcBorders>
          </w:tcPr>
          <w:p>
            <w:pPr>
              <w:spacing w:after="0"/>
              <w:rPr>
                <w:sz w:val="10"/>
                <w:szCs w:val="10"/>
                <w:color w:val="auto"/>
              </w:rPr>
            </w:pPr>
          </w:p>
        </w:tc>
      </w:tr>
      <w:tr>
        <w:trPr>
          <w:trHeight w:val="119"/>
        </w:trPr>
        <w:tc>
          <w:tcPr>
            <w:tcW w:w="2420" w:type="dxa"/>
            <w:vAlign w:val="bottom"/>
            <w:tcBorders>
              <w:left w:val="single" w:sz="8" w:color="auto"/>
              <w:right w:val="single" w:sz="8" w:color="auto"/>
            </w:tcBorders>
          </w:tcPr>
          <w:p>
            <w:pPr>
              <w:spacing w:after="0"/>
              <w:rPr>
                <w:sz w:val="10"/>
                <w:szCs w:val="10"/>
                <w:color w:val="auto"/>
              </w:rPr>
            </w:pPr>
          </w:p>
        </w:tc>
        <w:tc>
          <w:tcPr>
            <w:tcW w:w="1260" w:type="dxa"/>
            <w:vAlign w:val="bottom"/>
            <w:tcBorders>
              <w:right w:val="single" w:sz="8" w:color="auto"/>
            </w:tcBorders>
          </w:tcPr>
          <w:p>
            <w:pPr>
              <w:jc w:val="center"/>
              <w:spacing w:after="0" w:line="120" w:lineRule="exact"/>
              <w:rPr>
                <w:sz w:val="20"/>
                <w:szCs w:val="20"/>
                <w:color w:val="auto"/>
              </w:rPr>
            </w:pPr>
            <w:r>
              <w:rPr>
                <w:rFonts w:ascii="Arial" w:cs="Arial" w:eastAsia="Arial" w:hAnsi="Arial"/>
                <w:sz w:val="11"/>
                <w:szCs w:val="11"/>
                <w:b w:val="1"/>
                <w:bCs w:val="1"/>
                <w:color w:val="auto"/>
                <w:w w:val="82"/>
              </w:rPr>
              <w:t>Value Vested During</w:t>
            </w:r>
          </w:p>
        </w:tc>
        <w:tc>
          <w:tcPr>
            <w:tcW w:w="1200" w:type="dxa"/>
            <w:vAlign w:val="bottom"/>
            <w:tcBorders>
              <w:right w:val="single" w:sz="8" w:color="auto"/>
            </w:tcBorders>
          </w:tcPr>
          <w:p>
            <w:pPr>
              <w:jc w:val="center"/>
              <w:spacing w:after="0" w:line="120" w:lineRule="exact"/>
              <w:rPr>
                <w:sz w:val="20"/>
                <w:szCs w:val="20"/>
                <w:color w:val="auto"/>
              </w:rPr>
            </w:pPr>
            <w:r>
              <w:rPr>
                <w:rFonts w:ascii="Arial" w:cs="Arial" w:eastAsia="Arial" w:hAnsi="Arial"/>
                <w:sz w:val="11"/>
                <w:szCs w:val="11"/>
                <w:b w:val="1"/>
                <w:bCs w:val="1"/>
                <w:color w:val="auto"/>
                <w:w w:val="84"/>
              </w:rPr>
              <w:t>Value Vested During</w:t>
            </w:r>
          </w:p>
        </w:tc>
        <w:tc>
          <w:tcPr>
            <w:tcW w:w="1140" w:type="dxa"/>
            <w:vAlign w:val="bottom"/>
            <w:tcBorders>
              <w:right w:val="single" w:sz="8" w:color="auto"/>
            </w:tcBorders>
          </w:tcPr>
          <w:p>
            <w:pPr>
              <w:jc w:val="center"/>
              <w:spacing w:after="0" w:line="120" w:lineRule="exact"/>
              <w:rPr>
                <w:sz w:val="20"/>
                <w:szCs w:val="20"/>
                <w:color w:val="auto"/>
              </w:rPr>
            </w:pPr>
            <w:r>
              <w:rPr>
                <w:rFonts w:ascii="Arial" w:cs="Arial" w:eastAsia="Arial" w:hAnsi="Arial"/>
                <w:sz w:val="11"/>
                <w:szCs w:val="11"/>
                <w:b w:val="1"/>
                <w:bCs w:val="1"/>
                <w:color w:val="auto"/>
                <w:w w:val="86"/>
              </w:rPr>
              <w:t>Value Earned During</w:t>
            </w:r>
          </w:p>
        </w:tc>
        <w:tc>
          <w:tcPr>
            <w:tcW w:w="40" w:type="dxa"/>
            <w:vAlign w:val="bottom"/>
            <w:tcBorders>
              <w:right w:val="single" w:sz="8" w:color="auto"/>
            </w:tcBorders>
          </w:tcPr>
          <w:p>
            <w:pPr>
              <w:spacing w:after="0"/>
              <w:rPr>
                <w:sz w:val="10"/>
                <w:szCs w:val="10"/>
                <w:color w:val="auto"/>
              </w:rPr>
            </w:pPr>
          </w:p>
        </w:tc>
      </w:tr>
      <w:tr>
        <w:trPr>
          <w:trHeight w:val="117"/>
        </w:trPr>
        <w:tc>
          <w:tcPr>
            <w:tcW w:w="2420" w:type="dxa"/>
            <w:vAlign w:val="bottom"/>
            <w:tcBorders>
              <w:left w:val="single" w:sz="8" w:color="auto"/>
              <w:right w:val="single" w:sz="8" w:color="auto"/>
            </w:tcBorders>
          </w:tcPr>
          <w:p>
            <w:pPr>
              <w:spacing w:after="0"/>
              <w:rPr>
                <w:sz w:val="10"/>
                <w:szCs w:val="10"/>
                <w:color w:val="auto"/>
              </w:rPr>
            </w:pPr>
          </w:p>
        </w:tc>
        <w:tc>
          <w:tcPr>
            <w:tcW w:w="126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w w:val="82"/>
              </w:rPr>
              <w:t>the Year</w:t>
            </w:r>
          </w:p>
        </w:tc>
        <w:tc>
          <w:tcPr>
            <w:tcW w:w="120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w w:val="87"/>
              </w:rPr>
              <w:t>the Year</w:t>
            </w:r>
          </w:p>
        </w:tc>
        <w:tc>
          <w:tcPr>
            <w:tcW w:w="114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w w:val="82"/>
              </w:rPr>
              <w:t>the Year</w:t>
            </w:r>
          </w:p>
        </w:tc>
        <w:tc>
          <w:tcPr>
            <w:tcW w:w="40" w:type="dxa"/>
            <w:vAlign w:val="bottom"/>
            <w:tcBorders>
              <w:right w:val="single" w:sz="8" w:color="auto"/>
            </w:tcBorders>
          </w:tcPr>
          <w:p>
            <w:pPr>
              <w:spacing w:after="0"/>
              <w:rPr>
                <w:sz w:val="10"/>
                <w:szCs w:val="10"/>
                <w:color w:val="auto"/>
              </w:rPr>
            </w:pPr>
          </w:p>
        </w:tc>
      </w:tr>
      <w:tr>
        <w:trPr>
          <w:trHeight w:val="169"/>
        </w:trPr>
        <w:tc>
          <w:tcPr>
            <w:tcW w:w="2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1"/>
                <w:szCs w:val="11"/>
                <w:b w:val="1"/>
                <w:bCs w:val="1"/>
                <w:color w:val="auto"/>
              </w:rPr>
              <w:t>Name</w:t>
            </w:r>
          </w:p>
        </w:tc>
        <w:tc>
          <w:tcPr>
            <w:tcW w:w="1260" w:type="dxa"/>
            <w:vAlign w:val="bottom"/>
            <w:tcBorders>
              <w:bottom w:val="single" w:sz="8" w:color="auto"/>
              <w:right w:val="single" w:sz="8" w:color="auto"/>
            </w:tcBorders>
          </w:tcPr>
          <w:p>
            <w:pPr>
              <w:jc w:val="right"/>
              <w:ind w:right="520"/>
              <w:spacing w:after="0"/>
              <w:rPr>
                <w:sz w:val="20"/>
                <w:szCs w:val="20"/>
                <w:color w:val="auto"/>
              </w:rPr>
            </w:pPr>
            <w:r>
              <w:rPr>
                <w:rFonts w:ascii="Arial" w:cs="Arial" w:eastAsia="Arial" w:hAnsi="Arial"/>
                <w:sz w:val="11"/>
                <w:szCs w:val="11"/>
                <w:b w:val="1"/>
                <w:bCs w:val="1"/>
                <w:color w:val="auto"/>
              </w:rPr>
              <w:t>($)</w:t>
            </w:r>
          </w:p>
        </w:tc>
        <w:tc>
          <w:tcPr>
            <w:tcW w:w="1200" w:type="dxa"/>
            <w:vAlign w:val="bottom"/>
            <w:tcBorders>
              <w:bottom w:val="single" w:sz="8" w:color="auto"/>
              <w:right w:val="single" w:sz="8" w:color="auto"/>
            </w:tcBorders>
          </w:tcPr>
          <w:p>
            <w:pPr>
              <w:jc w:val="center"/>
              <w:spacing w:after="0" w:line="169" w:lineRule="exact"/>
              <w:rPr>
                <w:sz w:val="20"/>
                <w:szCs w:val="20"/>
                <w:color w:val="auto"/>
              </w:rPr>
            </w:pPr>
            <w:r>
              <w:rPr>
                <w:rFonts w:ascii="Arial" w:cs="Arial" w:eastAsia="Arial" w:hAnsi="Arial"/>
                <w:sz w:val="11"/>
                <w:szCs w:val="11"/>
                <w:b w:val="1"/>
                <w:bCs w:val="1"/>
                <w:color w:val="auto"/>
                <w:w w:val="77"/>
              </w:rPr>
              <w:t>($)</w:t>
            </w:r>
            <w:r>
              <w:rPr>
                <w:rFonts w:ascii="Arial" w:cs="Arial" w:eastAsia="Arial" w:hAnsi="Arial"/>
                <w:sz w:val="15"/>
                <w:szCs w:val="15"/>
                <w:b w:val="1"/>
                <w:bCs w:val="1"/>
                <w:color w:val="auto"/>
                <w:w w:val="77"/>
                <w:vertAlign w:val="superscript"/>
              </w:rPr>
              <w:t>(1)</w:t>
            </w:r>
          </w:p>
        </w:tc>
        <w:tc>
          <w:tcPr>
            <w:tcW w:w="1140" w:type="dxa"/>
            <w:vAlign w:val="bottom"/>
            <w:tcBorders>
              <w:bottom w:val="single" w:sz="8" w:color="auto"/>
              <w:right w:val="single" w:sz="8" w:color="auto"/>
            </w:tcBorders>
          </w:tcPr>
          <w:p>
            <w:pPr>
              <w:jc w:val="center"/>
              <w:spacing w:after="0" w:line="169" w:lineRule="exact"/>
              <w:rPr>
                <w:sz w:val="20"/>
                <w:szCs w:val="20"/>
                <w:color w:val="auto"/>
              </w:rPr>
            </w:pPr>
            <w:r>
              <w:rPr>
                <w:rFonts w:ascii="Arial" w:cs="Arial" w:eastAsia="Arial" w:hAnsi="Arial"/>
                <w:sz w:val="11"/>
                <w:szCs w:val="11"/>
                <w:b w:val="1"/>
                <w:bCs w:val="1"/>
                <w:color w:val="auto"/>
                <w:w w:val="85"/>
              </w:rPr>
              <w:t>($)</w:t>
            </w:r>
            <w:r>
              <w:rPr>
                <w:rFonts w:ascii="Arial" w:cs="Arial" w:eastAsia="Arial" w:hAnsi="Arial"/>
                <w:sz w:val="15"/>
                <w:szCs w:val="15"/>
                <w:b w:val="1"/>
                <w:bCs w:val="1"/>
                <w:color w:val="auto"/>
                <w:w w:val="85"/>
                <w:vertAlign w:val="superscript"/>
              </w:rPr>
              <w:t>(2)</w:t>
            </w:r>
          </w:p>
        </w:tc>
        <w:tc>
          <w:tcPr>
            <w:tcW w:w="40" w:type="dxa"/>
            <w:vAlign w:val="bottom"/>
            <w:tcBorders>
              <w:right w:val="single" w:sz="8" w:color="auto"/>
            </w:tcBorders>
          </w:tcPr>
          <w:p>
            <w:pPr>
              <w:spacing w:after="0"/>
              <w:rPr>
                <w:sz w:val="14"/>
                <w:szCs w:val="14"/>
                <w:color w:val="auto"/>
              </w:rPr>
            </w:pPr>
          </w:p>
        </w:tc>
      </w:tr>
      <w:tr>
        <w:trPr>
          <w:trHeight w:val="204"/>
        </w:trPr>
        <w:tc>
          <w:tcPr>
            <w:tcW w:w="2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Robert A. Mionis</w:t>
            </w:r>
          </w:p>
        </w:tc>
        <w:tc>
          <w:tcPr>
            <w:tcW w:w="1260" w:type="dxa"/>
            <w:vAlign w:val="bottom"/>
            <w:tcBorders>
              <w:bottom w:val="single" w:sz="8" w:color="auto"/>
              <w:right w:val="single" w:sz="8" w:color="auto"/>
            </w:tcBorders>
          </w:tcPr>
          <w:p>
            <w:pPr>
              <w:jc w:val="right"/>
              <w:ind w:right="520"/>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right w:val="single" w:sz="8" w:color="auto"/>
            </w:tcBorders>
          </w:tcPr>
          <w:p>
            <w:pPr>
              <w:jc w:val="right"/>
              <w:ind w:right="240"/>
              <w:spacing w:after="0"/>
              <w:rPr>
                <w:sz w:val="20"/>
                <w:szCs w:val="20"/>
                <w:color w:val="auto"/>
              </w:rPr>
            </w:pPr>
            <w:r>
              <w:rPr>
                <w:rFonts w:ascii="Arial" w:cs="Arial" w:eastAsia="Arial" w:hAnsi="Arial"/>
                <w:sz w:val="13"/>
                <w:szCs w:val="13"/>
                <w:color w:val="auto"/>
              </w:rPr>
              <w:t>$3,234,362</w:t>
            </w:r>
          </w:p>
        </w:tc>
        <w:tc>
          <w:tcPr>
            <w:tcW w:w="1140" w:type="dxa"/>
            <w:vAlign w:val="bottom"/>
            <w:tcBorders>
              <w:bottom w:val="single" w:sz="8" w:color="auto"/>
              <w:right w:val="single" w:sz="8" w:color="auto"/>
            </w:tcBorders>
          </w:tcPr>
          <w:p>
            <w:pPr>
              <w:jc w:val="right"/>
              <w:ind w:right="200"/>
              <w:spacing w:after="0"/>
              <w:rPr>
                <w:sz w:val="20"/>
                <w:szCs w:val="20"/>
                <w:color w:val="auto"/>
              </w:rPr>
            </w:pPr>
            <w:r>
              <w:rPr>
                <w:rFonts w:ascii="Arial" w:cs="Arial" w:eastAsia="Arial" w:hAnsi="Arial"/>
                <w:sz w:val="13"/>
                <w:szCs w:val="13"/>
                <w:color w:val="auto"/>
              </w:rPr>
              <w:t>$2,375,000</w:t>
            </w:r>
          </w:p>
        </w:tc>
        <w:tc>
          <w:tcPr>
            <w:tcW w:w="40" w:type="dxa"/>
            <w:vAlign w:val="bottom"/>
            <w:tcBorders>
              <w:right w:val="single" w:sz="8" w:color="auto"/>
            </w:tcBorders>
          </w:tcPr>
          <w:p>
            <w:pPr>
              <w:spacing w:after="0"/>
              <w:rPr>
                <w:sz w:val="17"/>
                <w:szCs w:val="17"/>
                <w:color w:val="auto"/>
              </w:rPr>
            </w:pPr>
          </w:p>
        </w:tc>
      </w:tr>
      <w:tr>
        <w:trPr>
          <w:trHeight w:val="209"/>
        </w:trPr>
        <w:tc>
          <w:tcPr>
            <w:tcW w:w="2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Mandeep Chawla</w:t>
            </w:r>
          </w:p>
        </w:tc>
        <w:tc>
          <w:tcPr>
            <w:tcW w:w="1260" w:type="dxa"/>
            <w:vAlign w:val="bottom"/>
            <w:tcBorders>
              <w:bottom w:val="single" w:sz="8" w:color="auto"/>
              <w:right w:val="single" w:sz="8" w:color="auto"/>
            </w:tcBorders>
          </w:tcPr>
          <w:p>
            <w:pPr>
              <w:jc w:val="right"/>
              <w:ind w:right="520"/>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right w:val="single" w:sz="8" w:color="auto"/>
            </w:tcBorders>
          </w:tcPr>
          <w:p>
            <w:pPr>
              <w:jc w:val="right"/>
              <w:ind w:right="260"/>
              <w:spacing w:after="0"/>
              <w:rPr>
                <w:sz w:val="20"/>
                <w:szCs w:val="20"/>
                <w:color w:val="auto"/>
              </w:rPr>
            </w:pPr>
            <w:r>
              <w:rPr>
                <w:rFonts w:ascii="Arial" w:cs="Arial" w:eastAsia="Arial" w:hAnsi="Arial"/>
                <w:sz w:val="13"/>
                <w:szCs w:val="13"/>
                <w:color w:val="auto"/>
              </w:rPr>
              <w:t>$563,955</w:t>
            </w:r>
          </w:p>
        </w:tc>
        <w:tc>
          <w:tcPr>
            <w:tcW w:w="1140" w:type="dxa"/>
            <w:vAlign w:val="bottom"/>
            <w:tcBorders>
              <w:bottom w:val="single" w:sz="8" w:color="auto"/>
              <w:right w:val="single" w:sz="8" w:color="auto"/>
            </w:tcBorders>
          </w:tcPr>
          <w:p>
            <w:pPr>
              <w:jc w:val="right"/>
              <w:ind w:right="200"/>
              <w:spacing w:after="0"/>
              <w:rPr>
                <w:sz w:val="20"/>
                <w:szCs w:val="20"/>
                <w:color w:val="auto"/>
              </w:rPr>
            </w:pPr>
            <w:r>
              <w:rPr>
                <w:rFonts w:ascii="Arial" w:cs="Arial" w:eastAsia="Arial" w:hAnsi="Arial"/>
                <w:sz w:val="13"/>
                <w:szCs w:val="13"/>
                <w:color w:val="auto"/>
              </w:rPr>
              <w:t>$784,787</w:t>
            </w:r>
          </w:p>
        </w:tc>
        <w:tc>
          <w:tcPr>
            <w:tcW w:w="40" w:type="dxa"/>
            <w:vAlign w:val="bottom"/>
            <w:tcBorders>
              <w:right w:val="single" w:sz="8" w:color="auto"/>
            </w:tcBorders>
          </w:tcPr>
          <w:p>
            <w:pPr>
              <w:spacing w:after="0"/>
              <w:rPr>
                <w:sz w:val="18"/>
                <w:szCs w:val="18"/>
                <w:color w:val="auto"/>
              </w:rPr>
            </w:pPr>
          </w:p>
        </w:tc>
      </w:tr>
      <w:tr>
        <w:trPr>
          <w:trHeight w:val="209"/>
        </w:trPr>
        <w:tc>
          <w:tcPr>
            <w:tcW w:w="2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Jason Phillips</w:t>
            </w:r>
          </w:p>
        </w:tc>
        <w:tc>
          <w:tcPr>
            <w:tcW w:w="1260" w:type="dxa"/>
            <w:vAlign w:val="bottom"/>
            <w:tcBorders>
              <w:bottom w:val="single" w:sz="8" w:color="auto"/>
              <w:right w:val="single" w:sz="8" w:color="auto"/>
            </w:tcBorders>
          </w:tcPr>
          <w:p>
            <w:pPr>
              <w:jc w:val="right"/>
              <w:ind w:right="520"/>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right w:val="single" w:sz="8" w:color="auto"/>
            </w:tcBorders>
          </w:tcPr>
          <w:p>
            <w:pPr>
              <w:jc w:val="right"/>
              <w:ind w:right="260"/>
              <w:spacing w:after="0"/>
              <w:rPr>
                <w:sz w:val="20"/>
                <w:szCs w:val="20"/>
                <w:color w:val="auto"/>
              </w:rPr>
            </w:pPr>
            <w:r>
              <w:rPr>
                <w:rFonts w:ascii="Arial" w:cs="Arial" w:eastAsia="Arial" w:hAnsi="Arial"/>
                <w:sz w:val="13"/>
                <w:szCs w:val="13"/>
                <w:color w:val="auto"/>
              </w:rPr>
              <w:t>$426,689</w:t>
            </w:r>
          </w:p>
        </w:tc>
        <w:tc>
          <w:tcPr>
            <w:tcW w:w="1140" w:type="dxa"/>
            <w:vAlign w:val="bottom"/>
            <w:tcBorders>
              <w:bottom w:val="single" w:sz="8" w:color="auto"/>
              <w:right w:val="single" w:sz="8" w:color="auto"/>
            </w:tcBorders>
          </w:tcPr>
          <w:p>
            <w:pPr>
              <w:jc w:val="right"/>
              <w:ind w:right="200"/>
              <w:spacing w:after="0"/>
              <w:rPr>
                <w:sz w:val="20"/>
                <w:szCs w:val="20"/>
                <w:color w:val="auto"/>
              </w:rPr>
            </w:pPr>
            <w:r>
              <w:rPr>
                <w:rFonts w:ascii="Arial" w:cs="Arial" w:eastAsia="Arial" w:hAnsi="Arial"/>
                <w:sz w:val="13"/>
                <w:szCs w:val="13"/>
                <w:color w:val="auto"/>
              </w:rPr>
              <w:t>$736,000</w:t>
            </w:r>
          </w:p>
        </w:tc>
        <w:tc>
          <w:tcPr>
            <w:tcW w:w="40" w:type="dxa"/>
            <w:vAlign w:val="bottom"/>
            <w:tcBorders>
              <w:right w:val="single" w:sz="8" w:color="auto"/>
            </w:tcBorders>
          </w:tcPr>
          <w:p>
            <w:pPr>
              <w:spacing w:after="0"/>
              <w:rPr>
                <w:sz w:val="18"/>
                <w:szCs w:val="18"/>
                <w:color w:val="auto"/>
              </w:rPr>
            </w:pPr>
          </w:p>
        </w:tc>
      </w:tr>
      <w:tr>
        <w:trPr>
          <w:trHeight w:val="209"/>
        </w:trPr>
        <w:tc>
          <w:tcPr>
            <w:tcW w:w="2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Jack J. Lawless</w:t>
            </w:r>
          </w:p>
        </w:tc>
        <w:tc>
          <w:tcPr>
            <w:tcW w:w="1260" w:type="dxa"/>
            <w:vAlign w:val="bottom"/>
            <w:tcBorders>
              <w:bottom w:val="single" w:sz="8" w:color="auto"/>
              <w:right w:val="single" w:sz="8" w:color="auto"/>
            </w:tcBorders>
          </w:tcPr>
          <w:p>
            <w:pPr>
              <w:jc w:val="right"/>
              <w:ind w:right="520"/>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right w:val="single" w:sz="8" w:color="auto"/>
            </w:tcBorders>
          </w:tcPr>
          <w:p>
            <w:pPr>
              <w:jc w:val="right"/>
              <w:ind w:right="260"/>
              <w:spacing w:after="0"/>
              <w:rPr>
                <w:sz w:val="20"/>
                <w:szCs w:val="20"/>
                <w:color w:val="auto"/>
              </w:rPr>
            </w:pPr>
            <w:r>
              <w:rPr>
                <w:rFonts w:ascii="Arial" w:cs="Arial" w:eastAsia="Arial" w:hAnsi="Arial"/>
                <w:sz w:val="13"/>
                <w:szCs w:val="13"/>
                <w:color w:val="auto"/>
              </w:rPr>
              <w:t>$786,907</w:t>
            </w:r>
          </w:p>
        </w:tc>
        <w:tc>
          <w:tcPr>
            <w:tcW w:w="1140" w:type="dxa"/>
            <w:vAlign w:val="bottom"/>
            <w:tcBorders>
              <w:bottom w:val="single" w:sz="8" w:color="auto"/>
              <w:right w:val="single" w:sz="8" w:color="auto"/>
            </w:tcBorders>
          </w:tcPr>
          <w:p>
            <w:pPr>
              <w:jc w:val="right"/>
              <w:ind w:right="200"/>
              <w:spacing w:after="0"/>
              <w:rPr>
                <w:sz w:val="20"/>
                <w:szCs w:val="20"/>
                <w:color w:val="auto"/>
              </w:rPr>
            </w:pPr>
            <w:r>
              <w:rPr>
                <w:rFonts w:ascii="Arial" w:cs="Arial" w:eastAsia="Arial" w:hAnsi="Arial"/>
                <w:sz w:val="13"/>
                <w:szCs w:val="13"/>
                <w:color w:val="auto"/>
              </w:rPr>
              <w:t>$636,272</w:t>
            </w:r>
          </w:p>
        </w:tc>
        <w:tc>
          <w:tcPr>
            <w:tcW w:w="40" w:type="dxa"/>
            <w:vAlign w:val="bottom"/>
            <w:tcBorders>
              <w:right w:val="single" w:sz="8" w:color="auto"/>
            </w:tcBorders>
          </w:tcPr>
          <w:p>
            <w:pPr>
              <w:spacing w:after="0"/>
              <w:rPr>
                <w:sz w:val="18"/>
                <w:szCs w:val="18"/>
                <w:color w:val="auto"/>
              </w:rPr>
            </w:pPr>
          </w:p>
        </w:tc>
      </w:tr>
      <w:tr>
        <w:trPr>
          <w:trHeight w:val="209"/>
        </w:trPr>
        <w:tc>
          <w:tcPr>
            <w:tcW w:w="2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Todd C. Cooper</w:t>
            </w:r>
          </w:p>
        </w:tc>
        <w:tc>
          <w:tcPr>
            <w:tcW w:w="1260" w:type="dxa"/>
            <w:vAlign w:val="bottom"/>
            <w:tcBorders>
              <w:bottom w:val="single" w:sz="8" w:color="auto"/>
              <w:right w:val="single" w:sz="8" w:color="auto"/>
            </w:tcBorders>
          </w:tcPr>
          <w:p>
            <w:pPr>
              <w:jc w:val="right"/>
              <w:ind w:right="520"/>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right w:val="single" w:sz="8" w:color="auto"/>
            </w:tcBorders>
          </w:tcPr>
          <w:p>
            <w:pPr>
              <w:jc w:val="right"/>
              <w:ind w:right="240"/>
              <w:spacing w:after="0"/>
              <w:rPr>
                <w:sz w:val="20"/>
                <w:szCs w:val="20"/>
                <w:color w:val="auto"/>
              </w:rPr>
            </w:pPr>
            <w:r>
              <w:rPr>
                <w:rFonts w:ascii="Arial" w:cs="Arial" w:eastAsia="Arial" w:hAnsi="Arial"/>
                <w:sz w:val="13"/>
                <w:szCs w:val="13"/>
                <w:color w:val="auto"/>
              </w:rPr>
              <w:t>$2,029,381</w:t>
            </w:r>
          </w:p>
        </w:tc>
        <w:tc>
          <w:tcPr>
            <w:tcW w:w="1140" w:type="dxa"/>
            <w:vAlign w:val="bottom"/>
            <w:tcBorders>
              <w:bottom w:val="single" w:sz="8" w:color="auto"/>
              <w:right w:val="single" w:sz="8" w:color="auto"/>
            </w:tcBorders>
          </w:tcPr>
          <w:p>
            <w:pPr>
              <w:jc w:val="right"/>
              <w:ind w:right="200"/>
              <w:spacing w:after="0"/>
              <w:rPr>
                <w:sz w:val="20"/>
                <w:szCs w:val="20"/>
                <w:color w:val="auto"/>
              </w:rPr>
            </w:pPr>
            <w:r>
              <w:rPr>
                <w:rFonts w:ascii="Arial" w:cs="Arial" w:eastAsia="Arial" w:hAnsi="Arial"/>
                <w:sz w:val="13"/>
                <w:szCs w:val="13"/>
                <w:color w:val="auto"/>
              </w:rPr>
              <w:t>$736,000</w:t>
            </w:r>
          </w:p>
        </w:tc>
        <w:tc>
          <w:tcPr>
            <w:tcW w:w="40" w:type="dxa"/>
            <w:vAlign w:val="bottom"/>
            <w:tcBorders>
              <w:right w:val="single" w:sz="8" w:color="auto"/>
            </w:tcBorders>
          </w:tcPr>
          <w:p>
            <w:pPr>
              <w:spacing w:after="0"/>
              <w:rPr>
                <w:sz w:val="18"/>
                <w:szCs w:val="18"/>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1740" w:right="1499" w:hanging="262"/>
        <w:spacing w:after="0" w:line="204" w:lineRule="auto"/>
        <w:tabs>
          <w:tab w:leader="none" w:pos="1740" w:val="left"/>
        </w:tabs>
        <w:numPr>
          <w:ilvl w:val="0"/>
          <w:numId w:val="92"/>
        </w:numPr>
        <w:rPr>
          <w:rFonts w:ascii="Arial" w:cs="Arial" w:eastAsia="Arial" w:hAnsi="Arial"/>
          <w:sz w:val="16"/>
          <w:szCs w:val="16"/>
          <w:color w:val="auto"/>
          <w:vertAlign w:val="superscript"/>
        </w:rPr>
      </w:pPr>
      <w:r>
        <w:rPr>
          <w:rFonts w:ascii="Arial" w:cs="Arial" w:eastAsia="Arial" w:hAnsi="Arial"/>
          <w:sz w:val="11"/>
          <w:szCs w:val="11"/>
          <w:color w:val="auto"/>
        </w:rPr>
        <w:t>Amounts in this column reflect: (i) share-based awards released in 2020 for Messrs. Mionis, Lawless, Phillips and Cooper based on the price of the SVS on the NYSE as follows:</w:t>
      </w:r>
    </w:p>
    <w:p>
      <w:pPr>
        <w:spacing w:after="0" w:line="43" w:lineRule="exact"/>
        <w:rPr>
          <w:sz w:val="20"/>
          <w:szCs w:val="20"/>
          <w:color w:val="auto"/>
        </w:rPr>
      </w:pPr>
    </w:p>
    <w:tbl>
      <w:tblPr>
        <w:tblLayout w:type="fixed"/>
        <w:tblInd w:w="2230" w:type="dxa"/>
        <w:tblCellMar>
          <w:top w:w="0" w:type="dxa"/>
          <w:left w:w="0" w:type="dxa"/>
          <w:bottom w:w="0" w:type="dxa"/>
          <w:right w:w="0" w:type="dxa"/>
        </w:tblCellMar>
      </w:tblPr>
      <w:tr>
        <w:trPr>
          <w:trHeight w:val="40"/>
        </w:trPr>
        <w:tc>
          <w:tcPr>
            <w:tcW w:w="2960" w:type="dxa"/>
            <w:vAlign w:val="bottom"/>
            <w:tcBorders>
              <w:top w:val="single" w:sz="8" w:color="auto"/>
              <w:bottom w:val="single" w:sz="8" w:color="auto"/>
            </w:tcBorders>
          </w:tcPr>
          <w:p>
            <w:pPr>
              <w:spacing w:after="0"/>
              <w:rPr>
                <w:sz w:val="3"/>
                <w:szCs w:val="3"/>
                <w:color w:val="auto"/>
              </w:rPr>
            </w:pPr>
          </w:p>
        </w:tc>
        <w:tc>
          <w:tcPr>
            <w:tcW w:w="960" w:type="dxa"/>
            <w:vAlign w:val="bottom"/>
            <w:tcBorders>
              <w:top w:val="single" w:sz="8" w:color="auto"/>
              <w:bottom w:val="single" w:sz="8" w:color="auto"/>
            </w:tcBorders>
          </w:tcPr>
          <w:p>
            <w:pPr>
              <w:spacing w:after="0"/>
              <w:rPr>
                <w:sz w:val="3"/>
                <w:szCs w:val="3"/>
                <w:color w:val="auto"/>
              </w:rPr>
            </w:pPr>
          </w:p>
        </w:tc>
        <w:tc>
          <w:tcPr>
            <w:tcW w:w="600" w:type="dxa"/>
            <w:vAlign w:val="bottom"/>
            <w:tcBorders>
              <w:top w:val="single" w:sz="8" w:color="auto"/>
              <w:bottom w:val="single" w:sz="8" w:color="auto"/>
              <w:right w:val="single" w:sz="8" w:color="auto"/>
            </w:tcBorders>
          </w:tcPr>
          <w:p>
            <w:pPr>
              <w:spacing w:after="0"/>
              <w:rPr>
                <w:sz w:val="3"/>
                <w:szCs w:val="3"/>
                <w:color w:val="auto"/>
              </w:rPr>
            </w:pPr>
          </w:p>
        </w:tc>
      </w:tr>
      <w:tr>
        <w:trPr>
          <w:trHeight w:val="175"/>
        </w:trPr>
        <w:tc>
          <w:tcPr>
            <w:tcW w:w="29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1"/>
                <w:szCs w:val="11"/>
                <w:b w:val="1"/>
                <w:bCs w:val="1"/>
                <w:color w:val="auto"/>
              </w:rPr>
              <w:t>Type of Award</w:t>
            </w:r>
          </w:p>
        </w:tc>
        <w:tc>
          <w:tcPr>
            <w:tcW w:w="960" w:type="dxa"/>
            <w:vAlign w:val="bottom"/>
            <w:tcBorders>
              <w:bottom w:val="single" w:sz="8" w:color="auto"/>
              <w:right w:val="single" w:sz="8" w:color="auto"/>
            </w:tcBorders>
          </w:tcPr>
          <w:p>
            <w:pPr>
              <w:jc w:val="right"/>
              <w:ind w:right="167"/>
              <w:spacing w:after="0"/>
              <w:rPr>
                <w:sz w:val="20"/>
                <w:szCs w:val="20"/>
                <w:color w:val="auto"/>
              </w:rPr>
            </w:pPr>
            <w:r>
              <w:rPr>
                <w:rFonts w:ascii="Arial" w:cs="Arial" w:eastAsia="Arial" w:hAnsi="Arial"/>
                <w:sz w:val="11"/>
                <w:szCs w:val="11"/>
                <w:b w:val="1"/>
                <w:bCs w:val="1"/>
                <w:color w:val="auto"/>
              </w:rPr>
              <w:t>Vesting Date</w:t>
            </w:r>
          </w:p>
        </w:tc>
        <w:tc>
          <w:tcPr>
            <w:tcW w:w="6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1"/>
                <w:szCs w:val="11"/>
                <w:b w:val="1"/>
                <w:bCs w:val="1"/>
                <w:color w:val="auto"/>
              </w:rPr>
              <w:t>Price</w:t>
            </w:r>
          </w:p>
        </w:tc>
      </w:tr>
      <w:tr>
        <w:trPr>
          <w:trHeight w:val="179"/>
        </w:trPr>
        <w:tc>
          <w:tcPr>
            <w:tcW w:w="29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1"/>
                <w:szCs w:val="11"/>
                <w:color w:val="auto"/>
              </w:rPr>
              <w:t>PSU</w:t>
            </w:r>
          </w:p>
        </w:tc>
        <w:tc>
          <w:tcPr>
            <w:tcW w:w="960" w:type="dxa"/>
            <w:vAlign w:val="bottom"/>
            <w:tcBorders>
              <w:bottom w:val="single" w:sz="8" w:color="auto"/>
              <w:right w:val="single" w:sz="8" w:color="auto"/>
            </w:tcBorders>
          </w:tcPr>
          <w:p>
            <w:pPr>
              <w:jc w:val="right"/>
              <w:ind w:right="47"/>
              <w:spacing w:after="0"/>
              <w:rPr>
                <w:sz w:val="20"/>
                <w:szCs w:val="20"/>
                <w:color w:val="auto"/>
              </w:rPr>
            </w:pPr>
            <w:r>
              <w:rPr>
                <w:rFonts w:ascii="Arial" w:cs="Arial" w:eastAsia="Arial" w:hAnsi="Arial"/>
                <w:sz w:val="11"/>
                <w:szCs w:val="11"/>
                <w:color w:val="auto"/>
                <w:w w:val="98"/>
              </w:rPr>
              <w:t>January 31, 2020</w:t>
            </w:r>
          </w:p>
        </w:tc>
        <w:tc>
          <w:tcPr>
            <w:tcW w:w="6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$9.09</w:t>
            </w:r>
          </w:p>
        </w:tc>
      </w:tr>
      <w:tr>
        <w:trPr>
          <w:trHeight w:val="179"/>
        </w:trPr>
        <w:tc>
          <w:tcPr>
            <w:tcW w:w="29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1"/>
                <w:szCs w:val="11"/>
                <w:color w:val="auto"/>
              </w:rPr>
              <w:t>RSU</w:t>
            </w:r>
          </w:p>
        </w:tc>
        <w:tc>
          <w:tcPr>
            <w:tcW w:w="960" w:type="dxa"/>
            <w:vAlign w:val="bottom"/>
            <w:tcBorders>
              <w:bottom w:val="single" w:sz="8" w:color="auto"/>
              <w:right w:val="single" w:sz="8" w:color="auto"/>
            </w:tcBorders>
          </w:tcPr>
          <w:p>
            <w:pPr>
              <w:jc w:val="right"/>
              <w:ind w:right="47"/>
              <w:spacing w:after="0"/>
              <w:rPr>
                <w:sz w:val="20"/>
                <w:szCs w:val="20"/>
                <w:color w:val="auto"/>
              </w:rPr>
            </w:pPr>
            <w:r>
              <w:rPr>
                <w:rFonts w:ascii="Arial" w:cs="Arial" w:eastAsia="Arial" w:hAnsi="Arial"/>
                <w:sz w:val="11"/>
                <w:szCs w:val="11"/>
                <w:color w:val="auto"/>
                <w:w w:val="98"/>
              </w:rPr>
              <w:t>January 30, 2020</w:t>
            </w:r>
          </w:p>
        </w:tc>
        <w:tc>
          <w:tcPr>
            <w:tcW w:w="6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$8.96</w:t>
            </w:r>
          </w:p>
        </w:tc>
      </w:tr>
      <w:tr>
        <w:trPr>
          <w:trHeight w:val="179"/>
        </w:trPr>
        <w:tc>
          <w:tcPr>
            <w:tcW w:w="29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1"/>
                <w:szCs w:val="11"/>
                <w:color w:val="auto"/>
              </w:rPr>
              <w:t>RSU</w:t>
            </w:r>
          </w:p>
        </w:tc>
        <w:tc>
          <w:tcPr>
            <w:tcW w:w="960" w:type="dxa"/>
            <w:vAlign w:val="bottom"/>
            <w:tcBorders>
              <w:bottom w:val="single" w:sz="8" w:color="auto"/>
              <w:right w:val="single" w:sz="8" w:color="auto"/>
            </w:tcBorders>
          </w:tcPr>
          <w:p>
            <w:pPr>
              <w:jc w:val="right"/>
              <w:ind w:right="47"/>
              <w:spacing w:after="0"/>
              <w:rPr>
                <w:sz w:val="20"/>
                <w:szCs w:val="20"/>
                <w:color w:val="auto"/>
              </w:rPr>
            </w:pPr>
            <w:r>
              <w:rPr>
                <w:rFonts w:ascii="Arial" w:cs="Arial" w:eastAsia="Arial" w:hAnsi="Arial"/>
                <w:sz w:val="11"/>
                <w:szCs w:val="11"/>
                <w:color w:val="auto"/>
              </w:rPr>
              <w:t>February 5, 2020</w:t>
            </w:r>
          </w:p>
        </w:tc>
        <w:tc>
          <w:tcPr>
            <w:tcW w:w="6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$9.04</w:t>
            </w:r>
          </w:p>
        </w:tc>
      </w:tr>
      <w:tr>
        <w:trPr>
          <w:trHeight w:val="179"/>
        </w:trPr>
        <w:tc>
          <w:tcPr>
            <w:tcW w:w="29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1"/>
                <w:szCs w:val="11"/>
                <w:color w:val="auto"/>
              </w:rPr>
              <w:t>RSU</w:t>
            </w:r>
          </w:p>
        </w:tc>
        <w:tc>
          <w:tcPr>
            <w:tcW w:w="960" w:type="dxa"/>
            <w:vAlign w:val="bottom"/>
            <w:tcBorders>
              <w:bottom w:val="single" w:sz="8" w:color="auto"/>
              <w:right w:val="single" w:sz="8" w:color="auto"/>
            </w:tcBorders>
          </w:tcPr>
          <w:p>
            <w:pPr>
              <w:jc w:val="right"/>
              <w:ind w:right="47"/>
              <w:spacing w:after="0"/>
              <w:rPr>
                <w:sz w:val="20"/>
                <w:szCs w:val="20"/>
                <w:color w:val="auto"/>
              </w:rPr>
            </w:pPr>
            <w:r>
              <w:rPr>
                <w:rFonts w:ascii="Arial" w:cs="Arial" w:eastAsia="Arial" w:hAnsi="Arial"/>
                <w:sz w:val="11"/>
                <w:szCs w:val="11"/>
                <w:color w:val="auto"/>
              </w:rPr>
              <w:t>February 6, 2020</w:t>
            </w:r>
          </w:p>
        </w:tc>
        <w:tc>
          <w:tcPr>
            <w:tcW w:w="6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$8.33</w:t>
            </w:r>
          </w:p>
        </w:tc>
      </w:tr>
      <w:tr>
        <w:trPr>
          <w:trHeight w:val="179"/>
        </w:trPr>
        <w:tc>
          <w:tcPr>
            <w:tcW w:w="29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1"/>
                <w:szCs w:val="11"/>
                <w:color w:val="auto"/>
              </w:rPr>
              <w:t>RSU</w:t>
            </w:r>
          </w:p>
        </w:tc>
        <w:tc>
          <w:tcPr>
            <w:tcW w:w="960" w:type="dxa"/>
            <w:vAlign w:val="bottom"/>
            <w:tcBorders>
              <w:bottom w:val="single" w:sz="8" w:color="auto"/>
              <w:right w:val="single" w:sz="8" w:color="auto"/>
            </w:tcBorders>
          </w:tcPr>
          <w:p>
            <w:pPr>
              <w:jc w:val="right"/>
              <w:ind w:right="47"/>
              <w:spacing w:after="0"/>
              <w:rPr>
                <w:sz w:val="20"/>
                <w:szCs w:val="20"/>
                <w:color w:val="auto"/>
              </w:rPr>
            </w:pPr>
            <w:r>
              <w:rPr>
                <w:rFonts w:ascii="Arial" w:cs="Arial" w:eastAsia="Arial" w:hAnsi="Arial"/>
                <w:sz w:val="11"/>
                <w:szCs w:val="11"/>
                <w:color w:val="auto"/>
                <w:w w:val="92"/>
              </w:rPr>
              <w:t>December 1, 2020</w:t>
            </w:r>
          </w:p>
        </w:tc>
        <w:tc>
          <w:tcPr>
            <w:tcW w:w="6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$7.55</w:t>
            </w:r>
          </w:p>
        </w:tc>
      </w:tr>
      <w:tr>
        <w:trPr>
          <w:trHeight w:val="24"/>
        </w:trPr>
        <w:tc>
          <w:tcPr>
            <w:tcW w:w="29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r>
    </w:tbl>
    <w:p>
      <w:pPr>
        <w:spacing w:after="0" w:line="92" w:lineRule="exact"/>
        <w:rPr>
          <w:sz w:val="20"/>
          <w:szCs w:val="20"/>
          <w:color w:val="auto"/>
        </w:rPr>
      </w:pPr>
    </w:p>
    <w:p>
      <w:pPr>
        <w:ind w:left="1740"/>
        <w:spacing w:after="0"/>
        <w:rPr>
          <w:sz w:val="20"/>
          <w:szCs w:val="20"/>
          <w:color w:val="auto"/>
        </w:rPr>
      </w:pPr>
      <w:r>
        <w:rPr>
          <w:rFonts w:ascii="Arial" w:cs="Arial" w:eastAsia="Arial" w:hAnsi="Arial"/>
          <w:sz w:val="11"/>
          <w:szCs w:val="11"/>
          <w:color w:val="auto"/>
        </w:rPr>
        <w:t>and (ii) share-based awards released in 2020 for Mr. Chawla based on the price of the SVS on the TSX as follows:</w:t>
      </w:r>
    </w:p>
    <w:p>
      <w:pPr>
        <w:spacing w:after="0" w:line="61" w:lineRule="exact"/>
        <w:rPr>
          <w:sz w:val="20"/>
          <w:szCs w:val="20"/>
          <w:color w:val="auto"/>
        </w:rPr>
      </w:pPr>
    </w:p>
    <w:tbl>
      <w:tblPr>
        <w:tblLayout w:type="fixed"/>
        <w:tblInd w:w="2230" w:type="dxa"/>
        <w:tblCellMar>
          <w:top w:w="0" w:type="dxa"/>
          <w:left w:w="0" w:type="dxa"/>
          <w:bottom w:w="0" w:type="dxa"/>
          <w:right w:w="0" w:type="dxa"/>
        </w:tblCellMar>
      </w:tblPr>
      <w:tr>
        <w:trPr>
          <w:trHeight w:val="40"/>
        </w:trPr>
        <w:tc>
          <w:tcPr>
            <w:tcW w:w="2960" w:type="dxa"/>
            <w:vAlign w:val="bottom"/>
            <w:tcBorders>
              <w:top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600" w:type="dxa"/>
            <w:vAlign w:val="bottom"/>
            <w:tcBorders>
              <w:top w:val="single" w:sz="8" w:color="auto"/>
              <w:bottom w:val="single" w:sz="8" w:color="auto"/>
              <w:right w:val="single" w:sz="8" w:color="auto"/>
            </w:tcBorders>
          </w:tcPr>
          <w:p>
            <w:pPr>
              <w:spacing w:after="0"/>
              <w:rPr>
                <w:sz w:val="3"/>
                <w:szCs w:val="3"/>
                <w:color w:val="auto"/>
              </w:rPr>
            </w:pPr>
          </w:p>
        </w:tc>
      </w:tr>
      <w:tr>
        <w:trPr>
          <w:trHeight w:val="175"/>
        </w:trPr>
        <w:tc>
          <w:tcPr>
            <w:tcW w:w="29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1"/>
                <w:szCs w:val="11"/>
                <w:b w:val="1"/>
                <w:bCs w:val="1"/>
                <w:color w:val="auto"/>
              </w:rPr>
              <w:t>Type of Award</w:t>
            </w:r>
          </w:p>
        </w:tc>
        <w:tc>
          <w:tcPr>
            <w:tcW w:w="960" w:type="dxa"/>
            <w:vAlign w:val="bottom"/>
            <w:tcBorders>
              <w:bottom w:val="single" w:sz="8" w:color="auto"/>
              <w:right w:val="single" w:sz="8" w:color="auto"/>
            </w:tcBorders>
            <w:gridSpan w:val="2"/>
          </w:tcPr>
          <w:p>
            <w:pPr>
              <w:jc w:val="right"/>
              <w:ind w:right="167"/>
              <w:spacing w:after="0"/>
              <w:rPr>
                <w:sz w:val="20"/>
                <w:szCs w:val="20"/>
                <w:color w:val="auto"/>
              </w:rPr>
            </w:pPr>
            <w:r>
              <w:rPr>
                <w:rFonts w:ascii="Arial" w:cs="Arial" w:eastAsia="Arial" w:hAnsi="Arial"/>
                <w:sz w:val="11"/>
                <w:szCs w:val="11"/>
                <w:b w:val="1"/>
                <w:bCs w:val="1"/>
                <w:color w:val="auto"/>
              </w:rPr>
              <w:t>Vesting Date</w:t>
            </w:r>
          </w:p>
        </w:tc>
        <w:tc>
          <w:tcPr>
            <w:tcW w:w="600" w:type="dxa"/>
            <w:vAlign w:val="bottom"/>
            <w:tcBorders>
              <w:bottom w:val="single" w:sz="8" w:color="auto"/>
              <w:right w:val="single" w:sz="8" w:color="auto"/>
            </w:tcBorders>
          </w:tcPr>
          <w:p>
            <w:pPr>
              <w:jc w:val="right"/>
              <w:ind w:right="147"/>
              <w:spacing w:after="0"/>
              <w:rPr>
                <w:sz w:val="20"/>
                <w:szCs w:val="20"/>
                <w:color w:val="auto"/>
              </w:rPr>
            </w:pPr>
            <w:r>
              <w:rPr>
                <w:rFonts w:ascii="Arial" w:cs="Arial" w:eastAsia="Arial" w:hAnsi="Arial"/>
                <w:sz w:val="11"/>
                <w:szCs w:val="11"/>
                <w:b w:val="1"/>
                <w:bCs w:val="1"/>
                <w:color w:val="auto"/>
              </w:rPr>
              <w:t>Price</w:t>
            </w:r>
          </w:p>
        </w:tc>
      </w:tr>
      <w:tr>
        <w:trPr>
          <w:trHeight w:val="179"/>
        </w:trPr>
        <w:tc>
          <w:tcPr>
            <w:tcW w:w="29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1"/>
                <w:szCs w:val="11"/>
                <w:color w:val="auto"/>
              </w:rPr>
              <w:t>PSU</w:t>
            </w:r>
          </w:p>
        </w:tc>
        <w:tc>
          <w:tcPr>
            <w:tcW w:w="960" w:type="dxa"/>
            <w:vAlign w:val="bottom"/>
            <w:tcBorders>
              <w:bottom w:val="single" w:sz="8" w:color="auto"/>
              <w:right w:val="single" w:sz="8" w:color="auto"/>
            </w:tcBorders>
            <w:gridSpan w:val="2"/>
          </w:tcPr>
          <w:p>
            <w:pPr>
              <w:jc w:val="right"/>
              <w:ind w:right="47"/>
              <w:spacing w:after="0"/>
              <w:rPr>
                <w:sz w:val="20"/>
                <w:szCs w:val="20"/>
                <w:color w:val="auto"/>
              </w:rPr>
            </w:pPr>
            <w:r>
              <w:rPr>
                <w:rFonts w:ascii="Arial" w:cs="Arial" w:eastAsia="Arial" w:hAnsi="Arial"/>
                <w:sz w:val="11"/>
                <w:szCs w:val="11"/>
                <w:color w:val="auto"/>
                <w:w w:val="98"/>
              </w:rPr>
              <w:t>January 31, 2020</w:t>
            </w:r>
          </w:p>
        </w:tc>
        <w:tc>
          <w:tcPr>
            <w:tcW w:w="600" w:type="dxa"/>
            <w:vAlign w:val="bottom"/>
            <w:tcBorders>
              <w:bottom w:val="single" w:sz="8" w:color="auto"/>
              <w:right w:val="single" w:sz="8" w:color="auto"/>
            </w:tcBorders>
          </w:tcPr>
          <w:p>
            <w:pPr>
              <w:jc w:val="right"/>
              <w:ind w:right="107"/>
              <w:spacing w:after="0"/>
              <w:rPr>
                <w:sz w:val="20"/>
                <w:szCs w:val="20"/>
                <w:color w:val="auto"/>
              </w:rPr>
            </w:pPr>
            <w:r>
              <w:rPr>
                <w:rFonts w:ascii="Arial" w:cs="Arial" w:eastAsia="Arial" w:hAnsi="Arial"/>
                <w:sz w:val="11"/>
                <w:szCs w:val="11"/>
                <w:color w:val="auto"/>
              </w:rPr>
              <w:t>$12.01</w:t>
            </w:r>
          </w:p>
        </w:tc>
      </w:tr>
      <w:tr>
        <w:trPr>
          <w:trHeight w:val="179"/>
        </w:trPr>
        <w:tc>
          <w:tcPr>
            <w:tcW w:w="29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1"/>
                <w:szCs w:val="11"/>
                <w:color w:val="auto"/>
              </w:rPr>
              <w:t>RSU</w:t>
            </w:r>
          </w:p>
        </w:tc>
        <w:tc>
          <w:tcPr>
            <w:tcW w:w="960" w:type="dxa"/>
            <w:vAlign w:val="bottom"/>
            <w:tcBorders>
              <w:bottom w:val="single" w:sz="8" w:color="auto"/>
              <w:right w:val="single" w:sz="8" w:color="auto"/>
            </w:tcBorders>
            <w:gridSpan w:val="2"/>
          </w:tcPr>
          <w:p>
            <w:pPr>
              <w:jc w:val="right"/>
              <w:ind w:right="47"/>
              <w:spacing w:after="0"/>
              <w:rPr>
                <w:sz w:val="20"/>
                <w:szCs w:val="20"/>
                <w:color w:val="auto"/>
              </w:rPr>
            </w:pPr>
            <w:r>
              <w:rPr>
                <w:rFonts w:ascii="Arial" w:cs="Arial" w:eastAsia="Arial" w:hAnsi="Arial"/>
                <w:sz w:val="11"/>
                <w:szCs w:val="11"/>
                <w:color w:val="auto"/>
                <w:w w:val="98"/>
              </w:rPr>
              <w:t>January 30, 2020</w:t>
            </w:r>
          </w:p>
        </w:tc>
        <w:tc>
          <w:tcPr>
            <w:tcW w:w="600" w:type="dxa"/>
            <w:vAlign w:val="bottom"/>
            <w:tcBorders>
              <w:bottom w:val="single" w:sz="8" w:color="auto"/>
              <w:right w:val="single" w:sz="8" w:color="auto"/>
            </w:tcBorders>
          </w:tcPr>
          <w:p>
            <w:pPr>
              <w:jc w:val="right"/>
              <w:ind w:right="107"/>
              <w:spacing w:after="0"/>
              <w:rPr>
                <w:sz w:val="20"/>
                <w:szCs w:val="20"/>
                <w:color w:val="auto"/>
              </w:rPr>
            </w:pPr>
            <w:r>
              <w:rPr>
                <w:rFonts w:ascii="Arial" w:cs="Arial" w:eastAsia="Arial" w:hAnsi="Arial"/>
                <w:sz w:val="11"/>
                <w:szCs w:val="11"/>
                <w:color w:val="auto"/>
              </w:rPr>
              <w:t>$11.94</w:t>
            </w:r>
          </w:p>
        </w:tc>
      </w:tr>
      <w:tr>
        <w:trPr>
          <w:trHeight w:val="179"/>
        </w:trPr>
        <w:tc>
          <w:tcPr>
            <w:tcW w:w="29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1"/>
                <w:szCs w:val="11"/>
                <w:color w:val="auto"/>
              </w:rPr>
              <w:t>RSU</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February 6,</w:t>
            </w:r>
          </w:p>
        </w:tc>
        <w:tc>
          <w:tcPr>
            <w:tcW w:w="320" w:type="dxa"/>
            <w:vAlign w:val="bottom"/>
            <w:tcBorders>
              <w:bottom w:val="single" w:sz="8" w:color="auto"/>
              <w:right w:val="single" w:sz="8" w:color="auto"/>
            </w:tcBorders>
          </w:tcPr>
          <w:p>
            <w:pPr>
              <w:jc w:val="right"/>
              <w:ind w:right="47"/>
              <w:spacing w:after="0"/>
              <w:rPr>
                <w:sz w:val="20"/>
                <w:szCs w:val="20"/>
                <w:color w:val="auto"/>
              </w:rPr>
            </w:pPr>
            <w:r>
              <w:rPr>
                <w:rFonts w:ascii="Arial" w:cs="Arial" w:eastAsia="Arial" w:hAnsi="Arial"/>
                <w:sz w:val="11"/>
                <w:szCs w:val="11"/>
                <w:color w:val="auto"/>
                <w:w w:val="81"/>
              </w:rPr>
              <w:t>2020</w:t>
            </w:r>
          </w:p>
        </w:tc>
        <w:tc>
          <w:tcPr>
            <w:tcW w:w="600" w:type="dxa"/>
            <w:vAlign w:val="bottom"/>
            <w:tcBorders>
              <w:bottom w:val="single" w:sz="8" w:color="auto"/>
              <w:right w:val="single" w:sz="8" w:color="auto"/>
            </w:tcBorders>
          </w:tcPr>
          <w:p>
            <w:pPr>
              <w:jc w:val="right"/>
              <w:ind w:right="107"/>
              <w:spacing w:after="0"/>
              <w:rPr>
                <w:sz w:val="20"/>
                <w:szCs w:val="20"/>
                <w:color w:val="auto"/>
              </w:rPr>
            </w:pPr>
            <w:r>
              <w:rPr>
                <w:rFonts w:ascii="Arial" w:cs="Arial" w:eastAsia="Arial" w:hAnsi="Arial"/>
                <w:sz w:val="11"/>
                <w:szCs w:val="11"/>
                <w:color w:val="auto"/>
              </w:rPr>
              <w:t>$11.12</w:t>
            </w:r>
          </w:p>
        </w:tc>
      </w:tr>
      <w:tr>
        <w:trPr>
          <w:trHeight w:val="179"/>
        </w:trPr>
        <w:tc>
          <w:tcPr>
            <w:tcW w:w="29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1"/>
                <w:szCs w:val="11"/>
                <w:color w:val="auto"/>
              </w:rPr>
              <w:t>RSU</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5"/>
              </w:rPr>
              <w:t>December 1,</w:t>
            </w:r>
          </w:p>
        </w:tc>
        <w:tc>
          <w:tcPr>
            <w:tcW w:w="320" w:type="dxa"/>
            <w:vAlign w:val="bottom"/>
            <w:tcBorders>
              <w:bottom w:val="single" w:sz="8" w:color="auto"/>
              <w:right w:val="single" w:sz="8" w:color="auto"/>
            </w:tcBorders>
          </w:tcPr>
          <w:p>
            <w:pPr>
              <w:jc w:val="right"/>
              <w:ind w:right="47"/>
              <w:spacing w:after="0"/>
              <w:rPr>
                <w:sz w:val="20"/>
                <w:szCs w:val="20"/>
                <w:color w:val="auto"/>
              </w:rPr>
            </w:pPr>
            <w:r>
              <w:rPr>
                <w:rFonts w:ascii="Arial" w:cs="Arial" w:eastAsia="Arial" w:hAnsi="Arial"/>
                <w:sz w:val="11"/>
                <w:szCs w:val="11"/>
                <w:color w:val="auto"/>
                <w:w w:val="81"/>
              </w:rPr>
              <w:t>2020</w:t>
            </w:r>
          </w:p>
        </w:tc>
        <w:tc>
          <w:tcPr>
            <w:tcW w:w="600" w:type="dxa"/>
            <w:vAlign w:val="bottom"/>
            <w:tcBorders>
              <w:bottom w:val="single" w:sz="8" w:color="auto"/>
              <w:right w:val="single" w:sz="8" w:color="auto"/>
            </w:tcBorders>
          </w:tcPr>
          <w:p>
            <w:pPr>
              <w:jc w:val="right"/>
              <w:ind w:right="107"/>
              <w:spacing w:after="0"/>
              <w:rPr>
                <w:sz w:val="20"/>
                <w:szCs w:val="20"/>
                <w:color w:val="auto"/>
              </w:rPr>
            </w:pPr>
            <w:r>
              <w:rPr>
                <w:rFonts w:ascii="Arial" w:cs="Arial" w:eastAsia="Arial" w:hAnsi="Arial"/>
                <w:sz w:val="11"/>
                <w:szCs w:val="11"/>
                <w:color w:val="auto"/>
              </w:rPr>
              <w:t>$9.82</w:t>
            </w:r>
          </w:p>
        </w:tc>
      </w:tr>
      <w:tr>
        <w:trPr>
          <w:trHeight w:val="20"/>
        </w:trPr>
        <w:tc>
          <w:tcPr>
            <w:tcW w:w="2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r>
    </w:tbl>
    <w:p>
      <w:pPr>
        <w:spacing w:after="0" w:line="101" w:lineRule="exact"/>
        <w:rPr>
          <w:sz w:val="20"/>
          <w:szCs w:val="20"/>
          <w:color w:val="auto"/>
        </w:rPr>
      </w:pPr>
    </w:p>
    <w:p>
      <w:pPr>
        <w:jc w:val="both"/>
        <w:ind w:left="1740" w:right="1499"/>
        <w:spacing w:after="0" w:line="226" w:lineRule="auto"/>
        <w:rPr>
          <w:sz w:val="20"/>
          <w:szCs w:val="20"/>
          <w:color w:val="auto"/>
        </w:rPr>
      </w:pPr>
      <w:r>
        <w:rPr>
          <w:rFonts w:ascii="Arial" w:cs="Arial" w:eastAsia="Arial" w:hAnsi="Arial"/>
          <w:sz w:val="11"/>
          <w:szCs w:val="11"/>
          <w:color w:val="auto"/>
        </w:rPr>
        <w:t>Certain values in this column were converted to U.S. dollars from Canadian dollars at the average exchange rate for 2020 of $1.00 equals C$1.3422. With respect to previously-issued PSUs that vested in 2020, the Corporation’s relative TSR (determinative for 60% of such PSUs) ranked below the 25</w:t>
      </w:r>
      <w:r>
        <w:rPr>
          <w:rFonts w:ascii="Arial" w:cs="Arial" w:eastAsia="Arial" w:hAnsi="Arial"/>
          <w:sz w:val="15"/>
          <w:szCs w:val="15"/>
          <w:color w:val="auto"/>
          <w:vertAlign w:val="superscript"/>
        </w:rPr>
        <w:t>th</w:t>
      </w:r>
      <w:r>
        <w:rPr>
          <w:rFonts w:ascii="Arial" w:cs="Arial" w:eastAsia="Arial" w:hAnsi="Arial"/>
          <w:sz w:val="11"/>
          <w:szCs w:val="11"/>
          <w:color w:val="auto"/>
        </w:rPr>
        <w:t xml:space="preserve"> percentile of the TSR Comparators, resulting in zero achievement for such PSUs and the Corporation’s relative three year average non-IFRS adjusted ROIC (determinative for 40% of such PSUs) ranked 3</w:t>
      </w:r>
      <w:r>
        <w:rPr>
          <w:rFonts w:ascii="Arial" w:cs="Arial" w:eastAsia="Arial" w:hAnsi="Arial"/>
          <w:sz w:val="15"/>
          <w:szCs w:val="15"/>
          <w:color w:val="auto"/>
          <w:vertAlign w:val="superscript"/>
        </w:rPr>
        <w:t>rd</w:t>
      </w:r>
      <w:r>
        <w:rPr>
          <w:rFonts w:ascii="Arial" w:cs="Arial" w:eastAsia="Arial" w:hAnsi="Arial"/>
          <w:sz w:val="11"/>
          <w:szCs w:val="11"/>
          <w:color w:val="auto"/>
        </w:rPr>
        <w:t xml:space="preserve"> among the ROIC competitors resulting in 100% achievement for an overall vesting level of 40%, i.e. ((60% * 0%) + (40% * 100%)).</w:t>
      </w:r>
    </w:p>
    <w:p>
      <w:pPr>
        <w:spacing w:after="0" w:line="35" w:lineRule="exact"/>
        <w:rPr>
          <w:sz w:val="20"/>
          <w:szCs w:val="20"/>
          <w:color w:val="auto"/>
        </w:rPr>
      </w:pPr>
    </w:p>
    <w:p>
      <w:pPr>
        <w:jc w:val="both"/>
        <w:ind w:left="1740" w:right="1499" w:hanging="262"/>
        <w:spacing w:after="0" w:line="234" w:lineRule="auto"/>
        <w:tabs>
          <w:tab w:leader="none" w:pos="1740" w:val="left"/>
        </w:tabs>
        <w:numPr>
          <w:ilvl w:val="0"/>
          <w:numId w:val="93"/>
        </w:numPr>
        <w:rPr>
          <w:rFonts w:ascii="Arial" w:cs="Arial" w:eastAsia="Arial" w:hAnsi="Arial"/>
          <w:sz w:val="15"/>
          <w:szCs w:val="15"/>
          <w:color w:val="auto"/>
          <w:vertAlign w:val="superscript"/>
        </w:rPr>
      </w:pPr>
      <w:r>
        <w:rPr>
          <w:rFonts w:ascii="Arial" w:cs="Arial" w:eastAsia="Arial" w:hAnsi="Arial"/>
          <w:sz w:val="10"/>
          <w:szCs w:val="10"/>
          <w:color w:val="auto"/>
        </w:rPr>
        <w:t xml:space="preserve">Consists of payments under the CTI made on February 19, 2021 in respect of 2020 performance. See </w:t>
      </w:r>
      <w:r>
        <w:rPr>
          <w:rFonts w:ascii="Arial" w:cs="Arial" w:eastAsia="Arial" w:hAnsi="Arial"/>
          <w:sz w:val="10"/>
          <w:szCs w:val="10"/>
          <w:i w:val="1"/>
          <w:iCs w:val="1"/>
          <w:color w:val="auto"/>
        </w:rPr>
        <w:t>Compensation Discussion</w:t>
      </w:r>
      <w:r>
        <w:rPr>
          <w:rFonts w:ascii="Arial" w:cs="Arial" w:eastAsia="Arial" w:hAnsi="Arial"/>
          <w:sz w:val="10"/>
          <w:szCs w:val="10"/>
          <w:color w:val="auto"/>
        </w:rPr>
        <w:t xml:space="preserve"> </w:t>
      </w:r>
      <w:r>
        <w:rPr>
          <w:rFonts w:ascii="Arial" w:cs="Arial" w:eastAsia="Arial" w:hAnsi="Arial"/>
          <w:sz w:val="10"/>
          <w:szCs w:val="10"/>
          <w:i w:val="1"/>
          <w:iCs w:val="1"/>
          <w:color w:val="auto"/>
        </w:rPr>
        <w:t>and Analysis — 2020 Compensation Decisions — Annual Incentive Award — Target Award</w:t>
      </w:r>
      <w:r>
        <w:rPr>
          <w:rFonts w:ascii="Arial" w:cs="Arial" w:eastAsia="Arial" w:hAnsi="Arial"/>
          <w:sz w:val="10"/>
          <w:szCs w:val="10"/>
          <w:color w:val="auto"/>
        </w:rPr>
        <w:t>. These are the same amounts as</w:t>
      </w:r>
      <w:r>
        <w:rPr>
          <w:rFonts w:ascii="Arial" w:cs="Arial" w:eastAsia="Arial" w:hAnsi="Arial"/>
          <w:sz w:val="10"/>
          <w:szCs w:val="10"/>
          <w:i w:val="1"/>
          <w:iCs w:val="1"/>
          <w:color w:val="auto"/>
        </w:rPr>
        <w:t xml:space="preserve"> </w:t>
      </w:r>
      <w:r>
        <w:rPr>
          <w:rFonts w:ascii="Arial" w:cs="Arial" w:eastAsia="Arial" w:hAnsi="Arial"/>
          <w:sz w:val="10"/>
          <w:szCs w:val="10"/>
          <w:color w:val="auto"/>
        </w:rPr>
        <w:t>disclosed in Table 20 under the column “Non-equity Incentive Plan Compensation — Annual Incentive Plans”.</w:t>
      </w:r>
    </w:p>
    <w:p>
      <w:pPr>
        <w:spacing w:after="0" w:line="70"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No gains were realized by NEOs from exercising stock options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5" w:name="page76"/>
    <w:bookmarkEnd w:id="75"/>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71"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Securities Authorized for Issuance Under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38100</wp:posOffset>
            </wp:positionV>
            <wp:extent cx="3843655" cy="63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843655" cy="635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50800</wp:posOffset>
            </wp:positionV>
            <wp:extent cx="3843655" cy="63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Table 23: Equity Compensation Plans as at December 31, 2020</w:t>
      </w:r>
    </w:p>
    <w:p>
      <w:pPr>
        <w:spacing w:after="0" w:line="67" w:lineRule="exact"/>
        <w:rPr>
          <w:sz w:val="20"/>
          <w:szCs w:val="20"/>
          <w:color w:val="auto"/>
        </w:rPr>
      </w:pPr>
    </w:p>
    <w:tbl>
      <w:tblPr>
        <w:tblLayout w:type="fixed"/>
        <w:tblInd w:w="1490" w:type="dxa"/>
        <w:tblCellMar>
          <w:top w:w="0" w:type="dxa"/>
          <w:left w:w="0" w:type="dxa"/>
          <w:bottom w:w="0" w:type="dxa"/>
          <w:right w:w="0" w:type="dxa"/>
        </w:tblCellMar>
      </w:tblPr>
      <w:tr>
        <w:trPr>
          <w:trHeight w:val="45"/>
        </w:trPr>
        <w:tc>
          <w:tcPr>
            <w:tcW w:w="1680" w:type="dxa"/>
            <w:vAlign w:val="bottom"/>
            <w:tcBorders>
              <w:top w:val="single" w:sz="8" w:color="auto"/>
              <w:bottom w:val="single" w:sz="8" w:color="auto"/>
            </w:tcBorders>
          </w:tcPr>
          <w:p>
            <w:pPr>
              <w:spacing w:after="0"/>
              <w:rPr>
                <w:sz w:val="3"/>
                <w:szCs w:val="3"/>
                <w:color w:val="auto"/>
              </w:rPr>
            </w:pPr>
          </w:p>
        </w:tc>
        <w:tc>
          <w:tcPr>
            <w:tcW w:w="1020" w:type="dxa"/>
            <w:vAlign w:val="bottom"/>
            <w:tcBorders>
              <w:top w:val="single" w:sz="8" w:color="auto"/>
              <w:bottom w:val="single" w:sz="8" w:color="auto"/>
            </w:tcBorders>
          </w:tcPr>
          <w:p>
            <w:pPr>
              <w:spacing w:after="0"/>
              <w:rPr>
                <w:sz w:val="3"/>
                <w:szCs w:val="3"/>
                <w:color w:val="auto"/>
              </w:rPr>
            </w:pPr>
          </w:p>
        </w:tc>
        <w:tc>
          <w:tcPr>
            <w:tcW w:w="1120" w:type="dxa"/>
            <w:vAlign w:val="bottom"/>
            <w:tcBorders>
              <w:top w:val="single" w:sz="8" w:color="auto"/>
              <w:bottom w:val="single" w:sz="8" w:color="auto"/>
            </w:tcBorders>
          </w:tcPr>
          <w:p>
            <w:pPr>
              <w:spacing w:after="0"/>
              <w:rPr>
                <w:sz w:val="3"/>
                <w:szCs w:val="3"/>
                <w:color w:val="auto"/>
              </w:rPr>
            </w:pPr>
          </w:p>
        </w:tc>
        <w:tc>
          <w:tcPr>
            <w:tcW w:w="1100" w:type="dxa"/>
            <w:vAlign w:val="bottom"/>
            <w:tcBorders>
              <w:top w:val="single" w:sz="8" w:color="auto"/>
              <w:bottom w:val="single" w:sz="8" w:color="auto"/>
            </w:tcBorders>
          </w:tcPr>
          <w:p>
            <w:pPr>
              <w:spacing w:after="0"/>
              <w:rPr>
                <w:sz w:val="3"/>
                <w:szCs w:val="3"/>
                <w:color w:val="auto"/>
              </w:rPr>
            </w:pPr>
          </w:p>
        </w:tc>
        <w:tc>
          <w:tcPr>
            <w:tcW w:w="1140" w:type="dxa"/>
            <w:vAlign w:val="bottom"/>
            <w:tcBorders>
              <w:top w:val="single" w:sz="8" w:color="auto"/>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1680" w:type="dxa"/>
            <w:vAlign w:val="bottom"/>
            <w:tcBorders>
              <w:lef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jc w:val="center"/>
              <w:ind w:right="2"/>
              <w:spacing w:after="0"/>
              <w:rPr>
                <w:sz w:val="20"/>
                <w:szCs w:val="20"/>
                <w:color w:val="auto"/>
              </w:rPr>
            </w:pPr>
            <w:r>
              <w:rPr>
                <w:rFonts w:ascii="Arial" w:cs="Arial" w:eastAsia="Arial" w:hAnsi="Arial"/>
                <w:sz w:val="11"/>
                <w:szCs w:val="11"/>
                <w:b w:val="1"/>
                <w:bCs w:val="1"/>
                <w:color w:val="auto"/>
                <w:w w:val="80"/>
              </w:rPr>
              <w:t>Securities to be</w:t>
            </w:r>
          </w:p>
        </w:tc>
        <w:tc>
          <w:tcPr>
            <w:tcW w:w="110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jc w:val="center"/>
              <w:ind w:right="2"/>
              <w:spacing w:after="0"/>
              <w:rPr>
                <w:sz w:val="20"/>
                <w:szCs w:val="20"/>
                <w:color w:val="auto"/>
              </w:rPr>
            </w:pPr>
            <w:r>
              <w:rPr>
                <w:rFonts w:ascii="Arial" w:cs="Arial" w:eastAsia="Arial" w:hAnsi="Arial"/>
                <w:sz w:val="11"/>
                <w:szCs w:val="11"/>
                <w:b w:val="1"/>
                <w:bCs w:val="1"/>
                <w:color w:val="auto"/>
                <w:w w:val="82"/>
              </w:rPr>
              <w:t>Securities Remaining</w:t>
            </w:r>
          </w:p>
        </w:tc>
        <w:tc>
          <w:tcPr>
            <w:tcW w:w="0" w:type="dxa"/>
            <w:vAlign w:val="bottom"/>
          </w:tcPr>
          <w:p>
            <w:pPr>
              <w:spacing w:after="0"/>
              <w:rPr>
                <w:sz w:val="1"/>
                <w:szCs w:val="1"/>
                <w:color w:val="auto"/>
              </w:rPr>
            </w:pPr>
          </w:p>
        </w:tc>
      </w:tr>
      <w:tr>
        <w:trPr>
          <w:trHeight w:val="119"/>
        </w:trPr>
        <w:tc>
          <w:tcPr>
            <w:tcW w:w="1680" w:type="dxa"/>
            <w:vAlign w:val="bottom"/>
            <w:tcBorders>
              <w:lef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jc w:val="center"/>
              <w:ind w:right="2"/>
              <w:spacing w:after="0" w:line="120" w:lineRule="exact"/>
              <w:rPr>
                <w:sz w:val="20"/>
                <w:szCs w:val="20"/>
                <w:color w:val="auto"/>
              </w:rPr>
            </w:pPr>
            <w:r>
              <w:rPr>
                <w:rFonts w:ascii="Arial" w:cs="Arial" w:eastAsia="Arial" w:hAnsi="Arial"/>
                <w:sz w:val="11"/>
                <w:szCs w:val="11"/>
                <w:b w:val="1"/>
                <w:bCs w:val="1"/>
                <w:color w:val="auto"/>
                <w:w w:val="82"/>
              </w:rPr>
              <w:t>Issued Upon Exercise</w:t>
            </w:r>
          </w:p>
        </w:tc>
        <w:tc>
          <w:tcPr>
            <w:tcW w:w="1100" w:type="dxa"/>
            <w:vAlign w:val="bottom"/>
            <w:tcBorders>
              <w:right w:val="single" w:sz="8" w:color="auto"/>
            </w:tcBorders>
          </w:tcPr>
          <w:p>
            <w:pPr>
              <w:jc w:val="center"/>
              <w:ind w:right="1"/>
              <w:spacing w:after="0" w:line="120" w:lineRule="exact"/>
              <w:rPr>
                <w:sz w:val="20"/>
                <w:szCs w:val="20"/>
                <w:color w:val="auto"/>
              </w:rPr>
            </w:pPr>
            <w:r>
              <w:rPr>
                <w:rFonts w:ascii="Arial" w:cs="Arial" w:eastAsia="Arial" w:hAnsi="Arial"/>
                <w:sz w:val="11"/>
                <w:szCs w:val="11"/>
                <w:b w:val="1"/>
                <w:bCs w:val="1"/>
                <w:color w:val="auto"/>
                <w:w w:val="82"/>
              </w:rPr>
              <w:t>Weighted-Average</w:t>
            </w:r>
          </w:p>
        </w:tc>
        <w:tc>
          <w:tcPr>
            <w:tcW w:w="1140" w:type="dxa"/>
            <w:vAlign w:val="bottom"/>
            <w:tcBorders>
              <w:right w:val="single" w:sz="8" w:color="auto"/>
            </w:tcBorders>
          </w:tcPr>
          <w:p>
            <w:pPr>
              <w:jc w:val="center"/>
              <w:ind w:right="2"/>
              <w:spacing w:after="0" w:line="120" w:lineRule="exact"/>
              <w:rPr>
                <w:sz w:val="20"/>
                <w:szCs w:val="20"/>
                <w:color w:val="auto"/>
              </w:rPr>
            </w:pPr>
            <w:r>
              <w:rPr>
                <w:rFonts w:ascii="Arial" w:cs="Arial" w:eastAsia="Arial" w:hAnsi="Arial"/>
                <w:sz w:val="11"/>
                <w:szCs w:val="11"/>
                <w:b w:val="1"/>
                <w:bCs w:val="1"/>
                <w:color w:val="auto"/>
                <w:w w:val="85"/>
              </w:rPr>
              <w:t>Available for Future</w:t>
            </w:r>
          </w:p>
        </w:tc>
        <w:tc>
          <w:tcPr>
            <w:tcW w:w="0" w:type="dxa"/>
            <w:vAlign w:val="bottom"/>
          </w:tcPr>
          <w:p>
            <w:pPr>
              <w:spacing w:after="0"/>
              <w:rPr>
                <w:sz w:val="1"/>
                <w:szCs w:val="1"/>
                <w:color w:val="auto"/>
              </w:rPr>
            </w:pPr>
          </w:p>
        </w:tc>
      </w:tr>
      <w:tr>
        <w:trPr>
          <w:trHeight w:val="119"/>
        </w:trPr>
        <w:tc>
          <w:tcPr>
            <w:tcW w:w="1680" w:type="dxa"/>
            <w:vAlign w:val="bottom"/>
            <w:tcBorders>
              <w:lef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jc w:val="center"/>
              <w:ind w:right="2"/>
              <w:spacing w:after="0" w:line="120" w:lineRule="exact"/>
              <w:rPr>
                <w:sz w:val="20"/>
                <w:szCs w:val="20"/>
                <w:color w:val="auto"/>
              </w:rPr>
            </w:pPr>
            <w:r>
              <w:rPr>
                <w:rFonts w:ascii="Arial" w:cs="Arial" w:eastAsia="Arial" w:hAnsi="Arial"/>
                <w:sz w:val="11"/>
                <w:szCs w:val="11"/>
                <w:b w:val="1"/>
                <w:bCs w:val="1"/>
                <w:color w:val="auto"/>
                <w:w w:val="84"/>
              </w:rPr>
              <w:t>of Outstanding</w:t>
            </w:r>
          </w:p>
        </w:tc>
        <w:tc>
          <w:tcPr>
            <w:tcW w:w="1100" w:type="dxa"/>
            <w:vAlign w:val="bottom"/>
            <w:tcBorders>
              <w:right w:val="single" w:sz="8" w:color="auto"/>
            </w:tcBorders>
          </w:tcPr>
          <w:p>
            <w:pPr>
              <w:jc w:val="center"/>
              <w:ind w:right="1"/>
              <w:spacing w:after="0" w:line="120" w:lineRule="exact"/>
              <w:rPr>
                <w:sz w:val="20"/>
                <w:szCs w:val="20"/>
                <w:color w:val="auto"/>
              </w:rPr>
            </w:pPr>
            <w:r>
              <w:rPr>
                <w:rFonts w:ascii="Arial" w:cs="Arial" w:eastAsia="Arial" w:hAnsi="Arial"/>
                <w:sz w:val="11"/>
                <w:szCs w:val="11"/>
                <w:b w:val="1"/>
                <w:bCs w:val="1"/>
                <w:color w:val="auto"/>
                <w:w w:val="81"/>
              </w:rPr>
              <w:t>Exercise Price of</w:t>
            </w:r>
          </w:p>
        </w:tc>
        <w:tc>
          <w:tcPr>
            <w:tcW w:w="1140" w:type="dxa"/>
            <w:vAlign w:val="bottom"/>
            <w:tcBorders>
              <w:right w:val="single" w:sz="8" w:color="auto"/>
            </w:tcBorders>
          </w:tcPr>
          <w:p>
            <w:pPr>
              <w:jc w:val="center"/>
              <w:ind w:right="2"/>
              <w:spacing w:after="0" w:line="120" w:lineRule="exact"/>
              <w:rPr>
                <w:sz w:val="20"/>
                <w:szCs w:val="20"/>
                <w:color w:val="auto"/>
              </w:rPr>
            </w:pPr>
            <w:r>
              <w:rPr>
                <w:rFonts w:ascii="Arial" w:cs="Arial" w:eastAsia="Arial" w:hAnsi="Arial"/>
                <w:sz w:val="11"/>
                <w:szCs w:val="11"/>
                <w:b w:val="1"/>
                <w:bCs w:val="1"/>
                <w:color w:val="auto"/>
                <w:w w:val="82"/>
              </w:rPr>
              <w:t>Issuance Under</w:t>
            </w:r>
          </w:p>
        </w:tc>
        <w:tc>
          <w:tcPr>
            <w:tcW w:w="0" w:type="dxa"/>
            <w:vAlign w:val="bottom"/>
          </w:tcPr>
          <w:p>
            <w:pPr>
              <w:spacing w:after="0"/>
              <w:rPr>
                <w:sz w:val="1"/>
                <w:szCs w:val="1"/>
                <w:color w:val="auto"/>
              </w:rPr>
            </w:pPr>
          </w:p>
        </w:tc>
      </w:tr>
      <w:tr>
        <w:trPr>
          <w:trHeight w:val="117"/>
        </w:trPr>
        <w:tc>
          <w:tcPr>
            <w:tcW w:w="1680" w:type="dxa"/>
            <w:vAlign w:val="bottom"/>
            <w:tcBorders>
              <w:lef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jc w:val="center"/>
              <w:ind w:right="2"/>
              <w:spacing w:after="0" w:line="117" w:lineRule="exact"/>
              <w:rPr>
                <w:sz w:val="20"/>
                <w:szCs w:val="20"/>
                <w:color w:val="auto"/>
              </w:rPr>
            </w:pPr>
            <w:r>
              <w:rPr>
                <w:rFonts w:ascii="Arial" w:cs="Arial" w:eastAsia="Arial" w:hAnsi="Arial"/>
                <w:sz w:val="11"/>
                <w:szCs w:val="11"/>
                <w:b w:val="1"/>
                <w:bCs w:val="1"/>
                <w:color w:val="auto"/>
                <w:w w:val="85"/>
              </w:rPr>
              <w:t>Options, Warrants</w:t>
            </w:r>
          </w:p>
        </w:tc>
        <w:tc>
          <w:tcPr>
            <w:tcW w:w="1100" w:type="dxa"/>
            <w:vAlign w:val="bottom"/>
            <w:tcBorders>
              <w:right w:val="single" w:sz="8" w:color="auto"/>
            </w:tcBorders>
          </w:tcPr>
          <w:p>
            <w:pPr>
              <w:jc w:val="center"/>
              <w:ind w:right="21"/>
              <w:spacing w:after="0" w:line="117" w:lineRule="exact"/>
              <w:rPr>
                <w:sz w:val="20"/>
                <w:szCs w:val="20"/>
                <w:color w:val="auto"/>
              </w:rPr>
            </w:pPr>
            <w:r>
              <w:rPr>
                <w:rFonts w:ascii="Arial" w:cs="Arial" w:eastAsia="Arial" w:hAnsi="Arial"/>
                <w:sz w:val="11"/>
                <w:szCs w:val="11"/>
                <w:b w:val="1"/>
                <w:bCs w:val="1"/>
                <w:color w:val="auto"/>
                <w:w w:val="83"/>
              </w:rPr>
              <w:t>Outstanding Options,</w:t>
            </w:r>
          </w:p>
        </w:tc>
        <w:tc>
          <w:tcPr>
            <w:tcW w:w="1140" w:type="dxa"/>
            <w:vAlign w:val="bottom"/>
            <w:tcBorders>
              <w:right w:val="single" w:sz="8" w:color="auto"/>
            </w:tcBorders>
          </w:tcPr>
          <w:p>
            <w:pPr>
              <w:jc w:val="center"/>
              <w:ind w:right="2"/>
              <w:spacing w:after="0" w:line="117" w:lineRule="exact"/>
              <w:rPr>
                <w:sz w:val="20"/>
                <w:szCs w:val="20"/>
                <w:color w:val="auto"/>
              </w:rPr>
            </w:pPr>
            <w:r>
              <w:rPr>
                <w:rFonts w:ascii="Arial" w:cs="Arial" w:eastAsia="Arial" w:hAnsi="Arial"/>
                <w:sz w:val="11"/>
                <w:szCs w:val="11"/>
                <w:b w:val="1"/>
                <w:bCs w:val="1"/>
                <w:color w:val="auto"/>
                <w:w w:val="84"/>
              </w:rPr>
              <w:t>Equity Compensation</w:t>
            </w:r>
          </w:p>
        </w:tc>
        <w:tc>
          <w:tcPr>
            <w:tcW w:w="0" w:type="dxa"/>
            <w:vAlign w:val="bottom"/>
          </w:tcPr>
          <w:p>
            <w:pPr>
              <w:spacing w:after="0"/>
              <w:rPr>
                <w:sz w:val="1"/>
                <w:szCs w:val="1"/>
                <w:color w:val="auto"/>
              </w:rPr>
            </w:pPr>
          </w:p>
        </w:tc>
      </w:tr>
      <w:tr>
        <w:trPr>
          <w:trHeight w:val="132"/>
        </w:trPr>
        <w:tc>
          <w:tcPr>
            <w:tcW w:w="1680" w:type="dxa"/>
            <w:vAlign w:val="bottom"/>
            <w:tcBorders>
              <w:lef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jc w:val="center"/>
              <w:ind w:right="2"/>
              <w:spacing w:after="0"/>
              <w:rPr>
                <w:sz w:val="20"/>
                <w:szCs w:val="20"/>
                <w:color w:val="auto"/>
              </w:rPr>
            </w:pPr>
            <w:r>
              <w:rPr>
                <w:rFonts w:ascii="Arial" w:cs="Arial" w:eastAsia="Arial" w:hAnsi="Arial"/>
                <w:sz w:val="11"/>
                <w:szCs w:val="11"/>
                <w:b w:val="1"/>
                <w:bCs w:val="1"/>
                <w:color w:val="auto"/>
                <w:w w:val="80"/>
              </w:rPr>
              <w:t>and Rights</w:t>
            </w:r>
          </w:p>
        </w:tc>
        <w:tc>
          <w:tcPr>
            <w:tcW w:w="1100" w:type="dxa"/>
            <w:vAlign w:val="bottom"/>
            <w:tcBorders>
              <w:right w:val="single" w:sz="8" w:color="auto"/>
            </w:tcBorders>
          </w:tcPr>
          <w:p>
            <w:pPr>
              <w:jc w:val="center"/>
              <w:ind w:right="1"/>
              <w:spacing w:after="0"/>
              <w:rPr>
                <w:sz w:val="20"/>
                <w:szCs w:val="20"/>
                <w:color w:val="auto"/>
              </w:rPr>
            </w:pPr>
            <w:r>
              <w:rPr>
                <w:rFonts w:ascii="Arial" w:cs="Arial" w:eastAsia="Arial" w:hAnsi="Arial"/>
                <w:sz w:val="11"/>
                <w:szCs w:val="11"/>
                <w:b w:val="1"/>
                <w:bCs w:val="1"/>
                <w:color w:val="auto"/>
                <w:w w:val="85"/>
              </w:rPr>
              <w:t>Warrants and Rights</w:t>
            </w:r>
          </w:p>
        </w:tc>
        <w:tc>
          <w:tcPr>
            <w:tcW w:w="1140" w:type="dxa"/>
            <w:vAlign w:val="bottom"/>
            <w:tcBorders>
              <w:right w:val="single" w:sz="8" w:color="auto"/>
            </w:tcBorders>
          </w:tcPr>
          <w:p>
            <w:pPr>
              <w:jc w:val="center"/>
              <w:ind w:right="2"/>
              <w:spacing w:after="0" w:line="133" w:lineRule="exact"/>
              <w:rPr>
                <w:sz w:val="20"/>
                <w:szCs w:val="20"/>
                <w:color w:val="auto"/>
              </w:rPr>
            </w:pPr>
            <w:r>
              <w:rPr>
                <w:rFonts w:ascii="Arial" w:cs="Arial" w:eastAsia="Arial" w:hAnsi="Arial"/>
                <w:sz w:val="11"/>
                <w:szCs w:val="11"/>
                <w:b w:val="1"/>
                <w:bCs w:val="1"/>
                <w:color w:val="auto"/>
                <w:w w:val="76"/>
              </w:rPr>
              <w:t>Plans</w:t>
            </w:r>
            <w:r>
              <w:rPr>
                <w:rFonts w:ascii="Arial" w:cs="Arial" w:eastAsia="Arial" w:hAnsi="Arial"/>
                <w:sz w:val="15"/>
                <w:szCs w:val="15"/>
                <w:b w:val="1"/>
                <w:bCs w:val="1"/>
                <w:color w:val="auto"/>
                <w:w w:val="76"/>
                <w:vertAlign w:val="superscript"/>
              </w:rPr>
              <w:t>(1)</w:t>
            </w:r>
          </w:p>
        </w:tc>
        <w:tc>
          <w:tcPr>
            <w:tcW w:w="0" w:type="dxa"/>
            <w:vAlign w:val="bottom"/>
          </w:tcPr>
          <w:p>
            <w:pPr>
              <w:spacing w:after="0"/>
              <w:rPr>
                <w:sz w:val="1"/>
                <w:szCs w:val="1"/>
                <w:color w:val="auto"/>
              </w:rPr>
            </w:pPr>
          </w:p>
        </w:tc>
      </w:tr>
      <w:tr>
        <w:trPr>
          <w:trHeight w:val="147"/>
        </w:trPr>
        <w:tc>
          <w:tcPr>
            <w:tcW w:w="1680" w:type="dxa"/>
            <w:vAlign w:val="bottom"/>
            <w:tcBorders>
              <w:left w:val="single" w:sz="8" w:color="auto"/>
              <w:bottom w:val="single" w:sz="8" w:color="auto"/>
            </w:tcBorders>
          </w:tcPr>
          <w:p>
            <w:pPr>
              <w:ind w:left="1040"/>
              <w:spacing w:after="0"/>
              <w:rPr>
                <w:sz w:val="20"/>
                <w:szCs w:val="20"/>
                <w:color w:val="auto"/>
              </w:rPr>
            </w:pPr>
            <w:r>
              <w:rPr>
                <w:rFonts w:ascii="Arial" w:cs="Arial" w:eastAsia="Arial" w:hAnsi="Arial"/>
                <w:sz w:val="11"/>
                <w:szCs w:val="11"/>
                <w:b w:val="1"/>
                <w:bCs w:val="1"/>
                <w:color w:val="auto"/>
                <w:w w:val="81"/>
              </w:rPr>
              <w:t>Plan Category</w:t>
            </w:r>
          </w:p>
        </w:tc>
        <w:tc>
          <w:tcPr>
            <w:tcW w:w="102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w:t>
            </w:r>
          </w:p>
        </w:tc>
        <w:tc>
          <w:tcPr>
            <w:tcW w:w="1140" w:type="dxa"/>
            <w:vAlign w:val="bottom"/>
            <w:tcBorders>
              <w:bottom w:val="single" w:sz="8" w:color="auto"/>
              <w:right w:val="single" w:sz="8" w:color="auto"/>
            </w:tcBorders>
          </w:tcPr>
          <w:p>
            <w:pPr>
              <w:jc w:val="right"/>
              <w:ind w:right="462"/>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209"/>
        </w:trPr>
        <w:tc>
          <w:tcPr>
            <w:tcW w:w="16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Equity Compensation</w:t>
            </w:r>
          </w:p>
        </w:tc>
        <w:tc>
          <w:tcPr>
            <w:tcW w:w="10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LTIP (Options)</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3"/>
              </w:rPr>
              <w:t>345,577</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3"/>
              </w:rPr>
              <w:t>C$16.27</w:t>
            </w:r>
          </w:p>
        </w:tc>
        <w:tc>
          <w:tcPr>
            <w:tcW w:w="114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13"/>
                <w:szCs w:val="13"/>
                <w:color w:val="auto"/>
                <w:w w:val="91"/>
              </w:rPr>
              <w:t>N/A</w:t>
            </w:r>
            <w:r>
              <w:rPr>
                <w:rFonts w:ascii="Arial" w:cs="Arial" w:eastAsia="Arial" w:hAnsi="Arial"/>
                <w:sz w:val="19"/>
                <w:szCs w:val="19"/>
                <w:color w:val="auto"/>
                <w:w w:val="91"/>
                <w:vertAlign w:val="superscript"/>
              </w:rPr>
              <w:t>(2)</w:t>
            </w:r>
          </w:p>
        </w:tc>
        <w:tc>
          <w:tcPr>
            <w:tcW w:w="0" w:type="dxa"/>
            <w:vAlign w:val="bottom"/>
          </w:tcPr>
          <w:p>
            <w:pPr>
              <w:spacing w:after="0"/>
              <w:rPr>
                <w:sz w:val="1"/>
                <w:szCs w:val="1"/>
                <w:color w:val="auto"/>
              </w:rPr>
            </w:pPr>
          </w:p>
        </w:tc>
      </w:tr>
      <w:tr>
        <w:trPr>
          <w:trHeight w:val="49"/>
        </w:trPr>
        <w:tc>
          <w:tcPr>
            <w:tcW w:w="16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3"/>
                <w:szCs w:val="13"/>
                <w:color w:val="auto"/>
              </w:rPr>
              <w:t>Plans Approved by</w:t>
            </w:r>
          </w:p>
        </w:tc>
        <w:tc>
          <w:tcPr>
            <w:tcW w:w="10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1680" w:type="dxa"/>
            <w:vAlign w:val="bottom"/>
            <w:tcBorders>
              <w:left w:val="single" w:sz="8" w:color="auto"/>
              <w:right w:val="single" w:sz="8" w:color="auto"/>
            </w:tcBorders>
            <w:vMerge w:val="continue"/>
          </w:tcPr>
          <w:p>
            <w:pPr>
              <w:spacing w:after="0"/>
              <w:rPr>
                <w:sz w:val="7"/>
                <w:szCs w:val="7"/>
                <w:color w:val="auto"/>
              </w:rPr>
            </w:pPr>
          </w:p>
        </w:tc>
        <w:tc>
          <w:tcPr>
            <w:tcW w:w="1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3"/>
                <w:szCs w:val="13"/>
                <w:color w:val="auto"/>
              </w:rPr>
              <w:t>LTIP (RSUs)</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0"/>
              </w:rPr>
              <w:t>32,842</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N/A</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1"/>
              </w:rPr>
              <w:t>N/A</w:t>
            </w:r>
            <w:r>
              <w:rPr>
                <w:rFonts w:ascii="Arial" w:cs="Arial" w:eastAsia="Arial" w:hAnsi="Arial"/>
                <w:sz w:val="19"/>
                <w:szCs w:val="19"/>
                <w:color w:val="auto"/>
                <w:w w:val="91"/>
                <w:vertAlign w:val="superscript"/>
              </w:rPr>
              <w:t>(2)</w:t>
            </w:r>
          </w:p>
        </w:tc>
        <w:tc>
          <w:tcPr>
            <w:tcW w:w="0" w:type="dxa"/>
            <w:vAlign w:val="bottom"/>
          </w:tcPr>
          <w:p>
            <w:pPr>
              <w:spacing w:after="0"/>
              <w:rPr>
                <w:sz w:val="1"/>
                <w:szCs w:val="1"/>
                <w:color w:val="auto"/>
              </w:rPr>
            </w:pPr>
          </w:p>
        </w:tc>
      </w:tr>
      <w:tr>
        <w:trPr>
          <w:trHeight w:val="133"/>
        </w:trPr>
        <w:tc>
          <w:tcPr>
            <w:tcW w:w="1680" w:type="dxa"/>
            <w:vAlign w:val="bottom"/>
            <w:tcBorders>
              <w:left w:val="single" w:sz="8" w:color="auto"/>
              <w:right w:val="single" w:sz="8" w:color="auto"/>
            </w:tcBorders>
          </w:tcPr>
          <w:p>
            <w:pPr>
              <w:ind w:left="80"/>
              <w:spacing w:after="0" w:line="128" w:lineRule="exact"/>
              <w:rPr>
                <w:sz w:val="20"/>
                <w:szCs w:val="20"/>
                <w:color w:val="auto"/>
              </w:rPr>
            </w:pPr>
            <w:r>
              <w:rPr>
                <w:rFonts w:ascii="Arial" w:cs="Arial" w:eastAsia="Arial" w:hAnsi="Arial"/>
                <w:sz w:val="13"/>
                <w:szCs w:val="13"/>
                <w:color w:val="auto"/>
              </w:rPr>
              <w:t>Securityholders</w:t>
            </w:r>
          </w:p>
        </w:tc>
        <w:tc>
          <w:tcPr>
            <w:tcW w:w="1020" w:type="dxa"/>
            <w:vAlign w:val="bottom"/>
            <w:tcBorders>
              <w:bottom w:val="single" w:sz="8" w:color="auto"/>
              <w:right w:val="single" w:sz="8" w:color="auto"/>
            </w:tcBorders>
            <w:vMerge w:val="continue"/>
          </w:tcPr>
          <w:p>
            <w:pPr>
              <w:spacing w:after="0"/>
              <w:rPr>
                <w:sz w:val="11"/>
                <w:szCs w:val="11"/>
                <w:color w:val="auto"/>
              </w:rPr>
            </w:pPr>
          </w:p>
        </w:tc>
        <w:tc>
          <w:tcPr>
            <w:tcW w:w="1120" w:type="dxa"/>
            <w:vAlign w:val="bottom"/>
            <w:tcBorders>
              <w:bottom w:val="single" w:sz="8" w:color="auto"/>
              <w:right w:val="single" w:sz="8" w:color="auto"/>
            </w:tcBorders>
            <w:vMerge w:val="continue"/>
          </w:tcPr>
          <w:p>
            <w:pPr>
              <w:spacing w:after="0"/>
              <w:rPr>
                <w:sz w:val="11"/>
                <w:szCs w:val="11"/>
                <w:color w:val="auto"/>
              </w:rPr>
            </w:pPr>
          </w:p>
        </w:tc>
        <w:tc>
          <w:tcPr>
            <w:tcW w:w="1100" w:type="dxa"/>
            <w:vAlign w:val="bottom"/>
            <w:tcBorders>
              <w:bottom w:val="single" w:sz="8" w:color="auto"/>
              <w:right w:val="single" w:sz="8" w:color="auto"/>
            </w:tcBorders>
            <w:vMerge w:val="continue"/>
          </w:tcPr>
          <w:p>
            <w:pPr>
              <w:spacing w:after="0"/>
              <w:rPr>
                <w:sz w:val="11"/>
                <w:szCs w:val="11"/>
                <w:color w:val="auto"/>
              </w:rPr>
            </w:pPr>
          </w:p>
        </w:tc>
        <w:tc>
          <w:tcPr>
            <w:tcW w:w="114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1680" w:type="dxa"/>
            <w:vAlign w:val="bottom"/>
            <w:tcBorders>
              <w:left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LTIP (PSUs)</w:t>
            </w:r>
            <w:r>
              <w:rPr>
                <w:rFonts w:ascii="Arial" w:cs="Arial" w:eastAsia="Arial" w:hAnsi="Arial"/>
                <w:sz w:val="19"/>
                <w:szCs w:val="19"/>
                <w:color w:val="auto"/>
                <w:vertAlign w:val="superscript"/>
              </w:rPr>
              <w:t>(3)</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1"/>
              </w:rPr>
              <w:t>N/A</w:t>
            </w:r>
            <w:r>
              <w:rPr>
                <w:rFonts w:ascii="Arial" w:cs="Arial" w:eastAsia="Arial" w:hAnsi="Arial"/>
                <w:sz w:val="19"/>
                <w:szCs w:val="19"/>
                <w:color w:val="auto"/>
                <w:w w:val="91"/>
                <w:vertAlign w:val="superscript"/>
              </w:rPr>
              <w:t>(2)</w:t>
            </w:r>
          </w:p>
        </w:tc>
        <w:tc>
          <w:tcPr>
            <w:tcW w:w="0" w:type="dxa"/>
            <w:vAlign w:val="bottom"/>
          </w:tcPr>
          <w:p>
            <w:pPr>
              <w:spacing w:after="0"/>
              <w:rPr>
                <w:sz w:val="1"/>
                <w:szCs w:val="1"/>
                <w:color w:val="auto"/>
              </w:rPr>
            </w:pPr>
          </w:p>
        </w:tc>
      </w:tr>
      <w:tr>
        <w:trPr>
          <w:trHeight w:val="239"/>
        </w:trPr>
        <w:tc>
          <w:tcPr>
            <w:tcW w:w="1680" w:type="dxa"/>
            <w:vAlign w:val="bottom"/>
            <w:tcBorders>
              <w:left w:val="single" w:sz="8" w:color="auto"/>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Total</w:t>
            </w:r>
            <w:r>
              <w:rPr>
                <w:rFonts w:ascii="Arial" w:cs="Arial" w:eastAsia="Arial" w:hAnsi="Arial"/>
                <w:sz w:val="19"/>
                <w:szCs w:val="19"/>
                <w:b w:val="1"/>
                <w:bCs w:val="1"/>
                <w:color w:val="auto"/>
                <w:vertAlign w:val="superscript"/>
              </w:rPr>
              <w:t>(4)</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3"/>
              </w:rPr>
              <w:t>378,419</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3"/>
              </w:rPr>
              <w:t>C$16.27</w:t>
            </w:r>
          </w:p>
        </w:tc>
        <w:tc>
          <w:tcPr>
            <w:tcW w:w="1140" w:type="dxa"/>
            <w:vAlign w:val="bottom"/>
            <w:tcBorders>
              <w:bottom w:val="single" w:sz="8" w:color="auto"/>
              <w:right w:val="single" w:sz="8" w:color="auto"/>
            </w:tcBorders>
          </w:tcPr>
          <w:p>
            <w:pPr>
              <w:jc w:val="right"/>
              <w:ind w:right="262"/>
              <w:spacing w:after="0"/>
              <w:rPr>
                <w:sz w:val="20"/>
                <w:szCs w:val="20"/>
                <w:color w:val="auto"/>
              </w:rPr>
            </w:pPr>
            <w:r>
              <w:rPr>
                <w:rFonts w:ascii="Arial" w:cs="Arial" w:eastAsia="Arial" w:hAnsi="Arial"/>
                <w:sz w:val="13"/>
                <w:szCs w:val="13"/>
                <w:color w:val="auto"/>
              </w:rPr>
              <w:t>9,667,666</w:t>
            </w:r>
          </w:p>
        </w:tc>
        <w:tc>
          <w:tcPr>
            <w:tcW w:w="0" w:type="dxa"/>
            <w:vAlign w:val="bottom"/>
          </w:tcPr>
          <w:p>
            <w:pPr>
              <w:spacing w:after="0"/>
              <w:rPr>
                <w:sz w:val="1"/>
                <w:szCs w:val="1"/>
                <w:color w:val="auto"/>
              </w:rPr>
            </w:pP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ind w:left="1740" w:hanging="262"/>
        <w:spacing w:after="0"/>
        <w:tabs>
          <w:tab w:leader="none" w:pos="1740" w:val="left"/>
        </w:tabs>
        <w:numPr>
          <w:ilvl w:val="0"/>
          <w:numId w:val="94"/>
        </w:numPr>
        <w:rPr>
          <w:rFonts w:ascii="Arial" w:cs="Arial" w:eastAsia="Arial" w:hAnsi="Arial"/>
          <w:sz w:val="16"/>
          <w:szCs w:val="16"/>
          <w:color w:val="auto"/>
          <w:vertAlign w:val="superscript"/>
        </w:rPr>
      </w:pPr>
      <w:r>
        <w:rPr>
          <w:rFonts w:ascii="Arial" w:cs="Arial" w:eastAsia="Arial" w:hAnsi="Arial"/>
          <w:sz w:val="11"/>
          <w:szCs w:val="11"/>
          <w:color w:val="auto"/>
        </w:rPr>
        <w:t>Excluding securities that may be issued upon exercise of outstanding stock options, warrants and rights.</w:t>
      </w:r>
    </w:p>
    <w:p>
      <w:pPr>
        <w:spacing w:after="0" w:line="42" w:lineRule="exact"/>
        <w:rPr>
          <w:rFonts w:ascii="Arial" w:cs="Arial" w:eastAsia="Arial" w:hAnsi="Arial"/>
          <w:sz w:val="16"/>
          <w:szCs w:val="16"/>
          <w:color w:val="auto"/>
          <w:vertAlign w:val="superscript"/>
        </w:rPr>
      </w:pPr>
    </w:p>
    <w:p>
      <w:pPr>
        <w:ind w:left="1740" w:right="1499" w:hanging="262"/>
        <w:spacing w:after="0" w:line="197" w:lineRule="auto"/>
        <w:tabs>
          <w:tab w:leader="none" w:pos="1740" w:val="left"/>
        </w:tabs>
        <w:numPr>
          <w:ilvl w:val="0"/>
          <w:numId w:val="94"/>
        </w:numPr>
        <w:rPr>
          <w:rFonts w:ascii="Arial" w:cs="Arial" w:eastAsia="Arial" w:hAnsi="Arial"/>
          <w:sz w:val="16"/>
          <w:szCs w:val="16"/>
          <w:color w:val="auto"/>
          <w:vertAlign w:val="superscript"/>
        </w:rPr>
      </w:pPr>
      <w:r>
        <w:rPr>
          <w:rFonts w:ascii="Arial" w:cs="Arial" w:eastAsia="Arial" w:hAnsi="Arial"/>
          <w:sz w:val="11"/>
          <w:szCs w:val="11"/>
          <w:color w:val="auto"/>
        </w:rPr>
        <w:t>The LTIP provides for a maximum number of securities that may be issued from treasury, but does not provide separate maximums for each type of award thereunder.</w:t>
      </w:r>
    </w:p>
    <w:p>
      <w:pPr>
        <w:spacing w:after="0" w:line="1" w:lineRule="exact"/>
        <w:rPr>
          <w:rFonts w:ascii="Arial" w:cs="Arial" w:eastAsia="Arial" w:hAnsi="Arial"/>
          <w:sz w:val="16"/>
          <w:szCs w:val="16"/>
          <w:color w:val="auto"/>
          <w:vertAlign w:val="superscript"/>
        </w:rPr>
      </w:pPr>
    </w:p>
    <w:p>
      <w:pPr>
        <w:ind w:left="1740" w:hanging="262"/>
        <w:spacing w:after="0" w:line="220" w:lineRule="auto"/>
        <w:tabs>
          <w:tab w:leader="none" w:pos="1740" w:val="left"/>
        </w:tabs>
        <w:numPr>
          <w:ilvl w:val="0"/>
          <w:numId w:val="94"/>
        </w:numPr>
        <w:rPr>
          <w:rFonts w:ascii="Arial" w:cs="Arial" w:eastAsia="Arial" w:hAnsi="Arial"/>
          <w:sz w:val="16"/>
          <w:szCs w:val="16"/>
          <w:color w:val="auto"/>
          <w:vertAlign w:val="superscript"/>
        </w:rPr>
      </w:pPr>
      <w:r>
        <w:rPr>
          <w:rFonts w:ascii="Arial" w:cs="Arial" w:eastAsia="Arial" w:hAnsi="Arial"/>
          <w:sz w:val="11"/>
          <w:szCs w:val="11"/>
          <w:color w:val="auto"/>
        </w:rPr>
        <w:t>Assumes the maximum payout for all outstanding PSUs (200% of target).</w:t>
      </w:r>
    </w:p>
    <w:p>
      <w:pPr>
        <w:spacing w:after="0" w:line="53" w:lineRule="exact"/>
        <w:rPr>
          <w:rFonts w:ascii="Arial" w:cs="Arial" w:eastAsia="Arial" w:hAnsi="Arial"/>
          <w:sz w:val="16"/>
          <w:szCs w:val="16"/>
          <w:color w:val="auto"/>
          <w:vertAlign w:val="superscript"/>
        </w:rPr>
      </w:pPr>
    </w:p>
    <w:p>
      <w:pPr>
        <w:jc w:val="both"/>
        <w:ind w:left="1740" w:right="1499" w:hanging="262"/>
        <w:spacing w:after="0" w:line="211" w:lineRule="auto"/>
        <w:tabs>
          <w:tab w:leader="none" w:pos="1740" w:val="left"/>
        </w:tabs>
        <w:numPr>
          <w:ilvl w:val="0"/>
          <w:numId w:val="94"/>
        </w:numPr>
        <w:rPr>
          <w:rFonts w:ascii="Arial" w:cs="Arial" w:eastAsia="Arial" w:hAnsi="Arial"/>
          <w:sz w:val="16"/>
          <w:szCs w:val="16"/>
          <w:color w:val="auto"/>
          <w:vertAlign w:val="superscript"/>
        </w:rPr>
      </w:pPr>
      <w:r>
        <w:rPr>
          <w:rFonts w:ascii="Arial" w:cs="Arial" w:eastAsia="Arial" w:hAnsi="Arial"/>
          <w:sz w:val="11"/>
          <w:szCs w:val="11"/>
          <w:color w:val="auto"/>
        </w:rPr>
        <w:t>The total number of securities issuable upon the exercise/settlement of outstanding grants under all equity compensation plans approved by shareholders represents 0.293% of the total number of outstanding shares at December 31, 2020 (LTIP (Options) — 0.268%; LTIP (RSUs) — 0.025%; and LTIP (PSUs) — 0%).</w:t>
      </w:r>
    </w:p>
    <w:p>
      <w:pPr>
        <w:spacing w:after="0" w:line="144"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38100</wp:posOffset>
            </wp:positionV>
            <wp:extent cx="3843655" cy="63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843655" cy="635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50800</wp:posOffset>
            </wp:positionV>
            <wp:extent cx="3843655" cy="63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373"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auto"/>
        </w:rPr>
        <w:t>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38100</wp:posOffset>
            </wp:positionV>
            <wp:extent cx="3502025" cy="63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502025" cy="6350"/>
                    </a:xfrm>
                    <a:prstGeom prst="rect">
                      <a:avLst/>
                    </a:prstGeom>
                    <a:noFill/>
                  </pic:spPr>
                </pic:pic>
              </a:graphicData>
            </a:graphic>
          </wp:anchor>
        </w:drawing>
      </w:r>
    </w:p>
    <w:p>
      <w:pPr>
        <w:spacing w:after="0" w:line="111" w:lineRule="exact"/>
        <w:rPr>
          <w:sz w:val="20"/>
          <w:szCs w:val="20"/>
          <w:color w:val="auto"/>
        </w:rPr>
      </w:pPr>
    </w:p>
    <w:p>
      <w:pPr>
        <w:jc w:val="both"/>
        <w:ind w:left="1480" w:right="1499"/>
        <w:spacing w:after="0" w:line="245" w:lineRule="auto"/>
        <w:rPr>
          <w:sz w:val="20"/>
          <w:szCs w:val="20"/>
          <w:color w:val="auto"/>
        </w:rPr>
      </w:pPr>
      <w:r>
        <w:rPr>
          <w:rFonts w:ascii="Arial" w:cs="Arial" w:eastAsia="Arial" w:hAnsi="Arial"/>
          <w:sz w:val="13"/>
          <w:szCs w:val="13"/>
          <w:color w:val="auto"/>
        </w:rPr>
        <w:t>The LTIP (which was approved by the Corporation’s shareholders) is the only securities- based compensation plan providing for the issuance of securities from treasury under which grants have been made and continue to be made by the Corporation since the company was listed on the TSX and the NYSE. Under the LTIP, the Board of Directors may in its discretion from time to time grant stock options, share units (in the form of RSUs and PSUs) and stock appreciation rights (“</w:t>
      </w:r>
      <w:r>
        <w:rPr>
          <w:rFonts w:ascii="Arial" w:cs="Arial" w:eastAsia="Arial" w:hAnsi="Arial"/>
          <w:sz w:val="13"/>
          <w:szCs w:val="13"/>
          <w:b w:val="1"/>
          <w:bCs w:val="1"/>
          <w:color w:val="auto"/>
        </w:rPr>
        <w:t>SARs</w:t>
      </w:r>
      <w:r>
        <w:rPr>
          <w:rFonts w:ascii="Arial" w:cs="Arial" w:eastAsia="Arial" w:hAnsi="Arial"/>
          <w:sz w:val="13"/>
          <w:szCs w:val="13"/>
          <w:color w:val="auto"/>
        </w:rPr>
        <w:t>”) to employees and consultants of the Corporation and affiliated entities.</w:t>
      </w:r>
    </w:p>
    <w:p>
      <w:pPr>
        <w:spacing w:after="0" w:line="60" w:lineRule="exact"/>
        <w:rPr>
          <w:sz w:val="20"/>
          <w:szCs w:val="20"/>
          <w:color w:val="auto"/>
        </w:rPr>
      </w:pPr>
    </w:p>
    <w:p>
      <w:pPr>
        <w:jc w:val="both"/>
        <w:ind w:left="1480" w:right="1499"/>
        <w:spacing w:after="0" w:line="267" w:lineRule="auto"/>
        <w:rPr>
          <w:sz w:val="20"/>
          <w:szCs w:val="20"/>
          <w:color w:val="auto"/>
        </w:rPr>
      </w:pPr>
      <w:r>
        <w:rPr>
          <w:rFonts w:ascii="Arial" w:cs="Arial" w:eastAsia="Arial" w:hAnsi="Arial"/>
          <w:sz w:val="12"/>
          <w:szCs w:val="12"/>
          <w:color w:val="auto"/>
        </w:rPr>
        <w:t>Up to 29,000,000 SVS may be issued from treasury pursuant to the LTIP. The number of SVS that may be issued from treasury under the LTIP to directors is limited to 2,000,000; however, the Corporation decided in 2004 that stock option grants under the LTIP would no longer be made to directors. Under the LTIP, as of February 22, 2021, 19,182,636 SVS have been issued from treasury, 345,577 SVS are issuable under outstanding stock options, 32,842 SVS are issuable under outstanding RSUs, and no SVS are issuable under outstanding PSUs. Accordingly, as of February 22, 2021, 9,817,364 SVS are reserved for issuance from treasury pursuant to current and potential future grants of securities -based compensation under the LTIP. In addition, the Corporation may satisfy obligations under the LTIP by acquiring SVS in the open market.</w:t>
      </w:r>
    </w:p>
    <w:p>
      <w:pPr>
        <w:spacing w:after="0" w:line="46" w:lineRule="exact"/>
        <w:rPr>
          <w:sz w:val="20"/>
          <w:szCs w:val="20"/>
          <w:color w:val="auto"/>
        </w:rPr>
      </w:pPr>
    </w:p>
    <w:p>
      <w:pPr>
        <w:jc w:val="both"/>
        <w:ind w:left="1480" w:right="1499"/>
        <w:spacing w:after="0" w:line="270" w:lineRule="auto"/>
        <w:rPr>
          <w:sz w:val="20"/>
          <w:szCs w:val="20"/>
          <w:color w:val="auto"/>
        </w:rPr>
      </w:pPr>
      <w:r>
        <w:rPr>
          <w:rFonts w:ascii="Arial" w:cs="Arial" w:eastAsia="Arial" w:hAnsi="Arial"/>
          <w:sz w:val="12"/>
          <w:szCs w:val="12"/>
          <w:color w:val="auto"/>
        </w:rPr>
        <w:t>As of February 22, 2021, the Corporation had a “gross overhang” of 7.1% under the LTIP. “Gross overhang” refers to the total number of shares reserved for issuance from treasury under equity plans at any given time relative to the total number of shares outstanding, including shares reserved for outstanding equity-based awards under the LTIP. The Corporation’s “net overhang” (</w:t>
      </w:r>
      <w:r>
        <w:rPr>
          <w:rFonts w:ascii="Arial" w:cs="Arial" w:eastAsia="Arial" w:hAnsi="Arial"/>
          <w:sz w:val="12"/>
          <w:szCs w:val="12"/>
          <w:i w:val="1"/>
          <w:iCs w:val="1"/>
          <w:color w:val="auto"/>
        </w:rPr>
        <w:t>i.e.</w:t>
      </w:r>
      <w:r>
        <w:rPr>
          <w:rFonts w:ascii="Arial" w:cs="Arial" w:eastAsia="Arial" w:hAnsi="Arial"/>
          <w:sz w:val="12"/>
          <w:szCs w:val="12"/>
          <w:color w:val="auto"/>
        </w:rPr>
        <w:t xml:space="preserve"> the total number of shares that have been reserved for issuance from treasury to satisfy outstanding equity grants to employees and outstanding RSU grants to directors relative to the total number of shares outstanding) was 0.3%.</w:t>
      </w:r>
    </w:p>
    <w:p>
      <w:pPr>
        <w:spacing w:after="0" w:line="44" w:lineRule="exact"/>
        <w:rPr>
          <w:sz w:val="20"/>
          <w:szCs w:val="20"/>
          <w:color w:val="auto"/>
        </w:rPr>
      </w:pPr>
    </w:p>
    <w:p>
      <w:pPr>
        <w:jc w:val="both"/>
        <w:ind w:left="1480" w:right="1499"/>
        <w:spacing w:after="0" w:line="249" w:lineRule="auto"/>
        <w:rPr>
          <w:sz w:val="20"/>
          <w:szCs w:val="20"/>
          <w:color w:val="auto"/>
        </w:rPr>
      </w:pPr>
      <w:r>
        <w:rPr>
          <w:rFonts w:ascii="Arial" w:cs="Arial" w:eastAsia="Arial" w:hAnsi="Arial"/>
          <w:sz w:val="13"/>
          <w:szCs w:val="13"/>
          <w:color w:val="auto"/>
        </w:rPr>
        <w:t>As of December 31, 2020, the Corporation had an “overhang” for stock options of 7.8%, representing the number of shares reserved for issuance from treasury for outstanding stock options as at such date, together with shares reserved for potential future grants of stock options, relative to the total number of shares outstanding as at such date.</w:t>
      </w:r>
    </w:p>
    <w:p>
      <w:pPr>
        <w:spacing w:after="0" w:line="57" w:lineRule="exact"/>
        <w:rPr>
          <w:sz w:val="20"/>
          <w:szCs w:val="20"/>
          <w:color w:val="auto"/>
        </w:rPr>
      </w:pPr>
    </w:p>
    <w:p>
      <w:pPr>
        <w:jc w:val="both"/>
        <w:ind w:left="1480" w:right="1499"/>
        <w:spacing w:after="0" w:line="254" w:lineRule="auto"/>
        <w:rPr>
          <w:sz w:val="20"/>
          <w:szCs w:val="20"/>
          <w:color w:val="auto"/>
        </w:rPr>
      </w:pPr>
      <w:r>
        <w:rPr>
          <w:rFonts w:ascii="Arial" w:cs="Arial" w:eastAsia="Arial" w:hAnsi="Arial"/>
          <w:sz w:val="13"/>
          <w:szCs w:val="13"/>
          <w:color w:val="auto"/>
        </w:rPr>
        <w:t>The Corporation had a “burn rate” for the LTIP for each of the years 2020, 2019 and 2018, of 0.0%, 0.0% and 0.0%, respectively. “Burn rate” is calculated by dividing the number of awards granted during the applicable</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6" w:name="page77"/>
    <w:bookmarkEnd w:id="76"/>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97" w:lineRule="exact"/>
        <w:rPr>
          <w:sz w:val="20"/>
          <w:szCs w:val="20"/>
          <w:color w:val="auto"/>
        </w:rPr>
      </w:pPr>
    </w:p>
    <w:p>
      <w:pPr>
        <w:jc w:val="both"/>
        <w:ind w:left="1480" w:right="1499"/>
        <w:spacing w:after="0" w:line="269" w:lineRule="auto"/>
        <w:rPr>
          <w:sz w:val="20"/>
          <w:szCs w:val="20"/>
          <w:color w:val="auto"/>
        </w:rPr>
      </w:pPr>
      <w:r>
        <w:rPr>
          <w:rFonts w:ascii="Arial" w:cs="Arial" w:eastAsia="Arial" w:hAnsi="Arial"/>
          <w:sz w:val="13"/>
          <w:szCs w:val="13"/>
          <w:color w:val="auto"/>
        </w:rPr>
        <w:t>year (including the target amount of PSUs granted), by the weighted average number of securities outstanding for the applicable year.</w:t>
      </w:r>
    </w:p>
    <w:p>
      <w:pPr>
        <w:spacing w:after="0" w:line="43" w:lineRule="exact"/>
        <w:rPr>
          <w:sz w:val="20"/>
          <w:szCs w:val="20"/>
          <w:color w:val="auto"/>
        </w:rPr>
      </w:pPr>
    </w:p>
    <w:p>
      <w:pPr>
        <w:jc w:val="both"/>
        <w:ind w:left="1480" w:right="1499"/>
        <w:spacing w:after="0" w:line="243" w:lineRule="auto"/>
        <w:rPr>
          <w:sz w:val="20"/>
          <w:szCs w:val="20"/>
          <w:color w:val="auto"/>
        </w:rPr>
      </w:pPr>
      <w:r>
        <w:rPr>
          <w:rFonts w:ascii="Arial" w:cs="Arial" w:eastAsia="Arial" w:hAnsi="Arial"/>
          <w:sz w:val="13"/>
          <w:szCs w:val="13"/>
          <w:color w:val="auto"/>
        </w:rPr>
        <w:t>The LTIP limits the number of SVS that may be (a) reserved for issuance to insiders (as defined under TSX rules for this purpose), and (b) issued within a one-year period to insiders pursuant to stock options, rights or share units granted pursuant to the LTIP, together with SVS reserved for issuance under any other employee-related plan of the Corporation or stock options for services granted by the Corporation, in each case to 10% of the aggregate issued and outstanding SVS and MVS of the Corporation. The LTIP also limits the number of SVS that may be reserved for issuance to any one participant pursuant to stock options, SARs or share units granted pursuant to the LTIP, together with SVS reserved for issuance under any other employee-related equity plan of the Corporation or stock options for services granted by the Corporation, to 5% of the aggregate issued and outstanding SVS and MVS.</w:t>
      </w:r>
    </w:p>
    <w:p>
      <w:pPr>
        <w:spacing w:after="0" w:line="61" w:lineRule="exact"/>
        <w:rPr>
          <w:sz w:val="20"/>
          <w:szCs w:val="20"/>
          <w:color w:val="auto"/>
        </w:rPr>
      </w:pPr>
    </w:p>
    <w:p>
      <w:pPr>
        <w:jc w:val="both"/>
        <w:ind w:left="1480" w:right="1499"/>
        <w:spacing w:after="0" w:line="259" w:lineRule="auto"/>
        <w:rPr>
          <w:sz w:val="20"/>
          <w:szCs w:val="20"/>
          <w:color w:val="auto"/>
        </w:rPr>
      </w:pPr>
      <w:r>
        <w:rPr>
          <w:rFonts w:ascii="Arial" w:cs="Arial" w:eastAsia="Arial" w:hAnsi="Arial"/>
          <w:sz w:val="13"/>
          <w:szCs w:val="13"/>
          <w:color w:val="auto"/>
        </w:rPr>
        <w:t>Vested stock options issued under the LTIP may be exercised during a period determined as provided in the LTIP, which may not exceed ten years. The LTIP also provides that, unless otherwise determined by the Board of Directors, stock options will terminate within specified time periods following the termination of employment of an eligible participant with the Corporation or affiliated entities, including in connection with a change of control. The exercise price for stock options issued under the LTIP is the closing price for SVS on the last business day prior to the grant date. The TSX closing price is used for Canadian employees and the NYSE closing price is used for all other employees. The exercise of stock options may be subject to vesting conditions, including specific time schedules for vesting and performance-based conditions such as share price and financial results. The grant of stock options to, or exercise of stock options by, an eligible participant may also be subject to certain share ownership requirements.</w:t>
      </w:r>
    </w:p>
    <w:p>
      <w:pPr>
        <w:spacing w:after="0" w:line="59" w:lineRule="exact"/>
        <w:rPr>
          <w:sz w:val="20"/>
          <w:szCs w:val="20"/>
          <w:color w:val="auto"/>
        </w:rPr>
      </w:pPr>
    </w:p>
    <w:p>
      <w:pPr>
        <w:jc w:val="both"/>
        <w:ind w:left="1480" w:right="1499"/>
        <w:spacing w:after="0" w:line="265" w:lineRule="auto"/>
        <w:rPr>
          <w:sz w:val="20"/>
          <w:szCs w:val="20"/>
          <w:color w:val="auto"/>
        </w:rPr>
      </w:pPr>
      <w:r>
        <w:rPr>
          <w:rFonts w:ascii="Arial" w:cs="Arial" w:eastAsia="Arial" w:hAnsi="Arial"/>
          <w:sz w:val="13"/>
          <w:szCs w:val="13"/>
          <w:color w:val="auto"/>
        </w:rPr>
        <w:t>The interest of any participant under the LTIP is generally not transferable or assignable. However, the LTIP does provide that a participant may assign his or her rights to a spouse, or a personal holding company or family trust controlled by the participant, of which any combination of the participant, the participant’s spouse, minor children or grandchildren are shareholders or beneficiaries, as applicable.</w:t>
      </w:r>
    </w:p>
    <w:p>
      <w:pPr>
        <w:spacing w:after="0" w:line="56" w:lineRule="exact"/>
        <w:rPr>
          <w:sz w:val="20"/>
          <w:szCs w:val="20"/>
          <w:color w:val="auto"/>
        </w:rPr>
      </w:pPr>
    </w:p>
    <w:p>
      <w:pPr>
        <w:jc w:val="both"/>
        <w:ind w:left="1480" w:right="1499"/>
        <w:spacing w:after="0" w:line="260" w:lineRule="auto"/>
        <w:rPr>
          <w:sz w:val="20"/>
          <w:szCs w:val="20"/>
          <w:color w:val="auto"/>
        </w:rPr>
      </w:pPr>
      <w:r>
        <w:rPr>
          <w:rFonts w:ascii="Arial" w:cs="Arial" w:eastAsia="Arial" w:hAnsi="Arial"/>
          <w:sz w:val="13"/>
          <w:szCs w:val="13"/>
          <w:color w:val="auto"/>
        </w:rPr>
        <w:t>Under the LTIP, eligible participants may be granted SARs, a right to receive a cash amount equal to the amount, if any, by which the market price of the SVS at the time of exercise of the SAR exceeds the market price of the SVS at the time of the grant. The market price used for this purpose is the weighted average price for SVS during the five trading days preceding the date of determination. The TSX market price is used for Canadian employees and the NYSE market price is used for all other employees. Such amounts may also be payable by the issuance of SVS (at the discretion of the Corporation). The exercise of SARs may also be subject to conditions similar to those which may be imposed on the exercise of stock options. To date, the Corporation has not granted any SARs under the LTIP.</w:t>
      </w:r>
    </w:p>
    <w:p>
      <w:pPr>
        <w:spacing w:after="0" w:line="58" w:lineRule="exact"/>
        <w:rPr>
          <w:sz w:val="20"/>
          <w:szCs w:val="20"/>
          <w:color w:val="auto"/>
        </w:rPr>
      </w:pPr>
    </w:p>
    <w:p>
      <w:pPr>
        <w:jc w:val="both"/>
        <w:ind w:left="1480" w:right="1499"/>
        <w:spacing w:after="0" w:line="280" w:lineRule="auto"/>
        <w:rPr>
          <w:sz w:val="20"/>
          <w:szCs w:val="20"/>
          <w:color w:val="auto"/>
        </w:rPr>
      </w:pPr>
      <w:r>
        <w:rPr>
          <w:rFonts w:ascii="Arial" w:cs="Arial" w:eastAsia="Arial" w:hAnsi="Arial"/>
          <w:sz w:val="12"/>
          <w:szCs w:val="12"/>
          <w:color w:val="auto"/>
        </w:rPr>
        <w:t>Under the LTIP, eligible participants may be allocated share units in the form of PSUs or RSUs. Each vested RSU and PSU entitles the holder to receive one SVS on the applicable release date (however, the number of PSUs that may vest range from 0% to 200% of a target amount). The issuance of such shares may be subject to vesting requirements similar to those described above with respect to the exercisability of stock options and SARs, including such time or performance-based conditions as may be determined by the Board of Directors in its discretion. Under the LTIP, the Corporation may authorize grantees to settle vested RSUs or PSUs either in cash or SVS. Absent such permitted election, RSUs and PSUs will be settled in SVS. The number of SVS that may be issued to any one person pursuant to the share unit program shall not exceed 1% of the aggregate issued and outstanding SVS and MVS. The number of SVS that may be issued under share units in the event of termination of employment without cause, death or long-term disability is subject to pro-ration, unless otherwise determined by the Corporation. The LTIP provides for the express designation of share units as either RSUs, which have time-based vesting conditions or PSUs, which have performance-based vesting conditions over a specified period. In the event a holder of PSUs retires, unless otherwise determined by the Corporation, the pro-rated vesting of such PSUs shall be determined based on the actual performance achieved during the period specified for the grant by the Corporation.</w:t>
      </w:r>
    </w:p>
    <w:p>
      <w:pPr>
        <w:spacing w:after="0" w:line="54" w:lineRule="exact"/>
        <w:rPr>
          <w:sz w:val="20"/>
          <w:szCs w:val="20"/>
          <w:color w:val="auto"/>
        </w:rPr>
      </w:pPr>
    </w:p>
    <w:p>
      <w:pPr>
        <w:jc w:val="both"/>
        <w:ind w:left="1480" w:right="1499"/>
        <w:spacing w:after="0" w:line="270" w:lineRule="auto"/>
        <w:rPr>
          <w:sz w:val="20"/>
          <w:szCs w:val="20"/>
          <w:color w:val="auto"/>
        </w:rPr>
      </w:pPr>
      <w:r>
        <w:rPr>
          <w:rFonts w:ascii="Arial" w:cs="Arial" w:eastAsia="Arial" w:hAnsi="Arial"/>
          <w:sz w:val="13"/>
          <w:szCs w:val="13"/>
          <w:color w:val="auto"/>
        </w:rPr>
        <w:t>The following types of amendments to the LTIP or the entitlements granted under it require the approval of the holders of the voting securities by a majority of votes cast by shareholders present or represented by proxy at a meeting:</w:t>
      </w:r>
    </w:p>
    <w:p>
      <w:pPr>
        <w:spacing w:after="0" w:line="53" w:lineRule="exact"/>
        <w:rPr>
          <w:sz w:val="20"/>
          <w:szCs w:val="20"/>
          <w:color w:val="auto"/>
        </w:rPr>
      </w:pPr>
    </w:p>
    <w:p>
      <w:pPr>
        <w:ind w:left="4420" w:right="2759" w:hanging="2677"/>
        <w:spacing w:after="0" w:line="749" w:lineRule="auto"/>
        <w:tabs>
          <w:tab w:leader="none" w:pos="2010" w:val="left"/>
        </w:tabs>
        <w:numPr>
          <w:ilvl w:val="0"/>
          <w:numId w:val="95"/>
        </w:numPr>
        <w:rPr>
          <w:rFonts w:ascii="Arial" w:cs="Arial" w:eastAsia="Arial" w:hAnsi="Arial"/>
          <w:sz w:val="13"/>
          <w:szCs w:val="13"/>
          <w:color w:val="auto"/>
        </w:rPr>
      </w:pPr>
      <w:r>
        <w:rPr>
          <w:rFonts w:ascii="Arial" w:cs="Arial" w:eastAsia="Arial" w:hAnsi="Arial"/>
          <w:sz w:val="13"/>
          <w:szCs w:val="13"/>
          <w:color w:val="auto"/>
        </w:rPr>
        <w:t>increasing the maximum number of SVS that may be issued under the LTIP;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-17145</wp:posOffset>
            </wp:positionV>
            <wp:extent cx="5019040" cy="127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7" w:name="page78"/>
    <w:bookmarkEnd w:id="77"/>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97" w:lineRule="exact"/>
        <w:rPr>
          <w:sz w:val="20"/>
          <w:szCs w:val="20"/>
          <w:color w:val="auto"/>
        </w:rPr>
      </w:pPr>
    </w:p>
    <w:p>
      <w:pPr>
        <w:ind w:left="2000" w:right="1499" w:hanging="257"/>
        <w:spacing w:after="0" w:line="285" w:lineRule="auto"/>
        <w:tabs>
          <w:tab w:leader="none" w:pos="2000" w:val="left"/>
        </w:tabs>
        <w:numPr>
          <w:ilvl w:val="0"/>
          <w:numId w:val="96"/>
        </w:numPr>
        <w:rPr>
          <w:rFonts w:ascii="Arial" w:cs="Arial" w:eastAsia="Arial" w:hAnsi="Arial"/>
          <w:sz w:val="13"/>
          <w:szCs w:val="13"/>
          <w:color w:val="auto"/>
        </w:rPr>
      </w:pPr>
      <w:r>
        <w:rPr>
          <w:rFonts w:ascii="Arial" w:cs="Arial" w:eastAsia="Arial" w:hAnsi="Arial"/>
          <w:sz w:val="13"/>
          <w:szCs w:val="13"/>
          <w:color w:val="auto"/>
        </w:rPr>
        <w:t>reducing the exercise price of an outstanding stock option (including cancelling and, in conjunction therewith, regranting a stock option at a reduced exercise price);</w:t>
      </w:r>
    </w:p>
    <w:p>
      <w:pPr>
        <w:spacing w:after="0" w:line="43" w:lineRule="exact"/>
        <w:rPr>
          <w:rFonts w:ascii="Arial" w:cs="Arial" w:eastAsia="Arial" w:hAnsi="Arial"/>
          <w:sz w:val="13"/>
          <w:szCs w:val="13"/>
          <w:color w:val="auto"/>
        </w:rPr>
      </w:pPr>
    </w:p>
    <w:p>
      <w:pPr>
        <w:ind w:left="2000" w:hanging="257"/>
        <w:spacing w:after="0"/>
        <w:tabs>
          <w:tab w:leader="none" w:pos="2000" w:val="left"/>
        </w:tabs>
        <w:numPr>
          <w:ilvl w:val="0"/>
          <w:numId w:val="96"/>
        </w:numPr>
        <w:rPr>
          <w:rFonts w:ascii="Arial" w:cs="Arial" w:eastAsia="Arial" w:hAnsi="Arial"/>
          <w:sz w:val="13"/>
          <w:szCs w:val="13"/>
          <w:color w:val="auto"/>
        </w:rPr>
      </w:pPr>
      <w:r>
        <w:rPr>
          <w:rFonts w:ascii="Arial" w:cs="Arial" w:eastAsia="Arial" w:hAnsi="Arial"/>
          <w:sz w:val="13"/>
          <w:szCs w:val="13"/>
          <w:color w:val="auto"/>
        </w:rPr>
        <w:t>extending the term of any outstanding stock option or SAR;</w:t>
      </w:r>
    </w:p>
    <w:p>
      <w:pPr>
        <w:spacing w:after="0" w:line="89" w:lineRule="exact"/>
        <w:rPr>
          <w:rFonts w:ascii="Arial" w:cs="Arial" w:eastAsia="Arial" w:hAnsi="Arial"/>
          <w:sz w:val="13"/>
          <w:szCs w:val="13"/>
          <w:color w:val="auto"/>
        </w:rPr>
      </w:pPr>
    </w:p>
    <w:p>
      <w:pPr>
        <w:ind w:left="2000" w:right="1499" w:hanging="257"/>
        <w:spacing w:after="0" w:line="285" w:lineRule="auto"/>
        <w:tabs>
          <w:tab w:leader="none" w:pos="2000" w:val="left"/>
        </w:tabs>
        <w:numPr>
          <w:ilvl w:val="0"/>
          <w:numId w:val="96"/>
        </w:numPr>
        <w:rPr>
          <w:rFonts w:ascii="Arial" w:cs="Arial" w:eastAsia="Arial" w:hAnsi="Arial"/>
          <w:sz w:val="13"/>
          <w:szCs w:val="13"/>
          <w:color w:val="auto"/>
        </w:rPr>
      </w:pPr>
      <w:r>
        <w:rPr>
          <w:rFonts w:ascii="Arial" w:cs="Arial" w:eastAsia="Arial" w:hAnsi="Arial"/>
          <w:sz w:val="13"/>
          <w:szCs w:val="13"/>
          <w:color w:val="auto"/>
        </w:rPr>
        <w:t>expanding the rights of participants to assign or transfer a stock option, SAR or share unit beyond that currently contemplated by the LTIP;</w:t>
      </w:r>
    </w:p>
    <w:p>
      <w:pPr>
        <w:spacing w:after="0" w:line="43" w:lineRule="exact"/>
        <w:rPr>
          <w:rFonts w:ascii="Arial" w:cs="Arial" w:eastAsia="Arial" w:hAnsi="Arial"/>
          <w:sz w:val="13"/>
          <w:szCs w:val="13"/>
          <w:color w:val="auto"/>
        </w:rPr>
      </w:pPr>
    </w:p>
    <w:p>
      <w:pPr>
        <w:ind w:left="2000" w:right="1499" w:hanging="257"/>
        <w:spacing w:after="0" w:line="285" w:lineRule="auto"/>
        <w:tabs>
          <w:tab w:leader="none" w:pos="2000" w:val="left"/>
        </w:tabs>
        <w:numPr>
          <w:ilvl w:val="0"/>
          <w:numId w:val="96"/>
        </w:numPr>
        <w:rPr>
          <w:rFonts w:ascii="Arial" w:cs="Arial" w:eastAsia="Arial" w:hAnsi="Arial"/>
          <w:sz w:val="13"/>
          <w:szCs w:val="13"/>
          <w:color w:val="auto"/>
        </w:rPr>
      </w:pPr>
      <w:r>
        <w:rPr>
          <w:rFonts w:ascii="Arial" w:cs="Arial" w:eastAsia="Arial" w:hAnsi="Arial"/>
          <w:sz w:val="13"/>
          <w:szCs w:val="13"/>
          <w:color w:val="auto"/>
        </w:rPr>
        <w:t>amending the LTIP to provide for other types of security-based compensation through equity issuance;</w:t>
      </w:r>
    </w:p>
    <w:p>
      <w:pPr>
        <w:spacing w:after="0" w:line="43" w:lineRule="exact"/>
        <w:rPr>
          <w:rFonts w:ascii="Arial" w:cs="Arial" w:eastAsia="Arial" w:hAnsi="Arial"/>
          <w:sz w:val="13"/>
          <w:szCs w:val="13"/>
          <w:color w:val="auto"/>
        </w:rPr>
      </w:pPr>
    </w:p>
    <w:p>
      <w:pPr>
        <w:ind w:left="2000" w:hanging="257"/>
        <w:spacing w:after="0"/>
        <w:tabs>
          <w:tab w:leader="none" w:pos="2000" w:val="left"/>
        </w:tabs>
        <w:numPr>
          <w:ilvl w:val="0"/>
          <w:numId w:val="96"/>
        </w:numPr>
        <w:rPr>
          <w:rFonts w:ascii="Arial" w:cs="Arial" w:eastAsia="Arial" w:hAnsi="Arial"/>
          <w:sz w:val="13"/>
          <w:szCs w:val="13"/>
          <w:color w:val="auto"/>
        </w:rPr>
      </w:pPr>
      <w:r>
        <w:rPr>
          <w:rFonts w:ascii="Arial" w:cs="Arial" w:eastAsia="Arial" w:hAnsi="Arial"/>
          <w:sz w:val="13"/>
          <w:szCs w:val="13"/>
          <w:color w:val="auto"/>
        </w:rPr>
        <w:t>permitting a stock option to have a term of more than ten years from the grant date;</w:t>
      </w:r>
    </w:p>
    <w:p>
      <w:pPr>
        <w:spacing w:after="0" w:line="89" w:lineRule="exact"/>
        <w:rPr>
          <w:rFonts w:ascii="Arial" w:cs="Arial" w:eastAsia="Arial" w:hAnsi="Arial"/>
          <w:sz w:val="13"/>
          <w:szCs w:val="13"/>
          <w:color w:val="auto"/>
        </w:rPr>
      </w:pPr>
    </w:p>
    <w:p>
      <w:pPr>
        <w:ind w:left="2000" w:hanging="257"/>
        <w:spacing w:after="0"/>
        <w:tabs>
          <w:tab w:leader="none" w:pos="2000" w:val="left"/>
        </w:tabs>
        <w:numPr>
          <w:ilvl w:val="0"/>
          <w:numId w:val="96"/>
        </w:numPr>
        <w:rPr>
          <w:rFonts w:ascii="Arial" w:cs="Arial" w:eastAsia="Arial" w:hAnsi="Arial"/>
          <w:sz w:val="12"/>
          <w:szCs w:val="12"/>
          <w:color w:val="auto"/>
        </w:rPr>
      </w:pPr>
      <w:r>
        <w:rPr>
          <w:rFonts w:ascii="Arial" w:cs="Arial" w:eastAsia="Arial" w:hAnsi="Arial"/>
          <w:sz w:val="12"/>
          <w:szCs w:val="12"/>
          <w:color w:val="auto"/>
        </w:rPr>
        <w:t>increasing or deleting the percentage limit on SVS issuable or issued to insiders under the LTIP;</w:t>
      </w:r>
    </w:p>
    <w:p>
      <w:pPr>
        <w:spacing w:after="0" w:line="100" w:lineRule="exact"/>
        <w:rPr>
          <w:rFonts w:ascii="Arial" w:cs="Arial" w:eastAsia="Arial" w:hAnsi="Arial"/>
          <w:sz w:val="12"/>
          <w:szCs w:val="12"/>
          <w:color w:val="auto"/>
        </w:rPr>
      </w:pPr>
    </w:p>
    <w:p>
      <w:pPr>
        <w:ind w:left="2000" w:right="1499" w:hanging="257"/>
        <w:spacing w:after="0" w:line="285" w:lineRule="auto"/>
        <w:tabs>
          <w:tab w:leader="none" w:pos="2000" w:val="left"/>
        </w:tabs>
        <w:numPr>
          <w:ilvl w:val="0"/>
          <w:numId w:val="96"/>
        </w:numPr>
        <w:rPr>
          <w:rFonts w:ascii="Arial" w:cs="Arial" w:eastAsia="Arial" w:hAnsi="Arial"/>
          <w:sz w:val="13"/>
          <w:szCs w:val="13"/>
          <w:color w:val="auto"/>
        </w:rPr>
      </w:pPr>
      <w:r>
        <w:rPr>
          <w:rFonts w:ascii="Arial" w:cs="Arial" w:eastAsia="Arial" w:hAnsi="Arial"/>
          <w:sz w:val="13"/>
          <w:szCs w:val="13"/>
          <w:color w:val="auto"/>
        </w:rPr>
        <w:t>increasing or deleting the percentage limit on SVS reserved for issuance to any one person under the LTIP (being 5% of the Corporation’s total issued and outstanding SVS and MVS);</w:t>
      </w:r>
    </w:p>
    <w:p>
      <w:pPr>
        <w:spacing w:after="0" w:line="43" w:lineRule="exact"/>
        <w:rPr>
          <w:rFonts w:ascii="Arial" w:cs="Arial" w:eastAsia="Arial" w:hAnsi="Arial"/>
          <w:sz w:val="13"/>
          <w:szCs w:val="13"/>
          <w:color w:val="auto"/>
        </w:rPr>
      </w:pPr>
    </w:p>
    <w:p>
      <w:pPr>
        <w:ind w:left="2000" w:hanging="257"/>
        <w:spacing w:after="0"/>
        <w:tabs>
          <w:tab w:leader="none" w:pos="2000" w:val="left"/>
        </w:tabs>
        <w:numPr>
          <w:ilvl w:val="0"/>
          <w:numId w:val="96"/>
        </w:numPr>
        <w:rPr>
          <w:rFonts w:ascii="Arial" w:cs="Arial" w:eastAsia="Arial" w:hAnsi="Arial"/>
          <w:sz w:val="13"/>
          <w:szCs w:val="13"/>
          <w:color w:val="auto"/>
        </w:rPr>
      </w:pPr>
      <w:r>
        <w:rPr>
          <w:rFonts w:ascii="Arial" w:cs="Arial" w:eastAsia="Arial" w:hAnsi="Arial"/>
          <w:sz w:val="13"/>
          <w:szCs w:val="13"/>
          <w:color w:val="auto"/>
        </w:rPr>
        <w:t>adding to the categories of participants who may be eligible to participate in the LTIP; and</w:t>
      </w:r>
    </w:p>
    <w:p>
      <w:pPr>
        <w:spacing w:after="0" w:line="89" w:lineRule="exact"/>
        <w:rPr>
          <w:rFonts w:ascii="Arial" w:cs="Arial" w:eastAsia="Arial" w:hAnsi="Arial"/>
          <w:sz w:val="13"/>
          <w:szCs w:val="13"/>
          <w:color w:val="auto"/>
        </w:rPr>
      </w:pPr>
    </w:p>
    <w:p>
      <w:pPr>
        <w:ind w:left="2000" w:hanging="257"/>
        <w:spacing w:after="0"/>
        <w:tabs>
          <w:tab w:leader="none" w:pos="2000" w:val="left"/>
        </w:tabs>
        <w:numPr>
          <w:ilvl w:val="0"/>
          <w:numId w:val="96"/>
        </w:numPr>
        <w:rPr>
          <w:rFonts w:ascii="Arial" w:cs="Arial" w:eastAsia="Arial" w:hAnsi="Arial"/>
          <w:sz w:val="13"/>
          <w:szCs w:val="13"/>
          <w:color w:val="auto"/>
        </w:rPr>
      </w:pPr>
      <w:r>
        <w:rPr>
          <w:rFonts w:ascii="Arial" w:cs="Arial" w:eastAsia="Arial" w:hAnsi="Arial"/>
          <w:sz w:val="13"/>
          <w:szCs w:val="13"/>
          <w:color w:val="auto"/>
        </w:rPr>
        <w:t>amending the amendment provision,</w:t>
      </w:r>
    </w:p>
    <w:p>
      <w:pPr>
        <w:spacing w:after="0" w:line="89"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subject to the application of the anti-dilution or re-organization provisions of the LTIP.</w:t>
      </w:r>
    </w:p>
    <w:p>
      <w:pPr>
        <w:spacing w:after="0" w:line="89" w:lineRule="exact"/>
        <w:rPr>
          <w:sz w:val="20"/>
          <w:szCs w:val="20"/>
          <w:color w:val="auto"/>
        </w:rPr>
      </w:pPr>
    </w:p>
    <w:p>
      <w:pPr>
        <w:jc w:val="both"/>
        <w:ind w:left="1480" w:right="1499"/>
        <w:spacing w:after="0" w:line="270" w:lineRule="auto"/>
        <w:rPr>
          <w:sz w:val="20"/>
          <w:szCs w:val="20"/>
          <w:color w:val="auto"/>
        </w:rPr>
      </w:pPr>
      <w:r>
        <w:rPr>
          <w:rFonts w:ascii="Arial" w:cs="Arial" w:eastAsia="Arial" w:hAnsi="Arial"/>
          <w:sz w:val="13"/>
          <w:szCs w:val="13"/>
          <w:color w:val="auto"/>
        </w:rPr>
        <w:t>The Board may approve amendments to the LTIP or the entitlements granted under it without shareholder approval, other than those specified above as requiring approval of the shareholders, including, without limitation:</w:t>
      </w:r>
    </w:p>
    <w:p>
      <w:pPr>
        <w:spacing w:after="0" w:line="53" w:lineRule="exact"/>
        <w:rPr>
          <w:sz w:val="20"/>
          <w:szCs w:val="20"/>
          <w:color w:val="auto"/>
        </w:rPr>
      </w:pPr>
    </w:p>
    <w:p>
      <w:pPr>
        <w:ind w:left="2000" w:right="1499" w:hanging="257"/>
        <w:spacing w:after="0" w:line="285" w:lineRule="auto"/>
        <w:tabs>
          <w:tab w:leader="none" w:pos="2000" w:val="left"/>
        </w:tabs>
        <w:numPr>
          <w:ilvl w:val="0"/>
          <w:numId w:val="97"/>
        </w:numPr>
        <w:rPr>
          <w:rFonts w:ascii="Arial" w:cs="Arial" w:eastAsia="Arial" w:hAnsi="Arial"/>
          <w:sz w:val="13"/>
          <w:szCs w:val="13"/>
          <w:color w:val="auto"/>
        </w:rPr>
      </w:pPr>
      <w:r>
        <w:rPr>
          <w:rFonts w:ascii="Arial" w:cs="Arial" w:eastAsia="Arial" w:hAnsi="Arial"/>
          <w:sz w:val="13"/>
          <w:szCs w:val="13"/>
          <w:color w:val="auto"/>
        </w:rPr>
        <w:t>clerical changes (such as a change to correct an inconsistency or omission or a change to update an administrative provision);</w:t>
      </w:r>
    </w:p>
    <w:p>
      <w:pPr>
        <w:spacing w:after="0" w:line="43" w:lineRule="exact"/>
        <w:rPr>
          <w:rFonts w:ascii="Arial" w:cs="Arial" w:eastAsia="Arial" w:hAnsi="Arial"/>
          <w:sz w:val="13"/>
          <w:szCs w:val="13"/>
          <w:color w:val="auto"/>
        </w:rPr>
      </w:pPr>
    </w:p>
    <w:p>
      <w:pPr>
        <w:jc w:val="both"/>
        <w:ind w:left="2000" w:right="1499" w:hanging="257"/>
        <w:spacing w:after="0" w:line="265" w:lineRule="auto"/>
        <w:tabs>
          <w:tab w:leader="none" w:pos="2000" w:val="left"/>
        </w:tabs>
        <w:numPr>
          <w:ilvl w:val="0"/>
          <w:numId w:val="97"/>
        </w:numPr>
        <w:rPr>
          <w:rFonts w:ascii="Arial" w:cs="Arial" w:eastAsia="Arial" w:hAnsi="Arial"/>
          <w:sz w:val="13"/>
          <w:szCs w:val="13"/>
          <w:color w:val="auto"/>
        </w:rPr>
      </w:pPr>
      <w:r>
        <w:rPr>
          <w:rFonts w:ascii="Arial" w:cs="Arial" w:eastAsia="Arial" w:hAnsi="Arial"/>
          <w:sz w:val="13"/>
          <w:szCs w:val="13"/>
          <w:color w:val="auto"/>
        </w:rPr>
        <w:t>a change to the termination provisions for the LTIP or for a stock option as long as the change does not permit the Corporation to grant a stock option with a termination date of more than ten years from the date of grant or extend an outstanding stock option’s termination date beyond such date; and</w:t>
      </w:r>
    </w:p>
    <w:p>
      <w:pPr>
        <w:spacing w:after="0" w:line="56" w:lineRule="exact"/>
        <w:rPr>
          <w:rFonts w:ascii="Arial" w:cs="Arial" w:eastAsia="Arial" w:hAnsi="Arial"/>
          <w:sz w:val="13"/>
          <w:szCs w:val="13"/>
          <w:color w:val="auto"/>
        </w:rPr>
      </w:pPr>
    </w:p>
    <w:p>
      <w:pPr>
        <w:ind w:left="2000" w:hanging="257"/>
        <w:spacing w:after="0"/>
        <w:tabs>
          <w:tab w:leader="none" w:pos="2000" w:val="left"/>
        </w:tabs>
        <w:numPr>
          <w:ilvl w:val="0"/>
          <w:numId w:val="97"/>
        </w:numPr>
        <w:rPr>
          <w:rFonts w:ascii="Arial" w:cs="Arial" w:eastAsia="Arial" w:hAnsi="Arial"/>
          <w:sz w:val="12"/>
          <w:szCs w:val="12"/>
          <w:color w:val="auto"/>
        </w:rPr>
      </w:pPr>
      <w:r>
        <w:rPr>
          <w:rFonts w:ascii="Arial" w:cs="Arial" w:eastAsia="Arial" w:hAnsi="Arial"/>
          <w:sz w:val="12"/>
          <w:szCs w:val="12"/>
          <w:color w:val="auto"/>
        </w:rPr>
        <w:t>a change deemed necessary or desirable to comply with applicable law or regulatory requirements.</w:t>
      </w:r>
    </w:p>
    <w:p>
      <w:pPr>
        <w:spacing w:after="0" w:line="175"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auto"/>
        </w:rPr>
        <w:t>Celestica Share Unit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38100</wp:posOffset>
            </wp:positionV>
            <wp:extent cx="3502025" cy="63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502025" cy="6350"/>
                    </a:xfrm>
                    <a:prstGeom prst="rect">
                      <a:avLst/>
                    </a:prstGeom>
                    <a:noFill/>
                  </pic:spPr>
                </pic:pic>
              </a:graphicData>
            </a:graphic>
          </wp:anchor>
        </w:drawing>
      </w:r>
    </w:p>
    <w:p>
      <w:pPr>
        <w:spacing w:after="0" w:line="121" w:lineRule="exact"/>
        <w:rPr>
          <w:sz w:val="20"/>
          <w:szCs w:val="20"/>
          <w:color w:val="auto"/>
        </w:rPr>
      </w:pPr>
    </w:p>
    <w:p>
      <w:pPr>
        <w:jc w:val="both"/>
        <w:ind w:left="1480" w:right="1499"/>
        <w:spacing w:after="0" w:line="284" w:lineRule="auto"/>
        <w:rPr>
          <w:sz w:val="20"/>
          <w:szCs w:val="20"/>
          <w:color w:val="auto"/>
        </w:rPr>
      </w:pPr>
      <w:r>
        <w:rPr>
          <w:rFonts w:ascii="Arial" w:cs="Arial" w:eastAsia="Arial" w:hAnsi="Arial"/>
          <w:sz w:val="12"/>
          <w:szCs w:val="12"/>
          <w:color w:val="auto"/>
        </w:rPr>
        <w:t>The CSUP provides for the issuance of RSUs and PSUs in the same manner as provided in the LTIP, except that the Corporation may not issue shares from treasury to satisfy its obligations under the CSUP and there is no limit on the number of share units that may be issued as RSUs and PSUs under the terms of the CSUP. Issuances under the CSUP may be settled in cash or SVS at the discretion of the Corporation. The share units may be subject to vesting requirements, including any time-based conditions established by the Board of Directors at its discretion. The vesting of PSUs also requires the achievement of specified performance-based conditions as determined by the HRCC. There is no “burn rate” for the CSUP because issuances under the CSUP are not from treasury and are therefore non-dilutive.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8" w:name="page79"/>
    <w:bookmarkEnd w:id="78"/>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71"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38100</wp:posOffset>
            </wp:positionV>
            <wp:extent cx="3843655" cy="63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843655" cy="635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50800</wp:posOffset>
            </wp:positionV>
            <wp:extent cx="3843655" cy="63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200" w:lineRule="exact"/>
        <w:rPr>
          <w:sz w:val="20"/>
          <w:szCs w:val="20"/>
          <w:color w:val="auto"/>
        </w:rPr>
      </w:pPr>
    </w:p>
    <w:p>
      <w:pPr>
        <w:jc w:val="both"/>
        <w:ind w:left="1480" w:right="1499"/>
        <w:spacing w:after="0" w:line="270" w:lineRule="auto"/>
        <w:rPr>
          <w:sz w:val="20"/>
          <w:szCs w:val="20"/>
          <w:color w:val="auto"/>
        </w:rPr>
      </w:pPr>
      <w:r>
        <w:rPr>
          <w:rFonts w:ascii="Arial" w:cs="Arial" w:eastAsia="Arial" w:hAnsi="Arial"/>
          <w:sz w:val="13"/>
          <w:szCs w:val="13"/>
          <w:color w:val="auto"/>
        </w:rPr>
        <w:t>The following table provides details of the amount of Celestica’s contributions to its defined contribution pension plans on behalf of the NEOs, and the accumulated value thereunder as of December 31, 2020 for each NEO.</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Table 24: Defined Contribution Pension Plan</w:t>
      </w:r>
    </w:p>
    <w:p>
      <w:pPr>
        <w:spacing w:after="0" w:line="77" w:lineRule="exact"/>
        <w:rPr>
          <w:sz w:val="20"/>
          <w:szCs w:val="20"/>
          <w:color w:val="auto"/>
        </w:rPr>
      </w:pPr>
    </w:p>
    <w:tbl>
      <w:tblPr>
        <w:tblLayout w:type="fixed"/>
        <w:tblInd w:w="1490" w:type="dxa"/>
        <w:tblCellMar>
          <w:top w:w="0" w:type="dxa"/>
          <w:left w:w="0" w:type="dxa"/>
          <w:bottom w:w="0" w:type="dxa"/>
          <w:right w:w="0" w:type="dxa"/>
        </w:tblCellMar>
      </w:tblPr>
      <w:tr>
        <w:trPr>
          <w:trHeight w:val="40"/>
        </w:trPr>
        <w:tc>
          <w:tcPr>
            <w:tcW w:w="3160" w:type="dxa"/>
            <w:vAlign w:val="bottom"/>
            <w:tcBorders>
              <w:top w:val="single" w:sz="8" w:color="auto"/>
              <w:bottom w:val="single" w:sz="8" w:color="auto"/>
            </w:tcBorders>
          </w:tcPr>
          <w:p>
            <w:pPr>
              <w:spacing w:after="0"/>
              <w:rPr>
                <w:sz w:val="3"/>
                <w:szCs w:val="3"/>
                <w:color w:val="auto"/>
              </w:rPr>
            </w:pPr>
          </w:p>
        </w:tc>
        <w:tc>
          <w:tcPr>
            <w:tcW w:w="1020" w:type="dxa"/>
            <w:vAlign w:val="bottom"/>
            <w:tcBorders>
              <w:top w:val="single" w:sz="8" w:color="auto"/>
              <w:bottom w:val="single" w:sz="8" w:color="auto"/>
            </w:tcBorders>
          </w:tcPr>
          <w:p>
            <w:pPr>
              <w:spacing w:after="0"/>
              <w:rPr>
                <w:sz w:val="3"/>
                <w:szCs w:val="3"/>
                <w:color w:val="auto"/>
              </w:rPr>
            </w:pPr>
          </w:p>
        </w:tc>
        <w:tc>
          <w:tcPr>
            <w:tcW w:w="840" w:type="dxa"/>
            <w:vAlign w:val="bottom"/>
            <w:tcBorders>
              <w:top w:val="single" w:sz="8" w:color="auto"/>
              <w:bottom w:val="single" w:sz="8" w:color="auto"/>
            </w:tcBorders>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r>
      <w:tr>
        <w:trPr>
          <w:trHeight w:val="144"/>
        </w:trPr>
        <w:tc>
          <w:tcPr>
            <w:tcW w:w="3160" w:type="dxa"/>
            <w:vAlign w:val="bottom"/>
            <w:tcBorders>
              <w:left w:val="single" w:sz="8" w:color="auto"/>
              <w:right w:val="single" w:sz="8" w:color="auto"/>
            </w:tcBorders>
          </w:tcPr>
          <w:p>
            <w:pPr>
              <w:spacing w:after="0"/>
              <w:rPr>
                <w:sz w:val="12"/>
                <w:szCs w:val="12"/>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84"/>
              </w:rPr>
              <w:t>Accumulated Value</w:t>
            </w:r>
          </w:p>
        </w:tc>
        <w:tc>
          <w:tcPr>
            <w:tcW w:w="84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82"/>
              </w:rPr>
              <w:t>Accumulated Value</w:t>
            </w:r>
          </w:p>
        </w:tc>
        <w:tc>
          <w:tcPr>
            <w:tcW w:w="40" w:type="dxa"/>
            <w:vAlign w:val="bottom"/>
            <w:tcBorders>
              <w:right w:val="single" w:sz="8" w:color="auto"/>
            </w:tcBorders>
          </w:tcPr>
          <w:p>
            <w:pPr>
              <w:spacing w:after="0"/>
              <w:rPr>
                <w:sz w:val="12"/>
                <w:szCs w:val="12"/>
                <w:color w:val="auto"/>
              </w:rPr>
            </w:pPr>
          </w:p>
        </w:tc>
      </w:tr>
      <w:tr>
        <w:trPr>
          <w:trHeight w:val="132"/>
        </w:trPr>
        <w:tc>
          <w:tcPr>
            <w:tcW w:w="3160" w:type="dxa"/>
            <w:vAlign w:val="bottom"/>
            <w:tcBorders>
              <w:left w:val="single" w:sz="8" w:color="auto"/>
              <w:right w:val="single" w:sz="8" w:color="auto"/>
            </w:tcBorders>
          </w:tcPr>
          <w:p>
            <w:pPr>
              <w:spacing w:after="0"/>
              <w:rPr>
                <w:sz w:val="11"/>
                <w:szCs w:val="11"/>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84"/>
              </w:rPr>
              <w:t>at Start of Year</w:t>
            </w:r>
          </w:p>
        </w:tc>
        <w:tc>
          <w:tcPr>
            <w:tcW w:w="840" w:type="dxa"/>
            <w:vAlign w:val="bottom"/>
            <w:tcBorders>
              <w:right w:val="single" w:sz="8" w:color="auto"/>
            </w:tcBorders>
          </w:tcPr>
          <w:p>
            <w:pPr>
              <w:ind w:left="80"/>
              <w:spacing w:after="0"/>
              <w:rPr>
                <w:sz w:val="20"/>
                <w:szCs w:val="20"/>
                <w:color w:val="auto"/>
              </w:rPr>
            </w:pPr>
            <w:r>
              <w:rPr>
                <w:rFonts w:ascii="Arial" w:cs="Arial" w:eastAsia="Arial" w:hAnsi="Arial"/>
                <w:sz w:val="11"/>
                <w:szCs w:val="11"/>
                <w:b w:val="1"/>
                <w:bCs w:val="1"/>
                <w:color w:val="auto"/>
                <w:w w:val="93"/>
              </w:rPr>
              <w:t>Compensatory</w:t>
            </w:r>
          </w:p>
        </w:tc>
        <w:tc>
          <w:tcPr>
            <w:tcW w:w="100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1"/>
                <w:szCs w:val="11"/>
                <w:b w:val="1"/>
                <w:bCs w:val="1"/>
                <w:color w:val="auto"/>
                <w:w w:val="83"/>
              </w:rPr>
              <w:t>at End of Year</w:t>
            </w:r>
            <w:r>
              <w:rPr>
                <w:rFonts w:ascii="Arial" w:cs="Arial" w:eastAsia="Arial" w:hAnsi="Arial"/>
                <w:sz w:val="15"/>
                <w:szCs w:val="15"/>
                <w:b w:val="1"/>
                <w:bCs w:val="1"/>
                <w:color w:val="auto"/>
                <w:w w:val="83"/>
                <w:vertAlign w:val="superscript"/>
              </w:rPr>
              <w:t>(1)</w:t>
            </w:r>
          </w:p>
        </w:tc>
        <w:tc>
          <w:tcPr>
            <w:tcW w:w="40" w:type="dxa"/>
            <w:vAlign w:val="bottom"/>
            <w:tcBorders>
              <w:right w:val="single" w:sz="8" w:color="auto"/>
            </w:tcBorders>
          </w:tcPr>
          <w:p>
            <w:pPr>
              <w:spacing w:after="0"/>
              <w:rPr>
                <w:sz w:val="11"/>
                <w:szCs w:val="11"/>
                <w:color w:val="auto"/>
              </w:rPr>
            </w:pPr>
          </w:p>
        </w:tc>
      </w:tr>
      <w:tr>
        <w:trPr>
          <w:trHeight w:val="147"/>
        </w:trPr>
        <w:tc>
          <w:tcPr>
            <w:tcW w:w="31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1"/>
                <w:szCs w:val="11"/>
                <w:b w:val="1"/>
                <w:bCs w:val="1"/>
                <w:color w:val="auto"/>
              </w:rPr>
              <w:t>Name</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74"/>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w:t>
            </w:r>
          </w:p>
        </w:tc>
        <w:tc>
          <w:tcPr>
            <w:tcW w:w="40" w:type="dxa"/>
            <w:vAlign w:val="bottom"/>
            <w:tcBorders>
              <w:right w:val="single" w:sz="8" w:color="auto"/>
            </w:tcBorders>
          </w:tcPr>
          <w:p>
            <w:pPr>
              <w:spacing w:after="0"/>
              <w:rPr>
                <w:sz w:val="12"/>
                <w:szCs w:val="12"/>
                <w:color w:val="auto"/>
              </w:rPr>
            </w:pPr>
          </w:p>
        </w:tc>
      </w:tr>
      <w:tr>
        <w:trPr>
          <w:trHeight w:val="228"/>
        </w:trPr>
        <w:tc>
          <w:tcPr>
            <w:tcW w:w="31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Robert A. Mionis</w:t>
            </w:r>
            <w:r>
              <w:rPr>
                <w:rFonts w:ascii="Arial" w:cs="Arial" w:eastAsia="Arial" w:hAnsi="Arial"/>
                <w:sz w:val="19"/>
                <w:szCs w:val="19"/>
                <w:color w:val="auto"/>
                <w:vertAlign w:val="superscript"/>
              </w:rPr>
              <w:t>(2)</w:t>
            </w:r>
          </w:p>
        </w:tc>
        <w:tc>
          <w:tcPr>
            <w:tcW w:w="102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3"/>
                <w:szCs w:val="13"/>
                <w:color w:val="auto"/>
              </w:rPr>
              <w:t>$770,298</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$89,735</w:t>
            </w:r>
          </w:p>
        </w:tc>
        <w:tc>
          <w:tcPr>
            <w:tcW w:w="1000" w:type="dxa"/>
            <w:vAlign w:val="bottom"/>
            <w:tcBorders>
              <w:bottom w:val="single" w:sz="8" w:color="auto"/>
              <w:right w:val="single" w:sz="8" w:color="auto"/>
            </w:tcBorders>
          </w:tcPr>
          <w:p>
            <w:pPr>
              <w:jc w:val="right"/>
              <w:ind w:right="139"/>
              <w:spacing w:after="0"/>
              <w:rPr>
                <w:sz w:val="20"/>
                <w:szCs w:val="20"/>
                <w:color w:val="auto"/>
              </w:rPr>
            </w:pPr>
            <w:r>
              <w:rPr>
                <w:rFonts w:ascii="Arial" w:cs="Arial" w:eastAsia="Arial" w:hAnsi="Arial"/>
                <w:sz w:val="13"/>
                <w:szCs w:val="13"/>
                <w:color w:val="auto"/>
              </w:rPr>
              <w:t>$1,045,656</w:t>
            </w:r>
          </w:p>
        </w:tc>
        <w:tc>
          <w:tcPr>
            <w:tcW w:w="40" w:type="dxa"/>
            <w:vAlign w:val="bottom"/>
            <w:tcBorders>
              <w:right w:val="single" w:sz="8" w:color="auto"/>
            </w:tcBorders>
          </w:tcPr>
          <w:p>
            <w:pPr>
              <w:spacing w:after="0"/>
              <w:rPr>
                <w:sz w:val="19"/>
                <w:szCs w:val="19"/>
                <w:color w:val="auto"/>
              </w:rPr>
            </w:pPr>
          </w:p>
        </w:tc>
      </w:tr>
      <w:tr>
        <w:trPr>
          <w:trHeight w:val="219"/>
        </w:trPr>
        <w:tc>
          <w:tcPr>
            <w:tcW w:w="31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Mandeep Chawla</w:t>
            </w:r>
            <w:r>
              <w:rPr>
                <w:rFonts w:ascii="Arial" w:cs="Arial" w:eastAsia="Arial" w:hAnsi="Arial"/>
                <w:sz w:val="19"/>
                <w:szCs w:val="19"/>
                <w:color w:val="auto"/>
                <w:vertAlign w:val="superscript"/>
              </w:rPr>
              <w:t>(2)</w:t>
            </w:r>
          </w:p>
        </w:tc>
        <w:tc>
          <w:tcPr>
            <w:tcW w:w="102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3"/>
                <w:szCs w:val="13"/>
                <w:color w:val="auto"/>
              </w:rPr>
              <w:t>$302,733</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$46,876</w:t>
            </w:r>
          </w:p>
        </w:tc>
        <w:tc>
          <w:tcPr>
            <w:tcW w:w="1000" w:type="dxa"/>
            <w:vAlign w:val="bottom"/>
            <w:tcBorders>
              <w:bottom w:val="single" w:sz="8" w:color="auto"/>
              <w:right w:val="single" w:sz="8" w:color="auto"/>
            </w:tcBorders>
          </w:tcPr>
          <w:p>
            <w:pPr>
              <w:jc w:val="right"/>
              <w:ind w:right="139"/>
              <w:spacing w:after="0"/>
              <w:rPr>
                <w:sz w:val="20"/>
                <w:szCs w:val="20"/>
                <w:color w:val="auto"/>
              </w:rPr>
            </w:pPr>
            <w:r>
              <w:rPr>
                <w:rFonts w:ascii="Arial" w:cs="Arial" w:eastAsia="Arial" w:hAnsi="Arial"/>
                <w:sz w:val="13"/>
                <w:szCs w:val="13"/>
                <w:color w:val="auto"/>
              </w:rPr>
              <w:t>$383,730</w:t>
            </w:r>
          </w:p>
        </w:tc>
        <w:tc>
          <w:tcPr>
            <w:tcW w:w="40" w:type="dxa"/>
            <w:vAlign w:val="bottom"/>
            <w:tcBorders>
              <w:right w:val="single" w:sz="8" w:color="auto"/>
            </w:tcBorders>
          </w:tcPr>
          <w:p>
            <w:pPr>
              <w:spacing w:after="0"/>
              <w:rPr>
                <w:sz w:val="19"/>
                <w:szCs w:val="19"/>
                <w:color w:val="auto"/>
              </w:rPr>
            </w:pPr>
          </w:p>
        </w:tc>
      </w:tr>
      <w:tr>
        <w:trPr>
          <w:trHeight w:val="204"/>
        </w:trPr>
        <w:tc>
          <w:tcPr>
            <w:tcW w:w="31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Jason Phillips</w:t>
            </w:r>
          </w:p>
        </w:tc>
        <w:tc>
          <w:tcPr>
            <w:tcW w:w="102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3"/>
                <w:szCs w:val="13"/>
                <w:color w:val="auto"/>
              </w:rPr>
              <w:t>$302,381</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$29,057</w:t>
            </w:r>
          </w:p>
        </w:tc>
        <w:tc>
          <w:tcPr>
            <w:tcW w:w="1000" w:type="dxa"/>
            <w:vAlign w:val="bottom"/>
            <w:tcBorders>
              <w:bottom w:val="single" w:sz="8" w:color="auto"/>
              <w:right w:val="single" w:sz="8" w:color="auto"/>
            </w:tcBorders>
          </w:tcPr>
          <w:p>
            <w:pPr>
              <w:jc w:val="right"/>
              <w:ind w:right="139"/>
              <w:spacing w:after="0"/>
              <w:rPr>
                <w:sz w:val="20"/>
                <w:szCs w:val="20"/>
                <w:color w:val="auto"/>
              </w:rPr>
            </w:pPr>
            <w:r>
              <w:rPr>
                <w:rFonts w:ascii="Arial" w:cs="Arial" w:eastAsia="Arial" w:hAnsi="Arial"/>
                <w:sz w:val="13"/>
                <w:szCs w:val="13"/>
                <w:color w:val="auto"/>
              </w:rPr>
              <w:t>$409,841</w:t>
            </w:r>
          </w:p>
        </w:tc>
        <w:tc>
          <w:tcPr>
            <w:tcW w:w="40" w:type="dxa"/>
            <w:vAlign w:val="bottom"/>
            <w:tcBorders>
              <w:right w:val="single" w:sz="8" w:color="auto"/>
            </w:tcBorders>
          </w:tcPr>
          <w:p>
            <w:pPr>
              <w:spacing w:after="0"/>
              <w:rPr>
                <w:sz w:val="17"/>
                <w:szCs w:val="17"/>
                <w:color w:val="auto"/>
              </w:rPr>
            </w:pPr>
          </w:p>
        </w:tc>
      </w:tr>
      <w:tr>
        <w:trPr>
          <w:trHeight w:val="209"/>
        </w:trPr>
        <w:tc>
          <w:tcPr>
            <w:tcW w:w="31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Jack J. Lawless</w:t>
            </w:r>
          </w:p>
        </w:tc>
        <w:tc>
          <w:tcPr>
            <w:tcW w:w="102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3"/>
                <w:szCs w:val="13"/>
                <w:color w:val="auto"/>
              </w:rPr>
              <w:t>$239,211</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$29,509</w:t>
            </w:r>
          </w:p>
        </w:tc>
        <w:tc>
          <w:tcPr>
            <w:tcW w:w="1000" w:type="dxa"/>
            <w:vAlign w:val="bottom"/>
            <w:tcBorders>
              <w:bottom w:val="single" w:sz="8" w:color="auto"/>
              <w:right w:val="single" w:sz="8" w:color="auto"/>
            </w:tcBorders>
          </w:tcPr>
          <w:p>
            <w:pPr>
              <w:jc w:val="right"/>
              <w:ind w:right="139"/>
              <w:spacing w:after="0"/>
              <w:rPr>
                <w:sz w:val="20"/>
                <w:szCs w:val="20"/>
                <w:color w:val="auto"/>
              </w:rPr>
            </w:pPr>
            <w:r>
              <w:rPr>
                <w:rFonts w:ascii="Arial" w:cs="Arial" w:eastAsia="Arial" w:hAnsi="Arial"/>
                <w:sz w:val="13"/>
                <w:szCs w:val="13"/>
                <w:color w:val="auto"/>
              </w:rPr>
              <w:t>$344,590</w:t>
            </w:r>
          </w:p>
        </w:tc>
        <w:tc>
          <w:tcPr>
            <w:tcW w:w="40" w:type="dxa"/>
            <w:vAlign w:val="bottom"/>
            <w:tcBorders>
              <w:right w:val="single" w:sz="8" w:color="auto"/>
            </w:tcBorders>
          </w:tcPr>
          <w:p>
            <w:pPr>
              <w:spacing w:after="0"/>
              <w:rPr>
                <w:sz w:val="18"/>
                <w:szCs w:val="18"/>
                <w:color w:val="auto"/>
              </w:rPr>
            </w:pPr>
          </w:p>
        </w:tc>
      </w:tr>
      <w:tr>
        <w:trPr>
          <w:trHeight w:val="209"/>
        </w:trPr>
        <w:tc>
          <w:tcPr>
            <w:tcW w:w="31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Todd C. Cooper</w:t>
            </w:r>
          </w:p>
        </w:tc>
        <w:tc>
          <w:tcPr>
            <w:tcW w:w="102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3"/>
                <w:szCs w:val="13"/>
                <w:color w:val="auto"/>
              </w:rPr>
              <w:t>$87,360</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$29,509</w:t>
            </w:r>
          </w:p>
        </w:tc>
        <w:tc>
          <w:tcPr>
            <w:tcW w:w="1000" w:type="dxa"/>
            <w:vAlign w:val="bottom"/>
            <w:tcBorders>
              <w:bottom w:val="single" w:sz="8" w:color="auto"/>
              <w:right w:val="single" w:sz="8" w:color="auto"/>
            </w:tcBorders>
          </w:tcPr>
          <w:p>
            <w:pPr>
              <w:jc w:val="right"/>
              <w:ind w:right="139"/>
              <w:spacing w:after="0"/>
              <w:rPr>
                <w:sz w:val="20"/>
                <w:szCs w:val="20"/>
                <w:color w:val="auto"/>
              </w:rPr>
            </w:pPr>
            <w:r>
              <w:rPr>
                <w:rFonts w:ascii="Arial" w:cs="Arial" w:eastAsia="Arial" w:hAnsi="Arial"/>
                <w:sz w:val="13"/>
                <w:szCs w:val="13"/>
                <w:color w:val="auto"/>
              </w:rPr>
              <w:t>$122,376</w:t>
            </w:r>
          </w:p>
        </w:tc>
        <w:tc>
          <w:tcPr>
            <w:tcW w:w="40" w:type="dxa"/>
            <w:vAlign w:val="bottom"/>
            <w:tcBorders>
              <w:right w:val="single" w:sz="8" w:color="auto"/>
            </w:tcBorders>
          </w:tcPr>
          <w:p>
            <w:pPr>
              <w:spacing w:after="0"/>
              <w:rPr>
                <w:sz w:val="18"/>
                <w:szCs w:val="18"/>
                <w:color w:val="auto"/>
              </w:rPr>
            </w:pPr>
          </w:p>
        </w:tc>
      </w:tr>
      <w:tr>
        <w:trPr>
          <w:trHeight w:val="20"/>
        </w:trPr>
        <w:tc>
          <w:tcPr>
            <w:tcW w:w="3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both"/>
        <w:ind w:left="1740" w:right="1499" w:hanging="262"/>
        <w:spacing w:after="0" w:line="216" w:lineRule="auto"/>
        <w:tabs>
          <w:tab w:leader="none" w:pos="1740" w:val="left"/>
        </w:tabs>
        <w:numPr>
          <w:ilvl w:val="0"/>
          <w:numId w:val="98"/>
        </w:numPr>
        <w:rPr>
          <w:rFonts w:ascii="Arial" w:cs="Arial" w:eastAsia="Arial" w:hAnsi="Arial"/>
          <w:sz w:val="16"/>
          <w:szCs w:val="16"/>
          <w:color w:val="auto"/>
          <w:vertAlign w:val="superscript"/>
        </w:rPr>
      </w:pPr>
      <w:r>
        <w:rPr>
          <w:rFonts w:ascii="Arial" w:cs="Arial" w:eastAsia="Arial" w:hAnsi="Arial"/>
          <w:sz w:val="11"/>
          <w:szCs w:val="11"/>
          <w:color w:val="auto"/>
        </w:rPr>
        <w:t>The difference between (i) the sum of the Accumulated Value at Start of Year column plus the Compensatory column and (ii) the Accumulated Value at End of Year column is attributable to non-compensatory changes in the Corporation’s accrued obligations during the year ended December 31, 2020.</w:t>
      </w:r>
    </w:p>
    <w:p>
      <w:pPr>
        <w:spacing w:after="0" w:line="34" w:lineRule="exact"/>
        <w:rPr>
          <w:rFonts w:ascii="Arial" w:cs="Arial" w:eastAsia="Arial" w:hAnsi="Arial"/>
          <w:sz w:val="16"/>
          <w:szCs w:val="16"/>
          <w:color w:val="auto"/>
          <w:vertAlign w:val="superscript"/>
        </w:rPr>
      </w:pPr>
    </w:p>
    <w:p>
      <w:pPr>
        <w:jc w:val="both"/>
        <w:ind w:left="1740" w:right="1499" w:hanging="262"/>
        <w:spacing w:after="0" w:line="222" w:lineRule="auto"/>
        <w:tabs>
          <w:tab w:leader="none" w:pos="1740" w:val="left"/>
        </w:tabs>
        <w:numPr>
          <w:ilvl w:val="0"/>
          <w:numId w:val="98"/>
        </w:numPr>
        <w:rPr>
          <w:rFonts w:ascii="Arial" w:cs="Arial" w:eastAsia="Arial" w:hAnsi="Arial"/>
          <w:sz w:val="16"/>
          <w:szCs w:val="16"/>
          <w:color w:val="auto"/>
          <w:vertAlign w:val="superscript"/>
        </w:rPr>
      </w:pPr>
      <w:r>
        <w:rPr>
          <w:rFonts w:ascii="Arial" w:cs="Arial" w:eastAsia="Arial" w:hAnsi="Arial"/>
          <w:sz w:val="11"/>
          <w:szCs w:val="11"/>
          <w:color w:val="auto"/>
        </w:rPr>
        <w:t>The difference between the Accumulated Value at Start of Year reported here and the Accumulated Value at End of Year reported in last year’s management information circular for Messrs. Mionis and Chawla is attributable to different exchange rates used in last year’s management information circular and in this Circular. The exchange rate used in last year’s management information circular was $1.00 = C$1.3269.</w:t>
      </w:r>
    </w:p>
    <w:p>
      <w:pPr>
        <w:spacing w:after="0" w:line="154"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auto"/>
        </w:rPr>
        <w:t>Canadian 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38100</wp:posOffset>
            </wp:positionV>
            <wp:extent cx="3502025" cy="63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502025" cy="6350"/>
                    </a:xfrm>
                    <a:prstGeom prst="rect">
                      <a:avLst/>
                    </a:prstGeom>
                    <a:noFill/>
                  </pic:spPr>
                </pic:pic>
              </a:graphicData>
            </a:graphic>
          </wp:anchor>
        </w:drawing>
      </w:r>
    </w:p>
    <w:p>
      <w:pPr>
        <w:spacing w:after="0" w:line="121" w:lineRule="exact"/>
        <w:rPr>
          <w:sz w:val="20"/>
          <w:szCs w:val="20"/>
          <w:color w:val="auto"/>
        </w:rPr>
      </w:pPr>
    </w:p>
    <w:p>
      <w:pPr>
        <w:jc w:val="both"/>
        <w:ind w:left="1480" w:right="1499"/>
        <w:spacing w:after="0" w:line="258" w:lineRule="auto"/>
        <w:rPr>
          <w:sz w:val="20"/>
          <w:szCs w:val="20"/>
          <w:color w:val="auto"/>
        </w:rPr>
      </w:pPr>
      <w:r>
        <w:rPr>
          <w:rFonts w:ascii="Arial" w:cs="Arial" w:eastAsia="Arial" w:hAnsi="Arial"/>
          <w:sz w:val="13"/>
          <w:szCs w:val="13"/>
          <w:color w:val="auto"/>
        </w:rPr>
        <w:t>Mr. Chawla participates in the Corporation’s registered pension plan for Canadian employees (the “</w:t>
      </w:r>
      <w:r>
        <w:rPr>
          <w:rFonts w:ascii="Arial" w:cs="Arial" w:eastAsia="Arial" w:hAnsi="Arial"/>
          <w:sz w:val="13"/>
          <w:szCs w:val="13"/>
          <w:b w:val="1"/>
          <w:bCs w:val="1"/>
          <w:color w:val="auto"/>
        </w:rPr>
        <w:t>Canadian Pension Plan</w:t>
      </w:r>
      <w:r>
        <w:rPr>
          <w:rFonts w:ascii="Arial" w:cs="Arial" w:eastAsia="Arial" w:hAnsi="Arial"/>
          <w:sz w:val="13"/>
          <w:szCs w:val="13"/>
          <w:color w:val="auto"/>
        </w:rPr>
        <w:t>”) which is a defined contribution plan. The Canadian Pension Plan allows employees to choose how the Corporation’s contributions are invested on their behalf within a range of investment options provided by third-party fund managers. Retirement benefits depend upon the performance of the investment options chosen. Mr. Chawla also participates in an unregistered supplementary pension plan (the “</w:t>
      </w:r>
      <w:r>
        <w:rPr>
          <w:rFonts w:ascii="Arial" w:cs="Arial" w:eastAsia="Arial" w:hAnsi="Arial"/>
          <w:sz w:val="13"/>
          <w:szCs w:val="13"/>
          <w:b w:val="1"/>
          <w:bCs w:val="1"/>
          <w:color w:val="auto"/>
        </w:rPr>
        <w:t>Canadian Supplementary Plan</w:t>
      </w:r>
      <w:r>
        <w:rPr>
          <w:rFonts w:ascii="Arial" w:cs="Arial" w:eastAsia="Arial" w:hAnsi="Arial"/>
          <w:sz w:val="13"/>
          <w:szCs w:val="13"/>
          <w:color w:val="auto"/>
        </w:rPr>
        <w:t>”). This is also a defined contribution plan through which the Corporation provides an annual contribution of an amount equal to the difference between (i) the maximum annual contribution limit as determined in accordance with the formula set out in the Canadian Pension Plan and with Canada Revenue Agency rules and (ii) 8% of the total base salary and paid annual incentives. Notional accounts are maintained for each participant in the Canadian Supplementary Plan. Participants are entitled to select from among the investment options available in the Canadian Pension Plan for the purpose of determining the return on their Canadian Supplementary Plan notional accounts.</w:t>
      </w:r>
    </w:p>
    <w:p>
      <w:pPr>
        <w:spacing w:after="0" w:line="145"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auto"/>
        </w:rPr>
        <w:t>U.S. 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38100</wp:posOffset>
            </wp:positionV>
            <wp:extent cx="3502025" cy="63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502025" cy="6350"/>
                    </a:xfrm>
                    <a:prstGeom prst="rect">
                      <a:avLst/>
                    </a:prstGeom>
                    <a:noFill/>
                  </pic:spPr>
                </pic:pic>
              </a:graphicData>
            </a:graphic>
          </wp:anchor>
        </w:drawing>
      </w:r>
    </w:p>
    <w:p>
      <w:pPr>
        <w:spacing w:after="0" w:line="121" w:lineRule="exact"/>
        <w:rPr>
          <w:sz w:val="20"/>
          <w:szCs w:val="20"/>
          <w:color w:val="auto"/>
        </w:rPr>
      </w:pPr>
    </w:p>
    <w:p>
      <w:pPr>
        <w:jc w:val="both"/>
        <w:ind w:left="1480" w:right="1499"/>
        <w:spacing w:after="0" w:line="257" w:lineRule="auto"/>
        <w:rPr>
          <w:sz w:val="20"/>
          <w:szCs w:val="20"/>
          <w:color w:val="auto"/>
        </w:rPr>
      </w:pPr>
      <w:r>
        <w:rPr>
          <w:rFonts w:ascii="Arial" w:cs="Arial" w:eastAsia="Arial" w:hAnsi="Arial"/>
          <w:sz w:val="13"/>
          <w:szCs w:val="13"/>
          <w:color w:val="auto"/>
        </w:rPr>
        <w:t>Messrs. Mionis, Phillips, Lawless and Cooper participate in the Corporation’s U.S. pension plans comprised of two defined contribution retirement programs, one of which qualifies as a deferred salary arrangement under section 401(k) of the U.S. Internal Revenue Code (the “</w:t>
      </w:r>
      <w:r>
        <w:rPr>
          <w:rFonts w:ascii="Arial" w:cs="Arial" w:eastAsia="Arial" w:hAnsi="Arial"/>
          <w:sz w:val="13"/>
          <w:szCs w:val="13"/>
          <w:b w:val="1"/>
          <w:bCs w:val="1"/>
          <w:color w:val="auto"/>
        </w:rPr>
        <w:t>401(k) Plan</w:t>
      </w:r>
      <w:r>
        <w:rPr>
          <w:rFonts w:ascii="Arial" w:cs="Arial" w:eastAsia="Arial" w:hAnsi="Arial"/>
          <w:sz w:val="13"/>
          <w:szCs w:val="13"/>
          <w:color w:val="auto"/>
        </w:rPr>
        <w:t>”). Under the 401(k) Plan, participating employees may defer 100% of their pre-tax earnings subject to any statutory limitations. The Corporation may make contributions for the benefit of eligible employees. The 401(k) Plan allows employees to choose how their account balances are invested on their behalf within a range of investment options provided by third-party fund managers. The Corporation contributes: (i) 3% of eligible compensation for the participant, and (ii) up to an additional 3% of eligible compensation by matching 50% of the first 6% contributed by the participant. The maximum contribution of the Corporation to the 401(k) Plan, based on the Internal Revenue Code rules and the 401(k) Plan formula for 2020 was $19,500 (plus an additional $6,500 for an individual over the age of 50). Messrs. Mionis, Lawless and Cooper also participate in a supplementary retirement plan that is also a defined contribution plan (the “</w:t>
      </w:r>
      <w:r>
        <w:rPr>
          <w:rFonts w:ascii="Arial" w:cs="Arial" w:eastAsia="Arial" w:hAnsi="Arial"/>
          <w:sz w:val="13"/>
          <w:szCs w:val="13"/>
          <w:b w:val="1"/>
          <w:bCs w:val="1"/>
          <w:color w:val="auto"/>
        </w:rPr>
        <w:t>U.S. Supplementary Plan</w:t>
      </w:r>
      <w:r>
        <w:rPr>
          <w:rFonts w:ascii="Arial" w:cs="Arial" w:eastAsia="Arial" w:hAnsi="Arial"/>
          <w:sz w:val="13"/>
          <w:szCs w:val="13"/>
          <w:color w:val="auto"/>
        </w:rPr>
        <w:t>”). Under the U.S. Supplementary Plan, the Corporation contributes to the participant an annual amount equal to the difference between 8% of the participant’s salary and paid incentive and the amount that Celestica would contribute to</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9" w:name="page80"/>
    <w:bookmarkEnd w:id="79"/>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97" w:lineRule="exact"/>
        <w:rPr>
          <w:sz w:val="20"/>
          <w:szCs w:val="20"/>
          <w:color w:val="auto"/>
        </w:rPr>
      </w:pPr>
    </w:p>
    <w:p>
      <w:pPr>
        <w:jc w:val="both"/>
        <w:ind w:left="1480" w:right="1499"/>
        <w:spacing w:after="0" w:line="249" w:lineRule="auto"/>
        <w:rPr>
          <w:sz w:val="20"/>
          <w:szCs w:val="20"/>
          <w:color w:val="auto"/>
        </w:rPr>
      </w:pPr>
      <w:r>
        <w:rPr>
          <w:rFonts w:ascii="Arial" w:cs="Arial" w:eastAsia="Arial" w:hAnsi="Arial"/>
          <w:sz w:val="13"/>
          <w:szCs w:val="13"/>
          <w:color w:val="auto"/>
        </w:rPr>
        <w:t>the 401(k) Plan assuming the participant contributes the amount required to receive the matching 50% contribution by Celestica. A notional account is maintained for Messrs. Mionis, Lawless and Cooper, and they are entitled to select from among the investment options available in the 401(k) Plan for the purpose of determining the return on their notional accounts.</w:t>
      </w:r>
    </w:p>
    <w:p>
      <w:pPr>
        <w:spacing w:after="0" w:line="140" w:lineRule="exact"/>
        <w:rPr>
          <w:sz w:val="20"/>
          <w:szCs w:val="20"/>
          <w:color w:val="auto"/>
        </w:rPr>
      </w:pPr>
    </w:p>
    <w:p>
      <w:pPr>
        <w:ind w:left="1480" w:right="2319"/>
        <w:spacing w:after="0" w:line="270" w:lineRule="auto"/>
        <w:rPr>
          <w:sz w:val="20"/>
          <w:szCs w:val="20"/>
          <w:color w:val="auto"/>
        </w:rPr>
      </w:pPr>
      <w:r>
        <w:rPr>
          <w:rFonts w:ascii="Arial" w:cs="Arial" w:eastAsia="Arial" w:hAnsi="Arial"/>
          <w:sz w:val="16"/>
          <w:szCs w:val="16"/>
          <w:b w:val="1"/>
          <w:bCs w:val="1"/>
          <w:color w:val="auto"/>
        </w:rPr>
        <w:t>Termination of Employment and Change in Control Arrangements with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5715</wp:posOffset>
            </wp:positionV>
            <wp:extent cx="3843655" cy="63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843655" cy="635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18415</wp:posOffset>
            </wp:positionV>
            <wp:extent cx="3843655" cy="63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149" w:lineRule="exact"/>
        <w:rPr>
          <w:sz w:val="20"/>
          <w:szCs w:val="20"/>
          <w:color w:val="auto"/>
        </w:rPr>
      </w:pPr>
    </w:p>
    <w:p>
      <w:pPr>
        <w:jc w:val="both"/>
        <w:ind w:left="1480" w:right="1499"/>
        <w:spacing w:after="0" w:line="247" w:lineRule="auto"/>
        <w:rPr>
          <w:sz w:val="20"/>
          <w:szCs w:val="20"/>
          <w:color w:val="auto"/>
        </w:rPr>
      </w:pPr>
      <w:r>
        <w:rPr>
          <w:rFonts w:ascii="Arial" w:cs="Arial" w:eastAsia="Arial" w:hAnsi="Arial"/>
          <w:sz w:val="13"/>
          <w:szCs w:val="13"/>
          <w:color w:val="auto"/>
        </w:rPr>
        <w:t>The Corporation has entered into employment agreements with certain of its NEOs in order to provide certainty to the Corporation and such NEOs with respect to issues such as obligations of confidentiality, non-solicitation and non-competition after termination of employment, the amount of severance to be paid in the event of termination of the NEO’s employment, and to provide a retention incentive in the event of a change in control scenario.</w:t>
      </w:r>
    </w:p>
    <w:p>
      <w:pPr>
        <w:spacing w:after="0" w:line="137" w:lineRule="exact"/>
        <w:rPr>
          <w:sz w:val="20"/>
          <w:szCs w:val="20"/>
          <w:color w:val="auto"/>
        </w:rPr>
      </w:pPr>
    </w:p>
    <w:p>
      <w:pPr>
        <w:ind w:left="1480"/>
        <w:spacing w:after="0"/>
        <w:rPr>
          <w:sz w:val="20"/>
          <w:szCs w:val="20"/>
          <w:color w:val="auto"/>
        </w:rPr>
      </w:pPr>
      <w:r>
        <w:rPr>
          <w:rFonts w:ascii="Arial" w:cs="Arial" w:eastAsia="Arial" w:hAnsi="Arial"/>
          <w:sz w:val="13"/>
          <w:szCs w:val="13"/>
          <w:b w:val="1"/>
          <w:bCs w:val="1"/>
          <w:i w:val="1"/>
          <w:iCs w:val="1"/>
          <w:color w:val="auto"/>
        </w:rPr>
        <w:t>Mr. Mionis</w:t>
      </w:r>
    </w:p>
    <w:p>
      <w:pPr>
        <w:spacing w:after="0" w:line="89" w:lineRule="exact"/>
        <w:rPr>
          <w:sz w:val="20"/>
          <w:szCs w:val="20"/>
          <w:color w:val="auto"/>
        </w:rPr>
      </w:pPr>
    </w:p>
    <w:p>
      <w:pPr>
        <w:jc w:val="both"/>
        <w:ind w:left="1480" w:right="1499"/>
        <w:spacing w:after="0" w:line="243" w:lineRule="auto"/>
        <w:rPr>
          <w:sz w:val="20"/>
          <w:szCs w:val="20"/>
          <w:color w:val="auto"/>
        </w:rPr>
      </w:pPr>
      <w:r>
        <w:rPr>
          <w:rFonts w:ascii="Arial" w:cs="Arial" w:eastAsia="Arial" w:hAnsi="Arial"/>
          <w:sz w:val="13"/>
          <w:szCs w:val="13"/>
          <w:color w:val="auto"/>
        </w:rPr>
        <w:t>The CEO Employment Agreement provides that Mr. Mionis is entitled to certain severance benefits if, during a change of control period or a potential change of control period at the Corporation, he is terminated without cause or resigns for good reason as defined in his agreement (a “double trigger” provision) where good reason includes, without limitation, a material adverse change in position or duties or a specified reduction(s) in total compensation (including base salary, equity and CTI award). A change of control period is defined in his agreement as the 12-month period following a change of control. A potential change of control period is defined in his agreement as the period beginning upon the occurrence of a potential change of control and ending on the earlier of: (i) the end of the 6-month period following a potential change of control; and (ii) a change of control.</w:t>
      </w:r>
    </w:p>
    <w:p>
      <w:pPr>
        <w:spacing w:after="0" w:line="61" w:lineRule="exact"/>
        <w:rPr>
          <w:sz w:val="20"/>
          <w:szCs w:val="20"/>
          <w:color w:val="auto"/>
        </w:rPr>
      </w:pPr>
    </w:p>
    <w:p>
      <w:pPr>
        <w:jc w:val="both"/>
        <w:ind w:left="1480" w:right="1499"/>
        <w:spacing w:after="0" w:line="263" w:lineRule="auto"/>
        <w:rPr>
          <w:sz w:val="20"/>
          <w:szCs w:val="20"/>
          <w:color w:val="auto"/>
        </w:rPr>
      </w:pPr>
      <w:r>
        <w:rPr>
          <w:rFonts w:ascii="Arial" w:cs="Arial" w:eastAsia="Arial" w:hAnsi="Arial"/>
          <w:sz w:val="12"/>
          <w:szCs w:val="12"/>
          <w:color w:val="auto"/>
        </w:rPr>
        <w:t>The amount of the severance payment for Mr. Mionis is equal to: (i) base salary up to and including the termination date; (ii) a lump sum amount equal to his target payment under the CTI prorated to the date of termination; (iii) a lump sum amount equal to any payments accrued under the CTI in respect of the fiscal year preceding the fiscal year during which his termination occurs, if any; (iv) a lump sum amount equal to two times his eligible earnings (such eligible earnings calculated as his annual base salary plus the lesser of</w:t>
      </w:r>
    </w:p>
    <w:p>
      <w:pPr>
        <w:spacing w:after="0" w:line="1" w:lineRule="exact"/>
        <w:rPr>
          <w:sz w:val="20"/>
          <w:szCs w:val="20"/>
          <w:color w:val="auto"/>
        </w:rPr>
      </w:pPr>
    </w:p>
    <w:p>
      <w:pPr>
        <w:jc w:val="both"/>
        <w:ind w:left="1480" w:right="1499" w:hanging="2"/>
        <w:spacing w:after="0" w:line="241" w:lineRule="auto"/>
        <w:tabs>
          <w:tab w:leader="none" w:pos="1675" w:val="left"/>
        </w:tabs>
        <w:numPr>
          <w:ilvl w:val="0"/>
          <w:numId w:val="99"/>
        </w:numPr>
        <w:rPr>
          <w:rFonts w:ascii="Arial" w:cs="Arial" w:eastAsia="Arial" w:hAnsi="Arial"/>
          <w:sz w:val="13"/>
          <w:szCs w:val="13"/>
          <w:color w:val="auto"/>
        </w:rPr>
      </w:pPr>
      <w:r>
        <w:rPr>
          <w:rFonts w:ascii="Arial" w:cs="Arial" w:eastAsia="Arial" w:hAnsi="Arial"/>
          <w:sz w:val="13"/>
          <w:szCs w:val="13"/>
          <w:color w:val="auto"/>
        </w:rPr>
        <w:t>his target payment under the CTI for the fiscal year during which his termination occurs based on target achievement of the CPF of 1.0 and an IPF of 1.0, and (b) payment received under the CTI for the fiscal year preceding the fiscal year during which termination occurs); (v) vacation pay earned but unpaid up to and including the date of termination; (vi) a lump sum cash settlement of contributions to, or continuation of his pension and retirement plans for a two-year period; and (vii) a one-time lump sum payment of $100,000 in lieu of all future benefits and perquisites. In addition, upon a change of control and termination without cause or for good reason (a) the stock options granted to him vest immediately, (b) the unvested PSUs granted to him vest immediately at the target level of performance specified in the terms of the PSU grant, and (c) the RSUs granted to him shall vest immediately.</w:t>
      </w:r>
    </w:p>
    <w:p>
      <w:pPr>
        <w:spacing w:after="0" w:line="62" w:lineRule="exact"/>
        <w:rPr>
          <w:sz w:val="20"/>
          <w:szCs w:val="20"/>
          <w:color w:val="auto"/>
        </w:rPr>
      </w:pPr>
    </w:p>
    <w:p>
      <w:pPr>
        <w:jc w:val="both"/>
        <w:ind w:left="1480" w:right="1499"/>
        <w:spacing w:after="0" w:line="241" w:lineRule="auto"/>
        <w:rPr>
          <w:sz w:val="20"/>
          <w:szCs w:val="20"/>
          <w:color w:val="auto"/>
        </w:rPr>
      </w:pPr>
      <w:r>
        <w:rPr>
          <w:rFonts w:ascii="Arial" w:cs="Arial" w:eastAsia="Arial" w:hAnsi="Arial"/>
          <w:sz w:val="13"/>
          <w:szCs w:val="13"/>
          <w:color w:val="auto"/>
        </w:rPr>
        <w:t xml:space="preserve">Outside a change in control period, upon termination without cause or resignation for good reason as defined in his agreement, the amount of the severance payment for Mr. Mionis is equal to: (a) base salary up to and including the termination date; (b) a lump sum amount equal to any payments accrued under the CTI in respect of the fiscal year preceding the fiscal year during which his termination occurs; (c) a lump sum amount equal to two times his eligible earnings (as calculated in the paragraph above); (d) vacation pay earned but unpaid up to and including the date of termination; (e) a one-time lump sum payment of $100,000 in lieu of all future benefits and perquisites; and (f) a lump sum cash settlement of contributions to, or continuation of his pension and retirement plans for a two-year period. In addition, (a) vested stock options may be exercised for a period of 30 days and unvested stock options are forfeited on the termination date, (b) RSUs shall vest immediately on a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basis based on the ratio of (i) the number of full years of employment completed between the date of grant and termination of employment, to (ii) the number of years between the date of grant and the vesting date, and (c) PSUs vest based on actual performance on a </w:t>
      </w:r>
      <w:r>
        <w:rPr>
          <w:rFonts w:ascii="Arial" w:cs="Arial" w:eastAsia="Arial" w:hAnsi="Arial"/>
          <w:sz w:val="13"/>
          <w:szCs w:val="13"/>
          <w:i w:val="1"/>
          <w:iCs w:val="1"/>
          <w:color w:val="auto"/>
        </w:rPr>
        <w:t xml:space="preserve">pro rata </w:t>
      </w:r>
      <w:r>
        <w:rPr>
          <w:rFonts w:ascii="Arial" w:cs="Arial" w:eastAsia="Arial" w:hAnsi="Arial"/>
          <w:sz w:val="13"/>
          <w:szCs w:val="13"/>
          <w:color w:val="auto"/>
        </w:rPr>
        <w:t>basis based on the ratio of (i) the number of full years of employment completed between the date</w:t>
      </w:r>
      <w:r>
        <w:rPr>
          <w:rFonts w:ascii="Arial" w:cs="Arial" w:eastAsia="Arial" w:hAnsi="Arial"/>
          <w:sz w:val="13"/>
          <w:szCs w:val="13"/>
          <w:i w:val="1"/>
          <w:iCs w:val="1"/>
          <w:color w:val="auto"/>
        </w:rPr>
        <w:t xml:space="preserve"> </w:t>
      </w:r>
      <w:r>
        <w:rPr>
          <w:rFonts w:ascii="Arial" w:cs="Arial" w:eastAsia="Arial" w:hAnsi="Arial"/>
          <w:sz w:val="13"/>
          <w:szCs w:val="13"/>
          <w:color w:val="auto"/>
        </w:rPr>
        <w:t>of grant and the termination of employment, to (ii) the number of years between the date of grant and the vesting date.</w:t>
      </w:r>
    </w:p>
    <w:p>
      <w:pPr>
        <w:spacing w:after="0" w:line="68" w:lineRule="exact"/>
        <w:rPr>
          <w:sz w:val="20"/>
          <w:szCs w:val="20"/>
          <w:color w:val="auto"/>
        </w:rPr>
      </w:pPr>
    </w:p>
    <w:p>
      <w:pPr>
        <w:jc w:val="both"/>
        <w:ind w:left="1480" w:right="1499"/>
        <w:spacing w:after="0" w:line="254" w:lineRule="auto"/>
        <w:rPr>
          <w:sz w:val="20"/>
          <w:szCs w:val="20"/>
          <w:color w:val="auto"/>
        </w:rPr>
      </w:pPr>
      <w:r>
        <w:rPr>
          <w:rFonts w:ascii="Arial" w:cs="Arial" w:eastAsia="Arial" w:hAnsi="Arial"/>
          <w:sz w:val="13"/>
          <w:szCs w:val="13"/>
          <w:color w:val="auto"/>
        </w:rPr>
        <w:t>The foregoing entitlements are conferred on Mr. Mionis in part upon his fulfillment of certain confidentiality, non-solicitation and non-competition obligations for a period of two years following termination of</w:t>
      </w: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0" w:name="page81"/>
    <w:bookmarkEnd w:id="80"/>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97" w:lineRule="exact"/>
        <w:rPr>
          <w:sz w:val="20"/>
          <w:szCs w:val="20"/>
          <w:color w:val="auto"/>
        </w:rPr>
      </w:pPr>
    </w:p>
    <w:p>
      <w:pPr>
        <w:jc w:val="both"/>
        <w:ind w:left="1480" w:right="1499"/>
        <w:spacing w:after="0" w:line="269" w:lineRule="auto"/>
        <w:rPr>
          <w:sz w:val="20"/>
          <w:szCs w:val="20"/>
          <w:color w:val="auto"/>
        </w:rPr>
      </w:pPr>
      <w:r>
        <w:rPr>
          <w:rFonts w:ascii="Arial" w:cs="Arial" w:eastAsia="Arial" w:hAnsi="Arial"/>
          <w:sz w:val="13"/>
          <w:szCs w:val="13"/>
          <w:color w:val="auto"/>
        </w:rPr>
        <w:t>employment. In the event of a breach of such obligations, the Corporation is entitled to seek appropriate legal, equitable and other remedies, including injunctive relief.</w:t>
      </w:r>
    </w:p>
    <w:p>
      <w:pPr>
        <w:spacing w:after="0" w:line="43" w:lineRule="exact"/>
        <w:rPr>
          <w:sz w:val="20"/>
          <w:szCs w:val="20"/>
          <w:color w:val="auto"/>
        </w:rPr>
      </w:pPr>
    </w:p>
    <w:p>
      <w:pPr>
        <w:jc w:val="both"/>
        <w:ind w:left="1480" w:right="1499"/>
        <w:spacing w:after="0" w:line="249" w:lineRule="auto"/>
        <w:rPr>
          <w:sz w:val="20"/>
          <w:szCs w:val="20"/>
          <w:color w:val="auto"/>
        </w:rPr>
      </w:pPr>
      <w:r>
        <w:rPr>
          <w:rFonts w:ascii="Arial" w:cs="Arial" w:eastAsia="Arial" w:hAnsi="Arial"/>
          <w:sz w:val="13"/>
          <w:szCs w:val="13"/>
          <w:color w:val="auto"/>
        </w:rPr>
        <w:t>The following table summarizes the incremental payments and benefits to which Mr. Mionis would have been entitled upon a change in control occurring on December 31, 2020, or if his employment had been terminated on December 31, 2020 as a result of a change in control, retirement or termination without cause (or with good reason).</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Table 25: Mr. Mionis’ Benefits</w:t>
      </w:r>
    </w:p>
    <w:p>
      <w:pPr>
        <w:spacing w:after="0" w:line="67" w:lineRule="exact"/>
        <w:rPr>
          <w:sz w:val="20"/>
          <w:szCs w:val="20"/>
          <w:color w:val="auto"/>
        </w:rPr>
      </w:pPr>
    </w:p>
    <w:tbl>
      <w:tblPr>
        <w:tblLayout w:type="fixed"/>
        <w:tblInd w:w="1490" w:type="dxa"/>
        <w:tblCellMar>
          <w:top w:w="0" w:type="dxa"/>
          <w:left w:w="0" w:type="dxa"/>
          <w:bottom w:w="0" w:type="dxa"/>
          <w:right w:w="0" w:type="dxa"/>
        </w:tblCellMar>
      </w:tblPr>
      <w:tr>
        <w:trPr>
          <w:trHeight w:val="40"/>
        </w:trPr>
        <w:tc>
          <w:tcPr>
            <w:tcW w:w="3040" w:type="dxa"/>
            <w:vAlign w:val="bottom"/>
            <w:tcBorders>
              <w:top w:val="single" w:sz="8" w:color="auto"/>
              <w:bottom w:val="single" w:sz="8" w:color="auto"/>
            </w:tcBorders>
          </w:tcPr>
          <w:p>
            <w:pPr>
              <w:spacing w:after="0"/>
              <w:rPr>
                <w:sz w:val="3"/>
                <w:szCs w:val="3"/>
                <w:color w:val="auto"/>
              </w:rPr>
            </w:pPr>
          </w:p>
        </w:tc>
        <w:tc>
          <w:tcPr>
            <w:tcW w:w="720" w:type="dxa"/>
            <w:vAlign w:val="bottom"/>
            <w:tcBorders>
              <w:top w:val="single" w:sz="8" w:color="auto"/>
              <w:bottom w:val="single" w:sz="8" w:color="auto"/>
            </w:tcBorders>
          </w:tcPr>
          <w:p>
            <w:pPr>
              <w:spacing w:after="0"/>
              <w:rPr>
                <w:sz w:val="3"/>
                <w:szCs w:val="3"/>
                <w:color w:val="auto"/>
              </w:rPr>
            </w:pPr>
          </w:p>
        </w:tc>
        <w:tc>
          <w:tcPr>
            <w:tcW w:w="960" w:type="dxa"/>
            <w:vAlign w:val="bottom"/>
            <w:tcBorders>
              <w:top w:val="single" w:sz="8" w:color="auto"/>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720" w:type="dxa"/>
            <w:vAlign w:val="bottom"/>
            <w:tcBorders>
              <w:top w:val="single" w:sz="8" w:color="auto"/>
              <w:bottom w:val="single" w:sz="8" w:color="auto"/>
              <w:right w:val="single" w:sz="8" w:color="auto"/>
            </w:tcBorders>
          </w:tcPr>
          <w:p>
            <w:pPr>
              <w:spacing w:after="0"/>
              <w:rPr>
                <w:sz w:val="3"/>
                <w:szCs w:val="3"/>
                <w:color w:val="auto"/>
              </w:rPr>
            </w:pPr>
          </w:p>
        </w:tc>
      </w:tr>
      <w:tr>
        <w:trPr>
          <w:trHeight w:val="147"/>
        </w:trPr>
        <w:tc>
          <w:tcPr>
            <w:tcW w:w="3040" w:type="dxa"/>
            <w:vAlign w:val="bottom"/>
            <w:tcBorders>
              <w:left w:val="single" w:sz="8" w:color="auto"/>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jc w:val="center"/>
              <w:ind w:right="25"/>
              <w:spacing w:after="0"/>
              <w:rPr>
                <w:sz w:val="20"/>
                <w:szCs w:val="20"/>
                <w:color w:val="auto"/>
              </w:rPr>
            </w:pPr>
            <w:r>
              <w:rPr>
                <w:rFonts w:ascii="Arial" w:cs="Arial" w:eastAsia="Arial" w:hAnsi="Arial"/>
                <w:sz w:val="11"/>
                <w:szCs w:val="11"/>
                <w:b w:val="1"/>
                <w:bCs w:val="1"/>
                <w:color w:val="auto"/>
                <w:w w:val="84"/>
              </w:rPr>
              <w:t>Value of</w:t>
            </w:r>
          </w:p>
        </w:tc>
        <w:tc>
          <w:tcPr>
            <w:tcW w:w="6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r>
      <w:tr>
        <w:trPr>
          <w:trHeight w:val="119"/>
        </w:trPr>
        <w:tc>
          <w:tcPr>
            <w:tcW w:w="3040" w:type="dxa"/>
            <w:vAlign w:val="bottom"/>
            <w:tcBorders>
              <w:left w:val="single" w:sz="8" w:color="auto"/>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jc w:val="center"/>
              <w:ind w:right="25"/>
              <w:spacing w:after="0" w:line="120" w:lineRule="exact"/>
              <w:rPr>
                <w:sz w:val="20"/>
                <w:szCs w:val="20"/>
                <w:color w:val="auto"/>
              </w:rPr>
            </w:pPr>
            <w:r>
              <w:rPr>
                <w:rFonts w:ascii="Arial" w:cs="Arial" w:eastAsia="Arial" w:hAnsi="Arial"/>
                <w:sz w:val="11"/>
                <w:szCs w:val="11"/>
                <w:b w:val="1"/>
                <w:bCs w:val="1"/>
                <w:color w:val="auto"/>
                <w:w w:val="84"/>
              </w:rPr>
              <w:t>Option-Based and</w:t>
            </w:r>
          </w:p>
        </w:tc>
        <w:tc>
          <w:tcPr>
            <w:tcW w:w="62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r>
      <w:tr>
        <w:trPr>
          <w:trHeight w:val="115"/>
        </w:trPr>
        <w:tc>
          <w:tcPr>
            <w:tcW w:w="3040" w:type="dxa"/>
            <w:vAlign w:val="bottom"/>
            <w:tcBorders>
              <w:left w:val="single" w:sz="8" w:color="auto"/>
              <w:right w:val="single" w:sz="8" w:color="auto"/>
            </w:tcBorders>
          </w:tcPr>
          <w:p>
            <w:pPr>
              <w:spacing w:after="0"/>
              <w:rPr>
                <w:sz w:val="10"/>
                <w:szCs w:val="10"/>
                <w:color w:val="auto"/>
              </w:rPr>
            </w:pPr>
          </w:p>
        </w:tc>
        <w:tc>
          <w:tcPr>
            <w:tcW w:w="720" w:type="dxa"/>
            <w:vAlign w:val="bottom"/>
            <w:tcBorders>
              <w:right w:val="single" w:sz="8" w:color="auto"/>
            </w:tcBorders>
          </w:tcPr>
          <w:p>
            <w:pPr>
              <w:jc w:val="center"/>
              <w:ind w:right="24"/>
              <w:spacing w:after="0" w:line="115" w:lineRule="exact"/>
              <w:rPr>
                <w:sz w:val="20"/>
                <w:szCs w:val="20"/>
                <w:color w:val="auto"/>
              </w:rPr>
            </w:pPr>
            <w:r>
              <w:rPr>
                <w:rFonts w:ascii="Arial" w:cs="Arial" w:eastAsia="Arial" w:hAnsi="Arial"/>
                <w:sz w:val="11"/>
                <w:szCs w:val="11"/>
                <w:b w:val="1"/>
                <w:bCs w:val="1"/>
                <w:color w:val="auto"/>
                <w:w w:val="89"/>
              </w:rPr>
              <w:t>Cash</w:t>
            </w:r>
          </w:p>
        </w:tc>
        <w:tc>
          <w:tcPr>
            <w:tcW w:w="960" w:type="dxa"/>
            <w:vAlign w:val="bottom"/>
            <w:tcBorders>
              <w:right w:val="single" w:sz="8" w:color="auto"/>
            </w:tcBorders>
          </w:tcPr>
          <w:p>
            <w:pPr>
              <w:jc w:val="center"/>
              <w:ind w:right="25"/>
              <w:spacing w:after="0" w:line="115" w:lineRule="exact"/>
              <w:rPr>
                <w:sz w:val="20"/>
                <w:szCs w:val="20"/>
                <w:color w:val="auto"/>
              </w:rPr>
            </w:pPr>
            <w:r>
              <w:rPr>
                <w:rFonts w:ascii="Arial" w:cs="Arial" w:eastAsia="Arial" w:hAnsi="Arial"/>
                <w:sz w:val="11"/>
                <w:szCs w:val="11"/>
                <w:b w:val="1"/>
                <w:bCs w:val="1"/>
                <w:color w:val="auto"/>
                <w:w w:val="83"/>
              </w:rPr>
              <w:t>Share-Based</w:t>
            </w:r>
          </w:p>
        </w:tc>
        <w:tc>
          <w:tcPr>
            <w:tcW w:w="620" w:type="dxa"/>
            <w:vAlign w:val="bottom"/>
            <w:tcBorders>
              <w:right w:val="single" w:sz="8" w:color="auto"/>
            </w:tcBorders>
          </w:tcPr>
          <w:p>
            <w:pPr>
              <w:jc w:val="center"/>
              <w:ind w:right="24"/>
              <w:spacing w:after="0" w:line="115" w:lineRule="exact"/>
              <w:rPr>
                <w:sz w:val="20"/>
                <w:szCs w:val="20"/>
                <w:color w:val="auto"/>
              </w:rPr>
            </w:pPr>
            <w:r>
              <w:rPr>
                <w:rFonts w:ascii="Arial" w:cs="Arial" w:eastAsia="Arial" w:hAnsi="Arial"/>
                <w:sz w:val="11"/>
                <w:szCs w:val="11"/>
                <w:b w:val="1"/>
                <w:bCs w:val="1"/>
                <w:color w:val="auto"/>
                <w:w w:val="88"/>
              </w:rPr>
              <w:t>Other</w:t>
            </w:r>
          </w:p>
        </w:tc>
        <w:tc>
          <w:tcPr>
            <w:tcW w:w="720" w:type="dxa"/>
            <w:vAlign w:val="bottom"/>
            <w:tcBorders>
              <w:right w:val="single" w:sz="8" w:color="auto"/>
            </w:tcBorders>
          </w:tcPr>
          <w:p>
            <w:pPr>
              <w:spacing w:after="0"/>
              <w:rPr>
                <w:sz w:val="10"/>
                <w:szCs w:val="10"/>
                <w:color w:val="auto"/>
              </w:rPr>
            </w:pPr>
          </w:p>
        </w:tc>
      </w:tr>
      <w:tr>
        <w:trPr>
          <w:trHeight w:val="171"/>
        </w:trPr>
        <w:tc>
          <w:tcPr>
            <w:tcW w:w="3040" w:type="dxa"/>
            <w:vAlign w:val="bottom"/>
            <w:tcBorders>
              <w:left w:val="single" w:sz="8" w:color="auto"/>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jc w:val="center"/>
              <w:ind w:right="4"/>
              <w:spacing w:after="0"/>
              <w:rPr>
                <w:sz w:val="20"/>
                <w:szCs w:val="20"/>
                <w:color w:val="auto"/>
              </w:rPr>
            </w:pPr>
            <w:r>
              <w:rPr>
                <w:rFonts w:ascii="Arial" w:cs="Arial" w:eastAsia="Arial" w:hAnsi="Arial"/>
                <w:sz w:val="11"/>
                <w:szCs w:val="11"/>
                <w:b w:val="1"/>
                <w:bCs w:val="1"/>
                <w:color w:val="auto"/>
                <w:w w:val="88"/>
              </w:rPr>
              <w:t>Portion</w:t>
            </w:r>
          </w:p>
        </w:tc>
        <w:tc>
          <w:tcPr>
            <w:tcW w:w="960" w:type="dxa"/>
            <w:vAlign w:val="bottom"/>
            <w:tcBorders>
              <w:bottom w:val="single" w:sz="8" w:color="auto"/>
              <w:right w:val="single" w:sz="8" w:color="auto"/>
            </w:tcBorders>
          </w:tcPr>
          <w:p>
            <w:pPr>
              <w:jc w:val="center"/>
              <w:ind w:right="5"/>
              <w:spacing w:after="0" w:line="171" w:lineRule="exact"/>
              <w:rPr>
                <w:sz w:val="20"/>
                <w:szCs w:val="20"/>
                <w:color w:val="auto"/>
              </w:rPr>
            </w:pPr>
            <w:r>
              <w:rPr>
                <w:rFonts w:ascii="Arial" w:cs="Arial" w:eastAsia="Arial" w:hAnsi="Arial"/>
                <w:sz w:val="11"/>
                <w:szCs w:val="11"/>
                <w:b w:val="1"/>
                <w:bCs w:val="1"/>
                <w:color w:val="auto"/>
                <w:w w:val="80"/>
              </w:rPr>
              <w:t>Awards</w:t>
            </w:r>
            <w:r>
              <w:rPr>
                <w:rFonts w:ascii="Arial" w:cs="Arial" w:eastAsia="Arial" w:hAnsi="Arial"/>
                <w:sz w:val="15"/>
                <w:szCs w:val="15"/>
                <w:b w:val="1"/>
                <w:bCs w:val="1"/>
                <w:color w:val="auto"/>
                <w:w w:val="80"/>
                <w:vertAlign w:val="superscript"/>
              </w:rPr>
              <w:t>(1)</w:t>
            </w:r>
          </w:p>
        </w:tc>
        <w:tc>
          <w:tcPr>
            <w:tcW w:w="620" w:type="dxa"/>
            <w:vAlign w:val="bottom"/>
            <w:tcBorders>
              <w:bottom w:val="single" w:sz="8" w:color="auto"/>
              <w:right w:val="single" w:sz="8" w:color="auto"/>
            </w:tcBorders>
          </w:tcPr>
          <w:p>
            <w:pPr>
              <w:jc w:val="center"/>
              <w:ind w:right="4"/>
              <w:spacing w:after="0" w:line="171" w:lineRule="exact"/>
              <w:rPr>
                <w:sz w:val="20"/>
                <w:szCs w:val="20"/>
                <w:color w:val="auto"/>
              </w:rPr>
            </w:pPr>
            <w:r>
              <w:rPr>
                <w:rFonts w:ascii="Arial" w:cs="Arial" w:eastAsia="Arial" w:hAnsi="Arial"/>
                <w:sz w:val="11"/>
                <w:szCs w:val="11"/>
                <w:b w:val="1"/>
                <w:bCs w:val="1"/>
                <w:color w:val="auto"/>
                <w:w w:val="79"/>
              </w:rPr>
              <w:t>Benefits</w:t>
            </w:r>
            <w:r>
              <w:rPr>
                <w:rFonts w:ascii="Arial" w:cs="Arial" w:eastAsia="Arial" w:hAnsi="Arial"/>
                <w:sz w:val="15"/>
                <w:szCs w:val="15"/>
                <w:b w:val="1"/>
                <w:bCs w:val="1"/>
                <w:color w:val="auto"/>
                <w:w w:val="79"/>
                <w:vertAlign w:val="superscript"/>
              </w:rPr>
              <w:t>(2)</w:t>
            </w:r>
          </w:p>
        </w:tc>
        <w:tc>
          <w:tcPr>
            <w:tcW w:w="7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1"/>
                <w:szCs w:val="11"/>
                <w:b w:val="1"/>
                <w:bCs w:val="1"/>
                <w:color w:val="auto"/>
              </w:rPr>
              <w:t>Total</w:t>
            </w:r>
          </w:p>
        </w:tc>
      </w:tr>
      <w:tr>
        <w:trPr>
          <w:trHeight w:val="172"/>
        </w:trPr>
        <w:tc>
          <w:tcPr>
            <w:tcW w:w="30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2"/>
                <w:szCs w:val="12"/>
                <w:color w:val="auto"/>
                <w:w w:val="95"/>
              </w:rPr>
              <w:t>Termination without Cause/with Good Reason or Change</w:t>
            </w:r>
          </w:p>
        </w:tc>
        <w:tc>
          <w:tcPr>
            <w:tcW w:w="72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r>
      <w:tr>
        <w:trPr>
          <w:trHeight w:val="159"/>
        </w:trPr>
        <w:tc>
          <w:tcPr>
            <w:tcW w:w="304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2"/>
                <w:szCs w:val="12"/>
                <w:color w:val="auto"/>
              </w:rPr>
              <w:t>in Control with Termination</w:t>
            </w:r>
          </w:p>
        </w:tc>
        <w:tc>
          <w:tcPr>
            <w:tcW w:w="720" w:type="dxa"/>
            <w:vAlign w:val="bottom"/>
            <w:tcBorders>
              <w:bottom w:val="single" w:sz="8" w:color="auto"/>
              <w:right w:val="single" w:sz="8" w:color="auto"/>
            </w:tcBorders>
          </w:tcPr>
          <w:p>
            <w:pPr>
              <w:jc w:val="right"/>
              <w:ind w:right="44"/>
              <w:spacing w:after="0"/>
              <w:rPr>
                <w:sz w:val="20"/>
                <w:szCs w:val="20"/>
                <w:color w:val="auto"/>
              </w:rPr>
            </w:pPr>
            <w:r>
              <w:rPr>
                <w:rFonts w:ascii="Arial" w:cs="Arial" w:eastAsia="Arial" w:hAnsi="Arial"/>
                <w:sz w:val="12"/>
                <w:szCs w:val="12"/>
                <w:color w:val="auto"/>
                <w:w w:val="99"/>
              </w:rPr>
              <w:t>$2,667,124</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620" w:type="dxa"/>
            <w:vAlign w:val="bottom"/>
            <w:tcBorders>
              <w:bottom w:val="single" w:sz="8" w:color="auto"/>
              <w:right w:val="single" w:sz="8" w:color="auto"/>
            </w:tcBorders>
          </w:tcPr>
          <w:p>
            <w:pPr>
              <w:jc w:val="right"/>
              <w:ind w:right="44"/>
              <w:spacing w:after="0"/>
              <w:rPr>
                <w:sz w:val="20"/>
                <w:szCs w:val="20"/>
                <w:color w:val="auto"/>
              </w:rPr>
            </w:pPr>
            <w:r>
              <w:rPr>
                <w:rFonts w:ascii="Arial" w:cs="Arial" w:eastAsia="Arial" w:hAnsi="Arial"/>
                <w:sz w:val="12"/>
                <w:szCs w:val="12"/>
                <w:color w:val="auto"/>
                <w:w w:val="99"/>
              </w:rPr>
              <w:t>$313,670</w:t>
            </w:r>
          </w:p>
        </w:tc>
        <w:tc>
          <w:tcPr>
            <w:tcW w:w="720" w:type="dxa"/>
            <w:vAlign w:val="bottom"/>
            <w:tcBorders>
              <w:bottom w:val="single" w:sz="8" w:color="auto"/>
              <w:right w:val="single" w:sz="8" w:color="auto"/>
            </w:tcBorders>
          </w:tcPr>
          <w:p>
            <w:pPr>
              <w:jc w:val="right"/>
              <w:ind w:right="42"/>
              <w:spacing w:after="0"/>
              <w:rPr>
                <w:sz w:val="20"/>
                <w:szCs w:val="20"/>
                <w:color w:val="auto"/>
              </w:rPr>
            </w:pPr>
            <w:r>
              <w:rPr>
                <w:rFonts w:ascii="Arial" w:cs="Arial" w:eastAsia="Arial" w:hAnsi="Arial"/>
                <w:sz w:val="12"/>
                <w:szCs w:val="12"/>
                <w:color w:val="auto"/>
                <w:w w:val="99"/>
              </w:rPr>
              <w:t>$2,980,794</w:t>
            </w:r>
          </w:p>
        </w:tc>
      </w:tr>
      <w:tr>
        <w:trPr>
          <w:trHeight w:val="199"/>
        </w:trPr>
        <w:tc>
          <w:tcPr>
            <w:tcW w:w="30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Change in Control with no Termination or Retirement</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620" w:type="dxa"/>
            <w:vAlign w:val="bottom"/>
            <w:tcBorders>
              <w:bottom w:val="single" w:sz="8" w:color="auto"/>
              <w:right w:val="single" w:sz="8" w:color="auto"/>
            </w:tcBorders>
          </w:tcPr>
          <w:p>
            <w:pPr>
              <w:jc w:val="center"/>
              <w:ind w:right="4"/>
              <w:spacing w:after="0"/>
              <w:rPr>
                <w:sz w:val="20"/>
                <w:szCs w:val="20"/>
                <w:color w:val="auto"/>
              </w:rPr>
            </w:pPr>
            <w:r>
              <w:rPr>
                <w:rFonts w:ascii="Arial" w:cs="Arial" w:eastAsia="Arial" w:hAnsi="Arial"/>
                <w:sz w:val="12"/>
                <w:szCs w:val="12"/>
                <w:color w:val="auto"/>
                <w:w w:val="99"/>
              </w:rPr>
              <w:t>—</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r>
      <w:tr>
        <w:trPr>
          <w:trHeight w:val="22"/>
        </w:trPr>
        <w:tc>
          <w:tcPr>
            <w:tcW w:w="3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both"/>
        <w:ind w:left="1740" w:right="1499" w:hanging="262"/>
        <w:spacing w:after="0" w:line="216" w:lineRule="auto"/>
        <w:tabs>
          <w:tab w:leader="none" w:pos="1740" w:val="left"/>
        </w:tabs>
        <w:numPr>
          <w:ilvl w:val="0"/>
          <w:numId w:val="100"/>
        </w:numPr>
        <w:rPr>
          <w:rFonts w:ascii="Arial" w:cs="Arial" w:eastAsia="Arial" w:hAnsi="Arial"/>
          <w:sz w:val="16"/>
          <w:szCs w:val="16"/>
          <w:color w:val="auto"/>
          <w:vertAlign w:val="superscript"/>
        </w:rPr>
      </w:pPr>
      <w:r>
        <w:rPr>
          <w:rFonts w:ascii="Arial" w:cs="Arial" w:eastAsia="Arial" w:hAnsi="Arial"/>
          <w:sz w:val="11"/>
          <w:szCs w:val="11"/>
          <w:color w:val="auto"/>
        </w:rPr>
        <w:t>No incremental amount would be received in respect of accelerated vesting of options, RSUs and PSUs, if any, on the assumption that the discount rate applied to calculate the net present value of the accelerated entitlements is not greater than the rate at which the SVS would otherwise be expected to appreciate over the period of acceleration.</w:t>
      </w:r>
    </w:p>
    <w:p>
      <w:pPr>
        <w:ind w:left="1740" w:hanging="262"/>
        <w:spacing w:after="0" w:line="207" w:lineRule="auto"/>
        <w:tabs>
          <w:tab w:leader="none" w:pos="1740" w:val="left"/>
        </w:tabs>
        <w:numPr>
          <w:ilvl w:val="0"/>
          <w:numId w:val="100"/>
        </w:numPr>
        <w:rPr>
          <w:rFonts w:ascii="Arial" w:cs="Arial" w:eastAsia="Arial" w:hAnsi="Arial"/>
          <w:sz w:val="16"/>
          <w:szCs w:val="16"/>
          <w:color w:val="auto"/>
          <w:vertAlign w:val="superscript"/>
        </w:rPr>
      </w:pPr>
      <w:r>
        <w:rPr>
          <w:rFonts w:ascii="Arial" w:cs="Arial" w:eastAsia="Arial" w:hAnsi="Arial"/>
          <w:sz w:val="11"/>
          <w:szCs w:val="11"/>
          <w:color w:val="auto"/>
        </w:rPr>
        <w:t>Other benefits consist of group health benefits and pension plan contributions.</w:t>
      </w:r>
    </w:p>
    <w:p>
      <w:pPr>
        <w:spacing w:after="0" w:line="159" w:lineRule="exact"/>
        <w:rPr>
          <w:sz w:val="20"/>
          <w:szCs w:val="20"/>
          <w:color w:val="auto"/>
        </w:rPr>
      </w:pPr>
    </w:p>
    <w:p>
      <w:pPr>
        <w:ind w:left="1480"/>
        <w:spacing w:after="0"/>
        <w:rPr>
          <w:sz w:val="20"/>
          <w:szCs w:val="20"/>
          <w:color w:val="auto"/>
        </w:rPr>
      </w:pPr>
      <w:r>
        <w:rPr>
          <w:rFonts w:ascii="Arial" w:cs="Arial" w:eastAsia="Arial" w:hAnsi="Arial"/>
          <w:sz w:val="13"/>
          <w:szCs w:val="13"/>
          <w:b w:val="1"/>
          <w:bCs w:val="1"/>
          <w:i w:val="1"/>
          <w:iCs w:val="1"/>
          <w:color w:val="auto"/>
        </w:rPr>
        <w:t>Messrs. Chawla, Phillips, Lawless and Cooper</w:t>
      </w:r>
    </w:p>
    <w:p>
      <w:pPr>
        <w:spacing w:after="0" w:line="89" w:lineRule="exact"/>
        <w:rPr>
          <w:sz w:val="20"/>
          <w:szCs w:val="20"/>
          <w:color w:val="auto"/>
        </w:rPr>
      </w:pPr>
    </w:p>
    <w:p>
      <w:pPr>
        <w:ind w:left="1480" w:right="1499"/>
        <w:spacing w:after="0" w:line="269" w:lineRule="auto"/>
        <w:rPr>
          <w:sz w:val="20"/>
          <w:szCs w:val="20"/>
          <w:color w:val="auto"/>
        </w:rPr>
      </w:pPr>
      <w:r>
        <w:rPr>
          <w:rFonts w:ascii="Arial" w:cs="Arial" w:eastAsia="Arial" w:hAnsi="Arial"/>
          <w:sz w:val="13"/>
          <w:szCs w:val="13"/>
          <w:color w:val="auto"/>
        </w:rPr>
        <w:t>Messrs. Chawla, Phillips, Lawless and Cooper are subject to the Executive Policy Guidelines which provide the following:</w:t>
      </w:r>
    </w:p>
    <w:p>
      <w:pPr>
        <w:spacing w:after="0" w:line="62" w:lineRule="exact"/>
        <w:rPr>
          <w:sz w:val="20"/>
          <w:szCs w:val="20"/>
          <w:color w:val="auto"/>
        </w:rPr>
      </w:pPr>
    </w:p>
    <w:tbl>
      <w:tblPr>
        <w:tblLayout w:type="fixed"/>
        <w:tblInd w:w="560" w:type="dxa"/>
        <w:tblCellMar>
          <w:top w:w="0" w:type="dxa"/>
          <w:left w:w="0" w:type="dxa"/>
          <w:bottom w:w="0" w:type="dxa"/>
          <w:right w:w="0" w:type="dxa"/>
        </w:tblCellMar>
      </w:tblPr>
      <w:tr>
        <w:trPr>
          <w:trHeight w:val="220"/>
        </w:trPr>
        <w:tc>
          <w:tcPr>
            <w:tcW w:w="940" w:type="dxa"/>
            <w:vAlign w:val="bottom"/>
            <w:tcBorders>
              <w:right w:val="single" w:sz="8" w:color="auto"/>
            </w:tcBorders>
          </w:tcPr>
          <w:p>
            <w:pPr>
              <w:spacing w:after="0"/>
              <w:rPr>
                <w:sz w:val="19"/>
                <w:szCs w:val="19"/>
                <w:color w:val="auto"/>
              </w:rPr>
            </w:pPr>
          </w:p>
        </w:tc>
        <w:tc>
          <w:tcPr>
            <w:tcW w:w="20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Termination without cause</w:t>
            </w:r>
          </w:p>
        </w:tc>
        <w:tc>
          <w:tcPr>
            <w:tcW w:w="140" w:type="dxa"/>
            <w:vAlign w:val="bottom"/>
            <w:tcBorders>
              <w:top w:val="single" w:sz="8" w:color="auto"/>
            </w:tcBorders>
          </w:tcPr>
          <w:p>
            <w:pPr>
              <w:ind w:left="60"/>
              <w:spacing w:after="0"/>
              <w:rPr>
                <w:sz w:val="20"/>
                <w:szCs w:val="20"/>
                <w:color w:val="auto"/>
              </w:rPr>
            </w:pPr>
            <w:r>
              <w:rPr>
                <w:rFonts w:ascii="Arial" w:cs="Arial" w:eastAsia="Arial" w:hAnsi="Arial"/>
                <w:sz w:val="13"/>
                <w:szCs w:val="13"/>
                <w:color w:val="auto"/>
              </w:rPr>
              <w:t>•</w:t>
            </w:r>
          </w:p>
        </w:tc>
        <w:tc>
          <w:tcPr>
            <w:tcW w:w="38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eligible to receive a severance payment up to two times annual</w:t>
            </w:r>
          </w:p>
        </w:tc>
        <w:tc>
          <w:tcPr>
            <w:tcW w:w="920" w:type="dxa"/>
            <w:vAlign w:val="bottom"/>
          </w:tcPr>
          <w:p>
            <w:pPr>
              <w:spacing w:after="0"/>
              <w:rPr>
                <w:sz w:val="19"/>
                <w:szCs w:val="19"/>
                <w:color w:val="auto"/>
              </w:rPr>
            </w:pPr>
          </w:p>
        </w:tc>
      </w:tr>
      <w:tr>
        <w:trPr>
          <w:trHeight w:val="155"/>
        </w:trPr>
        <w:tc>
          <w:tcPr>
            <w:tcW w:w="9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base salary and the lower of target or actual annual incentive for</w:t>
            </w:r>
          </w:p>
        </w:tc>
        <w:tc>
          <w:tcPr>
            <w:tcW w:w="920" w:type="dxa"/>
            <w:vAlign w:val="bottom"/>
          </w:tcPr>
          <w:p>
            <w:pPr>
              <w:spacing w:after="0"/>
              <w:rPr>
                <w:sz w:val="13"/>
                <w:szCs w:val="13"/>
                <w:color w:val="auto"/>
              </w:rPr>
            </w:pPr>
          </w:p>
        </w:tc>
      </w:tr>
      <w:tr>
        <w:trPr>
          <w:trHeight w:val="163"/>
        </w:trPr>
        <w:tc>
          <w:tcPr>
            <w:tcW w:w="94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the previous year (“</w:t>
            </w:r>
            <w:r>
              <w:rPr>
                <w:rFonts w:ascii="Arial" w:cs="Arial" w:eastAsia="Arial" w:hAnsi="Arial"/>
                <w:sz w:val="13"/>
                <w:szCs w:val="13"/>
                <w:b w:val="1"/>
                <w:bCs w:val="1"/>
                <w:color w:val="auto"/>
              </w:rPr>
              <w:t>Eligible Earnings</w:t>
            </w:r>
            <w:r>
              <w:rPr>
                <w:rFonts w:ascii="Arial" w:cs="Arial" w:eastAsia="Arial" w:hAnsi="Arial"/>
                <w:sz w:val="13"/>
                <w:szCs w:val="13"/>
                <w:color w:val="auto"/>
              </w:rPr>
              <w:t>”), subject to adjustment for</w:t>
            </w:r>
          </w:p>
        </w:tc>
        <w:tc>
          <w:tcPr>
            <w:tcW w:w="920" w:type="dxa"/>
            <w:vAlign w:val="bottom"/>
          </w:tcPr>
          <w:p>
            <w:pPr>
              <w:spacing w:after="0"/>
              <w:rPr>
                <w:sz w:val="14"/>
                <w:szCs w:val="14"/>
                <w:color w:val="auto"/>
              </w:rPr>
            </w:pPr>
          </w:p>
        </w:tc>
      </w:tr>
      <w:tr>
        <w:trPr>
          <w:trHeight w:val="159"/>
        </w:trPr>
        <w:tc>
          <w:tcPr>
            <w:tcW w:w="9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factors including length of service, together with a portion of their</w:t>
            </w:r>
          </w:p>
        </w:tc>
        <w:tc>
          <w:tcPr>
            <w:tcW w:w="920" w:type="dxa"/>
            <w:vAlign w:val="bottom"/>
          </w:tcPr>
          <w:p>
            <w:pPr>
              <w:spacing w:after="0"/>
              <w:rPr>
                <w:sz w:val="13"/>
                <w:szCs w:val="13"/>
                <w:color w:val="auto"/>
              </w:rPr>
            </w:pPr>
          </w:p>
        </w:tc>
      </w:tr>
      <w:tr>
        <w:trPr>
          <w:trHeight w:val="168"/>
        </w:trPr>
        <w:tc>
          <w:tcPr>
            <w:tcW w:w="94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annual incentive for the year, prorated to the date of termination</w:t>
            </w:r>
          </w:p>
        </w:tc>
        <w:tc>
          <w:tcPr>
            <w:tcW w:w="920" w:type="dxa"/>
            <w:vAlign w:val="bottom"/>
          </w:tcPr>
          <w:p>
            <w:pPr>
              <w:spacing w:after="0"/>
              <w:rPr>
                <w:sz w:val="14"/>
                <w:szCs w:val="14"/>
                <w:color w:val="auto"/>
              </w:rPr>
            </w:pPr>
          </w:p>
        </w:tc>
      </w:tr>
      <w:tr>
        <w:trPr>
          <w:trHeight w:val="210"/>
        </w:trPr>
        <w:tc>
          <w:tcPr>
            <w:tcW w:w="94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140" w:type="dxa"/>
            <w:vAlign w:val="bottom"/>
          </w:tcPr>
          <w:p>
            <w:pPr>
              <w:ind w:left="60"/>
              <w:spacing w:after="0"/>
              <w:rPr>
                <w:sz w:val="20"/>
                <w:szCs w:val="20"/>
                <w:color w:val="auto"/>
              </w:rPr>
            </w:pPr>
            <w:r>
              <w:rPr>
                <w:rFonts w:ascii="Arial" w:cs="Arial" w:eastAsia="Arial" w:hAnsi="Arial"/>
                <w:sz w:val="13"/>
                <w:szCs w:val="13"/>
                <w:color w:val="auto"/>
              </w:rPr>
              <w:t>•</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 vested stock options may be exercised for a period of 30 days</w:t>
            </w:r>
          </w:p>
        </w:tc>
        <w:tc>
          <w:tcPr>
            <w:tcW w:w="920" w:type="dxa"/>
            <w:vAlign w:val="bottom"/>
          </w:tcPr>
          <w:p>
            <w:pPr>
              <w:spacing w:after="0"/>
              <w:rPr>
                <w:sz w:val="18"/>
                <w:szCs w:val="18"/>
                <w:color w:val="auto"/>
              </w:rPr>
            </w:pPr>
          </w:p>
        </w:tc>
      </w:tr>
      <w:tr>
        <w:trPr>
          <w:trHeight w:val="159"/>
        </w:trPr>
        <w:tc>
          <w:tcPr>
            <w:tcW w:w="9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and unvested stock options are forfeited on the termination date,</w:t>
            </w:r>
          </w:p>
        </w:tc>
        <w:tc>
          <w:tcPr>
            <w:tcW w:w="920" w:type="dxa"/>
            <w:vAlign w:val="bottom"/>
          </w:tcPr>
          <w:p>
            <w:pPr>
              <w:spacing w:after="0"/>
              <w:rPr>
                <w:sz w:val="13"/>
                <w:szCs w:val="13"/>
                <w:color w:val="auto"/>
              </w:rPr>
            </w:pPr>
          </w:p>
        </w:tc>
      </w:tr>
      <w:tr>
        <w:trPr>
          <w:trHeight w:val="159"/>
        </w:trPr>
        <w:tc>
          <w:tcPr>
            <w:tcW w:w="9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 xml:space="preserve">(b) RSUs shall vest immediately on a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basis based on the</w:t>
            </w:r>
          </w:p>
        </w:tc>
        <w:tc>
          <w:tcPr>
            <w:tcW w:w="920" w:type="dxa"/>
            <w:vAlign w:val="bottom"/>
          </w:tcPr>
          <w:p>
            <w:pPr>
              <w:spacing w:after="0"/>
              <w:rPr>
                <w:sz w:val="13"/>
                <w:szCs w:val="13"/>
                <w:color w:val="auto"/>
              </w:rPr>
            </w:pPr>
          </w:p>
        </w:tc>
      </w:tr>
      <w:tr>
        <w:trPr>
          <w:trHeight w:val="159"/>
        </w:trPr>
        <w:tc>
          <w:tcPr>
            <w:tcW w:w="9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ratio of (i) the number of full years of employment completed</w:t>
            </w:r>
          </w:p>
        </w:tc>
        <w:tc>
          <w:tcPr>
            <w:tcW w:w="920" w:type="dxa"/>
            <w:vAlign w:val="bottom"/>
          </w:tcPr>
          <w:p>
            <w:pPr>
              <w:spacing w:after="0"/>
              <w:rPr>
                <w:sz w:val="13"/>
                <w:szCs w:val="13"/>
                <w:color w:val="auto"/>
              </w:rPr>
            </w:pPr>
          </w:p>
        </w:tc>
      </w:tr>
      <w:tr>
        <w:trPr>
          <w:trHeight w:val="159"/>
        </w:trPr>
        <w:tc>
          <w:tcPr>
            <w:tcW w:w="9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between the date of grant and termination of employment, to</w:t>
            </w:r>
          </w:p>
        </w:tc>
        <w:tc>
          <w:tcPr>
            <w:tcW w:w="920" w:type="dxa"/>
            <w:vAlign w:val="bottom"/>
          </w:tcPr>
          <w:p>
            <w:pPr>
              <w:spacing w:after="0"/>
              <w:rPr>
                <w:sz w:val="13"/>
                <w:szCs w:val="13"/>
                <w:color w:val="auto"/>
              </w:rPr>
            </w:pPr>
          </w:p>
        </w:tc>
      </w:tr>
      <w:tr>
        <w:trPr>
          <w:trHeight w:val="159"/>
        </w:trPr>
        <w:tc>
          <w:tcPr>
            <w:tcW w:w="9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w w:val="99"/>
              </w:rPr>
              <w:t>(ii) the number of years between the date of grant and the vesting</w:t>
            </w:r>
          </w:p>
        </w:tc>
        <w:tc>
          <w:tcPr>
            <w:tcW w:w="920" w:type="dxa"/>
            <w:vAlign w:val="bottom"/>
          </w:tcPr>
          <w:p>
            <w:pPr>
              <w:spacing w:after="0"/>
              <w:rPr>
                <w:sz w:val="13"/>
                <w:szCs w:val="13"/>
                <w:color w:val="auto"/>
              </w:rPr>
            </w:pPr>
          </w:p>
        </w:tc>
      </w:tr>
      <w:tr>
        <w:trPr>
          <w:trHeight w:val="159"/>
        </w:trPr>
        <w:tc>
          <w:tcPr>
            <w:tcW w:w="9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w w:val="97"/>
              </w:rPr>
              <w:t xml:space="preserve">date, and (c) PSUs vest based on actual performance on a </w:t>
            </w:r>
            <w:r>
              <w:rPr>
                <w:rFonts w:ascii="Arial" w:cs="Arial" w:eastAsia="Arial" w:hAnsi="Arial"/>
                <w:sz w:val="13"/>
                <w:szCs w:val="13"/>
                <w:i w:val="1"/>
                <w:iCs w:val="1"/>
                <w:color w:val="auto"/>
                <w:w w:val="97"/>
              </w:rPr>
              <w:t>pro rata</w:t>
            </w:r>
          </w:p>
        </w:tc>
        <w:tc>
          <w:tcPr>
            <w:tcW w:w="920" w:type="dxa"/>
            <w:vAlign w:val="bottom"/>
          </w:tcPr>
          <w:p>
            <w:pPr>
              <w:spacing w:after="0"/>
              <w:rPr>
                <w:sz w:val="13"/>
                <w:szCs w:val="13"/>
                <w:color w:val="auto"/>
              </w:rPr>
            </w:pPr>
          </w:p>
        </w:tc>
      </w:tr>
      <w:tr>
        <w:trPr>
          <w:trHeight w:val="159"/>
        </w:trPr>
        <w:tc>
          <w:tcPr>
            <w:tcW w:w="9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basis based on the ratio of (i) the number of full years of</w:t>
            </w:r>
          </w:p>
        </w:tc>
        <w:tc>
          <w:tcPr>
            <w:tcW w:w="920" w:type="dxa"/>
            <w:vAlign w:val="bottom"/>
          </w:tcPr>
          <w:p>
            <w:pPr>
              <w:spacing w:after="0"/>
              <w:rPr>
                <w:sz w:val="13"/>
                <w:szCs w:val="13"/>
                <w:color w:val="auto"/>
              </w:rPr>
            </w:pPr>
          </w:p>
        </w:tc>
      </w:tr>
      <w:tr>
        <w:trPr>
          <w:trHeight w:val="159"/>
        </w:trPr>
        <w:tc>
          <w:tcPr>
            <w:tcW w:w="9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employment completed between the date of grant and the</w:t>
            </w:r>
          </w:p>
        </w:tc>
        <w:tc>
          <w:tcPr>
            <w:tcW w:w="920" w:type="dxa"/>
            <w:vAlign w:val="bottom"/>
          </w:tcPr>
          <w:p>
            <w:pPr>
              <w:spacing w:after="0"/>
              <w:rPr>
                <w:sz w:val="13"/>
                <w:szCs w:val="13"/>
                <w:color w:val="auto"/>
              </w:rPr>
            </w:pPr>
          </w:p>
        </w:tc>
      </w:tr>
      <w:tr>
        <w:trPr>
          <w:trHeight w:val="159"/>
        </w:trPr>
        <w:tc>
          <w:tcPr>
            <w:tcW w:w="9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termination of employment, to (ii) the number of years between</w:t>
            </w:r>
          </w:p>
        </w:tc>
        <w:tc>
          <w:tcPr>
            <w:tcW w:w="920" w:type="dxa"/>
            <w:vAlign w:val="bottom"/>
          </w:tcPr>
          <w:p>
            <w:pPr>
              <w:spacing w:after="0"/>
              <w:rPr>
                <w:sz w:val="13"/>
                <w:szCs w:val="13"/>
                <w:color w:val="auto"/>
              </w:rPr>
            </w:pPr>
          </w:p>
        </w:tc>
      </w:tr>
      <w:tr>
        <w:trPr>
          <w:trHeight w:val="168"/>
        </w:trPr>
        <w:tc>
          <w:tcPr>
            <w:tcW w:w="94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the date of grant and the vesting date</w:t>
            </w:r>
          </w:p>
        </w:tc>
        <w:tc>
          <w:tcPr>
            <w:tcW w:w="920" w:type="dxa"/>
            <w:vAlign w:val="bottom"/>
          </w:tcPr>
          <w:p>
            <w:pPr>
              <w:spacing w:after="0"/>
              <w:rPr>
                <w:sz w:val="14"/>
                <w:szCs w:val="14"/>
                <w:color w:val="auto"/>
              </w:rPr>
            </w:pPr>
          </w:p>
        </w:tc>
      </w:tr>
      <w:tr>
        <w:trPr>
          <w:trHeight w:val="40"/>
        </w:trPr>
        <w:tc>
          <w:tcPr>
            <w:tcW w:w="940" w:type="dxa"/>
            <w:vAlign w:val="bottom"/>
            <w:tcBorders>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60" w:type="dxa"/>
            <w:vAlign w:val="bottom"/>
            <w:tcBorders>
              <w:bottom w:val="single" w:sz="8" w:color="auto"/>
              <w:right w:val="single" w:sz="8" w:color="auto"/>
            </w:tcBorders>
          </w:tcPr>
          <w:p>
            <w:pPr>
              <w:spacing w:after="0"/>
              <w:rPr>
                <w:sz w:val="3"/>
                <w:szCs w:val="3"/>
                <w:color w:val="auto"/>
              </w:rPr>
            </w:pPr>
          </w:p>
        </w:tc>
        <w:tc>
          <w:tcPr>
            <w:tcW w:w="920" w:type="dxa"/>
            <w:vAlign w:val="bottom"/>
          </w:tcPr>
          <w:p>
            <w:pPr>
              <w:spacing w:after="0"/>
              <w:rPr>
                <w:sz w:val="3"/>
                <w:szCs w:val="3"/>
                <w:color w:val="auto"/>
              </w:rPr>
            </w:pPr>
          </w:p>
        </w:tc>
      </w:tr>
      <w:tr>
        <w:trPr>
          <w:trHeight w:val="180"/>
        </w:trPr>
        <w:tc>
          <w:tcPr>
            <w:tcW w:w="940" w:type="dxa"/>
            <w:vAlign w:val="bottom"/>
            <w:tcBorders>
              <w:right w:val="single" w:sz="8" w:color="auto"/>
            </w:tcBorders>
          </w:tcPr>
          <w:p>
            <w:pPr>
              <w:spacing w:after="0"/>
              <w:rPr>
                <w:sz w:val="15"/>
                <w:szCs w:val="15"/>
                <w:color w:val="auto"/>
              </w:rPr>
            </w:pP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Termination without cause within</w:t>
            </w:r>
          </w:p>
        </w:tc>
        <w:tc>
          <w:tcPr>
            <w:tcW w:w="140" w:type="dxa"/>
            <w:vAlign w:val="bottom"/>
          </w:tcPr>
          <w:p>
            <w:pPr>
              <w:ind w:left="60"/>
              <w:spacing w:after="0"/>
              <w:rPr>
                <w:sz w:val="20"/>
                <w:szCs w:val="20"/>
                <w:color w:val="auto"/>
              </w:rPr>
            </w:pPr>
            <w:r>
              <w:rPr>
                <w:rFonts w:ascii="Arial" w:cs="Arial" w:eastAsia="Arial" w:hAnsi="Arial"/>
                <w:sz w:val="13"/>
                <w:szCs w:val="13"/>
                <w:color w:val="auto"/>
              </w:rPr>
              <w:t>•</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eligible to receive a severance payment up to two times Eligible</w:t>
            </w:r>
          </w:p>
        </w:tc>
        <w:tc>
          <w:tcPr>
            <w:tcW w:w="920" w:type="dxa"/>
            <w:vAlign w:val="bottom"/>
          </w:tcPr>
          <w:p>
            <w:pPr>
              <w:spacing w:after="0"/>
              <w:rPr>
                <w:sz w:val="15"/>
                <w:szCs w:val="15"/>
                <w:color w:val="auto"/>
              </w:rPr>
            </w:pPr>
          </w:p>
        </w:tc>
      </w:tr>
      <w:tr>
        <w:trPr>
          <w:trHeight w:val="159"/>
        </w:trPr>
        <w:tc>
          <w:tcPr>
            <w:tcW w:w="9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two years following a change in</w:t>
            </w:r>
          </w:p>
        </w:tc>
        <w:tc>
          <w:tcPr>
            <w:tcW w:w="140" w:type="dxa"/>
            <w:vAlign w:val="bottom"/>
          </w:tcPr>
          <w:p>
            <w:pPr>
              <w:spacing w:after="0"/>
              <w:rPr>
                <w:sz w:val="13"/>
                <w:szCs w:val="13"/>
                <w:color w:val="auto"/>
              </w:rPr>
            </w:pP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Earnings, subject to adjustment for factors including length of</w:t>
            </w:r>
          </w:p>
        </w:tc>
        <w:tc>
          <w:tcPr>
            <w:tcW w:w="920" w:type="dxa"/>
            <w:vAlign w:val="bottom"/>
          </w:tcPr>
          <w:p>
            <w:pPr>
              <w:spacing w:after="0"/>
              <w:rPr>
                <w:sz w:val="13"/>
                <w:szCs w:val="13"/>
                <w:color w:val="auto"/>
              </w:rPr>
            </w:pPr>
          </w:p>
        </w:tc>
      </w:tr>
      <w:tr>
        <w:trPr>
          <w:trHeight w:val="159"/>
        </w:trPr>
        <w:tc>
          <w:tcPr>
            <w:tcW w:w="9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control of the Corporation</w:t>
            </w:r>
          </w:p>
        </w:tc>
        <w:tc>
          <w:tcPr>
            <w:tcW w:w="140" w:type="dxa"/>
            <w:vAlign w:val="bottom"/>
          </w:tcPr>
          <w:p>
            <w:pPr>
              <w:spacing w:after="0"/>
              <w:rPr>
                <w:sz w:val="13"/>
                <w:szCs w:val="13"/>
                <w:color w:val="auto"/>
              </w:rPr>
            </w:pP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service, together with a portion of their annual incentive for the</w:t>
            </w:r>
          </w:p>
        </w:tc>
        <w:tc>
          <w:tcPr>
            <w:tcW w:w="920" w:type="dxa"/>
            <w:vAlign w:val="bottom"/>
          </w:tcPr>
          <w:p>
            <w:pPr>
              <w:spacing w:after="0"/>
              <w:rPr>
                <w:sz w:val="13"/>
                <w:szCs w:val="13"/>
                <w:color w:val="auto"/>
              </w:rPr>
            </w:pPr>
          </w:p>
        </w:tc>
      </w:tr>
      <w:tr>
        <w:trPr>
          <w:trHeight w:val="168"/>
        </w:trPr>
        <w:tc>
          <w:tcPr>
            <w:tcW w:w="94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(“double trigger” provision)</w:t>
            </w:r>
          </w:p>
        </w:tc>
        <w:tc>
          <w:tcPr>
            <w:tcW w:w="140" w:type="dxa"/>
            <w:vAlign w:val="bottom"/>
          </w:tcPr>
          <w:p>
            <w:pPr>
              <w:spacing w:after="0"/>
              <w:rPr>
                <w:sz w:val="14"/>
                <w:szCs w:val="14"/>
                <w:color w:val="auto"/>
              </w:rPr>
            </w:pP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year, prorated to the date of termination</w:t>
            </w:r>
          </w:p>
        </w:tc>
        <w:tc>
          <w:tcPr>
            <w:tcW w:w="920" w:type="dxa"/>
            <w:vAlign w:val="bottom"/>
          </w:tcPr>
          <w:p>
            <w:pPr>
              <w:spacing w:after="0"/>
              <w:rPr>
                <w:sz w:val="14"/>
                <w:szCs w:val="14"/>
                <w:color w:val="auto"/>
              </w:rPr>
            </w:pPr>
          </w:p>
        </w:tc>
      </w:tr>
      <w:tr>
        <w:trPr>
          <w:trHeight w:val="210"/>
        </w:trPr>
        <w:tc>
          <w:tcPr>
            <w:tcW w:w="94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4000" w:type="dxa"/>
            <w:vAlign w:val="bottom"/>
            <w:tcBorders>
              <w:right w:val="single" w:sz="8" w:color="auto"/>
            </w:tcBorders>
            <w:gridSpan w:val="2"/>
          </w:tcPr>
          <w:p>
            <w:pPr>
              <w:ind w:left="60"/>
              <w:spacing w:after="0"/>
              <w:rPr>
                <w:sz w:val="20"/>
                <w:szCs w:val="20"/>
                <w:color w:val="auto"/>
              </w:rPr>
            </w:pPr>
            <w:r>
              <w:rPr>
                <w:rFonts w:ascii="Arial" w:cs="Arial" w:eastAsia="Arial" w:hAnsi="Arial"/>
                <w:sz w:val="13"/>
                <w:szCs w:val="13"/>
                <w:color w:val="auto"/>
                <w:w w:val="98"/>
              </w:rPr>
              <w:t>•  (a) all unvested stock options vest on the date of change in control,</w:t>
            </w:r>
          </w:p>
        </w:tc>
        <w:tc>
          <w:tcPr>
            <w:tcW w:w="920" w:type="dxa"/>
            <w:vAlign w:val="bottom"/>
          </w:tcPr>
          <w:p>
            <w:pPr>
              <w:spacing w:after="0"/>
              <w:rPr>
                <w:sz w:val="18"/>
                <w:szCs w:val="18"/>
                <w:color w:val="auto"/>
              </w:rPr>
            </w:pPr>
          </w:p>
        </w:tc>
      </w:tr>
      <w:tr>
        <w:trPr>
          <w:trHeight w:val="159"/>
        </w:trPr>
        <w:tc>
          <w:tcPr>
            <w:tcW w:w="9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(b) all unvested RSUs vest on the date of change in control, and</w:t>
            </w:r>
          </w:p>
        </w:tc>
        <w:tc>
          <w:tcPr>
            <w:tcW w:w="920" w:type="dxa"/>
            <w:vAlign w:val="bottom"/>
          </w:tcPr>
          <w:p>
            <w:pPr>
              <w:spacing w:after="0"/>
              <w:rPr>
                <w:sz w:val="13"/>
                <w:szCs w:val="13"/>
                <w:color w:val="auto"/>
              </w:rPr>
            </w:pPr>
          </w:p>
        </w:tc>
      </w:tr>
      <w:tr>
        <w:trPr>
          <w:trHeight w:val="159"/>
        </w:trPr>
        <w:tc>
          <w:tcPr>
            <w:tcW w:w="9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(c) all unvested PSUs vest on the date of change in control at</w:t>
            </w:r>
          </w:p>
        </w:tc>
        <w:tc>
          <w:tcPr>
            <w:tcW w:w="920" w:type="dxa"/>
            <w:vAlign w:val="bottom"/>
          </w:tcPr>
          <w:p>
            <w:pPr>
              <w:spacing w:after="0"/>
              <w:rPr>
                <w:sz w:val="13"/>
                <w:szCs w:val="13"/>
                <w:color w:val="auto"/>
              </w:rPr>
            </w:pPr>
          </w:p>
        </w:tc>
      </w:tr>
      <w:tr>
        <w:trPr>
          <w:trHeight w:val="159"/>
        </w:trPr>
        <w:tc>
          <w:tcPr>
            <w:tcW w:w="9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target level of performance unless the terms of a PSU grant</w:t>
            </w:r>
          </w:p>
        </w:tc>
        <w:tc>
          <w:tcPr>
            <w:tcW w:w="920" w:type="dxa"/>
            <w:vAlign w:val="bottom"/>
          </w:tcPr>
          <w:p>
            <w:pPr>
              <w:spacing w:after="0"/>
              <w:rPr>
                <w:sz w:val="13"/>
                <w:szCs w:val="13"/>
                <w:color w:val="auto"/>
              </w:rPr>
            </w:pPr>
          </w:p>
        </w:tc>
      </w:tr>
      <w:tr>
        <w:trPr>
          <w:trHeight w:val="159"/>
        </w:trPr>
        <w:tc>
          <w:tcPr>
            <w:tcW w:w="9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provide otherwise, or on such other more favourable terms as the</w:t>
            </w:r>
          </w:p>
        </w:tc>
        <w:tc>
          <w:tcPr>
            <w:tcW w:w="920" w:type="dxa"/>
            <w:vAlign w:val="bottom"/>
          </w:tcPr>
          <w:p>
            <w:pPr>
              <w:spacing w:after="0"/>
              <w:rPr>
                <w:sz w:val="13"/>
                <w:szCs w:val="13"/>
                <w:color w:val="auto"/>
              </w:rPr>
            </w:pPr>
          </w:p>
        </w:tc>
      </w:tr>
      <w:tr>
        <w:trPr>
          <w:trHeight w:val="168"/>
        </w:trPr>
        <w:tc>
          <w:tcPr>
            <w:tcW w:w="94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Board may in its discretion provide</w:t>
            </w:r>
          </w:p>
        </w:tc>
        <w:tc>
          <w:tcPr>
            <w:tcW w:w="920" w:type="dxa"/>
            <w:vAlign w:val="bottom"/>
          </w:tcPr>
          <w:p>
            <w:pPr>
              <w:spacing w:after="0"/>
              <w:rPr>
                <w:sz w:val="14"/>
                <w:szCs w:val="14"/>
                <w:color w:val="auto"/>
              </w:rPr>
            </w:pPr>
          </w:p>
        </w:tc>
      </w:tr>
      <w:tr>
        <w:trPr>
          <w:trHeight w:val="40"/>
        </w:trPr>
        <w:tc>
          <w:tcPr>
            <w:tcW w:w="940" w:type="dxa"/>
            <w:vAlign w:val="bottom"/>
            <w:tcBorders>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60" w:type="dxa"/>
            <w:vAlign w:val="bottom"/>
            <w:tcBorders>
              <w:bottom w:val="single" w:sz="8" w:color="auto"/>
              <w:right w:val="single" w:sz="8" w:color="auto"/>
            </w:tcBorders>
          </w:tcPr>
          <w:p>
            <w:pPr>
              <w:spacing w:after="0"/>
              <w:rPr>
                <w:sz w:val="3"/>
                <w:szCs w:val="3"/>
                <w:color w:val="auto"/>
              </w:rPr>
            </w:pPr>
          </w:p>
        </w:tc>
        <w:tc>
          <w:tcPr>
            <w:tcW w:w="920" w:type="dxa"/>
            <w:vAlign w:val="bottom"/>
          </w:tcPr>
          <w:p>
            <w:pPr>
              <w:spacing w:after="0"/>
              <w:rPr>
                <w:sz w:val="3"/>
                <w:szCs w:val="3"/>
                <w:color w:val="auto"/>
              </w:rPr>
            </w:pPr>
          </w:p>
        </w:tc>
      </w:tr>
      <w:tr>
        <w:trPr>
          <w:trHeight w:val="189"/>
        </w:trPr>
        <w:tc>
          <w:tcPr>
            <w:tcW w:w="940" w:type="dxa"/>
            <w:vAlign w:val="bottom"/>
            <w:tcBorders>
              <w:right w:val="single" w:sz="8" w:color="auto"/>
            </w:tcBorders>
          </w:tcPr>
          <w:p>
            <w:pPr>
              <w:spacing w:after="0"/>
              <w:rPr>
                <w:sz w:val="16"/>
                <w:szCs w:val="16"/>
                <w:color w:val="auto"/>
              </w:rPr>
            </w:pP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Termination with cause</w:t>
            </w:r>
          </w:p>
        </w:tc>
        <w:tc>
          <w:tcPr>
            <w:tcW w:w="140" w:type="dxa"/>
            <w:vAlign w:val="bottom"/>
          </w:tcPr>
          <w:p>
            <w:pPr>
              <w:ind w:left="60"/>
              <w:spacing w:after="0"/>
              <w:rPr>
                <w:sz w:val="20"/>
                <w:szCs w:val="20"/>
                <w:color w:val="auto"/>
              </w:rPr>
            </w:pPr>
            <w:r>
              <w:rPr>
                <w:rFonts w:ascii="Arial" w:cs="Arial" w:eastAsia="Arial" w:hAnsi="Arial"/>
                <w:sz w:val="13"/>
                <w:szCs w:val="13"/>
                <w:color w:val="auto"/>
              </w:rPr>
              <w:t>•</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no severance benefit is payable</w:t>
            </w:r>
          </w:p>
        </w:tc>
        <w:tc>
          <w:tcPr>
            <w:tcW w:w="920" w:type="dxa"/>
            <w:vAlign w:val="bottom"/>
          </w:tcPr>
          <w:p>
            <w:pPr>
              <w:spacing w:after="0"/>
              <w:rPr>
                <w:sz w:val="16"/>
                <w:szCs w:val="16"/>
                <w:color w:val="auto"/>
              </w:rPr>
            </w:pPr>
          </w:p>
        </w:tc>
      </w:tr>
      <w:tr>
        <w:trPr>
          <w:trHeight w:val="184"/>
        </w:trPr>
        <w:tc>
          <w:tcPr>
            <w:tcW w:w="940" w:type="dxa"/>
            <w:vAlign w:val="bottom"/>
            <w:tcBorders>
              <w:right w:val="single" w:sz="8" w:color="auto"/>
            </w:tcBorders>
          </w:tcPr>
          <w:p>
            <w:pPr>
              <w:spacing w:after="0"/>
              <w:rPr>
                <w:sz w:val="16"/>
                <w:szCs w:val="16"/>
                <w:color w:val="auto"/>
              </w:rPr>
            </w:pPr>
          </w:p>
        </w:tc>
        <w:tc>
          <w:tcPr>
            <w:tcW w:w="2040" w:type="dxa"/>
            <w:vAlign w:val="bottom"/>
            <w:tcBorders>
              <w:bottom w:val="single" w:sz="8" w:color="auto"/>
              <w:right w:val="single" w:sz="8" w:color="auto"/>
            </w:tcBorders>
          </w:tcPr>
          <w:p>
            <w:pPr>
              <w:spacing w:after="0"/>
              <w:rPr>
                <w:sz w:val="16"/>
                <w:szCs w:val="16"/>
                <w:color w:val="auto"/>
              </w:rPr>
            </w:pPr>
          </w:p>
        </w:tc>
        <w:tc>
          <w:tcPr>
            <w:tcW w:w="400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3"/>
                <w:szCs w:val="13"/>
                <w:color w:val="auto"/>
              </w:rPr>
              <w:t>•  all unvested equity is forfeited on the termination date</w:t>
            </w:r>
          </w:p>
        </w:tc>
        <w:tc>
          <w:tcPr>
            <w:tcW w:w="920" w:type="dxa"/>
            <w:vAlign w:val="bottom"/>
          </w:tcPr>
          <w:p>
            <w:pPr>
              <w:spacing w:after="0"/>
              <w:rPr>
                <w:sz w:val="16"/>
                <w:szCs w:val="16"/>
                <w:color w:val="auto"/>
              </w:rPr>
            </w:pPr>
          </w:p>
        </w:tc>
      </w:tr>
      <w:tr>
        <w:trPr>
          <w:trHeight w:val="453"/>
        </w:trPr>
        <w:tc>
          <w:tcPr>
            <w:tcW w:w="9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60" w:type="dxa"/>
            <w:vAlign w:val="bottom"/>
          </w:tcPr>
          <w:p>
            <w:pPr>
              <w:ind w:left="740"/>
              <w:spacing w:after="0"/>
              <w:rPr>
                <w:sz w:val="20"/>
                <w:szCs w:val="20"/>
                <w:color w:val="auto"/>
              </w:rPr>
            </w:pPr>
            <w:r>
              <w:rPr>
                <w:rFonts w:ascii="Arial" w:cs="Arial" w:eastAsia="Arial" w:hAnsi="Arial"/>
                <w:sz w:val="13"/>
                <w:szCs w:val="13"/>
                <w:color w:val="auto"/>
              </w:rPr>
              <w:t>72</w:t>
            </w:r>
          </w:p>
        </w:tc>
        <w:tc>
          <w:tcPr>
            <w:tcW w:w="920" w:type="dxa"/>
            <w:vAlign w:val="bottom"/>
          </w:tcPr>
          <w:p>
            <w:pPr>
              <w:spacing w:after="0"/>
              <w:rPr>
                <w:sz w:val="24"/>
                <w:szCs w:val="24"/>
                <w:color w:val="auto"/>
              </w:rPr>
            </w:pPr>
          </w:p>
        </w:tc>
      </w:tr>
      <w:tr>
        <w:trPr>
          <w:trHeight w:val="289"/>
        </w:trPr>
        <w:tc>
          <w:tcPr>
            <w:tcW w:w="9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5363210</wp:posOffset>
            </wp:positionH>
            <wp:positionV relativeFrom="paragraph">
              <wp:posOffset>-5715</wp:posOffset>
            </wp:positionV>
            <wp:extent cx="6350" cy="63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350520</wp:posOffset>
            </wp:positionH>
            <wp:positionV relativeFrom="paragraph">
              <wp:posOffset>-12065</wp:posOffset>
            </wp:positionV>
            <wp:extent cx="6350" cy="127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35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1" w:name="page82"/>
    <w:bookmarkEnd w:id="81"/>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86" w:lineRule="exact"/>
        <w:rPr>
          <w:sz w:val="20"/>
          <w:szCs w:val="20"/>
          <w:color w:val="auto"/>
        </w:rPr>
      </w:pPr>
    </w:p>
    <w:tbl>
      <w:tblPr>
        <w:tblLayout w:type="fixed"/>
        <w:tblInd w:w="1490" w:type="dxa"/>
        <w:tblCellMar>
          <w:top w:w="0" w:type="dxa"/>
          <w:left w:w="0" w:type="dxa"/>
          <w:bottom w:w="0" w:type="dxa"/>
          <w:right w:w="0" w:type="dxa"/>
        </w:tblCellMar>
      </w:tblPr>
      <w:tr>
        <w:trPr>
          <w:trHeight w:val="220"/>
        </w:trPr>
        <w:tc>
          <w:tcPr>
            <w:tcW w:w="20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Retirement</w:t>
            </w:r>
          </w:p>
        </w:tc>
        <w:tc>
          <w:tcPr>
            <w:tcW w:w="140" w:type="dxa"/>
            <w:vAlign w:val="bottom"/>
            <w:tcBorders>
              <w:top w:val="single" w:sz="8" w:color="auto"/>
            </w:tcBorders>
          </w:tcPr>
          <w:p>
            <w:pPr>
              <w:ind w:left="60"/>
              <w:spacing w:after="0"/>
              <w:rPr>
                <w:sz w:val="20"/>
                <w:szCs w:val="20"/>
                <w:color w:val="auto"/>
              </w:rPr>
            </w:pPr>
            <w:r>
              <w:rPr>
                <w:rFonts w:ascii="Arial" w:cs="Arial" w:eastAsia="Arial" w:hAnsi="Arial"/>
                <w:sz w:val="13"/>
                <w:szCs w:val="13"/>
                <w:color w:val="auto"/>
              </w:rPr>
              <w:t>•</w:t>
            </w:r>
          </w:p>
        </w:tc>
        <w:tc>
          <w:tcPr>
            <w:tcW w:w="38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(a) stock options continue to vest and are exercisable until the</w:t>
            </w:r>
          </w:p>
        </w:tc>
      </w:tr>
      <w:tr>
        <w:trPr>
          <w:trHeight w:val="159"/>
        </w:trPr>
        <w:tc>
          <w:tcPr>
            <w:tcW w:w="2060" w:type="dxa"/>
            <w:vAlign w:val="bottom"/>
            <w:tcBorders>
              <w:left w:val="single" w:sz="8" w:color="auto"/>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earlier of three years following retirement and the original expiry</w:t>
            </w:r>
          </w:p>
        </w:tc>
      </w:tr>
      <w:tr>
        <w:trPr>
          <w:trHeight w:val="159"/>
        </w:trPr>
        <w:tc>
          <w:tcPr>
            <w:tcW w:w="2060" w:type="dxa"/>
            <w:vAlign w:val="bottom"/>
            <w:tcBorders>
              <w:left w:val="single" w:sz="8" w:color="auto"/>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date, (b) RSUs will continue to vest on their vesting dates, and</w:t>
            </w:r>
          </w:p>
        </w:tc>
      </w:tr>
      <w:tr>
        <w:trPr>
          <w:trHeight w:val="159"/>
        </w:trPr>
        <w:tc>
          <w:tcPr>
            <w:tcW w:w="2060" w:type="dxa"/>
            <w:vAlign w:val="bottom"/>
            <w:tcBorders>
              <w:left w:val="single" w:sz="8" w:color="auto"/>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 xml:space="preserve">(c) PSUs vest based on actual performance on a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basis</w:t>
            </w:r>
          </w:p>
        </w:tc>
      </w:tr>
      <w:tr>
        <w:trPr>
          <w:trHeight w:val="159"/>
        </w:trPr>
        <w:tc>
          <w:tcPr>
            <w:tcW w:w="2060" w:type="dxa"/>
            <w:vAlign w:val="bottom"/>
            <w:tcBorders>
              <w:left w:val="single" w:sz="8" w:color="auto"/>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based on the percentage represented by the number of days</w:t>
            </w:r>
          </w:p>
        </w:tc>
      </w:tr>
      <w:tr>
        <w:trPr>
          <w:trHeight w:val="159"/>
        </w:trPr>
        <w:tc>
          <w:tcPr>
            <w:tcW w:w="2060" w:type="dxa"/>
            <w:vAlign w:val="bottom"/>
            <w:tcBorders>
              <w:left w:val="single" w:sz="8" w:color="auto"/>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w w:val="99"/>
              </w:rPr>
              <w:t>between the date of grant and the date of retirement as compared</w:t>
            </w:r>
          </w:p>
        </w:tc>
      </w:tr>
      <w:tr>
        <w:trPr>
          <w:trHeight w:val="159"/>
        </w:trPr>
        <w:tc>
          <w:tcPr>
            <w:tcW w:w="2060" w:type="dxa"/>
            <w:vAlign w:val="bottom"/>
            <w:tcBorders>
              <w:left w:val="single" w:sz="8" w:color="auto"/>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w w:val="98"/>
              </w:rPr>
              <w:t>to the total number of days from the date of grant to the scheduled</w:t>
            </w:r>
          </w:p>
        </w:tc>
      </w:tr>
      <w:tr>
        <w:trPr>
          <w:trHeight w:val="178"/>
        </w:trPr>
        <w:tc>
          <w:tcPr>
            <w:tcW w:w="2060" w:type="dxa"/>
            <w:vAlign w:val="bottom"/>
            <w:tcBorders>
              <w:left w:val="single" w:sz="8" w:color="auto"/>
              <w:bottom w:val="single" w:sz="8" w:color="auto"/>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w w:val="99"/>
              </w:rPr>
              <w:t>release date for the issuance of shares in respect of vested PSUs</w:t>
            </w:r>
          </w:p>
        </w:tc>
      </w:tr>
      <w:tr>
        <w:trPr>
          <w:trHeight w:val="199"/>
        </w:trPr>
        <w:tc>
          <w:tcPr>
            <w:tcW w:w="2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Resignation</w:t>
            </w:r>
          </w:p>
        </w:tc>
        <w:tc>
          <w:tcPr>
            <w:tcW w:w="140" w:type="dxa"/>
            <w:vAlign w:val="bottom"/>
          </w:tcPr>
          <w:p>
            <w:pPr>
              <w:ind w:left="60"/>
              <w:spacing w:after="0"/>
              <w:rPr>
                <w:sz w:val="20"/>
                <w:szCs w:val="20"/>
                <w:color w:val="auto"/>
              </w:rPr>
            </w:pPr>
            <w:r>
              <w:rPr>
                <w:rFonts w:ascii="Arial" w:cs="Arial" w:eastAsia="Arial" w:hAnsi="Arial"/>
                <w:sz w:val="13"/>
                <w:szCs w:val="13"/>
                <w:color w:val="auto"/>
              </w:rPr>
              <w:t>•</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no severance benefit is payable</w:t>
            </w:r>
          </w:p>
        </w:tc>
      </w:tr>
      <w:tr>
        <w:trPr>
          <w:trHeight w:val="180"/>
        </w:trPr>
        <w:tc>
          <w:tcPr>
            <w:tcW w:w="2060" w:type="dxa"/>
            <w:vAlign w:val="bottom"/>
            <w:tcBorders>
              <w:left w:val="single" w:sz="8" w:color="auto"/>
              <w:right w:val="single" w:sz="8" w:color="auto"/>
            </w:tcBorders>
          </w:tcPr>
          <w:p>
            <w:pPr>
              <w:spacing w:after="0"/>
              <w:rPr>
                <w:sz w:val="15"/>
                <w:szCs w:val="15"/>
                <w:color w:val="auto"/>
              </w:rPr>
            </w:pPr>
          </w:p>
        </w:tc>
        <w:tc>
          <w:tcPr>
            <w:tcW w:w="140" w:type="dxa"/>
            <w:vAlign w:val="bottom"/>
          </w:tcPr>
          <w:p>
            <w:pPr>
              <w:ind w:left="60"/>
              <w:spacing w:after="0"/>
              <w:rPr>
                <w:sz w:val="20"/>
                <w:szCs w:val="20"/>
                <w:color w:val="auto"/>
              </w:rPr>
            </w:pPr>
            <w:r>
              <w:rPr>
                <w:rFonts w:ascii="Arial" w:cs="Arial" w:eastAsia="Arial" w:hAnsi="Arial"/>
                <w:sz w:val="13"/>
                <w:szCs w:val="13"/>
                <w:color w:val="auto"/>
              </w:rPr>
              <w:t>•</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 vested stock options may be exercised for a period of 30 days</w:t>
            </w:r>
          </w:p>
        </w:tc>
      </w:tr>
      <w:tr>
        <w:trPr>
          <w:trHeight w:val="159"/>
        </w:trPr>
        <w:tc>
          <w:tcPr>
            <w:tcW w:w="2060" w:type="dxa"/>
            <w:vAlign w:val="bottom"/>
            <w:tcBorders>
              <w:left w:val="single" w:sz="8" w:color="auto"/>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and unvested stock options are forfeited on the resignation date</w:t>
            </w:r>
          </w:p>
        </w:tc>
      </w:tr>
      <w:tr>
        <w:trPr>
          <w:trHeight w:val="159"/>
        </w:trPr>
        <w:tc>
          <w:tcPr>
            <w:tcW w:w="2060" w:type="dxa"/>
            <w:vAlign w:val="bottom"/>
            <w:tcBorders>
              <w:left w:val="single" w:sz="8" w:color="auto"/>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and (b) all unvested RSUs and PSUs are forfeited on the</w:t>
            </w:r>
          </w:p>
        </w:tc>
      </w:tr>
      <w:tr>
        <w:trPr>
          <w:trHeight w:val="168"/>
        </w:trPr>
        <w:tc>
          <w:tcPr>
            <w:tcW w:w="206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resignation date</w:t>
            </w:r>
          </w:p>
        </w:tc>
      </w:tr>
      <w:tr>
        <w:trPr>
          <w:trHeight w:val="30"/>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r>
    </w:tbl>
    <w:p>
      <w:pPr>
        <w:spacing w:after="0" w:line="71" w:lineRule="exact"/>
        <w:rPr>
          <w:sz w:val="20"/>
          <w:szCs w:val="20"/>
          <w:color w:val="auto"/>
        </w:rPr>
      </w:pPr>
    </w:p>
    <w:p>
      <w:pPr>
        <w:jc w:val="both"/>
        <w:ind w:left="1480" w:right="1499"/>
        <w:spacing w:after="0" w:line="270" w:lineRule="auto"/>
        <w:rPr>
          <w:sz w:val="20"/>
          <w:szCs w:val="20"/>
          <w:color w:val="auto"/>
        </w:rPr>
      </w:pPr>
      <w:r>
        <w:rPr>
          <w:rFonts w:ascii="Arial" w:cs="Arial" w:eastAsia="Arial" w:hAnsi="Arial"/>
          <w:sz w:val="13"/>
          <w:szCs w:val="13"/>
          <w:color w:val="auto"/>
        </w:rPr>
        <w:t>Additionally, the Executive Policy Guidelines provide that executives whose employment has been terminated will have their pension and benefits coverage treated according to the terms of the plans in which they participate.</w:t>
      </w:r>
    </w:p>
    <w:p>
      <w:pPr>
        <w:spacing w:after="0" w:line="53" w:lineRule="exact"/>
        <w:rPr>
          <w:sz w:val="20"/>
          <w:szCs w:val="20"/>
          <w:color w:val="auto"/>
        </w:rPr>
      </w:pPr>
    </w:p>
    <w:p>
      <w:pPr>
        <w:jc w:val="both"/>
        <w:ind w:left="1480" w:right="1499"/>
        <w:spacing w:after="0" w:line="270" w:lineRule="auto"/>
        <w:rPr>
          <w:sz w:val="20"/>
          <w:szCs w:val="20"/>
          <w:color w:val="auto"/>
        </w:rPr>
      </w:pPr>
      <w:r>
        <w:rPr>
          <w:rFonts w:ascii="Arial" w:cs="Arial" w:eastAsia="Arial" w:hAnsi="Arial"/>
          <w:sz w:val="13"/>
          <w:szCs w:val="13"/>
          <w:color w:val="auto"/>
        </w:rPr>
        <w:t>The entitlements described in the above table are only conferred on eligible executives who fulfill certain confidentiality, non-solicitation and non-competition obligations for a period of two years following termination of their employment.</w:t>
      </w:r>
    </w:p>
    <w:p>
      <w:pPr>
        <w:spacing w:after="0" w:line="53" w:lineRule="exact"/>
        <w:rPr>
          <w:sz w:val="20"/>
          <w:szCs w:val="20"/>
          <w:color w:val="auto"/>
        </w:rPr>
      </w:pPr>
    </w:p>
    <w:p>
      <w:pPr>
        <w:jc w:val="both"/>
        <w:ind w:left="1480" w:right="1499"/>
        <w:spacing w:after="0" w:line="265" w:lineRule="auto"/>
        <w:rPr>
          <w:sz w:val="20"/>
          <w:szCs w:val="20"/>
          <w:color w:val="auto"/>
        </w:rPr>
      </w:pPr>
      <w:r>
        <w:rPr>
          <w:rFonts w:ascii="Arial" w:cs="Arial" w:eastAsia="Arial" w:hAnsi="Arial"/>
          <w:sz w:val="13"/>
          <w:szCs w:val="13"/>
          <w:color w:val="auto"/>
        </w:rPr>
        <w:t>The following tables summarize the incremental payments to which Messrs. Chawla, Phillips, Lawless and Cooper would have been entitled upon a change in control occurring on December 31, 2020, or if their employment had been terminated on December 31, 2020 as a result of a change in control, retirement or termination without cause.</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Table 26: Mr. Chawla’s Benefits</w:t>
      </w:r>
    </w:p>
    <w:p>
      <w:pPr>
        <w:spacing w:after="0" w:line="67" w:lineRule="exact"/>
        <w:rPr>
          <w:sz w:val="20"/>
          <w:szCs w:val="20"/>
          <w:color w:val="auto"/>
        </w:rPr>
      </w:pPr>
    </w:p>
    <w:tbl>
      <w:tblPr>
        <w:tblLayout w:type="fixed"/>
        <w:tblInd w:w="1490" w:type="dxa"/>
        <w:tblCellMar>
          <w:top w:w="0" w:type="dxa"/>
          <w:left w:w="0" w:type="dxa"/>
          <w:bottom w:w="0" w:type="dxa"/>
          <w:right w:w="0" w:type="dxa"/>
        </w:tblCellMar>
      </w:tblPr>
      <w:tr>
        <w:trPr>
          <w:trHeight w:val="40"/>
        </w:trPr>
        <w:tc>
          <w:tcPr>
            <w:tcW w:w="3140" w:type="dxa"/>
            <w:vAlign w:val="bottom"/>
            <w:tcBorders>
              <w:top w:val="single" w:sz="8" w:color="auto"/>
              <w:bottom w:val="single" w:sz="8" w:color="auto"/>
            </w:tcBorders>
          </w:tcPr>
          <w:p>
            <w:pPr>
              <w:spacing w:after="0"/>
              <w:rPr>
                <w:sz w:val="3"/>
                <w:szCs w:val="3"/>
                <w:color w:val="auto"/>
              </w:rPr>
            </w:pPr>
          </w:p>
        </w:tc>
        <w:tc>
          <w:tcPr>
            <w:tcW w:w="720" w:type="dxa"/>
            <w:vAlign w:val="bottom"/>
            <w:tcBorders>
              <w:top w:val="single" w:sz="8" w:color="auto"/>
              <w:bottom w:val="single" w:sz="8" w:color="auto"/>
            </w:tcBorders>
          </w:tcPr>
          <w:p>
            <w:pPr>
              <w:spacing w:after="0"/>
              <w:rPr>
                <w:sz w:val="3"/>
                <w:szCs w:val="3"/>
                <w:color w:val="auto"/>
              </w:rPr>
            </w:pPr>
          </w:p>
        </w:tc>
        <w:tc>
          <w:tcPr>
            <w:tcW w:w="960" w:type="dxa"/>
            <w:vAlign w:val="bottom"/>
            <w:tcBorders>
              <w:top w:val="single" w:sz="8" w:color="auto"/>
              <w:bottom w:val="single" w:sz="8" w:color="auto"/>
            </w:tcBorders>
          </w:tcPr>
          <w:p>
            <w:pPr>
              <w:spacing w:after="0"/>
              <w:rPr>
                <w:sz w:val="3"/>
                <w:szCs w:val="3"/>
                <w:color w:val="auto"/>
              </w:rPr>
            </w:pPr>
          </w:p>
        </w:tc>
        <w:tc>
          <w:tcPr>
            <w:tcW w:w="500" w:type="dxa"/>
            <w:vAlign w:val="bottom"/>
            <w:tcBorders>
              <w:top w:val="single" w:sz="8" w:color="auto"/>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r>
      <w:tr>
        <w:trPr>
          <w:trHeight w:val="147"/>
        </w:trPr>
        <w:tc>
          <w:tcPr>
            <w:tcW w:w="3140" w:type="dxa"/>
            <w:vAlign w:val="bottom"/>
            <w:tcBorders>
              <w:left w:val="single" w:sz="8" w:color="auto"/>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jc w:val="center"/>
              <w:ind w:right="5"/>
              <w:spacing w:after="0"/>
              <w:rPr>
                <w:sz w:val="20"/>
                <w:szCs w:val="20"/>
                <w:color w:val="auto"/>
              </w:rPr>
            </w:pPr>
            <w:r>
              <w:rPr>
                <w:rFonts w:ascii="Arial" w:cs="Arial" w:eastAsia="Arial" w:hAnsi="Arial"/>
                <w:sz w:val="11"/>
                <w:szCs w:val="11"/>
                <w:b w:val="1"/>
                <w:bCs w:val="1"/>
                <w:color w:val="auto"/>
                <w:w w:val="79"/>
              </w:rPr>
              <w:t>Value of</w:t>
            </w:r>
          </w:p>
        </w:tc>
        <w:tc>
          <w:tcPr>
            <w:tcW w:w="5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19"/>
        </w:trPr>
        <w:tc>
          <w:tcPr>
            <w:tcW w:w="3140" w:type="dxa"/>
            <w:vAlign w:val="bottom"/>
            <w:tcBorders>
              <w:left w:val="single" w:sz="8" w:color="auto"/>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jc w:val="center"/>
              <w:ind w:right="5"/>
              <w:spacing w:after="0" w:line="120" w:lineRule="exact"/>
              <w:rPr>
                <w:sz w:val="20"/>
                <w:szCs w:val="20"/>
                <w:color w:val="auto"/>
              </w:rPr>
            </w:pPr>
            <w:r>
              <w:rPr>
                <w:rFonts w:ascii="Arial" w:cs="Arial" w:eastAsia="Arial" w:hAnsi="Arial"/>
                <w:sz w:val="11"/>
                <w:szCs w:val="11"/>
                <w:b w:val="1"/>
                <w:bCs w:val="1"/>
                <w:color w:val="auto"/>
                <w:w w:val="82"/>
              </w:rPr>
              <w:t>Option-Based and</w:t>
            </w:r>
          </w:p>
        </w:tc>
        <w:tc>
          <w:tcPr>
            <w:tcW w:w="5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r>
      <w:tr>
        <w:trPr>
          <w:trHeight w:val="117"/>
        </w:trPr>
        <w:tc>
          <w:tcPr>
            <w:tcW w:w="3140" w:type="dxa"/>
            <w:vAlign w:val="bottom"/>
            <w:tcBorders>
              <w:left w:val="single" w:sz="8" w:color="auto"/>
              <w:right w:val="single" w:sz="8" w:color="auto"/>
            </w:tcBorders>
          </w:tcPr>
          <w:p>
            <w:pPr>
              <w:spacing w:after="0"/>
              <w:rPr>
                <w:sz w:val="10"/>
                <w:szCs w:val="10"/>
                <w:color w:val="auto"/>
              </w:rPr>
            </w:pPr>
          </w:p>
        </w:tc>
        <w:tc>
          <w:tcPr>
            <w:tcW w:w="720" w:type="dxa"/>
            <w:vAlign w:val="bottom"/>
            <w:tcBorders>
              <w:right w:val="single" w:sz="8" w:color="auto"/>
            </w:tcBorders>
          </w:tcPr>
          <w:p>
            <w:pPr>
              <w:jc w:val="center"/>
              <w:ind w:right="4"/>
              <w:spacing w:after="0" w:line="117" w:lineRule="exact"/>
              <w:rPr>
                <w:sz w:val="20"/>
                <w:szCs w:val="20"/>
                <w:color w:val="auto"/>
              </w:rPr>
            </w:pPr>
            <w:r>
              <w:rPr>
                <w:rFonts w:ascii="Arial" w:cs="Arial" w:eastAsia="Arial" w:hAnsi="Arial"/>
                <w:sz w:val="11"/>
                <w:szCs w:val="11"/>
                <w:b w:val="1"/>
                <w:bCs w:val="1"/>
                <w:color w:val="auto"/>
                <w:w w:val="81"/>
              </w:rPr>
              <w:t>Cash</w:t>
            </w:r>
          </w:p>
        </w:tc>
        <w:tc>
          <w:tcPr>
            <w:tcW w:w="960" w:type="dxa"/>
            <w:vAlign w:val="bottom"/>
            <w:tcBorders>
              <w:right w:val="single" w:sz="8" w:color="auto"/>
            </w:tcBorders>
          </w:tcPr>
          <w:p>
            <w:pPr>
              <w:jc w:val="center"/>
              <w:ind w:right="5"/>
              <w:spacing w:after="0" w:line="117" w:lineRule="exact"/>
              <w:rPr>
                <w:sz w:val="20"/>
                <w:szCs w:val="20"/>
                <w:color w:val="auto"/>
              </w:rPr>
            </w:pPr>
            <w:r>
              <w:rPr>
                <w:rFonts w:ascii="Arial" w:cs="Arial" w:eastAsia="Arial" w:hAnsi="Arial"/>
                <w:sz w:val="11"/>
                <w:szCs w:val="11"/>
                <w:b w:val="1"/>
                <w:bCs w:val="1"/>
                <w:color w:val="auto"/>
                <w:w w:val="80"/>
              </w:rPr>
              <w:t>Share-Based</w:t>
            </w:r>
          </w:p>
        </w:tc>
        <w:tc>
          <w:tcPr>
            <w:tcW w:w="50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w w:val="88"/>
              </w:rPr>
              <w:t>Other</w:t>
            </w:r>
          </w:p>
        </w:tc>
        <w:tc>
          <w:tcPr>
            <w:tcW w:w="700" w:type="dxa"/>
            <w:vAlign w:val="bottom"/>
            <w:tcBorders>
              <w:right w:val="single" w:sz="8" w:color="auto"/>
            </w:tcBorders>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r>
      <w:tr>
        <w:trPr>
          <w:trHeight w:val="169"/>
        </w:trPr>
        <w:tc>
          <w:tcPr>
            <w:tcW w:w="3140" w:type="dxa"/>
            <w:vAlign w:val="bottom"/>
            <w:tcBorders>
              <w:left w:val="single" w:sz="8" w:color="auto"/>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jc w:val="center"/>
              <w:spacing w:after="0" w:line="169" w:lineRule="exact"/>
              <w:rPr>
                <w:sz w:val="20"/>
                <w:szCs w:val="20"/>
                <w:color w:val="auto"/>
              </w:rPr>
            </w:pPr>
            <w:r>
              <w:rPr>
                <w:rFonts w:ascii="Arial" w:cs="Arial" w:eastAsia="Arial" w:hAnsi="Arial"/>
                <w:sz w:val="11"/>
                <w:szCs w:val="11"/>
                <w:b w:val="1"/>
                <w:bCs w:val="1"/>
                <w:color w:val="auto"/>
                <w:w w:val="78"/>
              </w:rPr>
              <w:t>Portion</w:t>
            </w:r>
            <w:r>
              <w:rPr>
                <w:rFonts w:ascii="Arial" w:cs="Arial" w:eastAsia="Arial" w:hAnsi="Arial"/>
                <w:sz w:val="15"/>
                <w:szCs w:val="15"/>
                <w:b w:val="1"/>
                <w:bCs w:val="1"/>
                <w:color w:val="auto"/>
                <w:w w:val="78"/>
                <w:vertAlign w:val="superscript"/>
              </w:rPr>
              <w:t>(1)</w:t>
            </w:r>
          </w:p>
        </w:tc>
        <w:tc>
          <w:tcPr>
            <w:tcW w:w="960" w:type="dxa"/>
            <w:vAlign w:val="bottom"/>
            <w:tcBorders>
              <w:bottom w:val="single" w:sz="8" w:color="auto"/>
              <w:right w:val="single" w:sz="8" w:color="auto"/>
            </w:tcBorders>
          </w:tcPr>
          <w:p>
            <w:pPr>
              <w:jc w:val="center"/>
              <w:spacing w:after="0" w:line="169" w:lineRule="exact"/>
              <w:rPr>
                <w:sz w:val="20"/>
                <w:szCs w:val="20"/>
                <w:color w:val="auto"/>
              </w:rPr>
            </w:pPr>
            <w:r>
              <w:rPr>
                <w:rFonts w:ascii="Arial" w:cs="Arial" w:eastAsia="Arial" w:hAnsi="Arial"/>
                <w:sz w:val="11"/>
                <w:szCs w:val="11"/>
                <w:b w:val="1"/>
                <w:bCs w:val="1"/>
                <w:color w:val="auto"/>
                <w:w w:val="80"/>
              </w:rPr>
              <w:t>Awards</w:t>
            </w:r>
            <w:r>
              <w:rPr>
                <w:rFonts w:ascii="Arial" w:cs="Arial" w:eastAsia="Arial" w:hAnsi="Arial"/>
                <w:sz w:val="15"/>
                <w:szCs w:val="15"/>
                <w:b w:val="1"/>
                <w:bCs w:val="1"/>
                <w:color w:val="auto"/>
                <w:w w:val="80"/>
                <w:vertAlign w:val="superscript"/>
              </w:rPr>
              <w:t>(2)</w:t>
            </w:r>
          </w:p>
        </w:tc>
        <w:tc>
          <w:tcPr>
            <w:tcW w:w="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2"/>
              </w:rPr>
              <w:t>Benefits</w:t>
            </w:r>
          </w:p>
        </w:tc>
        <w:tc>
          <w:tcPr>
            <w:tcW w:w="70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1"/>
                <w:szCs w:val="11"/>
                <w:b w:val="1"/>
                <w:bCs w:val="1"/>
                <w:color w:val="auto"/>
              </w:rPr>
              <w:t>Total</w:t>
            </w:r>
          </w:p>
        </w:tc>
        <w:tc>
          <w:tcPr>
            <w:tcW w:w="40" w:type="dxa"/>
            <w:vAlign w:val="bottom"/>
            <w:tcBorders>
              <w:right w:val="single" w:sz="8" w:color="auto"/>
            </w:tcBorders>
          </w:tcPr>
          <w:p>
            <w:pPr>
              <w:spacing w:after="0"/>
              <w:rPr>
                <w:sz w:val="14"/>
                <w:szCs w:val="14"/>
                <w:color w:val="auto"/>
              </w:rPr>
            </w:pPr>
          </w:p>
        </w:tc>
      </w:tr>
      <w:tr>
        <w:trPr>
          <w:trHeight w:val="162"/>
        </w:trPr>
        <w:tc>
          <w:tcPr>
            <w:tcW w:w="31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Termination without Cause or Change in Control</w:t>
            </w:r>
          </w:p>
        </w:tc>
        <w:tc>
          <w:tcPr>
            <w:tcW w:w="720" w:type="dxa"/>
            <w:vAlign w:val="bottom"/>
            <w:tcBorders>
              <w:right w:val="single" w:sz="8" w:color="auto"/>
            </w:tcBorders>
          </w:tcPr>
          <w:p>
            <w:pPr>
              <w:jc w:val="right"/>
              <w:ind w:right="44"/>
              <w:spacing w:after="0"/>
              <w:rPr>
                <w:sz w:val="20"/>
                <w:szCs w:val="20"/>
                <w:color w:val="auto"/>
              </w:rPr>
            </w:pPr>
            <w:r>
              <w:rPr>
                <w:rFonts w:ascii="Arial" w:cs="Arial" w:eastAsia="Arial" w:hAnsi="Arial"/>
                <w:sz w:val="12"/>
                <w:szCs w:val="12"/>
                <w:color w:val="auto"/>
                <w:w w:val="99"/>
              </w:rPr>
              <w:t>$1,236,454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700" w:type="dxa"/>
            <w:vAlign w:val="bottom"/>
            <w:tcBorders>
              <w:right w:val="single" w:sz="8" w:color="auto"/>
            </w:tcBorders>
          </w:tcPr>
          <w:p>
            <w:pPr>
              <w:jc w:val="right"/>
              <w:ind w:right="22"/>
              <w:spacing w:after="0"/>
              <w:rPr>
                <w:sz w:val="20"/>
                <w:szCs w:val="20"/>
                <w:color w:val="auto"/>
              </w:rPr>
            </w:pPr>
            <w:r>
              <w:rPr>
                <w:rFonts w:ascii="Arial" w:cs="Arial" w:eastAsia="Arial" w:hAnsi="Arial"/>
                <w:sz w:val="12"/>
                <w:szCs w:val="12"/>
                <w:color w:val="auto"/>
                <w:w w:val="99"/>
              </w:rPr>
              <w:t>$1,236,454</w:t>
            </w:r>
          </w:p>
        </w:tc>
        <w:tc>
          <w:tcPr>
            <w:tcW w:w="40" w:type="dxa"/>
            <w:vAlign w:val="bottom"/>
            <w:tcBorders>
              <w:right w:val="single" w:sz="8" w:color="auto"/>
            </w:tcBorders>
          </w:tcPr>
          <w:p>
            <w:pPr>
              <w:spacing w:after="0"/>
              <w:rPr>
                <w:sz w:val="14"/>
                <w:szCs w:val="14"/>
                <w:color w:val="auto"/>
              </w:rPr>
            </w:pPr>
          </w:p>
        </w:tc>
      </w:tr>
      <w:tr>
        <w:trPr>
          <w:trHeight w:val="159"/>
        </w:trPr>
        <w:tc>
          <w:tcPr>
            <w:tcW w:w="314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2"/>
                <w:szCs w:val="12"/>
                <w:color w:val="auto"/>
              </w:rPr>
              <w:t>with Termination</w:t>
            </w:r>
          </w:p>
        </w:tc>
        <w:tc>
          <w:tcPr>
            <w:tcW w:w="720" w:type="dxa"/>
            <w:vAlign w:val="bottom"/>
            <w:tcBorders>
              <w:bottom w:val="single" w:sz="8" w:color="auto"/>
              <w:right w:val="single" w:sz="8" w:color="auto"/>
            </w:tcBorders>
          </w:tcPr>
          <w:p>
            <w:pPr>
              <w:spacing w:after="0"/>
              <w:rPr>
                <w:sz w:val="13"/>
                <w:szCs w:val="13"/>
                <w:color w:val="auto"/>
              </w:rPr>
            </w:pPr>
          </w:p>
        </w:tc>
        <w:tc>
          <w:tcPr>
            <w:tcW w:w="960" w:type="dxa"/>
            <w:vAlign w:val="bottom"/>
            <w:tcBorders>
              <w:bottom w:val="single" w:sz="8" w:color="auto"/>
              <w:right w:val="single" w:sz="8" w:color="auto"/>
            </w:tcBorders>
          </w:tcPr>
          <w:p>
            <w:pPr>
              <w:spacing w:after="0"/>
              <w:rPr>
                <w:sz w:val="13"/>
                <w:szCs w:val="13"/>
                <w:color w:val="auto"/>
              </w:rPr>
            </w:pPr>
          </w:p>
        </w:tc>
        <w:tc>
          <w:tcPr>
            <w:tcW w:w="50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r>
      <w:tr>
        <w:trPr>
          <w:trHeight w:val="199"/>
        </w:trPr>
        <w:tc>
          <w:tcPr>
            <w:tcW w:w="31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Change in Control with no Termination or Retirement</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40" w:type="dxa"/>
            <w:vAlign w:val="bottom"/>
            <w:tcBorders>
              <w:right w:val="single" w:sz="8" w:color="auto"/>
            </w:tcBorders>
          </w:tcPr>
          <w:p>
            <w:pPr>
              <w:spacing w:after="0"/>
              <w:rPr>
                <w:sz w:val="17"/>
                <w:szCs w:val="17"/>
                <w:color w:val="auto"/>
              </w:rPr>
            </w:pPr>
          </w:p>
        </w:tc>
      </w:tr>
      <w:tr>
        <w:trPr>
          <w:trHeight w:val="22"/>
        </w:trPr>
        <w:tc>
          <w:tcPr>
            <w:tcW w:w="3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1740" w:right="1499" w:hanging="262"/>
        <w:spacing w:after="0" w:line="204" w:lineRule="auto"/>
        <w:tabs>
          <w:tab w:leader="none" w:pos="1740" w:val="left"/>
        </w:tabs>
        <w:numPr>
          <w:ilvl w:val="0"/>
          <w:numId w:val="101"/>
        </w:numPr>
        <w:rPr>
          <w:rFonts w:ascii="Arial" w:cs="Arial" w:eastAsia="Arial" w:hAnsi="Arial"/>
          <w:sz w:val="16"/>
          <w:szCs w:val="16"/>
          <w:color w:val="auto"/>
          <w:vertAlign w:val="superscript"/>
        </w:rPr>
      </w:pPr>
      <w:r>
        <w:rPr>
          <w:rFonts w:ascii="Arial" w:cs="Arial" w:eastAsia="Arial" w:hAnsi="Arial"/>
          <w:sz w:val="11"/>
          <w:szCs w:val="11"/>
          <w:color w:val="auto"/>
        </w:rPr>
        <w:t>Amounts in this column assume a maximum severance payment of two times Eligible Earnings but the actual amounts payable could be less.</w:t>
      </w:r>
    </w:p>
    <w:p>
      <w:pPr>
        <w:spacing w:after="0" w:line="34" w:lineRule="exact"/>
        <w:rPr>
          <w:rFonts w:ascii="Arial" w:cs="Arial" w:eastAsia="Arial" w:hAnsi="Arial"/>
          <w:sz w:val="16"/>
          <w:szCs w:val="16"/>
          <w:color w:val="auto"/>
          <w:vertAlign w:val="superscript"/>
        </w:rPr>
      </w:pPr>
    </w:p>
    <w:p>
      <w:pPr>
        <w:jc w:val="both"/>
        <w:ind w:left="1740" w:right="1499" w:hanging="262"/>
        <w:spacing w:after="0" w:line="216" w:lineRule="auto"/>
        <w:tabs>
          <w:tab w:leader="none" w:pos="1740" w:val="left"/>
        </w:tabs>
        <w:numPr>
          <w:ilvl w:val="0"/>
          <w:numId w:val="101"/>
        </w:numPr>
        <w:rPr>
          <w:rFonts w:ascii="Arial" w:cs="Arial" w:eastAsia="Arial" w:hAnsi="Arial"/>
          <w:sz w:val="16"/>
          <w:szCs w:val="16"/>
          <w:color w:val="auto"/>
          <w:vertAlign w:val="superscript"/>
        </w:rPr>
      </w:pPr>
      <w:r>
        <w:rPr>
          <w:rFonts w:ascii="Arial" w:cs="Arial" w:eastAsia="Arial" w:hAnsi="Arial"/>
          <w:sz w:val="11"/>
          <w:szCs w:val="11"/>
          <w:color w:val="auto"/>
        </w:rPr>
        <w:t>No incremental amount would be received in respect of accelerated vesting of options, RSUs and PSUs, if any, on the assumption that the discount rate applied to calculate the net present value of the accelerated entitlements is not greater than the rate at which the SVS would otherwise be expected to appreciate over the period of acceleration.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Table 27: Mr. Phillips’ Benefits</w:t>
      </w:r>
    </w:p>
    <w:p>
      <w:pPr>
        <w:spacing w:after="0" w:line="67" w:lineRule="exact"/>
        <w:rPr>
          <w:sz w:val="20"/>
          <w:szCs w:val="20"/>
          <w:color w:val="auto"/>
        </w:rPr>
      </w:pPr>
    </w:p>
    <w:tbl>
      <w:tblPr>
        <w:tblLayout w:type="fixed"/>
        <w:tblInd w:w="1490" w:type="dxa"/>
        <w:tblCellMar>
          <w:top w:w="0" w:type="dxa"/>
          <w:left w:w="0" w:type="dxa"/>
          <w:bottom w:w="0" w:type="dxa"/>
          <w:right w:w="0" w:type="dxa"/>
        </w:tblCellMar>
      </w:tblPr>
      <w:tr>
        <w:trPr>
          <w:trHeight w:val="40"/>
        </w:trPr>
        <w:tc>
          <w:tcPr>
            <w:tcW w:w="3140" w:type="dxa"/>
            <w:vAlign w:val="bottom"/>
            <w:tcBorders>
              <w:top w:val="single" w:sz="8" w:color="auto"/>
              <w:bottom w:val="single" w:sz="8" w:color="auto"/>
            </w:tcBorders>
          </w:tcPr>
          <w:p>
            <w:pPr>
              <w:spacing w:after="0"/>
              <w:rPr>
                <w:sz w:val="3"/>
                <w:szCs w:val="3"/>
                <w:color w:val="auto"/>
              </w:rPr>
            </w:pPr>
          </w:p>
        </w:tc>
        <w:tc>
          <w:tcPr>
            <w:tcW w:w="720" w:type="dxa"/>
            <w:vAlign w:val="bottom"/>
            <w:tcBorders>
              <w:top w:val="single" w:sz="8" w:color="auto"/>
              <w:bottom w:val="single" w:sz="8" w:color="auto"/>
            </w:tcBorders>
          </w:tcPr>
          <w:p>
            <w:pPr>
              <w:spacing w:after="0"/>
              <w:rPr>
                <w:sz w:val="3"/>
                <w:szCs w:val="3"/>
                <w:color w:val="auto"/>
              </w:rPr>
            </w:pPr>
          </w:p>
        </w:tc>
        <w:tc>
          <w:tcPr>
            <w:tcW w:w="960" w:type="dxa"/>
            <w:vAlign w:val="bottom"/>
            <w:tcBorders>
              <w:top w:val="single" w:sz="8" w:color="auto"/>
              <w:bottom w:val="single" w:sz="8" w:color="auto"/>
            </w:tcBorders>
          </w:tcPr>
          <w:p>
            <w:pPr>
              <w:spacing w:after="0"/>
              <w:rPr>
                <w:sz w:val="3"/>
                <w:szCs w:val="3"/>
                <w:color w:val="auto"/>
              </w:rPr>
            </w:pPr>
          </w:p>
        </w:tc>
        <w:tc>
          <w:tcPr>
            <w:tcW w:w="500" w:type="dxa"/>
            <w:vAlign w:val="bottom"/>
            <w:tcBorders>
              <w:top w:val="single" w:sz="8" w:color="auto"/>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r>
      <w:tr>
        <w:trPr>
          <w:trHeight w:val="147"/>
        </w:trPr>
        <w:tc>
          <w:tcPr>
            <w:tcW w:w="3140" w:type="dxa"/>
            <w:vAlign w:val="bottom"/>
            <w:tcBorders>
              <w:left w:val="single" w:sz="8" w:color="auto"/>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jc w:val="center"/>
              <w:ind w:right="5"/>
              <w:spacing w:after="0"/>
              <w:rPr>
                <w:sz w:val="20"/>
                <w:szCs w:val="20"/>
                <w:color w:val="auto"/>
              </w:rPr>
            </w:pPr>
            <w:r>
              <w:rPr>
                <w:rFonts w:ascii="Arial" w:cs="Arial" w:eastAsia="Arial" w:hAnsi="Arial"/>
                <w:sz w:val="11"/>
                <w:szCs w:val="11"/>
                <w:b w:val="1"/>
                <w:bCs w:val="1"/>
                <w:color w:val="auto"/>
                <w:w w:val="79"/>
              </w:rPr>
              <w:t>Value of</w:t>
            </w:r>
          </w:p>
        </w:tc>
        <w:tc>
          <w:tcPr>
            <w:tcW w:w="5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19"/>
        </w:trPr>
        <w:tc>
          <w:tcPr>
            <w:tcW w:w="3140" w:type="dxa"/>
            <w:vAlign w:val="bottom"/>
            <w:tcBorders>
              <w:left w:val="single" w:sz="8" w:color="auto"/>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jc w:val="center"/>
              <w:ind w:right="5"/>
              <w:spacing w:after="0" w:line="120" w:lineRule="exact"/>
              <w:rPr>
                <w:sz w:val="20"/>
                <w:szCs w:val="20"/>
                <w:color w:val="auto"/>
              </w:rPr>
            </w:pPr>
            <w:r>
              <w:rPr>
                <w:rFonts w:ascii="Arial" w:cs="Arial" w:eastAsia="Arial" w:hAnsi="Arial"/>
                <w:sz w:val="11"/>
                <w:szCs w:val="11"/>
                <w:b w:val="1"/>
                <w:bCs w:val="1"/>
                <w:color w:val="auto"/>
                <w:w w:val="82"/>
              </w:rPr>
              <w:t>Option-Based and</w:t>
            </w:r>
          </w:p>
        </w:tc>
        <w:tc>
          <w:tcPr>
            <w:tcW w:w="5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r>
      <w:tr>
        <w:trPr>
          <w:trHeight w:val="117"/>
        </w:trPr>
        <w:tc>
          <w:tcPr>
            <w:tcW w:w="3140" w:type="dxa"/>
            <w:vAlign w:val="bottom"/>
            <w:tcBorders>
              <w:left w:val="single" w:sz="8" w:color="auto"/>
              <w:right w:val="single" w:sz="8" w:color="auto"/>
            </w:tcBorders>
          </w:tcPr>
          <w:p>
            <w:pPr>
              <w:spacing w:after="0"/>
              <w:rPr>
                <w:sz w:val="10"/>
                <w:szCs w:val="10"/>
                <w:color w:val="auto"/>
              </w:rPr>
            </w:pPr>
          </w:p>
        </w:tc>
        <w:tc>
          <w:tcPr>
            <w:tcW w:w="720" w:type="dxa"/>
            <w:vAlign w:val="bottom"/>
            <w:tcBorders>
              <w:right w:val="single" w:sz="8" w:color="auto"/>
            </w:tcBorders>
          </w:tcPr>
          <w:p>
            <w:pPr>
              <w:jc w:val="center"/>
              <w:ind w:right="4"/>
              <w:spacing w:after="0" w:line="117" w:lineRule="exact"/>
              <w:rPr>
                <w:sz w:val="20"/>
                <w:szCs w:val="20"/>
                <w:color w:val="auto"/>
              </w:rPr>
            </w:pPr>
            <w:r>
              <w:rPr>
                <w:rFonts w:ascii="Arial" w:cs="Arial" w:eastAsia="Arial" w:hAnsi="Arial"/>
                <w:sz w:val="11"/>
                <w:szCs w:val="11"/>
                <w:b w:val="1"/>
                <w:bCs w:val="1"/>
                <w:color w:val="auto"/>
                <w:w w:val="81"/>
              </w:rPr>
              <w:t>Cash</w:t>
            </w:r>
          </w:p>
        </w:tc>
        <w:tc>
          <w:tcPr>
            <w:tcW w:w="960" w:type="dxa"/>
            <w:vAlign w:val="bottom"/>
            <w:tcBorders>
              <w:right w:val="single" w:sz="8" w:color="auto"/>
            </w:tcBorders>
          </w:tcPr>
          <w:p>
            <w:pPr>
              <w:jc w:val="center"/>
              <w:ind w:right="5"/>
              <w:spacing w:after="0" w:line="117" w:lineRule="exact"/>
              <w:rPr>
                <w:sz w:val="20"/>
                <w:szCs w:val="20"/>
                <w:color w:val="auto"/>
              </w:rPr>
            </w:pPr>
            <w:r>
              <w:rPr>
                <w:rFonts w:ascii="Arial" w:cs="Arial" w:eastAsia="Arial" w:hAnsi="Arial"/>
                <w:sz w:val="11"/>
                <w:szCs w:val="11"/>
                <w:b w:val="1"/>
                <w:bCs w:val="1"/>
                <w:color w:val="auto"/>
                <w:w w:val="80"/>
              </w:rPr>
              <w:t>Share-Based</w:t>
            </w:r>
          </w:p>
        </w:tc>
        <w:tc>
          <w:tcPr>
            <w:tcW w:w="50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w w:val="88"/>
              </w:rPr>
              <w:t>Other</w:t>
            </w:r>
          </w:p>
        </w:tc>
        <w:tc>
          <w:tcPr>
            <w:tcW w:w="700" w:type="dxa"/>
            <w:vAlign w:val="bottom"/>
            <w:tcBorders>
              <w:right w:val="single" w:sz="8" w:color="auto"/>
            </w:tcBorders>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r>
      <w:tr>
        <w:trPr>
          <w:trHeight w:val="169"/>
        </w:trPr>
        <w:tc>
          <w:tcPr>
            <w:tcW w:w="3140" w:type="dxa"/>
            <w:vAlign w:val="bottom"/>
            <w:tcBorders>
              <w:left w:val="single" w:sz="8" w:color="auto"/>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jc w:val="center"/>
              <w:spacing w:after="0" w:line="169" w:lineRule="exact"/>
              <w:rPr>
                <w:sz w:val="20"/>
                <w:szCs w:val="20"/>
                <w:color w:val="auto"/>
              </w:rPr>
            </w:pPr>
            <w:r>
              <w:rPr>
                <w:rFonts w:ascii="Arial" w:cs="Arial" w:eastAsia="Arial" w:hAnsi="Arial"/>
                <w:sz w:val="11"/>
                <w:szCs w:val="11"/>
                <w:b w:val="1"/>
                <w:bCs w:val="1"/>
                <w:color w:val="auto"/>
                <w:w w:val="78"/>
              </w:rPr>
              <w:t>Portion</w:t>
            </w:r>
            <w:r>
              <w:rPr>
                <w:rFonts w:ascii="Arial" w:cs="Arial" w:eastAsia="Arial" w:hAnsi="Arial"/>
                <w:sz w:val="15"/>
                <w:szCs w:val="15"/>
                <w:b w:val="1"/>
                <w:bCs w:val="1"/>
                <w:color w:val="auto"/>
                <w:w w:val="78"/>
                <w:vertAlign w:val="superscript"/>
              </w:rPr>
              <w:t>(1)</w:t>
            </w:r>
          </w:p>
        </w:tc>
        <w:tc>
          <w:tcPr>
            <w:tcW w:w="960" w:type="dxa"/>
            <w:vAlign w:val="bottom"/>
            <w:tcBorders>
              <w:bottom w:val="single" w:sz="8" w:color="auto"/>
              <w:right w:val="single" w:sz="8" w:color="auto"/>
            </w:tcBorders>
          </w:tcPr>
          <w:p>
            <w:pPr>
              <w:jc w:val="center"/>
              <w:spacing w:after="0" w:line="169" w:lineRule="exact"/>
              <w:rPr>
                <w:sz w:val="20"/>
                <w:szCs w:val="20"/>
                <w:color w:val="auto"/>
              </w:rPr>
            </w:pPr>
            <w:r>
              <w:rPr>
                <w:rFonts w:ascii="Arial" w:cs="Arial" w:eastAsia="Arial" w:hAnsi="Arial"/>
                <w:sz w:val="11"/>
                <w:szCs w:val="11"/>
                <w:b w:val="1"/>
                <w:bCs w:val="1"/>
                <w:color w:val="auto"/>
                <w:w w:val="80"/>
              </w:rPr>
              <w:t>Awards</w:t>
            </w:r>
            <w:r>
              <w:rPr>
                <w:rFonts w:ascii="Arial" w:cs="Arial" w:eastAsia="Arial" w:hAnsi="Arial"/>
                <w:sz w:val="15"/>
                <w:szCs w:val="15"/>
                <w:b w:val="1"/>
                <w:bCs w:val="1"/>
                <w:color w:val="auto"/>
                <w:w w:val="80"/>
                <w:vertAlign w:val="superscript"/>
              </w:rPr>
              <w:t>(2)</w:t>
            </w:r>
          </w:p>
        </w:tc>
        <w:tc>
          <w:tcPr>
            <w:tcW w:w="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2"/>
              </w:rPr>
              <w:t>Benefits</w:t>
            </w:r>
          </w:p>
        </w:tc>
        <w:tc>
          <w:tcPr>
            <w:tcW w:w="70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1"/>
                <w:szCs w:val="11"/>
                <w:b w:val="1"/>
                <w:bCs w:val="1"/>
                <w:color w:val="auto"/>
              </w:rPr>
              <w:t>Total</w:t>
            </w:r>
          </w:p>
        </w:tc>
        <w:tc>
          <w:tcPr>
            <w:tcW w:w="40" w:type="dxa"/>
            <w:vAlign w:val="bottom"/>
            <w:tcBorders>
              <w:right w:val="single" w:sz="8" w:color="auto"/>
            </w:tcBorders>
          </w:tcPr>
          <w:p>
            <w:pPr>
              <w:spacing w:after="0"/>
              <w:rPr>
                <w:sz w:val="14"/>
                <w:szCs w:val="14"/>
                <w:color w:val="auto"/>
              </w:rPr>
            </w:pPr>
          </w:p>
        </w:tc>
      </w:tr>
      <w:tr>
        <w:trPr>
          <w:trHeight w:val="162"/>
        </w:trPr>
        <w:tc>
          <w:tcPr>
            <w:tcW w:w="31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Termination without Cause or Change in Control</w:t>
            </w:r>
          </w:p>
        </w:tc>
        <w:tc>
          <w:tcPr>
            <w:tcW w:w="720" w:type="dxa"/>
            <w:vAlign w:val="bottom"/>
            <w:tcBorders>
              <w:right w:val="single" w:sz="8" w:color="auto"/>
            </w:tcBorders>
          </w:tcPr>
          <w:p>
            <w:pPr>
              <w:jc w:val="right"/>
              <w:ind w:right="44"/>
              <w:spacing w:after="0"/>
              <w:rPr>
                <w:sz w:val="20"/>
                <w:szCs w:val="20"/>
                <w:color w:val="auto"/>
              </w:rPr>
            </w:pPr>
            <w:r>
              <w:rPr>
                <w:rFonts w:ascii="Arial" w:cs="Arial" w:eastAsia="Arial" w:hAnsi="Arial"/>
                <w:sz w:val="12"/>
                <w:szCs w:val="12"/>
                <w:color w:val="auto"/>
                <w:w w:val="99"/>
              </w:rPr>
              <w:t>$1,146,430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700" w:type="dxa"/>
            <w:vAlign w:val="bottom"/>
            <w:tcBorders>
              <w:right w:val="single" w:sz="8" w:color="auto"/>
            </w:tcBorders>
          </w:tcPr>
          <w:p>
            <w:pPr>
              <w:jc w:val="right"/>
              <w:ind w:right="22"/>
              <w:spacing w:after="0"/>
              <w:rPr>
                <w:sz w:val="20"/>
                <w:szCs w:val="20"/>
                <w:color w:val="auto"/>
              </w:rPr>
            </w:pPr>
            <w:r>
              <w:rPr>
                <w:rFonts w:ascii="Arial" w:cs="Arial" w:eastAsia="Arial" w:hAnsi="Arial"/>
                <w:sz w:val="12"/>
                <w:szCs w:val="12"/>
                <w:color w:val="auto"/>
                <w:w w:val="99"/>
              </w:rPr>
              <w:t>$1,146,430</w:t>
            </w:r>
          </w:p>
        </w:tc>
        <w:tc>
          <w:tcPr>
            <w:tcW w:w="40" w:type="dxa"/>
            <w:vAlign w:val="bottom"/>
            <w:tcBorders>
              <w:right w:val="single" w:sz="8" w:color="auto"/>
            </w:tcBorders>
          </w:tcPr>
          <w:p>
            <w:pPr>
              <w:spacing w:after="0"/>
              <w:rPr>
                <w:sz w:val="14"/>
                <w:szCs w:val="14"/>
                <w:color w:val="auto"/>
              </w:rPr>
            </w:pPr>
          </w:p>
        </w:tc>
      </w:tr>
      <w:tr>
        <w:trPr>
          <w:trHeight w:val="159"/>
        </w:trPr>
        <w:tc>
          <w:tcPr>
            <w:tcW w:w="314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2"/>
                <w:szCs w:val="12"/>
                <w:color w:val="auto"/>
              </w:rPr>
              <w:t>with Termination</w:t>
            </w:r>
          </w:p>
        </w:tc>
        <w:tc>
          <w:tcPr>
            <w:tcW w:w="720" w:type="dxa"/>
            <w:vAlign w:val="bottom"/>
            <w:tcBorders>
              <w:bottom w:val="single" w:sz="8" w:color="auto"/>
              <w:right w:val="single" w:sz="8" w:color="auto"/>
            </w:tcBorders>
          </w:tcPr>
          <w:p>
            <w:pPr>
              <w:spacing w:after="0"/>
              <w:rPr>
                <w:sz w:val="13"/>
                <w:szCs w:val="13"/>
                <w:color w:val="auto"/>
              </w:rPr>
            </w:pPr>
          </w:p>
        </w:tc>
        <w:tc>
          <w:tcPr>
            <w:tcW w:w="960" w:type="dxa"/>
            <w:vAlign w:val="bottom"/>
            <w:tcBorders>
              <w:bottom w:val="single" w:sz="8" w:color="auto"/>
              <w:right w:val="single" w:sz="8" w:color="auto"/>
            </w:tcBorders>
          </w:tcPr>
          <w:p>
            <w:pPr>
              <w:spacing w:after="0"/>
              <w:rPr>
                <w:sz w:val="13"/>
                <w:szCs w:val="13"/>
                <w:color w:val="auto"/>
              </w:rPr>
            </w:pPr>
          </w:p>
        </w:tc>
        <w:tc>
          <w:tcPr>
            <w:tcW w:w="50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r>
      <w:tr>
        <w:trPr>
          <w:trHeight w:val="199"/>
        </w:trPr>
        <w:tc>
          <w:tcPr>
            <w:tcW w:w="31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Change in Control with no Termination or Retirement</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40" w:type="dxa"/>
            <w:vAlign w:val="bottom"/>
            <w:tcBorders>
              <w:right w:val="single" w:sz="8" w:color="auto"/>
            </w:tcBorders>
          </w:tcPr>
          <w:p>
            <w:pPr>
              <w:spacing w:after="0"/>
              <w:rPr>
                <w:sz w:val="17"/>
                <w:szCs w:val="17"/>
                <w:color w:val="auto"/>
              </w:rPr>
            </w:pPr>
          </w:p>
        </w:tc>
      </w:tr>
      <w:tr>
        <w:trPr>
          <w:trHeight w:val="22"/>
        </w:trPr>
        <w:tc>
          <w:tcPr>
            <w:tcW w:w="3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1740" w:right="1499" w:hanging="262"/>
        <w:spacing w:after="0" w:line="204" w:lineRule="auto"/>
        <w:tabs>
          <w:tab w:leader="none" w:pos="1740" w:val="left"/>
        </w:tabs>
        <w:numPr>
          <w:ilvl w:val="0"/>
          <w:numId w:val="102"/>
        </w:numPr>
        <w:rPr>
          <w:rFonts w:ascii="Arial" w:cs="Arial" w:eastAsia="Arial" w:hAnsi="Arial"/>
          <w:sz w:val="16"/>
          <w:szCs w:val="16"/>
          <w:color w:val="auto"/>
          <w:vertAlign w:val="superscript"/>
        </w:rPr>
      </w:pPr>
      <w:r>
        <w:rPr>
          <w:rFonts w:ascii="Arial" w:cs="Arial" w:eastAsia="Arial" w:hAnsi="Arial"/>
          <w:sz w:val="11"/>
          <w:szCs w:val="11"/>
          <w:color w:val="auto"/>
        </w:rPr>
        <w:t>Amounts in this column assume a maximum severance payment of two times Eligible Earnings but the actual amounts payable could be less.</w:t>
      </w:r>
    </w:p>
    <w:p>
      <w:pPr>
        <w:spacing w:after="0" w:line="34" w:lineRule="exact"/>
        <w:rPr>
          <w:rFonts w:ascii="Arial" w:cs="Arial" w:eastAsia="Arial" w:hAnsi="Arial"/>
          <w:sz w:val="16"/>
          <w:szCs w:val="16"/>
          <w:color w:val="auto"/>
          <w:vertAlign w:val="superscript"/>
        </w:rPr>
      </w:pPr>
    </w:p>
    <w:p>
      <w:pPr>
        <w:jc w:val="both"/>
        <w:ind w:left="1740" w:right="1499" w:hanging="262"/>
        <w:spacing w:after="0" w:line="216" w:lineRule="auto"/>
        <w:tabs>
          <w:tab w:leader="none" w:pos="1740" w:val="left"/>
        </w:tabs>
        <w:numPr>
          <w:ilvl w:val="0"/>
          <w:numId w:val="102"/>
        </w:numPr>
        <w:rPr>
          <w:rFonts w:ascii="Arial" w:cs="Arial" w:eastAsia="Arial" w:hAnsi="Arial"/>
          <w:sz w:val="16"/>
          <w:szCs w:val="16"/>
          <w:color w:val="auto"/>
          <w:vertAlign w:val="superscript"/>
        </w:rPr>
      </w:pPr>
      <w:r>
        <w:rPr>
          <w:rFonts w:ascii="Arial" w:cs="Arial" w:eastAsia="Arial" w:hAnsi="Arial"/>
          <w:sz w:val="11"/>
          <w:szCs w:val="11"/>
          <w:color w:val="auto"/>
        </w:rPr>
        <w:t>No incremental amount would be received in respect of accelerated vesting of options, RSUs and PSUs, if any, on the assumption that the discount rate applied to calculate the net present value of the accelerated entitlements is not greater than the rate at which the SVS would otherwise be expected to appreciate over the period of acceleration.</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2" w:name="page83"/>
    <w:bookmarkEnd w:id="82"/>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Table 28: Mr. Lawless’ Benefits</w:t>
      </w:r>
    </w:p>
    <w:p>
      <w:pPr>
        <w:spacing w:after="0" w:line="67" w:lineRule="exact"/>
        <w:rPr>
          <w:sz w:val="20"/>
          <w:szCs w:val="20"/>
          <w:color w:val="auto"/>
        </w:rPr>
      </w:pPr>
    </w:p>
    <w:tbl>
      <w:tblPr>
        <w:tblLayout w:type="fixed"/>
        <w:tblInd w:w="1490" w:type="dxa"/>
        <w:tblCellMar>
          <w:top w:w="0" w:type="dxa"/>
          <w:left w:w="0" w:type="dxa"/>
          <w:bottom w:w="0" w:type="dxa"/>
          <w:right w:w="0" w:type="dxa"/>
        </w:tblCellMar>
      </w:tblPr>
      <w:tr>
        <w:trPr>
          <w:trHeight w:val="40"/>
        </w:trPr>
        <w:tc>
          <w:tcPr>
            <w:tcW w:w="3140" w:type="dxa"/>
            <w:vAlign w:val="bottom"/>
            <w:tcBorders>
              <w:top w:val="single" w:sz="8" w:color="auto"/>
              <w:bottom w:val="single" w:sz="8" w:color="auto"/>
            </w:tcBorders>
          </w:tcPr>
          <w:p>
            <w:pPr>
              <w:spacing w:after="0"/>
              <w:rPr>
                <w:sz w:val="3"/>
                <w:szCs w:val="3"/>
                <w:color w:val="auto"/>
              </w:rPr>
            </w:pPr>
          </w:p>
        </w:tc>
        <w:tc>
          <w:tcPr>
            <w:tcW w:w="720" w:type="dxa"/>
            <w:vAlign w:val="bottom"/>
            <w:tcBorders>
              <w:top w:val="single" w:sz="8" w:color="auto"/>
              <w:bottom w:val="single" w:sz="8" w:color="auto"/>
            </w:tcBorders>
          </w:tcPr>
          <w:p>
            <w:pPr>
              <w:spacing w:after="0"/>
              <w:rPr>
                <w:sz w:val="3"/>
                <w:szCs w:val="3"/>
                <w:color w:val="auto"/>
              </w:rPr>
            </w:pPr>
          </w:p>
        </w:tc>
        <w:tc>
          <w:tcPr>
            <w:tcW w:w="96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720" w:type="dxa"/>
            <w:vAlign w:val="bottom"/>
            <w:tcBorders>
              <w:top w:val="single" w:sz="8" w:color="auto"/>
              <w:bottom w:val="single" w:sz="8" w:color="auto"/>
              <w:right w:val="single" w:sz="8" w:color="auto"/>
            </w:tcBorders>
          </w:tcPr>
          <w:p>
            <w:pPr>
              <w:spacing w:after="0"/>
              <w:rPr>
                <w:sz w:val="3"/>
                <w:szCs w:val="3"/>
                <w:color w:val="auto"/>
              </w:rPr>
            </w:pPr>
          </w:p>
        </w:tc>
      </w:tr>
      <w:tr>
        <w:trPr>
          <w:trHeight w:val="147"/>
        </w:trPr>
        <w:tc>
          <w:tcPr>
            <w:tcW w:w="3140" w:type="dxa"/>
            <w:vAlign w:val="bottom"/>
            <w:tcBorders>
              <w:left w:val="single" w:sz="8" w:color="auto"/>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jc w:val="center"/>
              <w:ind w:right="5"/>
              <w:spacing w:after="0"/>
              <w:rPr>
                <w:sz w:val="20"/>
                <w:szCs w:val="20"/>
                <w:color w:val="auto"/>
              </w:rPr>
            </w:pPr>
            <w:r>
              <w:rPr>
                <w:rFonts w:ascii="Arial" w:cs="Arial" w:eastAsia="Arial" w:hAnsi="Arial"/>
                <w:sz w:val="11"/>
                <w:szCs w:val="11"/>
                <w:b w:val="1"/>
                <w:bCs w:val="1"/>
                <w:color w:val="auto"/>
                <w:w w:val="79"/>
              </w:rPr>
              <w:t>Value of</w:t>
            </w:r>
          </w:p>
        </w:tc>
        <w:tc>
          <w:tcPr>
            <w:tcW w:w="5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r>
      <w:tr>
        <w:trPr>
          <w:trHeight w:val="119"/>
        </w:trPr>
        <w:tc>
          <w:tcPr>
            <w:tcW w:w="3140" w:type="dxa"/>
            <w:vAlign w:val="bottom"/>
            <w:tcBorders>
              <w:left w:val="single" w:sz="8" w:color="auto"/>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jc w:val="center"/>
              <w:ind w:right="5"/>
              <w:spacing w:after="0" w:line="120" w:lineRule="exact"/>
              <w:rPr>
                <w:sz w:val="20"/>
                <w:szCs w:val="20"/>
                <w:color w:val="auto"/>
              </w:rPr>
            </w:pPr>
            <w:r>
              <w:rPr>
                <w:rFonts w:ascii="Arial" w:cs="Arial" w:eastAsia="Arial" w:hAnsi="Arial"/>
                <w:sz w:val="11"/>
                <w:szCs w:val="11"/>
                <w:b w:val="1"/>
                <w:bCs w:val="1"/>
                <w:color w:val="auto"/>
                <w:w w:val="82"/>
              </w:rPr>
              <w:t>Option-Based and</w:t>
            </w:r>
          </w:p>
        </w:tc>
        <w:tc>
          <w:tcPr>
            <w:tcW w:w="52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r>
      <w:tr>
        <w:trPr>
          <w:trHeight w:val="117"/>
        </w:trPr>
        <w:tc>
          <w:tcPr>
            <w:tcW w:w="3140" w:type="dxa"/>
            <w:vAlign w:val="bottom"/>
            <w:tcBorders>
              <w:left w:val="single" w:sz="8" w:color="auto"/>
              <w:right w:val="single" w:sz="8" w:color="auto"/>
            </w:tcBorders>
          </w:tcPr>
          <w:p>
            <w:pPr>
              <w:spacing w:after="0"/>
              <w:rPr>
                <w:sz w:val="10"/>
                <w:szCs w:val="10"/>
                <w:color w:val="auto"/>
              </w:rPr>
            </w:pPr>
          </w:p>
        </w:tc>
        <w:tc>
          <w:tcPr>
            <w:tcW w:w="720" w:type="dxa"/>
            <w:vAlign w:val="bottom"/>
            <w:tcBorders>
              <w:right w:val="single" w:sz="8" w:color="auto"/>
            </w:tcBorders>
          </w:tcPr>
          <w:p>
            <w:pPr>
              <w:jc w:val="center"/>
              <w:ind w:right="4"/>
              <w:spacing w:after="0" w:line="117" w:lineRule="exact"/>
              <w:rPr>
                <w:sz w:val="20"/>
                <w:szCs w:val="20"/>
                <w:color w:val="auto"/>
              </w:rPr>
            </w:pPr>
            <w:r>
              <w:rPr>
                <w:rFonts w:ascii="Arial" w:cs="Arial" w:eastAsia="Arial" w:hAnsi="Arial"/>
                <w:sz w:val="11"/>
                <w:szCs w:val="11"/>
                <w:b w:val="1"/>
                <w:bCs w:val="1"/>
                <w:color w:val="auto"/>
                <w:w w:val="81"/>
              </w:rPr>
              <w:t>Cash</w:t>
            </w:r>
          </w:p>
        </w:tc>
        <w:tc>
          <w:tcPr>
            <w:tcW w:w="960" w:type="dxa"/>
            <w:vAlign w:val="bottom"/>
            <w:tcBorders>
              <w:right w:val="single" w:sz="8" w:color="auto"/>
            </w:tcBorders>
          </w:tcPr>
          <w:p>
            <w:pPr>
              <w:jc w:val="center"/>
              <w:ind w:right="5"/>
              <w:spacing w:after="0" w:line="117" w:lineRule="exact"/>
              <w:rPr>
                <w:sz w:val="20"/>
                <w:szCs w:val="20"/>
                <w:color w:val="auto"/>
              </w:rPr>
            </w:pPr>
            <w:r>
              <w:rPr>
                <w:rFonts w:ascii="Arial" w:cs="Arial" w:eastAsia="Arial" w:hAnsi="Arial"/>
                <w:sz w:val="11"/>
                <w:szCs w:val="11"/>
                <w:b w:val="1"/>
                <w:bCs w:val="1"/>
                <w:color w:val="auto"/>
                <w:w w:val="80"/>
              </w:rPr>
              <w:t>Share-Based</w:t>
            </w:r>
          </w:p>
        </w:tc>
        <w:tc>
          <w:tcPr>
            <w:tcW w:w="520" w:type="dxa"/>
            <w:vAlign w:val="bottom"/>
            <w:tcBorders>
              <w:right w:val="single" w:sz="8" w:color="auto"/>
            </w:tcBorders>
          </w:tcPr>
          <w:p>
            <w:pPr>
              <w:jc w:val="center"/>
              <w:ind w:right="4"/>
              <w:spacing w:after="0" w:line="117" w:lineRule="exact"/>
              <w:rPr>
                <w:sz w:val="20"/>
                <w:szCs w:val="20"/>
                <w:color w:val="auto"/>
              </w:rPr>
            </w:pPr>
            <w:r>
              <w:rPr>
                <w:rFonts w:ascii="Arial" w:cs="Arial" w:eastAsia="Arial" w:hAnsi="Arial"/>
                <w:sz w:val="11"/>
                <w:szCs w:val="11"/>
                <w:b w:val="1"/>
                <w:bCs w:val="1"/>
                <w:color w:val="auto"/>
                <w:w w:val="88"/>
              </w:rPr>
              <w:t>Other</w:t>
            </w:r>
          </w:p>
        </w:tc>
        <w:tc>
          <w:tcPr>
            <w:tcW w:w="720" w:type="dxa"/>
            <w:vAlign w:val="bottom"/>
            <w:tcBorders>
              <w:right w:val="single" w:sz="8" w:color="auto"/>
            </w:tcBorders>
          </w:tcPr>
          <w:p>
            <w:pPr>
              <w:spacing w:after="0"/>
              <w:rPr>
                <w:sz w:val="10"/>
                <w:szCs w:val="10"/>
                <w:color w:val="auto"/>
              </w:rPr>
            </w:pPr>
          </w:p>
        </w:tc>
      </w:tr>
      <w:tr>
        <w:trPr>
          <w:trHeight w:val="169"/>
        </w:trPr>
        <w:tc>
          <w:tcPr>
            <w:tcW w:w="3140" w:type="dxa"/>
            <w:vAlign w:val="bottom"/>
            <w:tcBorders>
              <w:left w:val="single" w:sz="8" w:color="auto"/>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jc w:val="center"/>
              <w:spacing w:after="0" w:line="169" w:lineRule="exact"/>
              <w:rPr>
                <w:sz w:val="20"/>
                <w:szCs w:val="20"/>
                <w:color w:val="auto"/>
              </w:rPr>
            </w:pPr>
            <w:r>
              <w:rPr>
                <w:rFonts w:ascii="Arial" w:cs="Arial" w:eastAsia="Arial" w:hAnsi="Arial"/>
                <w:sz w:val="11"/>
                <w:szCs w:val="11"/>
                <w:b w:val="1"/>
                <w:bCs w:val="1"/>
                <w:color w:val="auto"/>
                <w:w w:val="82"/>
              </w:rPr>
              <w:t>Portion</w:t>
            </w:r>
            <w:r>
              <w:rPr>
                <w:rFonts w:ascii="Arial" w:cs="Arial" w:eastAsia="Arial" w:hAnsi="Arial"/>
                <w:sz w:val="15"/>
                <w:szCs w:val="15"/>
                <w:b w:val="1"/>
                <w:bCs w:val="1"/>
                <w:color w:val="auto"/>
                <w:w w:val="82"/>
                <w:vertAlign w:val="superscript"/>
              </w:rPr>
              <w:t>(1)</w:t>
            </w:r>
          </w:p>
        </w:tc>
        <w:tc>
          <w:tcPr>
            <w:tcW w:w="960" w:type="dxa"/>
            <w:vAlign w:val="bottom"/>
            <w:tcBorders>
              <w:bottom w:val="single" w:sz="8" w:color="auto"/>
              <w:right w:val="single" w:sz="8" w:color="auto"/>
            </w:tcBorders>
          </w:tcPr>
          <w:p>
            <w:pPr>
              <w:jc w:val="center"/>
              <w:spacing w:after="0" w:line="169" w:lineRule="exact"/>
              <w:rPr>
                <w:sz w:val="20"/>
                <w:szCs w:val="20"/>
                <w:color w:val="auto"/>
              </w:rPr>
            </w:pPr>
            <w:r>
              <w:rPr>
                <w:rFonts w:ascii="Arial" w:cs="Arial" w:eastAsia="Arial" w:hAnsi="Arial"/>
                <w:sz w:val="11"/>
                <w:szCs w:val="11"/>
                <w:b w:val="1"/>
                <w:bCs w:val="1"/>
                <w:color w:val="auto"/>
                <w:w w:val="80"/>
              </w:rPr>
              <w:t>Awards</w:t>
            </w:r>
            <w:r>
              <w:rPr>
                <w:rFonts w:ascii="Arial" w:cs="Arial" w:eastAsia="Arial" w:hAnsi="Arial"/>
                <w:sz w:val="15"/>
                <w:szCs w:val="15"/>
                <w:b w:val="1"/>
                <w:bCs w:val="1"/>
                <w:color w:val="auto"/>
                <w:w w:val="80"/>
                <w:vertAlign w:val="superscript"/>
              </w:rPr>
              <w:t>(2)</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2"/>
              </w:rPr>
              <w:t>Benefits</w:t>
            </w:r>
          </w:p>
        </w:tc>
        <w:tc>
          <w:tcPr>
            <w:tcW w:w="7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1"/>
                <w:szCs w:val="11"/>
                <w:b w:val="1"/>
                <w:bCs w:val="1"/>
                <w:color w:val="auto"/>
              </w:rPr>
              <w:t>Total</w:t>
            </w:r>
          </w:p>
        </w:tc>
      </w:tr>
      <w:tr>
        <w:trPr>
          <w:trHeight w:val="172"/>
        </w:trPr>
        <w:tc>
          <w:tcPr>
            <w:tcW w:w="31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Termination without Cause or Change in Control</w:t>
            </w:r>
          </w:p>
        </w:tc>
        <w:tc>
          <w:tcPr>
            <w:tcW w:w="720" w:type="dxa"/>
            <w:vAlign w:val="bottom"/>
            <w:tcBorders>
              <w:right w:val="single" w:sz="8" w:color="auto"/>
            </w:tcBorders>
          </w:tcPr>
          <w:p>
            <w:pPr>
              <w:jc w:val="right"/>
              <w:ind w:right="44"/>
              <w:spacing w:after="0"/>
              <w:rPr>
                <w:sz w:val="20"/>
                <w:szCs w:val="20"/>
                <w:color w:val="auto"/>
              </w:rPr>
            </w:pPr>
            <w:r>
              <w:rPr>
                <w:rFonts w:ascii="Arial" w:cs="Arial" w:eastAsia="Arial" w:hAnsi="Arial"/>
                <w:sz w:val="12"/>
                <w:szCs w:val="12"/>
                <w:color w:val="auto"/>
                <w:w w:val="99"/>
              </w:rPr>
              <w:t>$1,157,728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720" w:type="dxa"/>
            <w:vAlign w:val="bottom"/>
            <w:tcBorders>
              <w:right w:val="single" w:sz="8" w:color="auto"/>
            </w:tcBorders>
          </w:tcPr>
          <w:p>
            <w:pPr>
              <w:jc w:val="right"/>
              <w:ind w:right="42"/>
              <w:spacing w:after="0"/>
              <w:rPr>
                <w:sz w:val="20"/>
                <w:szCs w:val="20"/>
                <w:color w:val="auto"/>
              </w:rPr>
            </w:pPr>
            <w:r>
              <w:rPr>
                <w:rFonts w:ascii="Arial" w:cs="Arial" w:eastAsia="Arial" w:hAnsi="Arial"/>
                <w:sz w:val="12"/>
                <w:szCs w:val="12"/>
                <w:color w:val="auto"/>
                <w:w w:val="99"/>
              </w:rPr>
              <w:t>$1,157,728</w:t>
            </w:r>
          </w:p>
        </w:tc>
      </w:tr>
      <w:tr>
        <w:trPr>
          <w:trHeight w:val="159"/>
        </w:trPr>
        <w:tc>
          <w:tcPr>
            <w:tcW w:w="314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2"/>
                <w:szCs w:val="12"/>
                <w:color w:val="auto"/>
              </w:rPr>
              <w:t>with Termination</w:t>
            </w:r>
          </w:p>
        </w:tc>
        <w:tc>
          <w:tcPr>
            <w:tcW w:w="720" w:type="dxa"/>
            <w:vAlign w:val="bottom"/>
            <w:tcBorders>
              <w:bottom w:val="single" w:sz="8" w:color="auto"/>
              <w:right w:val="single" w:sz="8" w:color="auto"/>
            </w:tcBorders>
          </w:tcPr>
          <w:p>
            <w:pPr>
              <w:spacing w:after="0"/>
              <w:rPr>
                <w:sz w:val="13"/>
                <w:szCs w:val="13"/>
                <w:color w:val="auto"/>
              </w:rPr>
            </w:pPr>
          </w:p>
        </w:tc>
        <w:tc>
          <w:tcPr>
            <w:tcW w:w="96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r>
      <w:tr>
        <w:trPr>
          <w:trHeight w:val="199"/>
        </w:trPr>
        <w:tc>
          <w:tcPr>
            <w:tcW w:w="31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Change in Control with no Termination or Retirement</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r>
      <w:tr>
        <w:trPr>
          <w:trHeight w:val="22"/>
        </w:trPr>
        <w:tc>
          <w:tcPr>
            <w:tcW w:w="3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1740" w:right="1499" w:hanging="262"/>
        <w:spacing w:after="0" w:line="204" w:lineRule="auto"/>
        <w:tabs>
          <w:tab w:leader="none" w:pos="1740" w:val="left"/>
        </w:tabs>
        <w:numPr>
          <w:ilvl w:val="0"/>
          <w:numId w:val="103"/>
        </w:numPr>
        <w:rPr>
          <w:rFonts w:ascii="Arial" w:cs="Arial" w:eastAsia="Arial" w:hAnsi="Arial"/>
          <w:sz w:val="16"/>
          <w:szCs w:val="16"/>
          <w:color w:val="auto"/>
          <w:vertAlign w:val="superscript"/>
        </w:rPr>
      </w:pPr>
      <w:r>
        <w:rPr>
          <w:rFonts w:ascii="Arial" w:cs="Arial" w:eastAsia="Arial" w:hAnsi="Arial"/>
          <w:sz w:val="11"/>
          <w:szCs w:val="11"/>
          <w:color w:val="auto"/>
        </w:rPr>
        <w:t>Amounts in this column assume a maximum severance payment of two times Eligible Earnings but the actual amounts payable could be less.</w:t>
      </w:r>
    </w:p>
    <w:p>
      <w:pPr>
        <w:spacing w:after="0" w:line="34" w:lineRule="exact"/>
        <w:rPr>
          <w:rFonts w:ascii="Arial" w:cs="Arial" w:eastAsia="Arial" w:hAnsi="Arial"/>
          <w:sz w:val="16"/>
          <w:szCs w:val="16"/>
          <w:color w:val="auto"/>
          <w:vertAlign w:val="superscript"/>
        </w:rPr>
      </w:pPr>
    </w:p>
    <w:p>
      <w:pPr>
        <w:jc w:val="both"/>
        <w:ind w:left="1740" w:right="1499" w:hanging="262"/>
        <w:spacing w:after="0" w:line="216" w:lineRule="auto"/>
        <w:tabs>
          <w:tab w:leader="none" w:pos="1740" w:val="left"/>
        </w:tabs>
        <w:numPr>
          <w:ilvl w:val="0"/>
          <w:numId w:val="103"/>
        </w:numPr>
        <w:rPr>
          <w:rFonts w:ascii="Arial" w:cs="Arial" w:eastAsia="Arial" w:hAnsi="Arial"/>
          <w:sz w:val="16"/>
          <w:szCs w:val="16"/>
          <w:color w:val="auto"/>
          <w:vertAlign w:val="superscript"/>
        </w:rPr>
      </w:pPr>
      <w:r>
        <w:rPr>
          <w:rFonts w:ascii="Arial" w:cs="Arial" w:eastAsia="Arial" w:hAnsi="Arial"/>
          <w:sz w:val="11"/>
          <w:szCs w:val="11"/>
          <w:color w:val="auto"/>
        </w:rPr>
        <w:t>No incremental amount would be received in respect of accelerated vesting of options, RSUs and PSUs, if any, on the assumption that the discount rate applied to calculate the net present value of the accelerated entitlements is not greater than the rate at which the SVS would otherwise be expected to appreciate over the period of acceleration.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Table 29: Mr. Cooper’s Benefits</w:t>
      </w:r>
    </w:p>
    <w:p>
      <w:pPr>
        <w:spacing w:after="0" w:line="67" w:lineRule="exact"/>
        <w:rPr>
          <w:sz w:val="20"/>
          <w:szCs w:val="20"/>
          <w:color w:val="auto"/>
        </w:rPr>
      </w:pPr>
    </w:p>
    <w:tbl>
      <w:tblPr>
        <w:tblLayout w:type="fixed"/>
        <w:tblInd w:w="1490" w:type="dxa"/>
        <w:tblCellMar>
          <w:top w:w="0" w:type="dxa"/>
          <w:left w:w="0" w:type="dxa"/>
          <w:bottom w:w="0" w:type="dxa"/>
          <w:right w:w="0" w:type="dxa"/>
        </w:tblCellMar>
      </w:tblPr>
      <w:tr>
        <w:trPr>
          <w:trHeight w:val="40"/>
        </w:trPr>
        <w:tc>
          <w:tcPr>
            <w:tcW w:w="3140" w:type="dxa"/>
            <w:vAlign w:val="bottom"/>
            <w:tcBorders>
              <w:top w:val="single" w:sz="8" w:color="auto"/>
              <w:bottom w:val="single" w:sz="8" w:color="auto"/>
            </w:tcBorders>
          </w:tcPr>
          <w:p>
            <w:pPr>
              <w:spacing w:after="0"/>
              <w:rPr>
                <w:sz w:val="3"/>
                <w:szCs w:val="3"/>
                <w:color w:val="auto"/>
              </w:rPr>
            </w:pPr>
          </w:p>
        </w:tc>
        <w:tc>
          <w:tcPr>
            <w:tcW w:w="720" w:type="dxa"/>
            <w:vAlign w:val="bottom"/>
            <w:tcBorders>
              <w:top w:val="single" w:sz="8" w:color="auto"/>
              <w:bottom w:val="single" w:sz="8" w:color="auto"/>
            </w:tcBorders>
          </w:tcPr>
          <w:p>
            <w:pPr>
              <w:spacing w:after="0"/>
              <w:rPr>
                <w:sz w:val="3"/>
                <w:szCs w:val="3"/>
                <w:color w:val="auto"/>
              </w:rPr>
            </w:pPr>
          </w:p>
        </w:tc>
        <w:tc>
          <w:tcPr>
            <w:tcW w:w="96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720" w:type="dxa"/>
            <w:vAlign w:val="bottom"/>
            <w:tcBorders>
              <w:top w:val="single" w:sz="8" w:color="auto"/>
              <w:bottom w:val="single" w:sz="8" w:color="auto"/>
              <w:right w:val="single" w:sz="8" w:color="auto"/>
            </w:tcBorders>
          </w:tcPr>
          <w:p>
            <w:pPr>
              <w:spacing w:after="0"/>
              <w:rPr>
                <w:sz w:val="3"/>
                <w:szCs w:val="3"/>
                <w:color w:val="auto"/>
              </w:rPr>
            </w:pPr>
          </w:p>
        </w:tc>
      </w:tr>
      <w:tr>
        <w:trPr>
          <w:trHeight w:val="147"/>
        </w:trPr>
        <w:tc>
          <w:tcPr>
            <w:tcW w:w="3140" w:type="dxa"/>
            <w:vAlign w:val="bottom"/>
            <w:tcBorders>
              <w:left w:val="single" w:sz="8" w:color="auto"/>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jc w:val="center"/>
              <w:ind w:right="5"/>
              <w:spacing w:after="0"/>
              <w:rPr>
                <w:sz w:val="20"/>
                <w:szCs w:val="20"/>
                <w:color w:val="auto"/>
              </w:rPr>
            </w:pPr>
            <w:r>
              <w:rPr>
                <w:rFonts w:ascii="Arial" w:cs="Arial" w:eastAsia="Arial" w:hAnsi="Arial"/>
                <w:sz w:val="11"/>
                <w:szCs w:val="11"/>
                <w:b w:val="1"/>
                <w:bCs w:val="1"/>
                <w:color w:val="auto"/>
                <w:w w:val="79"/>
              </w:rPr>
              <w:t>Value of</w:t>
            </w:r>
          </w:p>
        </w:tc>
        <w:tc>
          <w:tcPr>
            <w:tcW w:w="5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r>
      <w:tr>
        <w:trPr>
          <w:trHeight w:val="119"/>
        </w:trPr>
        <w:tc>
          <w:tcPr>
            <w:tcW w:w="3140" w:type="dxa"/>
            <w:vAlign w:val="bottom"/>
            <w:tcBorders>
              <w:left w:val="single" w:sz="8" w:color="auto"/>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jc w:val="center"/>
              <w:ind w:right="5"/>
              <w:spacing w:after="0" w:line="120" w:lineRule="exact"/>
              <w:rPr>
                <w:sz w:val="20"/>
                <w:szCs w:val="20"/>
                <w:color w:val="auto"/>
              </w:rPr>
            </w:pPr>
            <w:r>
              <w:rPr>
                <w:rFonts w:ascii="Arial" w:cs="Arial" w:eastAsia="Arial" w:hAnsi="Arial"/>
                <w:sz w:val="11"/>
                <w:szCs w:val="11"/>
                <w:b w:val="1"/>
                <w:bCs w:val="1"/>
                <w:color w:val="auto"/>
                <w:w w:val="82"/>
              </w:rPr>
              <w:t>Option-Based and</w:t>
            </w:r>
          </w:p>
        </w:tc>
        <w:tc>
          <w:tcPr>
            <w:tcW w:w="52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r>
      <w:tr>
        <w:trPr>
          <w:trHeight w:val="117"/>
        </w:trPr>
        <w:tc>
          <w:tcPr>
            <w:tcW w:w="3140" w:type="dxa"/>
            <w:vAlign w:val="bottom"/>
            <w:tcBorders>
              <w:left w:val="single" w:sz="8" w:color="auto"/>
              <w:right w:val="single" w:sz="8" w:color="auto"/>
            </w:tcBorders>
          </w:tcPr>
          <w:p>
            <w:pPr>
              <w:spacing w:after="0"/>
              <w:rPr>
                <w:sz w:val="10"/>
                <w:szCs w:val="10"/>
                <w:color w:val="auto"/>
              </w:rPr>
            </w:pPr>
          </w:p>
        </w:tc>
        <w:tc>
          <w:tcPr>
            <w:tcW w:w="720" w:type="dxa"/>
            <w:vAlign w:val="bottom"/>
            <w:tcBorders>
              <w:right w:val="single" w:sz="8" w:color="auto"/>
            </w:tcBorders>
          </w:tcPr>
          <w:p>
            <w:pPr>
              <w:jc w:val="center"/>
              <w:ind w:right="4"/>
              <w:spacing w:after="0" w:line="117" w:lineRule="exact"/>
              <w:rPr>
                <w:sz w:val="20"/>
                <w:szCs w:val="20"/>
                <w:color w:val="auto"/>
              </w:rPr>
            </w:pPr>
            <w:r>
              <w:rPr>
                <w:rFonts w:ascii="Arial" w:cs="Arial" w:eastAsia="Arial" w:hAnsi="Arial"/>
                <w:sz w:val="11"/>
                <w:szCs w:val="11"/>
                <w:b w:val="1"/>
                <w:bCs w:val="1"/>
                <w:color w:val="auto"/>
                <w:w w:val="81"/>
              </w:rPr>
              <w:t>Cash</w:t>
            </w:r>
          </w:p>
        </w:tc>
        <w:tc>
          <w:tcPr>
            <w:tcW w:w="960" w:type="dxa"/>
            <w:vAlign w:val="bottom"/>
            <w:tcBorders>
              <w:right w:val="single" w:sz="8" w:color="auto"/>
            </w:tcBorders>
          </w:tcPr>
          <w:p>
            <w:pPr>
              <w:jc w:val="center"/>
              <w:ind w:right="5"/>
              <w:spacing w:after="0" w:line="117" w:lineRule="exact"/>
              <w:rPr>
                <w:sz w:val="20"/>
                <w:szCs w:val="20"/>
                <w:color w:val="auto"/>
              </w:rPr>
            </w:pPr>
            <w:r>
              <w:rPr>
                <w:rFonts w:ascii="Arial" w:cs="Arial" w:eastAsia="Arial" w:hAnsi="Arial"/>
                <w:sz w:val="11"/>
                <w:szCs w:val="11"/>
                <w:b w:val="1"/>
                <w:bCs w:val="1"/>
                <w:color w:val="auto"/>
                <w:w w:val="80"/>
              </w:rPr>
              <w:t>Share-Based</w:t>
            </w:r>
          </w:p>
        </w:tc>
        <w:tc>
          <w:tcPr>
            <w:tcW w:w="520" w:type="dxa"/>
            <w:vAlign w:val="bottom"/>
            <w:tcBorders>
              <w:right w:val="single" w:sz="8" w:color="auto"/>
            </w:tcBorders>
          </w:tcPr>
          <w:p>
            <w:pPr>
              <w:jc w:val="center"/>
              <w:ind w:right="4"/>
              <w:spacing w:after="0" w:line="117" w:lineRule="exact"/>
              <w:rPr>
                <w:sz w:val="20"/>
                <w:szCs w:val="20"/>
                <w:color w:val="auto"/>
              </w:rPr>
            </w:pPr>
            <w:r>
              <w:rPr>
                <w:rFonts w:ascii="Arial" w:cs="Arial" w:eastAsia="Arial" w:hAnsi="Arial"/>
                <w:sz w:val="11"/>
                <w:szCs w:val="11"/>
                <w:b w:val="1"/>
                <w:bCs w:val="1"/>
                <w:color w:val="auto"/>
                <w:w w:val="88"/>
              </w:rPr>
              <w:t>Other</w:t>
            </w:r>
          </w:p>
        </w:tc>
        <w:tc>
          <w:tcPr>
            <w:tcW w:w="720" w:type="dxa"/>
            <w:vAlign w:val="bottom"/>
            <w:tcBorders>
              <w:right w:val="single" w:sz="8" w:color="auto"/>
            </w:tcBorders>
          </w:tcPr>
          <w:p>
            <w:pPr>
              <w:spacing w:after="0"/>
              <w:rPr>
                <w:sz w:val="10"/>
                <w:szCs w:val="10"/>
                <w:color w:val="auto"/>
              </w:rPr>
            </w:pPr>
          </w:p>
        </w:tc>
      </w:tr>
      <w:tr>
        <w:trPr>
          <w:trHeight w:val="169"/>
        </w:trPr>
        <w:tc>
          <w:tcPr>
            <w:tcW w:w="3140" w:type="dxa"/>
            <w:vAlign w:val="bottom"/>
            <w:tcBorders>
              <w:left w:val="single" w:sz="8" w:color="auto"/>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jc w:val="center"/>
              <w:spacing w:after="0" w:line="169" w:lineRule="exact"/>
              <w:rPr>
                <w:sz w:val="20"/>
                <w:szCs w:val="20"/>
                <w:color w:val="auto"/>
              </w:rPr>
            </w:pPr>
            <w:r>
              <w:rPr>
                <w:rFonts w:ascii="Arial" w:cs="Arial" w:eastAsia="Arial" w:hAnsi="Arial"/>
                <w:sz w:val="11"/>
                <w:szCs w:val="11"/>
                <w:b w:val="1"/>
                <w:bCs w:val="1"/>
                <w:color w:val="auto"/>
                <w:w w:val="82"/>
              </w:rPr>
              <w:t>Portion</w:t>
            </w:r>
            <w:r>
              <w:rPr>
                <w:rFonts w:ascii="Arial" w:cs="Arial" w:eastAsia="Arial" w:hAnsi="Arial"/>
                <w:sz w:val="15"/>
                <w:szCs w:val="15"/>
                <w:b w:val="1"/>
                <w:bCs w:val="1"/>
                <w:color w:val="auto"/>
                <w:w w:val="82"/>
                <w:vertAlign w:val="superscript"/>
              </w:rPr>
              <w:t>(1)</w:t>
            </w:r>
          </w:p>
        </w:tc>
        <w:tc>
          <w:tcPr>
            <w:tcW w:w="960" w:type="dxa"/>
            <w:vAlign w:val="bottom"/>
            <w:tcBorders>
              <w:bottom w:val="single" w:sz="8" w:color="auto"/>
              <w:right w:val="single" w:sz="8" w:color="auto"/>
            </w:tcBorders>
          </w:tcPr>
          <w:p>
            <w:pPr>
              <w:jc w:val="center"/>
              <w:spacing w:after="0" w:line="169" w:lineRule="exact"/>
              <w:rPr>
                <w:sz w:val="20"/>
                <w:szCs w:val="20"/>
                <w:color w:val="auto"/>
              </w:rPr>
            </w:pPr>
            <w:r>
              <w:rPr>
                <w:rFonts w:ascii="Arial" w:cs="Arial" w:eastAsia="Arial" w:hAnsi="Arial"/>
                <w:sz w:val="11"/>
                <w:szCs w:val="11"/>
                <w:b w:val="1"/>
                <w:bCs w:val="1"/>
                <w:color w:val="auto"/>
                <w:w w:val="80"/>
              </w:rPr>
              <w:t>Awards</w:t>
            </w:r>
            <w:r>
              <w:rPr>
                <w:rFonts w:ascii="Arial" w:cs="Arial" w:eastAsia="Arial" w:hAnsi="Arial"/>
                <w:sz w:val="15"/>
                <w:szCs w:val="15"/>
                <w:b w:val="1"/>
                <w:bCs w:val="1"/>
                <w:color w:val="auto"/>
                <w:w w:val="80"/>
                <w:vertAlign w:val="superscript"/>
              </w:rPr>
              <w:t>(2)</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2"/>
              </w:rPr>
              <w:t>Benefits</w:t>
            </w:r>
          </w:p>
        </w:tc>
        <w:tc>
          <w:tcPr>
            <w:tcW w:w="7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1"/>
                <w:szCs w:val="11"/>
                <w:b w:val="1"/>
                <w:bCs w:val="1"/>
                <w:color w:val="auto"/>
              </w:rPr>
              <w:t>Total</w:t>
            </w:r>
          </w:p>
        </w:tc>
      </w:tr>
      <w:tr>
        <w:trPr>
          <w:trHeight w:val="172"/>
        </w:trPr>
        <w:tc>
          <w:tcPr>
            <w:tcW w:w="31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Termination without Cause or Change in Control</w:t>
            </w:r>
          </w:p>
        </w:tc>
        <w:tc>
          <w:tcPr>
            <w:tcW w:w="720" w:type="dxa"/>
            <w:vAlign w:val="bottom"/>
            <w:tcBorders>
              <w:right w:val="single" w:sz="8" w:color="auto"/>
            </w:tcBorders>
          </w:tcPr>
          <w:p>
            <w:pPr>
              <w:jc w:val="right"/>
              <w:ind w:right="44"/>
              <w:spacing w:after="0"/>
              <w:rPr>
                <w:sz w:val="20"/>
                <w:szCs w:val="20"/>
                <w:color w:val="auto"/>
              </w:rPr>
            </w:pPr>
            <w:r>
              <w:rPr>
                <w:rFonts w:ascii="Arial" w:cs="Arial" w:eastAsia="Arial" w:hAnsi="Arial"/>
                <w:sz w:val="12"/>
                <w:szCs w:val="12"/>
                <w:color w:val="auto"/>
                <w:w w:val="99"/>
              </w:rPr>
              <w:t>$1,157,728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720" w:type="dxa"/>
            <w:vAlign w:val="bottom"/>
            <w:tcBorders>
              <w:right w:val="single" w:sz="8" w:color="auto"/>
            </w:tcBorders>
          </w:tcPr>
          <w:p>
            <w:pPr>
              <w:jc w:val="right"/>
              <w:ind w:right="42"/>
              <w:spacing w:after="0"/>
              <w:rPr>
                <w:sz w:val="20"/>
                <w:szCs w:val="20"/>
                <w:color w:val="auto"/>
              </w:rPr>
            </w:pPr>
            <w:r>
              <w:rPr>
                <w:rFonts w:ascii="Arial" w:cs="Arial" w:eastAsia="Arial" w:hAnsi="Arial"/>
                <w:sz w:val="12"/>
                <w:szCs w:val="12"/>
                <w:color w:val="auto"/>
                <w:w w:val="99"/>
              </w:rPr>
              <w:t>$1,157,728</w:t>
            </w:r>
          </w:p>
        </w:tc>
      </w:tr>
      <w:tr>
        <w:trPr>
          <w:trHeight w:val="159"/>
        </w:trPr>
        <w:tc>
          <w:tcPr>
            <w:tcW w:w="314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2"/>
                <w:szCs w:val="12"/>
                <w:color w:val="auto"/>
              </w:rPr>
              <w:t>with Termination</w:t>
            </w:r>
          </w:p>
        </w:tc>
        <w:tc>
          <w:tcPr>
            <w:tcW w:w="720" w:type="dxa"/>
            <w:vAlign w:val="bottom"/>
            <w:tcBorders>
              <w:bottom w:val="single" w:sz="8" w:color="auto"/>
              <w:right w:val="single" w:sz="8" w:color="auto"/>
            </w:tcBorders>
          </w:tcPr>
          <w:p>
            <w:pPr>
              <w:spacing w:after="0"/>
              <w:rPr>
                <w:sz w:val="13"/>
                <w:szCs w:val="13"/>
                <w:color w:val="auto"/>
              </w:rPr>
            </w:pPr>
          </w:p>
        </w:tc>
        <w:tc>
          <w:tcPr>
            <w:tcW w:w="96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r>
      <w:tr>
        <w:trPr>
          <w:trHeight w:val="199"/>
        </w:trPr>
        <w:tc>
          <w:tcPr>
            <w:tcW w:w="31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Change in Control with no Termination or Retirement</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r>
      <w:tr>
        <w:trPr>
          <w:trHeight w:val="22"/>
        </w:trPr>
        <w:tc>
          <w:tcPr>
            <w:tcW w:w="3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1740" w:right="1499" w:hanging="262"/>
        <w:spacing w:after="0" w:line="204" w:lineRule="auto"/>
        <w:tabs>
          <w:tab w:leader="none" w:pos="1740" w:val="left"/>
        </w:tabs>
        <w:numPr>
          <w:ilvl w:val="0"/>
          <w:numId w:val="104"/>
        </w:numPr>
        <w:rPr>
          <w:rFonts w:ascii="Arial" w:cs="Arial" w:eastAsia="Arial" w:hAnsi="Arial"/>
          <w:sz w:val="16"/>
          <w:szCs w:val="16"/>
          <w:color w:val="auto"/>
          <w:vertAlign w:val="superscript"/>
        </w:rPr>
      </w:pPr>
      <w:r>
        <w:rPr>
          <w:rFonts w:ascii="Arial" w:cs="Arial" w:eastAsia="Arial" w:hAnsi="Arial"/>
          <w:sz w:val="11"/>
          <w:szCs w:val="11"/>
          <w:color w:val="auto"/>
        </w:rPr>
        <w:t>Amounts in this column assume a maximum severance payment of two times Eligible Earnings but the actual amounts payable could be less.</w:t>
      </w:r>
    </w:p>
    <w:p>
      <w:pPr>
        <w:spacing w:after="0" w:line="34" w:lineRule="exact"/>
        <w:rPr>
          <w:rFonts w:ascii="Arial" w:cs="Arial" w:eastAsia="Arial" w:hAnsi="Arial"/>
          <w:sz w:val="16"/>
          <w:szCs w:val="16"/>
          <w:color w:val="auto"/>
          <w:vertAlign w:val="superscript"/>
        </w:rPr>
      </w:pPr>
    </w:p>
    <w:p>
      <w:pPr>
        <w:jc w:val="both"/>
        <w:ind w:left="1740" w:right="1499" w:hanging="262"/>
        <w:spacing w:after="0" w:line="216" w:lineRule="auto"/>
        <w:tabs>
          <w:tab w:leader="none" w:pos="1740" w:val="left"/>
        </w:tabs>
        <w:numPr>
          <w:ilvl w:val="0"/>
          <w:numId w:val="104"/>
        </w:numPr>
        <w:rPr>
          <w:rFonts w:ascii="Arial" w:cs="Arial" w:eastAsia="Arial" w:hAnsi="Arial"/>
          <w:sz w:val="16"/>
          <w:szCs w:val="16"/>
          <w:color w:val="auto"/>
          <w:vertAlign w:val="superscript"/>
        </w:rPr>
      </w:pPr>
      <w:r>
        <w:rPr>
          <w:rFonts w:ascii="Arial" w:cs="Arial" w:eastAsia="Arial" w:hAnsi="Arial"/>
          <w:sz w:val="11"/>
          <w:szCs w:val="11"/>
          <w:color w:val="auto"/>
        </w:rPr>
        <w:t>No incremental amount would be received in respect of accelerated vesting of options, RSUs and PSUs, if any, on the assumption that the discount rate applied to calculate the net present value of the accelerated entitlements is not greater than the rate at which the SVS would otherwise be expected to appreciate over the period of acceleration.</w:t>
      </w:r>
    </w:p>
    <w:p>
      <w:pPr>
        <w:spacing w:after="0" w:line="142"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38100</wp:posOffset>
            </wp:positionV>
            <wp:extent cx="3843655" cy="63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843655" cy="635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50800</wp:posOffset>
            </wp:positionV>
            <wp:extent cx="3843655" cy="63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210" w:lineRule="exact"/>
        <w:rPr>
          <w:sz w:val="20"/>
          <w:szCs w:val="20"/>
          <w:color w:val="auto"/>
        </w:rPr>
      </w:pPr>
    </w:p>
    <w:p>
      <w:pPr>
        <w:jc w:val="both"/>
        <w:ind w:left="1480" w:right="1499"/>
        <w:spacing w:after="0" w:line="312" w:lineRule="auto"/>
        <w:rPr>
          <w:sz w:val="20"/>
          <w:szCs w:val="20"/>
          <w:color w:val="auto"/>
        </w:rPr>
      </w:pPr>
      <w:r>
        <w:rPr>
          <w:rFonts w:ascii="Arial" w:cs="Arial" w:eastAsia="Arial" w:hAnsi="Arial"/>
          <w:sz w:val="12"/>
          <w:szCs w:val="12"/>
          <w:color w:val="auto"/>
        </w:rPr>
        <w:t>The following chart compares the cumulative TSR of C$100 invested in SVS with the cumulative TSR of the S&amp;P/TSX Composite Total Return Index for the period from December 31, 2015 to December 31, 2020.</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Table 30: 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77470</wp:posOffset>
            </wp:positionV>
            <wp:extent cx="3463925" cy="168148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463925" cy="168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1480" w:right="1499"/>
        <w:spacing w:after="0" w:line="254" w:lineRule="auto"/>
        <w:rPr>
          <w:sz w:val="20"/>
          <w:szCs w:val="20"/>
          <w:color w:val="auto"/>
        </w:rPr>
      </w:pPr>
      <w:r>
        <w:rPr>
          <w:rFonts w:ascii="Arial" w:cs="Arial" w:eastAsia="Arial" w:hAnsi="Arial"/>
          <w:sz w:val="13"/>
          <w:szCs w:val="13"/>
          <w:color w:val="auto"/>
        </w:rPr>
        <w:t>An investment in the Corporation on December 31, 2015 would have resulted in a 33% decrease in value over the five-year period ended December 31, 2020 compared with a 56% increase that would have resulted from an</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3" w:name="page84"/>
    <w:bookmarkEnd w:id="83"/>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97" w:lineRule="exact"/>
        <w:rPr>
          <w:sz w:val="20"/>
          <w:szCs w:val="20"/>
          <w:color w:val="auto"/>
        </w:rPr>
      </w:pPr>
    </w:p>
    <w:p>
      <w:pPr>
        <w:jc w:val="both"/>
        <w:ind w:left="1480" w:right="1499"/>
        <w:spacing w:after="0" w:line="258" w:lineRule="auto"/>
        <w:rPr>
          <w:sz w:val="20"/>
          <w:szCs w:val="20"/>
          <w:color w:val="auto"/>
        </w:rPr>
      </w:pPr>
      <w:r>
        <w:rPr>
          <w:rFonts w:ascii="Arial" w:cs="Arial" w:eastAsia="Arial" w:hAnsi="Arial"/>
          <w:sz w:val="13"/>
          <w:szCs w:val="13"/>
          <w:color w:val="auto"/>
        </w:rPr>
        <w:t xml:space="preserve">investment in the S&amp;P/TSX Composite Total Return Index over the same period. Over the same period, annual total direct compensation for NEOs (actual salary paid, actual CTI awards paid and target long-term incentive awards granted in the respective years) increased by 4%. In the medium to long-term, compensation of the NEOs is directly impacted by the market value of the SVS, as a significant portion of such NEO compensation is comprised of RSUs and PSUs with realized compensation tied to the market value of the SVS (and in the case of PSUs, tied to other financial performance metrics of the Corporation over a three year performance period). We believe the realized value of the long-term incentives granted to NEOs, and the performance of the PSUs in particular, serve to better demonstrate the alignment of pay for performance. In addition to share performance, the achievement of the Corporation’s strategic objectives and other financial measures (such as revenue and non-IFRS operating margin) are used to assess the alignment our executive pay with the Corporation’s performance. See </w:t>
      </w:r>
      <w:r>
        <w:rPr>
          <w:rFonts w:ascii="Arial" w:cs="Arial" w:eastAsia="Arial" w:hAnsi="Arial"/>
          <w:sz w:val="13"/>
          <w:szCs w:val="13"/>
          <w:i w:val="1"/>
          <w:iCs w:val="1"/>
          <w:color w:val="auto"/>
        </w:rPr>
        <w:t>Realized and Realizable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Compensation </w:t>
      </w:r>
      <w:r>
        <w:rPr>
          <w:rFonts w:ascii="Arial" w:cs="Arial" w:eastAsia="Arial" w:hAnsi="Arial"/>
          <w:sz w:val="13"/>
          <w:szCs w:val="13"/>
          <w:color w:val="auto"/>
        </w:rPr>
        <w:t>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108585</wp:posOffset>
            </wp:positionV>
            <wp:extent cx="3843655" cy="18986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843655" cy="189865"/>
                    </a:xfrm>
                    <a:prstGeom prst="rect">
                      <a:avLst/>
                    </a:prstGeom>
                    <a:noFill/>
                  </pic:spPr>
                </pic:pic>
              </a:graphicData>
            </a:graphic>
          </wp:anchor>
        </w:drawing>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41910</wp:posOffset>
            </wp:positionV>
            <wp:extent cx="3843655" cy="63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206" w:lineRule="exact"/>
        <w:rPr>
          <w:sz w:val="20"/>
          <w:szCs w:val="20"/>
          <w:color w:val="auto"/>
        </w:rPr>
      </w:pPr>
    </w:p>
    <w:p>
      <w:pPr>
        <w:jc w:val="both"/>
        <w:ind w:left="1480" w:right="1499"/>
        <w:spacing w:after="0" w:line="285" w:lineRule="auto"/>
        <w:rPr>
          <w:sz w:val="20"/>
          <w:szCs w:val="20"/>
          <w:color w:val="auto"/>
        </w:rPr>
      </w:pPr>
      <w:r>
        <w:rPr>
          <w:rFonts w:ascii="Arial" w:cs="Arial" w:eastAsia="Arial" w:hAnsi="Arial"/>
          <w:sz w:val="13"/>
          <w:szCs w:val="13"/>
          <w:color w:val="auto"/>
        </w:rPr>
        <w:t>The contents of this Circular and the sending thereof to the shareholders of the Corporation have been approved by the Board of Directors.</w:t>
      </w:r>
    </w:p>
    <w:p>
      <w:pPr>
        <w:spacing w:after="0" w:line="123"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Toronto, Ontario, March 11, 2021</w:t>
      </w:r>
    </w:p>
    <w:p>
      <w:pPr>
        <w:spacing w:after="0" w:line="169"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125730</wp:posOffset>
            </wp:positionV>
            <wp:extent cx="796290" cy="22098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96290" cy="220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Robert Ellis</w:t>
      </w:r>
    </w:p>
    <w:p>
      <w:pPr>
        <w:spacing w:after="0" w:line="19"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Chief Legal Officer 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4" w:name="page85"/>
    <w:bookmarkEnd w:id="84"/>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296545</wp:posOffset>
            </wp:positionV>
            <wp:extent cx="3843655" cy="1898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843655" cy="18986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4000"/>
        <w:spacing w:after="0"/>
        <w:rPr>
          <w:sz w:val="20"/>
          <w:szCs w:val="20"/>
          <w:color w:val="auto"/>
        </w:rPr>
      </w:pPr>
      <w:r>
        <w:rPr>
          <w:rFonts w:ascii="Arial" w:cs="Arial" w:eastAsia="Arial" w:hAnsi="Arial"/>
          <w:sz w:val="16"/>
          <w:szCs w:val="16"/>
          <w:b w:val="1"/>
          <w:bCs w:val="1"/>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41910</wp:posOffset>
            </wp:positionV>
            <wp:extent cx="3843655" cy="63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843655" cy="6350"/>
                    </a:xfrm>
                    <a:prstGeom prst="rect">
                      <a:avLst/>
                    </a:prstGeom>
                    <a:noFill/>
                  </pic:spPr>
                </pic:pic>
              </a:graphicData>
            </a:graphic>
          </wp:anchor>
        </w:drawing>
      </w:r>
    </w:p>
    <w:p>
      <w:pPr>
        <w:spacing w:after="0" w:line="180"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auto"/>
        </w:rPr>
        <w:t>BOARD OF DIRECTORS MANDATE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38100</wp:posOffset>
            </wp:positionV>
            <wp:extent cx="3502025" cy="63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502025" cy="6350"/>
                    </a:xfrm>
                    <a:prstGeom prst="rect">
                      <a:avLst/>
                    </a:prstGeom>
                    <a:noFill/>
                  </pic:spPr>
                </pic:pic>
              </a:graphicData>
            </a:graphic>
          </wp:anchor>
        </w:drawing>
      </w:r>
    </w:p>
    <w:p>
      <w:pPr>
        <w:spacing w:after="0" w:line="107" w:lineRule="exact"/>
        <w:rPr>
          <w:sz w:val="20"/>
          <w:szCs w:val="20"/>
          <w:color w:val="auto"/>
        </w:rPr>
      </w:pPr>
    </w:p>
    <w:p>
      <w:pPr>
        <w:ind w:left="1880" w:hanging="402"/>
        <w:spacing w:after="0"/>
        <w:tabs>
          <w:tab w:leader="none" w:pos="1880" w:val="left"/>
        </w:tabs>
        <w:numPr>
          <w:ilvl w:val="0"/>
          <w:numId w:val="105"/>
        </w:numPr>
        <w:rPr>
          <w:rFonts w:ascii="Arial" w:cs="Arial" w:eastAsia="Arial" w:hAnsi="Arial"/>
          <w:sz w:val="13"/>
          <w:szCs w:val="13"/>
          <w:b w:val="1"/>
          <w:bCs w:val="1"/>
          <w:color w:val="auto"/>
        </w:rPr>
      </w:pPr>
      <w:r>
        <w:rPr>
          <w:rFonts w:ascii="Arial" w:cs="Arial" w:eastAsia="Arial" w:hAnsi="Arial"/>
          <w:sz w:val="13"/>
          <w:szCs w:val="13"/>
          <w:b w:val="1"/>
          <w:bCs w:val="1"/>
          <w:color w:val="auto"/>
        </w:rPr>
        <w:t>MANDATE</w:t>
      </w:r>
    </w:p>
    <w:p>
      <w:pPr>
        <w:spacing w:after="0" w:line="74" w:lineRule="exact"/>
        <w:rPr>
          <w:sz w:val="20"/>
          <w:szCs w:val="20"/>
          <w:color w:val="auto"/>
        </w:rPr>
      </w:pPr>
    </w:p>
    <w:p>
      <w:pPr>
        <w:ind w:left="1480"/>
        <w:spacing w:after="0"/>
        <w:tabs>
          <w:tab w:leader="none" w:pos="1860" w:val="left"/>
        </w:tabs>
        <w:rPr>
          <w:sz w:val="20"/>
          <w:szCs w:val="20"/>
          <w:color w:val="auto"/>
        </w:rPr>
      </w:pPr>
      <w:r>
        <w:rPr>
          <w:rFonts w:ascii="Arial" w:cs="Arial" w:eastAsia="Arial" w:hAnsi="Arial"/>
          <w:sz w:val="13"/>
          <w:szCs w:val="13"/>
          <w:color w:val="auto"/>
        </w:rPr>
        <w:t>1.1</w:t>
      </w:r>
      <w:r>
        <w:rPr>
          <w:sz w:val="20"/>
          <w:szCs w:val="20"/>
          <w:color w:val="auto"/>
        </w:rPr>
        <w:tab/>
      </w:r>
      <w:r>
        <w:rPr>
          <w:rFonts w:ascii="Arial" w:cs="Arial" w:eastAsia="Arial" w:hAnsi="Arial"/>
          <w:sz w:val="12"/>
          <w:szCs w:val="12"/>
          <w:color w:val="auto"/>
        </w:rPr>
        <w:t>In adopting this mandate:</w:t>
      </w:r>
    </w:p>
    <w:p>
      <w:pPr>
        <w:spacing w:after="0" w:line="79" w:lineRule="exact"/>
        <w:rPr>
          <w:sz w:val="20"/>
          <w:szCs w:val="20"/>
          <w:color w:val="auto"/>
        </w:rPr>
      </w:pPr>
    </w:p>
    <w:p>
      <w:pPr>
        <w:jc w:val="both"/>
        <w:ind w:left="2140" w:right="1499" w:hanging="264"/>
        <w:spacing w:after="0" w:line="265" w:lineRule="auto"/>
        <w:tabs>
          <w:tab w:leader="none" w:pos="2140" w:val="left"/>
        </w:tabs>
        <w:numPr>
          <w:ilvl w:val="1"/>
          <w:numId w:val="106"/>
        </w:numPr>
        <w:rPr>
          <w:rFonts w:ascii="Arial" w:cs="Arial" w:eastAsia="Arial" w:hAnsi="Arial"/>
          <w:sz w:val="13"/>
          <w:szCs w:val="13"/>
          <w:color w:val="auto"/>
        </w:rPr>
      </w:pPr>
      <w:r>
        <w:rPr>
          <w:rFonts w:ascii="Arial" w:cs="Arial" w:eastAsia="Arial" w:hAnsi="Arial"/>
          <w:sz w:val="13"/>
          <w:szCs w:val="13"/>
          <w:color w:val="auto"/>
        </w:rPr>
        <w:t xml:space="preserve">the Board of Directors (the “Board”) of Celestica Inc. (“Celestica”, or the “corporation”) acknowledges that the mandate prescribed for it by the </w:t>
      </w:r>
      <w:r>
        <w:rPr>
          <w:rFonts w:ascii="Arial" w:cs="Arial" w:eastAsia="Arial" w:hAnsi="Arial"/>
          <w:sz w:val="13"/>
          <w:szCs w:val="13"/>
          <w:i w:val="1"/>
          <w:iCs w:val="1"/>
          <w:color w:val="auto"/>
        </w:rPr>
        <w:t>Business Corporations Act</w:t>
      </w:r>
      <w:r>
        <w:rPr>
          <w:rFonts w:ascii="Arial" w:cs="Arial" w:eastAsia="Arial" w:hAnsi="Arial"/>
          <w:sz w:val="13"/>
          <w:szCs w:val="13"/>
          <w:color w:val="auto"/>
        </w:rPr>
        <w:t xml:space="preserve"> (Ontario) (the “OBCA”) is to supervise the management of the business and affairs of Celestica and that this mandate includes responsibility for stewardship of Celestica; and</w:t>
      </w:r>
    </w:p>
    <w:p>
      <w:pPr>
        <w:spacing w:after="0" w:line="36" w:lineRule="exact"/>
        <w:rPr>
          <w:rFonts w:ascii="Arial" w:cs="Arial" w:eastAsia="Arial" w:hAnsi="Arial"/>
          <w:sz w:val="13"/>
          <w:szCs w:val="13"/>
          <w:color w:val="auto"/>
        </w:rPr>
      </w:pPr>
    </w:p>
    <w:p>
      <w:pPr>
        <w:ind w:left="2140" w:right="1499" w:hanging="264"/>
        <w:spacing w:after="0" w:line="285" w:lineRule="auto"/>
        <w:tabs>
          <w:tab w:leader="none" w:pos="2140" w:val="left"/>
        </w:tabs>
        <w:numPr>
          <w:ilvl w:val="1"/>
          <w:numId w:val="106"/>
        </w:numPr>
        <w:rPr>
          <w:rFonts w:ascii="Arial" w:cs="Arial" w:eastAsia="Arial" w:hAnsi="Arial"/>
          <w:sz w:val="13"/>
          <w:szCs w:val="13"/>
          <w:color w:val="auto"/>
        </w:rPr>
      </w:pPr>
      <w:r>
        <w:rPr>
          <w:rFonts w:ascii="Arial" w:cs="Arial" w:eastAsia="Arial" w:hAnsi="Arial"/>
          <w:sz w:val="13"/>
          <w:szCs w:val="13"/>
          <w:color w:val="auto"/>
        </w:rPr>
        <w:t>the Board explicitly assumes responsibility for the stewardship of Celestica, as contemplated by applicable regulatory and stock exchange requirements.</w:t>
      </w:r>
    </w:p>
    <w:p>
      <w:pPr>
        <w:spacing w:after="0" w:line="29" w:lineRule="exact"/>
        <w:rPr>
          <w:rFonts w:ascii="Arial" w:cs="Arial" w:eastAsia="Arial" w:hAnsi="Arial"/>
          <w:sz w:val="13"/>
          <w:szCs w:val="13"/>
          <w:color w:val="auto"/>
        </w:rPr>
      </w:pPr>
    </w:p>
    <w:p>
      <w:pPr>
        <w:ind w:left="1880" w:hanging="402"/>
        <w:spacing w:after="0"/>
        <w:tabs>
          <w:tab w:leader="none" w:pos="1880" w:val="left"/>
        </w:tabs>
        <w:numPr>
          <w:ilvl w:val="0"/>
          <w:numId w:val="107"/>
        </w:numPr>
        <w:rPr>
          <w:rFonts w:ascii="Arial" w:cs="Arial" w:eastAsia="Arial" w:hAnsi="Arial"/>
          <w:sz w:val="13"/>
          <w:szCs w:val="13"/>
          <w:b w:val="1"/>
          <w:bCs w:val="1"/>
          <w:color w:val="auto"/>
        </w:rPr>
      </w:pPr>
      <w:r>
        <w:rPr>
          <w:rFonts w:ascii="Arial" w:cs="Arial" w:eastAsia="Arial" w:hAnsi="Arial"/>
          <w:sz w:val="13"/>
          <w:szCs w:val="13"/>
          <w:b w:val="1"/>
          <w:bCs w:val="1"/>
          <w:color w:val="auto"/>
        </w:rPr>
        <w:t>BOARD MEMBERSHIP</w:t>
      </w:r>
    </w:p>
    <w:p>
      <w:pPr>
        <w:spacing w:after="0" w:line="74" w:lineRule="exact"/>
        <w:rPr>
          <w:sz w:val="20"/>
          <w:szCs w:val="20"/>
          <w:color w:val="auto"/>
        </w:rPr>
      </w:pPr>
    </w:p>
    <w:p>
      <w:pPr>
        <w:jc w:val="both"/>
        <w:ind w:left="1880" w:right="1499" w:hanging="397"/>
        <w:spacing w:after="0" w:line="265" w:lineRule="auto"/>
        <w:tabs>
          <w:tab w:leader="none" w:pos="1860" w:val="left"/>
        </w:tabs>
        <w:rPr>
          <w:sz w:val="20"/>
          <w:szCs w:val="20"/>
          <w:color w:val="auto"/>
        </w:rPr>
      </w:pPr>
      <w:r>
        <w:rPr>
          <w:rFonts w:ascii="Arial" w:cs="Arial" w:eastAsia="Arial" w:hAnsi="Arial"/>
          <w:sz w:val="13"/>
          <w:szCs w:val="13"/>
          <w:color w:val="auto"/>
        </w:rPr>
        <w:t>2.1</w:t>
      </w:r>
      <w:r>
        <w:rPr>
          <w:sz w:val="20"/>
          <w:szCs w:val="20"/>
          <w:color w:val="auto"/>
        </w:rPr>
        <w:tab/>
      </w:r>
      <w:r>
        <w:rPr>
          <w:rFonts w:ascii="Arial" w:cs="Arial" w:eastAsia="Arial" w:hAnsi="Arial"/>
          <w:sz w:val="13"/>
          <w:szCs w:val="13"/>
          <w:u w:val="single" w:color="auto"/>
          <w:color w:val="auto"/>
        </w:rPr>
        <w:t xml:space="preserve">Number of Members </w:t>
      </w:r>
      <w:r>
        <w:rPr>
          <w:rFonts w:ascii="Arial" w:cs="Arial" w:eastAsia="Arial" w:hAnsi="Arial"/>
          <w:sz w:val="13"/>
          <w:szCs w:val="13"/>
          <w:color w:val="auto"/>
        </w:rPr>
        <w:t>— The Board shall consist of such number of members of the Board</w:t>
      </w:r>
      <w:r>
        <w:rPr>
          <w:rFonts w:ascii="Arial" w:cs="Arial" w:eastAsia="Arial" w:hAnsi="Arial"/>
          <w:sz w:val="13"/>
          <w:szCs w:val="13"/>
          <w:u w:val="single" w:color="auto"/>
          <w:color w:val="auto"/>
        </w:rPr>
        <w:t xml:space="preserve"> </w:t>
      </w:r>
      <w:r>
        <w:rPr>
          <w:rFonts w:ascii="Arial" w:cs="Arial" w:eastAsia="Arial" w:hAnsi="Arial"/>
          <w:sz w:val="13"/>
          <w:szCs w:val="13"/>
          <w:color w:val="auto"/>
        </w:rPr>
        <w:t>(“Directors”) as the Board may determine from time to time, provided that such number shall be within the minimum and maximum number of Directors set out in Celestica’s articles of incorporation.</w:t>
      </w:r>
    </w:p>
    <w:p>
      <w:pPr>
        <w:spacing w:after="0" w:line="47" w:lineRule="exact"/>
        <w:rPr>
          <w:sz w:val="20"/>
          <w:szCs w:val="20"/>
          <w:color w:val="auto"/>
        </w:rPr>
      </w:pPr>
    </w:p>
    <w:p>
      <w:pPr>
        <w:jc w:val="both"/>
        <w:ind w:left="1880" w:right="1499" w:hanging="397"/>
        <w:spacing w:after="0" w:line="263" w:lineRule="auto"/>
        <w:tabs>
          <w:tab w:leader="none" w:pos="1860" w:val="left"/>
        </w:tabs>
        <w:rPr>
          <w:sz w:val="20"/>
          <w:szCs w:val="20"/>
          <w:color w:val="auto"/>
        </w:rPr>
      </w:pPr>
      <w:r>
        <w:rPr>
          <w:rFonts w:ascii="Arial" w:cs="Arial" w:eastAsia="Arial" w:hAnsi="Arial"/>
          <w:sz w:val="13"/>
          <w:szCs w:val="13"/>
          <w:color w:val="auto"/>
        </w:rPr>
        <w:t>2.2</w:t>
      </w:r>
      <w:r>
        <w:rPr>
          <w:sz w:val="20"/>
          <w:szCs w:val="20"/>
          <w:color w:val="auto"/>
        </w:rPr>
        <w:tab/>
      </w:r>
      <w:r>
        <w:rPr>
          <w:rFonts w:ascii="Arial" w:cs="Arial" w:eastAsia="Arial" w:hAnsi="Arial"/>
          <w:sz w:val="13"/>
          <w:szCs w:val="13"/>
          <w:u w:val="single" w:color="auto"/>
          <w:color w:val="auto"/>
        </w:rPr>
        <w:t xml:space="preserve">Independence of Members </w:t>
      </w:r>
      <w:r>
        <w:rPr>
          <w:rFonts w:ascii="Arial" w:cs="Arial" w:eastAsia="Arial" w:hAnsi="Arial"/>
          <w:sz w:val="13"/>
          <w:szCs w:val="13"/>
          <w:color w:val="auto"/>
        </w:rPr>
        <w:t>— The Board shall be comprised of Directors such that the Board</w:t>
      </w:r>
      <w:r>
        <w:rPr>
          <w:rFonts w:ascii="Arial" w:cs="Arial" w:eastAsia="Arial" w:hAnsi="Arial"/>
          <w:sz w:val="13"/>
          <w:szCs w:val="13"/>
          <w:u w:val="single" w:color="auto"/>
          <w:color w:val="auto"/>
        </w:rPr>
        <w:t xml:space="preserve"> </w:t>
      </w:r>
      <w:r>
        <w:rPr>
          <w:rFonts w:ascii="Arial" w:cs="Arial" w:eastAsia="Arial" w:hAnsi="Arial"/>
          <w:sz w:val="13"/>
          <w:szCs w:val="13"/>
          <w:color w:val="auto"/>
        </w:rPr>
        <w:t>complies with all independence requirements under applicable corporate and securities laws and all applicable stock exchange requirements. The Board shall annually review the relationships that each Director has with Celestica in order to satisfy itself that all applicable independence criteria have been met.</w:t>
      </w:r>
    </w:p>
    <w:p>
      <w:pPr>
        <w:spacing w:after="0" w:line="37" w:lineRule="exact"/>
        <w:rPr>
          <w:sz w:val="20"/>
          <w:szCs w:val="20"/>
          <w:color w:val="auto"/>
        </w:rPr>
      </w:pPr>
    </w:p>
    <w:p>
      <w:pPr>
        <w:jc w:val="both"/>
        <w:ind w:left="1880" w:right="1499" w:hanging="397"/>
        <w:spacing w:after="0" w:line="265" w:lineRule="auto"/>
        <w:tabs>
          <w:tab w:leader="none" w:pos="1860" w:val="left"/>
        </w:tabs>
        <w:rPr>
          <w:sz w:val="20"/>
          <w:szCs w:val="20"/>
          <w:color w:val="auto"/>
        </w:rPr>
      </w:pPr>
      <w:r>
        <w:rPr>
          <w:rFonts w:ascii="Arial" w:cs="Arial" w:eastAsia="Arial" w:hAnsi="Arial"/>
          <w:sz w:val="13"/>
          <w:szCs w:val="13"/>
          <w:color w:val="auto"/>
        </w:rPr>
        <w:t>2.3</w:t>
      </w:r>
      <w:r>
        <w:rPr>
          <w:sz w:val="20"/>
          <w:szCs w:val="20"/>
          <w:color w:val="auto"/>
        </w:rPr>
        <w:tab/>
      </w:r>
      <w:r>
        <w:rPr>
          <w:rFonts w:ascii="Arial" w:cs="Arial" w:eastAsia="Arial" w:hAnsi="Arial"/>
          <w:sz w:val="13"/>
          <w:szCs w:val="13"/>
          <w:u w:val="single" w:color="auto"/>
          <w:color w:val="auto"/>
        </w:rPr>
        <w:t xml:space="preserve">Election and Appointment of Directors </w:t>
      </w:r>
      <w:r>
        <w:rPr>
          <w:rFonts w:ascii="Arial" w:cs="Arial" w:eastAsia="Arial" w:hAnsi="Arial"/>
          <w:sz w:val="13"/>
          <w:szCs w:val="13"/>
          <w:color w:val="auto"/>
        </w:rPr>
        <w:t>— Directors shall be elected by the shareholders annually.</w:t>
      </w:r>
      <w:r>
        <w:rPr>
          <w:rFonts w:ascii="Arial" w:cs="Arial" w:eastAsia="Arial" w:hAnsi="Arial"/>
          <w:sz w:val="13"/>
          <w:szCs w:val="13"/>
          <w:u w:val="single" w:color="auto"/>
          <w:color w:val="auto"/>
        </w:rPr>
        <w:t xml:space="preserve"> </w:t>
      </w:r>
      <w:r>
        <w:rPr>
          <w:rFonts w:ascii="Arial" w:cs="Arial" w:eastAsia="Arial" w:hAnsi="Arial"/>
          <w:sz w:val="13"/>
          <w:szCs w:val="13"/>
          <w:color w:val="auto"/>
        </w:rPr>
        <w:t>Once elected, the Directors will hold office until the close of the next annual meeting of shareholders or until successors are elected or appointed, unless such office is earlier vacated in accordance with the corporation’s by-laws.</w:t>
      </w:r>
    </w:p>
    <w:p>
      <w:pPr>
        <w:spacing w:after="0" w:line="47" w:lineRule="exact"/>
        <w:rPr>
          <w:sz w:val="20"/>
          <w:szCs w:val="20"/>
          <w:color w:val="auto"/>
        </w:rPr>
      </w:pPr>
    </w:p>
    <w:p>
      <w:pPr>
        <w:jc w:val="both"/>
        <w:ind w:left="1880" w:right="1499" w:hanging="397"/>
        <w:spacing w:after="0" w:line="285" w:lineRule="auto"/>
        <w:tabs>
          <w:tab w:leader="none" w:pos="1860" w:val="left"/>
        </w:tabs>
        <w:rPr>
          <w:sz w:val="20"/>
          <w:szCs w:val="20"/>
          <w:color w:val="auto"/>
        </w:rPr>
      </w:pPr>
      <w:r>
        <w:rPr>
          <w:rFonts w:ascii="Arial" w:cs="Arial" w:eastAsia="Arial" w:hAnsi="Arial"/>
          <w:sz w:val="13"/>
          <w:szCs w:val="13"/>
          <w:color w:val="auto"/>
        </w:rPr>
        <w:t>2.4</w:t>
      </w:r>
      <w:r>
        <w:rPr>
          <w:sz w:val="20"/>
          <w:szCs w:val="20"/>
          <w:color w:val="auto"/>
        </w:rPr>
        <w:tab/>
      </w:r>
      <w:r>
        <w:rPr>
          <w:rFonts w:ascii="Arial" w:cs="Arial" w:eastAsia="Arial" w:hAnsi="Arial"/>
          <w:sz w:val="13"/>
          <w:szCs w:val="13"/>
          <w:u w:val="single" w:color="auto"/>
          <w:color w:val="auto"/>
        </w:rPr>
        <w:t xml:space="preserve">Vacancy </w:t>
      </w:r>
      <w:r>
        <w:rPr>
          <w:rFonts w:ascii="Arial" w:cs="Arial" w:eastAsia="Arial" w:hAnsi="Arial"/>
          <w:sz w:val="13"/>
          <w:szCs w:val="13"/>
          <w:color w:val="auto"/>
        </w:rPr>
        <w:t>— The Board may appoint a member to fill a vacancy that occurs on the Board between</w:t>
      </w:r>
      <w:r>
        <w:rPr>
          <w:rFonts w:ascii="Arial" w:cs="Arial" w:eastAsia="Arial" w:hAnsi="Arial"/>
          <w:sz w:val="13"/>
          <w:szCs w:val="13"/>
          <w:u w:val="single" w:color="auto"/>
          <w:color w:val="auto"/>
        </w:rPr>
        <w:t xml:space="preserve"> </w:t>
      </w:r>
      <w:r>
        <w:rPr>
          <w:rFonts w:ascii="Arial" w:cs="Arial" w:eastAsia="Arial" w:hAnsi="Arial"/>
          <w:sz w:val="13"/>
          <w:szCs w:val="13"/>
          <w:color w:val="auto"/>
        </w:rPr>
        <w:t>annual elections of Directors to the extent permitted by the OBCA.</w:t>
      </w:r>
    </w:p>
    <w:p>
      <w:pPr>
        <w:spacing w:after="0" w:line="23" w:lineRule="exact"/>
        <w:rPr>
          <w:sz w:val="20"/>
          <w:szCs w:val="20"/>
          <w:color w:val="auto"/>
        </w:rPr>
      </w:pPr>
    </w:p>
    <w:p>
      <w:pPr>
        <w:jc w:val="both"/>
        <w:ind w:left="1880" w:right="1499" w:hanging="397"/>
        <w:spacing w:after="0" w:line="285" w:lineRule="auto"/>
        <w:tabs>
          <w:tab w:leader="none" w:pos="1860" w:val="left"/>
        </w:tabs>
        <w:rPr>
          <w:sz w:val="20"/>
          <w:szCs w:val="20"/>
          <w:color w:val="auto"/>
        </w:rPr>
      </w:pPr>
      <w:r>
        <w:rPr>
          <w:rFonts w:ascii="Arial" w:cs="Arial" w:eastAsia="Arial" w:hAnsi="Arial"/>
          <w:sz w:val="13"/>
          <w:szCs w:val="13"/>
          <w:color w:val="auto"/>
        </w:rPr>
        <w:t>2.5</w:t>
      </w:r>
      <w:r>
        <w:rPr>
          <w:sz w:val="20"/>
          <w:szCs w:val="20"/>
          <w:color w:val="auto"/>
        </w:rPr>
        <w:tab/>
      </w:r>
      <w:r>
        <w:rPr>
          <w:rFonts w:ascii="Arial" w:cs="Arial" w:eastAsia="Arial" w:hAnsi="Arial"/>
          <w:sz w:val="13"/>
          <w:szCs w:val="13"/>
          <w:u w:val="single" w:color="auto"/>
          <w:color w:val="auto"/>
        </w:rPr>
        <w:t xml:space="preserve">Removal of Members </w:t>
      </w:r>
      <w:r>
        <w:rPr>
          <w:rFonts w:ascii="Arial" w:cs="Arial" w:eastAsia="Arial" w:hAnsi="Arial"/>
          <w:sz w:val="13"/>
          <w:szCs w:val="13"/>
          <w:color w:val="auto"/>
        </w:rPr>
        <w:t>— Any Director may be removed from office by an ordinary resolution of the</w:t>
      </w:r>
      <w:r>
        <w:rPr>
          <w:rFonts w:ascii="Arial" w:cs="Arial" w:eastAsia="Arial" w:hAnsi="Arial"/>
          <w:sz w:val="13"/>
          <w:szCs w:val="13"/>
          <w:u w:val="single" w:color="auto"/>
          <w:color w:val="auto"/>
        </w:rPr>
        <w:t xml:space="preserve"> </w:t>
      </w:r>
      <w:r>
        <w:rPr>
          <w:rFonts w:ascii="Arial" w:cs="Arial" w:eastAsia="Arial" w:hAnsi="Arial"/>
          <w:sz w:val="13"/>
          <w:szCs w:val="13"/>
          <w:color w:val="auto"/>
        </w:rPr>
        <w:t>shareholders.</w:t>
      </w:r>
    </w:p>
    <w:p>
      <w:pPr>
        <w:spacing w:after="0" w:line="119" w:lineRule="exact"/>
        <w:rPr>
          <w:sz w:val="20"/>
          <w:szCs w:val="20"/>
          <w:color w:val="auto"/>
        </w:rPr>
      </w:pPr>
    </w:p>
    <w:p>
      <w:pPr>
        <w:ind w:left="1880" w:hanging="402"/>
        <w:spacing w:after="0"/>
        <w:tabs>
          <w:tab w:leader="none" w:pos="1880" w:val="left"/>
        </w:tabs>
        <w:numPr>
          <w:ilvl w:val="0"/>
          <w:numId w:val="108"/>
        </w:numPr>
        <w:rPr>
          <w:rFonts w:ascii="Arial" w:cs="Arial" w:eastAsia="Arial" w:hAnsi="Arial"/>
          <w:sz w:val="13"/>
          <w:szCs w:val="13"/>
          <w:b w:val="1"/>
          <w:bCs w:val="1"/>
          <w:color w:val="auto"/>
        </w:rPr>
      </w:pPr>
      <w:r>
        <w:rPr>
          <w:rFonts w:ascii="Arial" w:cs="Arial" w:eastAsia="Arial" w:hAnsi="Arial"/>
          <w:sz w:val="13"/>
          <w:szCs w:val="13"/>
          <w:b w:val="1"/>
          <w:bCs w:val="1"/>
          <w:color w:val="auto"/>
        </w:rPr>
        <w:t>EXPECTATIONS OF DIRECTORS</w:t>
      </w:r>
    </w:p>
    <w:p>
      <w:pPr>
        <w:spacing w:after="0" w:line="83" w:lineRule="exact"/>
        <w:rPr>
          <w:sz w:val="20"/>
          <w:szCs w:val="20"/>
          <w:color w:val="auto"/>
        </w:rPr>
      </w:pPr>
    </w:p>
    <w:p>
      <w:pPr>
        <w:ind w:left="1880" w:right="1499" w:hanging="397"/>
        <w:spacing w:after="0" w:line="285" w:lineRule="auto"/>
        <w:tabs>
          <w:tab w:leader="none" w:pos="186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3"/>
          <w:szCs w:val="13"/>
          <w:u w:val="single" w:color="auto"/>
          <w:color w:val="auto"/>
        </w:rPr>
        <w:t xml:space="preserve">Minimum Standards for Directors </w:t>
      </w:r>
      <w:r>
        <w:rPr>
          <w:rFonts w:ascii="Arial" w:cs="Arial" w:eastAsia="Arial" w:hAnsi="Arial"/>
          <w:sz w:val="13"/>
          <w:szCs w:val="13"/>
          <w:color w:val="auto"/>
        </w:rPr>
        <w:t>— Directors and the Board as a whole are expected to meet the</w:t>
      </w:r>
      <w:r>
        <w:rPr>
          <w:rFonts w:ascii="Arial" w:cs="Arial" w:eastAsia="Arial" w:hAnsi="Arial"/>
          <w:sz w:val="13"/>
          <w:szCs w:val="13"/>
          <w:u w:val="single" w:color="auto"/>
          <w:color w:val="auto"/>
        </w:rPr>
        <w:t xml:space="preserve"> </w:t>
      </w:r>
      <w:r>
        <w:rPr>
          <w:rFonts w:ascii="Arial" w:cs="Arial" w:eastAsia="Arial" w:hAnsi="Arial"/>
          <w:sz w:val="13"/>
          <w:szCs w:val="13"/>
          <w:color w:val="auto"/>
        </w:rPr>
        <w:t>following minimum standards:</w:t>
      </w:r>
    </w:p>
    <w:p>
      <w:pPr>
        <w:spacing w:after="0" w:line="23" w:lineRule="exact"/>
        <w:rPr>
          <w:sz w:val="20"/>
          <w:szCs w:val="20"/>
          <w:color w:val="auto"/>
        </w:rPr>
      </w:pPr>
    </w:p>
    <w:p>
      <w:pPr>
        <w:ind w:left="2140" w:hanging="264"/>
        <w:spacing w:after="0"/>
        <w:tabs>
          <w:tab w:leader="none" w:pos="214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integrity and high ethical standards;</w:t>
      </w:r>
    </w:p>
    <w:p>
      <w:pPr>
        <w:spacing w:after="0" w:line="79" w:lineRule="exact"/>
        <w:rPr>
          <w:rFonts w:ascii="Arial" w:cs="Arial" w:eastAsia="Arial" w:hAnsi="Arial"/>
          <w:sz w:val="13"/>
          <w:szCs w:val="13"/>
          <w:color w:val="auto"/>
        </w:rPr>
      </w:pPr>
    </w:p>
    <w:p>
      <w:pPr>
        <w:jc w:val="both"/>
        <w:ind w:left="2140" w:right="1499" w:hanging="264"/>
        <w:spacing w:after="0" w:line="265" w:lineRule="auto"/>
        <w:tabs>
          <w:tab w:leader="none" w:pos="214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career experience and expertise relevant to Celestica’s business purpose, financial responsibilities and risk profile (and Celestica shall disclose each Director’s career experience and qualifications in every proxy circular delivered in connection with a meeting at which Directors are to be elected);</w:t>
      </w:r>
    </w:p>
    <w:p>
      <w:pPr>
        <w:spacing w:after="0" w:line="36" w:lineRule="exact"/>
        <w:rPr>
          <w:rFonts w:ascii="Arial" w:cs="Arial" w:eastAsia="Arial" w:hAnsi="Arial"/>
          <w:sz w:val="13"/>
          <w:szCs w:val="13"/>
          <w:color w:val="auto"/>
        </w:rPr>
      </w:pPr>
    </w:p>
    <w:p>
      <w:pPr>
        <w:ind w:left="2140" w:hanging="264"/>
        <w:spacing w:after="0"/>
        <w:tabs>
          <w:tab w:leader="none" w:pos="214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a proven understanding of fiduciary duty;</w:t>
      </w:r>
    </w:p>
    <w:p>
      <w:pPr>
        <w:spacing w:after="0" w:line="79" w:lineRule="exact"/>
        <w:rPr>
          <w:rFonts w:ascii="Arial" w:cs="Arial" w:eastAsia="Arial" w:hAnsi="Arial"/>
          <w:sz w:val="13"/>
          <w:szCs w:val="13"/>
          <w:color w:val="auto"/>
        </w:rPr>
      </w:pPr>
    </w:p>
    <w:p>
      <w:pPr>
        <w:ind w:left="2140" w:hanging="264"/>
        <w:spacing w:after="0"/>
        <w:tabs>
          <w:tab w:leader="none" w:pos="214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the ability to read and understand financial statements;</w:t>
      </w:r>
    </w:p>
    <w:p>
      <w:pPr>
        <w:spacing w:after="0" w:line="69" w:lineRule="exact"/>
        <w:rPr>
          <w:rFonts w:ascii="Arial" w:cs="Arial" w:eastAsia="Arial" w:hAnsi="Arial"/>
          <w:sz w:val="13"/>
          <w:szCs w:val="13"/>
          <w:color w:val="auto"/>
        </w:rPr>
      </w:pPr>
    </w:p>
    <w:p>
      <w:pPr>
        <w:ind w:left="2140" w:right="1499" w:hanging="264"/>
        <w:spacing w:after="0" w:line="285" w:lineRule="auto"/>
        <w:tabs>
          <w:tab w:leader="none" w:pos="214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well-developed listening, communicating and influencing skills so, that individual Directors can actively participate in Board discussions and debate; and</w:t>
      </w:r>
    </w:p>
    <w:p>
      <w:pPr>
        <w:spacing w:after="0" w:line="33" w:lineRule="exact"/>
        <w:rPr>
          <w:rFonts w:ascii="Arial" w:cs="Arial" w:eastAsia="Arial" w:hAnsi="Arial"/>
          <w:sz w:val="13"/>
          <w:szCs w:val="13"/>
          <w:color w:val="auto"/>
        </w:rPr>
      </w:pPr>
    </w:p>
    <w:p>
      <w:pPr>
        <w:ind w:left="2140" w:right="1499" w:hanging="264"/>
        <w:spacing w:after="0" w:line="285" w:lineRule="auto"/>
        <w:tabs>
          <w:tab w:leader="none" w:pos="214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time to serve effectively as a Director by not over-committing to other corporate and not-for-profit boards.</w:t>
      </w:r>
    </w:p>
    <w:p>
      <w:pPr>
        <w:spacing w:after="0" w:line="23" w:lineRule="exact"/>
        <w:rPr>
          <w:sz w:val="20"/>
          <w:szCs w:val="20"/>
          <w:color w:val="auto"/>
        </w:rPr>
      </w:pPr>
    </w:p>
    <w:p>
      <w:pPr>
        <w:ind w:left="1480"/>
        <w:spacing w:after="0"/>
        <w:tabs>
          <w:tab w:leader="none" w:pos="186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2"/>
          <w:szCs w:val="12"/>
          <w:u w:val="single" w:color="auto"/>
          <w:color w:val="auto"/>
        </w:rPr>
        <w:t>Attendance at Meetings</w:t>
      </w:r>
    </w:p>
    <w:p>
      <w:pPr>
        <w:spacing w:after="0" w:line="79" w:lineRule="exact"/>
        <w:rPr>
          <w:sz w:val="20"/>
          <w:szCs w:val="20"/>
          <w:color w:val="auto"/>
        </w:rPr>
      </w:pPr>
    </w:p>
    <w:p>
      <w:pPr>
        <w:ind w:left="2140" w:right="1499" w:hanging="264"/>
        <w:spacing w:after="0" w:line="328" w:lineRule="auto"/>
        <w:tabs>
          <w:tab w:leader="none" w:pos="214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Every Director shall prepare for and attend (absent extenuating circumstances) all scheduled meetings of the Board and meetings of committees of the Board on which the Director serves.</w:t>
      </w:r>
    </w:p>
    <w:p>
      <w:pPr>
        <w:spacing w:after="0" w:line="1" w:lineRule="exact"/>
        <w:rPr>
          <w:rFonts w:ascii="Arial" w:cs="Arial" w:eastAsia="Arial" w:hAnsi="Arial"/>
          <w:sz w:val="12"/>
          <w:szCs w:val="12"/>
          <w:color w:val="auto"/>
        </w:rPr>
      </w:pPr>
    </w:p>
    <w:p>
      <w:pPr>
        <w:jc w:val="both"/>
        <w:ind w:left="2140" w:right="1499" w:hanging="264"/>
        <w:spacing w:after="0" w:line="270" w:lineRule="auto"/>
        <w:tabs>
          <w:tab w:leader="none" w:pos="214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It may be necessary to hold Board meetings by telephone (or other electronic means by which the Board is able to communicate in real time) from time to time. Although participation in person,</w:t>
      </w: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5" w:name="page86"/>
    <w:bookmarkEnd w:id="85"/>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97" w:lineRule="exact"/>
        <w:rPr>
          <w:sz w:val="20"/>
          <w:szCs w:val="20"/>
          <w:color w:val="auto"/>
        </w:rPr>
      </w:pPr>
    </w:p>
    <w:p>
      <w:pPr>
        <w:jc w:val="both"/>
        <w:ind w:left="2140" w:right="1499"/>
        <w:spacing w:after="0" w:line="265" w:lineRule="auto"/>
        <w:rPr>
          <w:sz w:val="20"/>
          <w:szCs w:val="20"/>
          <w:color w:val="auto"/>
        </w:rPr>
      </w:pPr>
      <w:r>
        <w:rPr>
          <w:rFonts w:ascii="Arial" w:cs="Arial" w:eastAsia="Arial" w:hAnsi="Arial"/>
          <w:sz w:val="13"/>
          <w:szCs w:val="13"/>
          <w:color w:val="auto"/>
        </w:rPr>
        <w:t>when meetings are scheduled to be held in person, is strongly encouraged, when circumstances prevent a Director from attending a scheduled meeting in person, that Director shall make every effort to participate in the meeting by telephone or such other electronic means of communication.</w:t>
      </w:r>
    </w:p>
    <w:p>
      <w:pPr>
        <w:spacing w:after="0" w:line="37" w:lineRule="exact"/>
        <w:rPr>
          <w:sz w:val="20"/>
          <w:szCs w:val="20"/>
          <w:color w:val="auto"/>
        </w:rPr>
      </w:pPr>
    </w:p>
    <w:p>
      <w:pPr>
        <w:jc w:val="both"/>
        <w:ind w:left="1880" w:right="1499" w:hanging="397"/>
        <w:spacing w:after="0" w:line="303" w:lineRule="auto"/>
        <w:tabs>
          <w:tab w:leader="none" w:pos="1860" w:val="left"/>
        </w:tabs>
        <w:rPr>
          <w:sz w:val="20"/>
          <w:szCs w:val="20"/>
          <w:color w:val="auto"/>
        </w:rPr>
      </w:pPr>
      <w:r>
        <w:rPr>
          <w:rFonts w:ascii="Arial" w:cs="Arial" w:eastAsia="Arial" w:hAnsi="Arial"/>
          <w:sz w:val="13"/>
          <w:szCs w:val="13"/>
          <w:color w:val="auto"/>
        </w:rPr>
        <w:t>3.3</w:t>
      </w:r>
      <w:r>
        <w:rPr>
          <w:sz w:val="20"/>
          <w:szCs w:val="20"/>
          <w:color w:val="auto"/>
        </w:rPr>
        <w:tab/>
      </w:r>
      <w:r>
        <w:rPr>
          <w:rFonts w:ascii="Arial" w:cs="Arial" w:eastAsia="Arial" w:hAnsi="Arial"/>
          <w:sz w:val="12"/>
          <w:szCs w:val="12"/>
          <w:u w:val="single" w:color="auto"/>
          <w:color w:val="auto"/>
        </w:rPr>
        <w:t xml:space="preserve">Preparation for Meetings </w:t>
      </w:r>
      <w:r>
        <w:rPr>
          <w:rFonts w:ascii="Arial" w:cs="Arial" w:eastAsia="Arial" w:hAnsi="Arial"/>
          <w:sz w:val="12"/>
          <w:szCs w:val="12"/>
          <w:color w:val="auto"/>
        </w:rPr>
        <w:t>— Directors shall set aside adequate time to read and absorb the materials</w:t>
      </w:r>
      <w:r>
        <w:rPr>
          <w:rFonts w:ascii="Arial" w:cs="Arial" w:eastAsia="Arial" w:hAnsi="Arial"/>
          <w:sz w:val="12"/>
          <w:szCs w:val="12"/>
          <w:u w:val="single" w:color="auto"/>
          <w:color w:val="auto"/>
        </w:rPr>
        <w:t xml:space="preserve"> </w:t>
      </w:r>
      <w:r>
        <w:rPr>
          <w:rFonts w:ascii="Arial" w:cs="Arial" w:eastAsia="Arial" w:hAnsi="Arial"/>
          <w:sz w:val="12"/>
          <w:szCs w:val="12"/>
          <w:color w:val="auto"/>
        </w:rPr>
        <w:t>provided to them in advance of any meeting of the Board and any meetings of committees on which the Director serves. Preparation time will vary according to the complexity of the materials.</w:t>
      </w:r>
    </w:p>
    <w:p>
      <w:pPr>
        <w:spacing w:after="0" w:line="25" w:lineRule="exact"/>
        <w:rPr>
          <w:sz w:val="20"/>
          <w:szCs w:val="20"/>
          <w:color w:val="auto"/>
        </w:rPr>
      </w:pPr>
    </w:p>
    <w:p>
      <w:pPr>
        <w:jc w:val="both"/>
        <w:ind w:left="1880" w:right="1499" w:hanging="397"/>
        <w:spacing w:after="0" w:line="261" w:lineRule="auto"/>
        <w:tabs>
          <w:tab w:leader="none" w:pos="1860" w:val="left"/>
        </w:tabs>
        <w:rPr>
          <w:sz w:val="20"/>
          <w:szCs w:val="20"/>
          <w:color w:val="auto"/>
        </w:rPr>
      </w:pPr>
      <w:r>
        <w:rPr>
          <w:rFonts w:ascii="Arial" w:cs="Arial" w:eastAsia="Arial" w:hAnsi="Arial"/>
          <w:sz w:val="13"/>
          <w:szCs w:val="13"/>
          <w:color w:val="auto"/>
        </w:rPr>
        <w:t>3.4</w:t>
      </w:r>
      <w:r>
        <w:rPr>
          <w:sz w:val="20"/>
          <w:szCs w:val="20"/>
          <w:color w:val="auto"/>
        </w:rPr>
        <w:tab/>
      </w:r>
      <w:r>
        <w:rPr>
          <w:rFonts w:ascii="Arial" w:cs="Arial" w:eastAsia="Arial" w:hAnsi="Arial"/>
          <w:sz w:val="13"/>
          <w:szCs w:val="13"/>
          <w:u w:val="single" w:color="auto"/>
          <w:color w:val="auto"/>
        </w:rPr>
        <w:t xml:space="preserve">Participation in Meetings </w:t>
      </w:r>
      <w:r>
        <w:rPr>
          <w:rFonts w:ascii="Arial" w:cs="Arial" w:eastAsia="Arial" w:hAnsi="Arial"/>
          <w:sz w:val="13"/>
          <w:szCs w:val="13"/>
          <w:color w:val="auto"/>
        </w:rPr>
        <w:t>— Directors are expected to participate fully and frankly in the</w:t>
      </w:r>
      <w:r>
        <w:rPr>
          <w:rFonts w:ascii="Arial" w:cs="Arial" w:eastAsia="Arial" w:hAnsi="Arial"/>
          <w:sz w:val="13"/>
          <w:szCs w:val="13"/>
          <w:u w:val="single" w:color="auto"/>
          <w:color w:val="auto"/>
        </w:rPr>
        <w:t xml:space="preserve"> </w:t>
      </w:r>
      <w:r>
        <w:rPr>
          <w:rFonts w:ascii="Arial" w:cs="Arial" w:eastAsia="Arial" w:hAnsi="Arial"/>
          <w:sz w:val="13"/>
          <w:szCs w:val="13"/>
          <w:color w:val="auto"/>
        </w:rPr>
        <w:t>deliberations and discussions of the Board and its committees. They must apply informed and reasoned judgment to each issue that arises and express opinions, ask further questions and make recommendations that they think are necessary or desirable. Each Director shall act directly, not by proxy, either in person or by written resolution. Each Director shall have an equal say with each of the other Directors.</w:t>
      </w:r>
    </w:p>
    <w:p>
      <w:pPr>
        <w:spacing w:after="0" w:line="50" w:lineRule="exact"/>
        <w:rPr>
          <w:sz w:val="20"/>
          <w:szCs w:val="20"/>
          <w:color w:val="auto"/>
        </w:rPr>
      </w:pPr>
    </w:p>
    <w:p>
      <w:pPr>
        <w:ind w:left="1480"/>
        <w:spacing w:after="0"/>
        <w:tabs>
          <w:tab w:leader="none" w:pos="1860" w:val="left"/>
        </w:tabs>
        <w:rPr>
          <w:sz w:val="20"/>
          <w:szCs w:val="20"/>
          <w:color w:val="auto"/>
        </w:rPr>
      </w:pPr>
      <w:r>
        <w:rPr>
          <w:rFonts w:ascii="Arial" w:cs="Arial" w:eastAsia="Arial" w:hAnsi="Arial"/>
          <w:sz w:val="13"/>
          <w:szCs w:val="13"/>
          <w:color w:val="auto"/>
        </w:rPr>
        <w:t>3.5</w:t>
      </w:r>
      <w:r>
        <w:rPr>
          <w:sz w:val="20"/>
          <w:szCs w:val="20"/>
          <w:color w:val="auto"/>
        </w:rPr>
        <w:tab/>
      </w:r>
      <w:r>
        <w:rPr>
          <w:rFonts w:ascii="Arial" w:cs="Arial" w:eastAsia="Arial" w:hAnsi="Arial"/>
          <w:sz w:val="12"/>
          <w:szCs w:val="12"/>
          <w:u w:val="single" w:color="auto"/>
          <w:color w:val="auto"/>
        </w:rPr>
        <w:t>Service on Other Boards or Changes in Principal Occupation</w:t>
      </w:r>
      <w:r>
        <w:rPr>
          <w:rFonts w:ascii="Arial" w:cs="Arial" w:eastAsia="Arial" w:hAnsi="Arial"/>
          <w:sz w:val="12"/>
          <w:szCs w:val="12"/>
          <w:color w:val="auto"/>
        </w:rPr>
        <w:t>— A Director must advise the Chair:</w:t>
      </w:r>
    </w:p>
    <w:p>
      <w:pPr>
        <w:spacing w:after="0" w:line="79" w:lineRule="exact"/>
        <w:rPr>
          <w:sz w:val="20"/>
          <w:szCs w:val="20"/>
          <w:color w:val="auto"/>
        </w:rPr>
      </w:pPr>
    </w:p>
    <w:p>
      <w:pPr>
        <w:ind w:left="2140" w:hanging="264"/>
        <w:spacing w:after="0"/>
        <w:tabs>
          <w:tab w:leader="none" w:pos="2140" w:val="left"/>
        </w:tabs>
        <w:numPr>
          <w:ilvl w:val="1"/>
          <w:numId w:val="111"/>
        </w:numPr>
        <w:rPr>
          <w:rFonts w:ascii="Arial" w:cs="Arial" w:eastAsia="Arial" w:hAnsi="Arial"/>
          <w:sz w:val="13"/>
          <w:szCs w:val="13"/>
          <w:color w:val="auto"/>
        </w:rPr>
      </w:pPr>
      <w:r>
        <w:rPr>
          <w:rFonts w:ascii="Arial" w:cs="Arial" w:eastAsia="Arial" w:hAnsi="Arial"/>
          <w:sz w:val="13"/>
          <w:szCs w:val="13"/>
          <w:color w:val="auto"/>
        </w:rPr>
        <w:t>in advance of accepting an invitation to serve on the board of another public company;</w:t>
      </w:r>
    </w:p>
    <w:p>
      <w:pPr>
        <w:spacing w:after="0" w:line="69" w:lineRule="exact"/>
        <w:rPr>
          <w:rFonts w:ascii="Arial" w:cs="Arial" w:eastAsia="Arial" w:hAnsi="Arial"/>
          <w:sz w:val="13"/>
          <w:szCs w:val="13"/>
          <w:color w:val="auto"/>
        </w:rPr>
      </w:pPr>
    </w:p>
    <w:p>
      <w:pPr>
        <w:ind w:left="2140" w:hanging="264"/>
        <w:spacing w:after="0"/>
        <w:tabs>
          <w:tab w:leader="none" w:pos="2140" w:val="left"/>
        </w:tabs>
        <w:numPr>
          <w:ilvl w:val="1"/>
          <w:numId w:val="111"/>
        </w:numPr>
        <w:rPr>
          <w:rFonts w:ascii="Arial" w:cs="Arial" w:eastAsia="Arial" w:hAnsi="Arial"/>
          <w:sz w:val="13"/>
          <w:szCs w:val="13"/>
          <w:color w:val="auto"/>
        </w:rPr>
      </w:pPr>
      <w:r>
        <w:rPr>
          <w:rFonts w:ascii="Arial" w:cs="Arial" w:eastAsia="Arial" w:hAnsi="Arial"/>
          <w:sz w:val="13"/>
          <w:szCs w:val="13"/>
          <w:color w:val="auto"/>
        </w:rPr>
        <w:t>if that Director changes his or her principal occupation; or</w:t>
      </w:r>
    </w:p>
    <w:p>
      <w:pPr>
        <w:spacing w:after="0" w:line="79" w:lineRule="exact"/>
        <w:rPr>
          <w:rFonts w:ascii="Arial" w:cs="Arial" w:eastAsia="Arial" w:hAnsi="Arial"/>
          <w:sz w:val="13"/>
          <w:szCs w:val="13"/>
          <w:color w:val="auto"/>
        </w:rPr>
      </w:pPr>
    </w:p>
    <w:p>
      <w:pPr>
        <w:ind w:left="2140" w:hanging="264"/>
        <w:spacing w:after="0"/>
        <w:tabs>
          <w:tab w:leader="none" w:pos="2140" w:val="left"/>
        </w:tabs>
        <w:numPr>
          <w:ilvl w:val="1"/>
          <w:numId w:val="111"/>
        </w:numPr>
        <w:rPr>
          <w:rFonts w:ascii="Arial" w:cs="Arial" w:eastAsia="Arial" w:hAnsi="Arial"/>
          <w:sz w:val="13"/>
          <w:szCs w:val="13"/>
          <w:color w:val="auto"/>
        </w:rPr>
      </w:pPr>
      <w:r>
        <w:rPr>
          <w:rFonts w:ascii="Arial" w:cs="Arial" w:eastAsia="Arial" w:hAnsi="Arial"/>
          <w:sz w:val="13"/>
          <w:szCs w:val="13"/>
          <w:color w:val="auto"/>
        </w:rPr>
        <w:t>if that Director ceases to be a “resident Canadian”, as defined under the OBCA.</w:t>
      </w:r>
    </w:p>
    <w:p>
      <w:pPr>
        <w:spacing w:after="0" w:line="75" w:lineRule="exact"/>
        <w:rPr>
          <w:rFonts w:ascii="Arial" w:cs="Arial" w:eastAsia="Arial" w:hAnsi="Arial"/>
          <w:sz w:val="13"/>
          <w:szCs w:val="13"/>
          <w:color w:val="auto"/>
        </w:rPr>
      </w:pPr>
    </w:p>
    <w:p>
      <w:pPr>
        <w:ind w:left="1880" w:hanging="402"/>
        <w:spacing w:after="0"/>
        <w:tabs>
          <w:tab w:leader="none" w:pos="1880" w:val="left"/>
        </w:tabs>
        <w:numPr>
          <w:ilvl w:val="0"/>
          <w:numId w:val="112"/>
        </w:numPr>
        <w:rPr>
          <w:rFonts w:ascii="Arial" w:cs="Arial" w:eastAsia="Arial" w:hAnsi="Arial"/>
          <w:sz w:val="13"/>
          <w:szCs w:val="13"/>
          <w:b w:val="1"/>
          <w:bCs w:val="1"/>
          <w:color w:val="auto"/>
        </w:rPr>
      </w:pPr>
      <w:r>
        <w:rPr>
          <w:rFonts w:ascii="Arial" w:cs="Arial" w:eastAsia="Arial" w:hAnsi="Arial"/>
          <w:sz w:val="13"/>
          <w:szCs w:val="13"/>
          <w:b w:val="1"/>
          <w:bCs w:val="1"/>
          <w:color w:val="auto"/>
        </w:rPr>
        <w:t>BOARD CHAIR</w:t>
      </w:r>
    </w:p>
    <w:p>
      <w:pPr>
        <w:spacing w:after="0" w:line="74" w:lineRule="exact"/>
        <w:rPr>
          <w:sz w:val="20"/>
          <w:szCs w:val="20"/>
          <w:color w:val="auto"/>
        </w:rPr>
      </w:pPr>
    </w:p>
    <w:p>
      <w:pPr>
        <w:jc w:val="both"/>
        <w:ind w:left="1880" w:right="1499" w:hanging="397"/>
        <w:spacing w:after="0" w:line="285" w:lineRule="auto"/>
        <w:tabs>
          <w:tab w:leader="none" w:pos="186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3"/>
          <w:szCs w:val="13"/>
          <w:u w:val="single" w:color="auto"/>
          <w:color w:val="auto"/>
        </w:rPr>
        <w:t xml:space="preserve">Board to Appoint Chair </w:t>
      </w:r>
      <w:r>
        <w:rPr>
          <w:rFonts w:ascii="Arial" w:cs="Arial" w:eastAsia="Arial" w:hAnsi="Arial"/>
          <w:sz w:val="13"/>
          <w:szCs w:val="13"/>
          <w:color w:val="auto"/>
        </w:rPr>
        <w:t>— The Board shall appoint the Chair of the Board (the “Chair”) from the</w:t>
      </w:r>
      <w:r>
        <w:rPr>
          <w:rFonts w:ascii="Arial" w:cs="Arial" w:eastAsia="Arial" w:hAnsi="Arial"/>
          <w:sz w:val="13"/>
          <w:szCs w:val="13"/>
          <w:u w:val="single" w:color="auto"/>
          <w:color w:val="auto"/>
        </w:rPr>
        <w:t xml:space="preserve"> </w:t>
      </w:r>
      <w:r>
        <w:rPr>
          <w:rFonts w:ascii="Arial" w:cs="Arial" w:eastAsia="Arial" w:hAnsi="Arial"/>
          <w:sz w:val="13"/>
          <w:szCs w:val="13"/>
          <w:color w:val="auto"/>
        </w:rPr>
        <w:t>members of the Board. The Chair shall be an independent Director.</w:t>
      </w:r>
    </w:p>
    <w:p>
      <w:pPr>
        <w:spacing w:after="0" w:line="33" w:lineRule="exact"/>
        <w:rPr>
          <w:sz w:val="20"/>
          <w:szCs w:val="20"/>
          <w:color w:val="auto"/>
        </w:rPr>
      </w:pPr>
    </w:p>
    <w:p>
      <w:pPr>
        <w:jc w:val="both"/>
        <w:ind w:left="1880" w:right="1499" w:hanging="397"/>
        <w:spacing w:after="0" w:line="265" w:lineRule="auto"/>
        <w:tabs>
          <w:tab w:leader="none" w:pos="186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3"/>
          <w:szCs w:val="13"/>
          <w:u w:val="single" w:color="auto"/>
          <w:color w:val="auto"/>
        </w:rPr>
        <w:t xml:space="preserve">Chair to be Appointed Annually </w:t>
      </w:r>
      <w:r>
        <w:rPr>
          <w:rFonts w:ascii="Arial" w:cs="Arial" w:eastAsia="Arial" w:hAnsi="Arial"/>
          <w:sz w:val="13"/>
          <w:szCs w:val="13"/>
          <w:color w:val="auto"/>
        </w:rPr>
        <w:t>— The appointment of the Chair shall take place annually at the first</w:t>
      </w:r>
      <w:r>
        <w:rPr>
          <w:rFonts w:ascii="Arial" w:cs="Arial" w:eastAsia="Arial" w:hAnsi="Arial"/>
          <w:sz w:val="13"/>
          <w:szCs w:val="13"/>
          <w:u w:val="single" w:color="auto"/>
          <w:color w:val="auto"/>
        </w:rPr>
        <w:t xml:space="preserve"> </w:t>
      </w:r>
      <w:r>
        <w:rPr>
          <w:rFonts w:ascii="Arial" w:cs="Arial" w:eastAsia="Arial" w:hAnsi="Arial"/>
          <w:sz w:val="13"/>
          <w:szCs w:val="13"/>
          <w:color w:val="auto"/>
        </w:rPr>
        <w:t>meeting of the Board after a meeting of the shareholders at which Directors are elected, provided that if the designation of the Chair is not so made, the Director who is then serving as Chair shall continue as Chair until his or her successor is appointed.</w:t>
      </w:r>
    </w:p>
    <w:p>
      <w:pPr>
        <w:spacing w:after="0" w:line="43" w:lineRule="exact"/>
        <w:rPr>
          <w:sz w:val="20"/>
          <w:szCs w:val="20"/>
          <w:color w:val="auto"/>
        </w:rPr>
      </w:pPr>
    </w:p>
    <w:p>
      <w:pPr>
        <w:ind w:left="1880" w:hanging="402"/>
        <w:spacing w:after="0"/>
        <w:tabs>
          <w:tab w:leader="none" w:pos="1880" w:val="left"/>
        </w:tabs>
        <w:numPr>
          <w:ilvl w:val="0"/>
          <w:numId w:val="113"/>
        </w:numPr>
        <w:rPr>
          <w:rFonts w:ascii="Arial" w:cs="Arial" w:eastAsia="Arial" w:hAnsi="Arial"/>
          <w:sz w:val="13"/>
          <w:szCs w:val="13"/>
          <w:b w:val="1"/>
          <w:bCs w:val="1"/>
          <w:color w:val="auto"/>
        </w:rPr>
      </w:pPr>
      <w:r>
        <w:rPr>
          <w:rFonts w:ascii="Arial" w:cs="Arial" w:eastAsia="Arial" w:hAnsi="Arial"/>
          <w:sz w:val="13"/>
          <w:szCs w:val="13"/>
          <w:b w:val="1"/>
          <w:bCs w:val="1"/>
          <w:color w:val="auto"/>
        </w:rPr>
        <w:t>MEETINGS OF THE BOARD</w:t>
      </w:r>
    </w:p>
    <w:p>
      <w:pPr>
        <w:spacing w:after="0" w:line="74" w:lineRule="exact"/>
        <w:rPr>
          <w:sz w:val="20"/>
          <w:szCs w:val="20"/>
          <w:color w:val="auto"/>
        </w:rPr>
      </w:pPr>
    </w:p>
    <w:p>
      <w:pPr>
        <w:ind w:left="1480"/>
        <w:spacing w:after="0"/>
        <w:tabs>
          <w:tab w:leader="none" w:pos="1860" w:val="left"/>
        </w:tabs>
        <w:rPr>
          <w:sz w:val="20"/>
          <w:szCs w:val="20"/>
          <w:color w:val="auto"/>
        </w:rPr>
      </w:pPr>
      <w:r>
        <w:rPr>
          <w:rFonts w:ascii="Arial" w:cs="Arial" w:eastAsia="Arial" w:hAnsi="Arial"/>
          <w:sz w:val="13"/>
          <w:szCs w:val="13"/>
          <w:color w:val="auto"/>
        </w:rPr>
        <w:t>5.1</w:t>
      </w:r>
      <w:r>
        <w:rPr>
          <w:sz w:val="20"/>
          <w:szCs w:val="20"/>
          <w:color w:val="auto"/>
        </w:rPr>
        <w:tab/>
      </w:r>
      <w:r>
        <w:rPr>
          <w:rFonts w:ascii="Arial" w:cs="Arial" w:eastAsia="Arial" w:hAnsi="Arial"/>
          <w:sz w:val="12"/>
          <w:szCs w:val="12"/>
          <w:u w:val="single" w:color="auto"/>
          <w:color w:val="auto"/>
        </w:rPr>
        <w:t xml:space="preserve">Quorum </w:t>
      </w:r>
      <w:r>
        <w:rPr>
          <w:rFonts w:ascii="Arial" w:cs="Arial" w:eastAsia="Arial" w:hAnsi="Arial"/>
          <w:sz w:val="12"/>
          <w:szCs w:val="12"/>
          <w:color w:val="auto"/>
        </w:rPr>
        <w:t>— A quorum of the Board shall be a majority of its members.</w:t>
      </w:r>
    </w:p>
    <w:p>
      <w:pPr>
        <w:spacing w:after="0" w:line="79" w:lineRule="exact"/>
        <w:rPr>
          <w:sz w:val="20"/>
          <w:szCs w:val="20"/>
          <w:color w:val="auto"/>
        </w:rPr>
      </w:pPr>
    </w:p>
    <w:p>
      <w:pPr>
        <w:jc w:val="both"/>
        <w:ind w:left="1880" w:right="1499" w:hanging="397"/>
        <w:spacing w:after="0" w:line="265" w:lineRule="auto"/>
        <w:tabs>
          <w:tab w:leader="none" w:pos="1860" w:val="left"/>
        </w:tabs>
        <w:rPr>
          <w:sz w:val="20"/>
          <w:szCs w:val="20"/>
          <w:color w:val="auto"/>
        </w:rPr>
      </w:pPr>
      <w:r>
        <w:rPr>
          <w:rFonts w:ascii="Arial" w:cs="Arial" w:eastAsia="Arial" w:hAnsi="Arial"/>
          <w:sz w:val="13"/>
          <w:szCs w:val="13"/>
          <w:color w:val="auto"/>
        </w:rPr>
        <w:t>5.2</w:t>
      </w:r>
      <w:r>
        <w:rPr>
          <w:sz w:val="20"/>
          <w:szCs w:val="20"/>
          <w:color w:val="auto"/>
        </w:rPr>
        <w:tab/>
      </w:r>
      <w:r>
        <w:rPr>
          <w:rFonts w:ascii="Arial" w:cs="Arial" w:eastAsia="Arial" w:hAnsi="Arial"/>
          <w:sz w:val="13"/>
          <w:szCs w:val="13"/>
          <w:u w:val="single" w:color="auto"/>
          <w:color w:val="auto"/>
        </w:rPr>
        <w:t xml:space="preserve">Time and Place of Meetings </w:t>
      </w:r>
      <w:r>
        <w:rPr>
          <w:rFonts w:ascii="Arial" w:cs="Arial" w:eastAsia="Arial" w:hAnsi="Arial"/>
          <w:sz w:val="13"/>
          <w:szCs w:val="13"/>
          <w:color w:val="auto"/>
        </w:rPr>
        <w:t>— The time and place of the meetings of the Board and the calling of</w:t>
      </w:r>
      <w:r>
        <w:rPr>
          <w:rFonts w:ascii="Arial" w:cs="Arial" w:eastAsia="Arial" w:hAnsi="Arial"/>
          <w:sz w:val="13"/>
          <w:szCs w:val="13"/>
          <w:u w:val="single" w:color="auto"/>
          <w:color w:val="auto"/>
        </w:rPr>
        <w:t xml:space="preserve"> </w:t>
      </w:r>
      <w:r>
        <w:rPr>
          <w:rFonts w:ascii="Arial" w:cs="Arial" w:eastAsia="Arial" w:hAnsi="Arial"/>
          <w:sz w:val="13"/>
          <w:szCs w:val="13"/>
          <w:color w:val="auto"/>
        </w:rPr>
        <w:t>meetings and the procedure in all things at such meetings shall be determined by the Board; provided, however, the Board shall meet at least four times a year, with additional meetings held as deemed advisable.</w:t>
      </w:r>
    </w:p>
    <w:p>
      <w:pPr>
        <w:spacing w:after="0" w:line="37" w:lineRule="exact"/>
        <w:rPr>
          <w:sz w:val="20"/>
          <w:szCs w:val="20"/>
          <w:color w:val="auto"/>
        </w:rPr>
      </w:pPr>
    </w:p>
    <w:p>
      <w:pPr>
        <w:ind w:left="1480"/>
        <w:spacing w:after="0"/>
        <w:tabs>
          <w:tab w:leader="none" w:pos="1860" w:val="left"/>
        </w:tabs>
        <w:rPr>
          <w:sz w:val="20"/>
          <w:szCs w:val="20"/>
          <w:color w:val="auto"/>
        </w:rPr>
      </w:pPr>
      <w:r>
        <w:rPr>
          <w:rFonts w:ascii="Arial" w:cs="Arial" w:eastAsia="Arial" w:hAnsi="Arial"/>
          <w:sz w:val="13"/>
          <w:szCs w:val="13"/>
          <w:color w:val="auto"/>
        </w:rPr>
        <w:t>5.3</w:t>
      </w:r>
      <w:r>
        <w:rPr>
          <w:sz w:val="20"/>
          <w:szCs w:val="20"/>
          <w:color w:val="auto"/>
        </w:rPr>
        <w:tab/>
      </w:r>
      <w:r>
        <w:rPr>
          <w:rFonts w:ascii="Arial" w:cs="Arial" w:eastAsia="Arial" w:hAnsi="Arial"/>
          <w:sz w:val="12"/>
          <w:szCs w:val="12"/>
          <w:u w:val="single" w:color="auto"/>
          <w:color w:val="auto"/>
        </w:rPr>
        <w:t xml:space="preserve">Right to Vote </w:t>
      </w:r>
      <w:r>
        <w:rPr>
          <w:rFonts w:ascii="Arial" w:cs="Arial" w:eastAsia="Arial" w:hAnsi="Arial"/>
          <w:sz w:val="12"/>
          <w:szCs w:val="12"/>
          <w:color w:val="auto"/>
        </w:rPr>
        <w:t>— Each Director shall have the right to vote on matters that come before the Board.</w:t>
      </w:r>
    </w:p>
    <w:p>
      <w:pPr>
        <w:spacing w:after="0" w:line="79" w:lineRule="exact"/>
        <w:rPr>
          <w:sz w:val="20"/>
          <w:szCs w:val="20"/>
          <w:color w:val="auto"/>
        </w:rPr>
      </w:pPr>
    </w:p>
    <w:p>
      <w:pPr>
        <w:jc w:val="both"/>
        <w:ind w:left="1880" w:right="1499" w:hanging="397"/>
        <w:spacing w:after="0" w:line="285" w:lineRule="auto"/>
        <w:tabs>
          <w:tab w:leader="none" w:pos="1860" w:val="left"/>
        </w:tabs>
        <w:rPr>
          <w:sz w:val="20"/>
          <w:szCs w:val="20"/>
          <w:color w:val="auto"/>
        </w:rPr>
      </w:pPr>
      <w:r>
        <w:rPr>
          <w:rFonts w:ascii="Arial" w:cs="Arial" w:eastAsia="Arial" w:hAnsi="Arial"/>
          <w:sz w:val="13"/>
          <w:szCs w:val="13"/>
          <w:color w:val="auto"/>
        </w:rPr>
        <w:t>5.4</w:t>
      </w:r>
      <w:r>
        <w:rPr>
          <w:sz w:val="20"/>
          <w:szCs w:val="20"/>
          <w:color w:val="auto"/>
        </w:rPr>
        <w:tab/>
      </w:r>
      <w:r>
        <w:rPr>
          <w:rFonts w:ascii="Arial" w:cs="Arial" w:eastAsia="Arial" w:hAnsi="Arial"/>
          <w:sz w:val="13"/>
          <w:szCs w:val="13"/>
          <w:u w:val="single" w:color="auto"/>
          <w:color w:val="auto"/>
        </w:rPr>
        <w:t xml:space="preserve">Invitees </w:t>
      </w:r>
      <w:r>
        <w:rPr>
          <w:rFonts w:ascii="Arial" w:cs="Arial" w:eastAsia="Arial" w:hAnsi="Arial"/>
          <w:sz w:val="13"/>
          <w:szCs w:val="13"/>
          <w:color w:val="auto"/>
        </w:rPr>
        <w:t>— The Board may invite any person to attend meetings of the Board to assist in the</w:t>
      </w:r>
      <w:r>
        <w:rPr>
          <w:rFonts w:ascii="Arial" w:cs="Arial" w:eastAsia="Arial" w:hAnsi="Arial"/>
          <w:sz w:val="13"/>
          <w:szCs w:val="13"/>
          <w:u w:val="single" w:color="auto"/>
          <w:color w:val="auto"/>
        </w:rPr>
        <w:t xml:space="preserve"> </w:t>
      </w:r>
      <w:r>
        <w:rPr>
          <w:rFonts w:ascii="Arial" w:cs="Arial" w:eastAsia="Arial" w:hAnsi="Arial"/>
          <w:sz w:val="13"/>
          <w:szCs w:val="13"/>
          <w:color w:val="auto"/>
        </w:rPr>
        <w:t>discussion and examination of the matters under consideration by the Board.</w:t>
      </w:r>
    </w:p>
    <w:p>
      <w:pPr>
        <w:spacing w:after="0" w:line="33" w:lineRule="exact"/>
        <w:rPr>
          <w:sz w:val="20"/>
          <w:szCs w:val="20"/>
          <w:color w:val="auto"/>
        </w:rPr>
      </w:pPr>
    </w:p>
    <w:p>
      <w:pPr>
        <w:jc w:val="both"/>
        <w:ind w:left="1880" w:right="1499" w:hanging="397"/>
        <w:spacing w:after="0" w:line="270" w:lineRule="auto"/>
        <w:tabs>
          <w:tab w:leader="none" w:pos="1860" w:val="left"/>
        </w:tabs>
        <w:rPr>
          <w:sz w:val="20"/>
          <w:szCs w:val="20"/>
          <w:color w:val="auto"/>
        </w:rPr>
      </w:pPr>
      <w:r>
        <w:rPr>
          <w:rFonts w:ascii="Arial" w:cs="Arial" w:eastAsia="Arial" w:hAnsi="Arial"/>
          <w:sz w:val="13"/>
          <w:szCs w:val="13"/>
          <w:color w:val="auto"/>
        </w:rPr>
        <w:t>5.5</w:t>
      </w:r>
      <w:r>
        <w:rPr>
          <w:sz w:val="20"/>
          <w:szCs w:val="20"/>
          <w:color w:val="auto"/>
        </w:rPr>
        <w:tab/>
      </w:r>
      <w:r>
        <w:rPr>
          <w:rFonts w:ascii="Arial" w:cs="Arial" w:eastAsia="Arial" w:hAnsi="Arial"/>
          <w:sz w:val="13"/>
          <w:szCs w:val="13"/>
          <w:i w:val="1"/>
          <w:iCs w:val="1"/>
          <w:u w:val="single" w:color="auto"/>
          <w:color w:val="auto"/>
        </w:rPr>
        <w:t xml:space="preserve">In Camera </w:t>
      </w:r>
      <w:r>
        <w:rPr>
          <w:rFonts w:ascii="Arial" w:cs="Arial" w:eastAsia="Arial" w:hAnsi="Arial"/>
          <w:sz w:val="13"/>
          <w:szCs w:val="13"/>
          <w:u w:val="single" w:color="auto"/>
          <w:color w:val="auto"/>
        </w:rPr>
        <w:t>Sessions</w:t>
      </w:r>
      <w:r>
        <w:rPr>
          <w:rFonts w:ascii="Arial" w:cs="Arial" w:eastAsia="Arial" w:hAnsi="Arial"/>
          <w:sz w:val="13"/>
          <w:szCs w:val="13"/>
          <w:i w:val="1"/>
          <w:iCs w:val="1"/>
          <w:u w:val="single" w:color="auto"/>
          <w:color w:val="auto"/>
        </w:rPr>
        <w:t xml:space="preserve"> </w:t>
      </w:r>
      <w:r>
        <w:rPr>
          <w:rFonts w:ascii="Arial" w:cs="Arial" w:eastAsia="Arial" w:hAnsi="Arial"/>
          <w:sz w:val="13"/>
          <w:szCs w:val="13"/>
          <w:color w:val="auto"/>
        </w:rPr>
        <w:t>— As part of each meeting of the Board, the independent Directors shall meet</w:t>
      </w:r>
      <w:r>
        <w:rPr>
          <w:rFonts w:ascii="Arial" w:cs="Arial" w:eastAsia="Arial" w:hAnsi="Arial"/>
          <w:sz w:val="13"/>
          <w:szCs w:val="13"/>
          <w:i w:val="1"/>
          <w:iCs w:val="1"/>
          <w:u w:val="single" w:color="auto"/>
          <w:color w:val="auto"/>
        </w:rPr>
        <w:t xml:space="preserve"> </w:t>
      </w:r>
      <w:r>
        <w:rPr>
          <w:rFonts w:ascii="Arial" w:cs="Arial" w:eastAsia="Arial" w:hAnsi="Arial"/>
          <w:sz w:val="13"/>
          <w:szCs w:val="13"/>
          <w:color w:val="auto"/>
        </w:rPr>
        <w:t>without any member of management being present (including any Director who is a member of management).</w:t>
      </w:r>
    </w:p>
    <w:p>
      <w:pPr>
        <w:spacing w:after="0" w:line="29" w:lineRule="exact"/>
        <w:rPr>
          <w:sz w:val="20"/>
          <w:szCs w:val="20"/>
          <w:color w:val="auto"/>
        </w:rPr>
      </w:pPr>
    </w:p>
    <w:p>
      <w:pPr>
        <w:ind w:left="1880" w:hanging="402"/>
        <w:spacing w:after="0"/>
        <w:tabs>
          <w:tab w:leader="none" w:pos="1880" w:val="left"/>
        </w:tabs>
        <w:numPr>
          <w:ilvl w:val="0"/>
          <w:numId w:val="114"/>
        </w:numPr>
        <w:rPr>
          <w:rFonts w:ascii="Arial" w:cs="Arial" w:eastAsia="Arial" w:hAnsi="Arial"/>
          <w:sz w:val="13"/>
          <w:szCs w:val="13"/>
          <w:b w:val="1"/>
          <w:bCs w:val="1"/>
          <w:color w:val="auto"/>
        </w:rPr>
      </w:pPr>
      <w:r>
        <w:rPr>
          <w:rFonts w:ascii="Arial" w:cs="Arial" w:eastAsia="Arial" w:hAnsi="Arial"/>
          <w:sz w:val="13"/>
          <w:szCs w:val="13"/>
          <w:b w:val="1"/>
          <w:bCs w:val="1"/>
          <w:color w:val="auto"/>
        </w:rPr>
        <w:t>OUTSIDE ADVISORS</w:t>
      </w:r>
    </w:p>
    <w:p>
      <w:pPr>
        <w:spacing w:after="0" w:line="83" w:lineRule="exact"/>
        <w:rPr>
          <w:sz w:val="20"/>
          <w:szCs w:val="20"/>
          <w:color w:val="auto"/>
        </w:rPr>
      </w:pPr>
    </w:p>
    <w:p>
      <w:pPr>
        <w:jc w:val="both"/>
        <w:ind w:left="1880" w:right="1499" w:hanging="397"/>
        <w:spacing w:after="0" w:line="260" w:lineRule="auto"/>
        <w:tabs>
          <w:tab w:leader="none" w:pos="1860" w:val="left"/>
        </w:tabs>
        <w:rPr>
          <w:sz w:val="20"/>
          <w:szCs w:val="20"/>
          <w:color w:val="auto"/>
        </w:rPr>
      </w:pPr>
      <w:r>
        <w:rPr>
          <w:rFonts w:ascii="Arial" w:cs="Arial" w:eastAsia="Arial" w:hAnsi="Arial"/>
          <w:sz w:val="13"/>
          <w:szCs w:val="13"/>
          <w:color w:val="auto"/>
        </w:rPr>
        <w:t>6.1</w:t>
      </w:r>
      <w:r>
        <w:rPr>
          <w:sz w:val="20"/>
          <w:szCs w:val="20"/>
          <w:color w:val="auto"/>
        </w:rPr>
        <w:tab/>
      </w:r>
      <w:r>
        <w:rPr>
          <w:rFonts w:ascii="Arial" w:cs="Arial" w:eastAsia="Arial" w:hAnsi="Arial"/>
          <w:sz w:val="13"/>
          <w:szCs w:val="13"/>
          <w:u w:val="single" w:color="auto"/>
          <w:color w:val="auto"/>
        </w:rPr>
        <w:t xml:space="preserve">Retaining and Compensating Advisors </w:t>
      </w:r>
      <w:r>
        <w:rPr>
          <w:rFonts w:ascii="Arial" w:cs="Arial" w:eastAsia="Arial" w:hAnsi="Arial"/>
          <w:sz w:val="13"/>
          <w:szCs w:val="13"/>
          <w:color w:val="auto"/>
        </w:rPr>
        <w:t>— The Board shall have the authority to retain and terminate</w:t>
      </w:r>
      <w:r>
        <w:rPr>
          <w:rFonts w:ascii="Arial" w:cs="Arial" w:eastAsia="Arial" w:hAnsi="Arial"/>
          <w:sz w:val="13"/>
          <w:szCs w:val="13"/>
          <w:u w:val="single" w:color="auto"/>
          <w:color w:val="auto"/>
        </w:rPr>
        <w:t xml:space="preserve"> </w:t>
      </w:r>
      <w:r>
        <w:rPr>
          <w:rFonts w:ascii="Arial" w:cs="Arial" w:eastAsia="Arial" w:hAnsi="Arial"/>
          <w:sz w:val="13"/>
          <w:szCs w:val="13"/>
          <w:color w:val="auto"/>
        </w:rPr>
        <w:t>external advisors to assist in fulfilling its responsibilities and to set and pay the reasonable compensation of these respective advisors without consulting or obtaining the approval of any officer of the corporation. The corporation shall provide appropriate funding, as determined by the Board, for the services of these advisors. Notwithstanding the foregoing, the Human Resources and Compensation Committee shall have the sole authority to terminate any consultant or advisor retained by it.</w:t>
      </w:r>
    </w:p>
    <w:p>
      <w:pPr>
        <w:spacing w:after="0" w:line="51" w:lineRule="exact"/>
        <w:rPr>
          <w:sz w:val="20"/>
          <w:szCs w:val="20"/>
          <w:color w:val="auto"/>
        </w:rPr>
      </w:pPr>
    </w:p>
    <w:p>
      <w:pPr>
        <w:jc w:val="both"/>
        <w:ind w:left="1880" w:right="1499"/>
        <w:spacing w:after="0" w:line="303" w:lineRule="auto"/>
        <w:rPr>
          <w:sz w:val="20"/>
          <w:szCs w:val="20"/>
          <w:color w:val="auto"/>
        </w:rPr>
      </w:pPr>
      <w:r>
        <w:rPr>
          <w:rFonts w:ascii="Arial" w:cs="Arial" w:eastAsia="Arial" w:hAnsi="Arial"/>
          <w:sz w:val="12"/>
          <w:szCs w:val="12"/>
          <w:color w:val="auto"/>
        </w:rPr>
        <w:t>In addition, an individual Director shall have the authority to retain external advisors with the approval of the Chair. Fees and expenses relating to the retention of such advisors by an individual Director shall be subject to pre-approval by the Chair and, if so approved, paid by the corporation.</w:t>
      </w:r>
    </w:p>
    <w:p>
      <w:pPr>
        <w:spacing w:after="0" w:line="11" w:lineRule="exact"/>
        <w:rPr>
          <w:sz w:val="20"/>
          <w:szCs w:val="20"/>
          <w:color w:val="auto"/>
        </w:rPr>
      </w:pPr>
    </w:p>
    <w:p>
      <w:pPr>
        <w:ind w:left="1880" w:hanging="402"/>
        <w:spacing w:after="0"/>
        <w:tabs>
          <w:tab w:leader="none" w:pos="1880" w:val="left"/>
        </w:tabs>
        <w:numPr>
          <w:ilvl w:val="0"/>
          <w:numId w:val="115"/>
        </w:numPr>
        <w:rPr>
          <w:rFonts w:ascii="Arial" w:cs="Arial" w:eastAsia="Arial" w:hAnsi="Arial"/>
          <w:sz w:val="13"/>
          <w:szCs w:val="13"/>
          <w:b w:val="1"/>
          <w:bCs w:val="1"/>
          <w:color w:val="auto"/>
        </w:rPr>
      </w:pPr>
      <w:r>
        <w:rPr>
          <w:rFonts w:ascii="Arial" w:cs="Arial" w:eastAsia="Arial" w:hAnsi="Arial"/>
          <w:sz w:val="13"/>
          <w:szCs w:val="13"/>
          <w:b w:val="1"/>
          <w:bCs w:val="1"/>
          <w:color w:val="auto"/>
        </w:rPr>
        <w:t>REMUNERATION OF BOARD MEMBERS</w:t>
      </w:r>
    </w:p>
    <w:p>
      <w:pPr>
        <w:spacing w:after="0" w:line="83" w:lineRule="exact"/>
        <w:rPr>
          <w:sz w:val="20"/>
          <w:szCs w:val="20"/>
          <w:color w:val="auto"/>
        </w:rPr>
      </w:pPr>
    </w:p>
    <w:p>
      <w:pPr>
        <w:ind w:left="1880" w:right="1499" w:hanging="397"/>
        <w:spacing w:after="0" w:line="285" w:lineRule="auto"/>
        <w:tabs>
          <w:tab w:leader="none" w:pos="1860" w:val="left"/>
        </w:tabs>
        <w:rPr>
          <w:sz w:val="20"/>
          <w:szCs w:val="20"/>
          <w:color w:val="auto"/>
        </w:rPr>
      </w:pPr>
      <w:r>
        <w:rPr>
          <w:rFonts w:ascii="Arial" w:cs="Arial" w:eastAsia="Arial" w:hAnsi="Arial"/>
          <w:sz w:val="13"/>
          <w:szCs w:val="13"/>
          <w:color w:val="auto"/>
        </w:rPr>
        <w:t>7.1</w:t>
      </w:r>
      <w:r>
        <w:rPr>
          <w:sz w:val="20"/>
          <w:szCs w:val="20"/>
          <w:color w:val="auto"/>
        </w:rPr>
        <w:tab/>
      </w:r>
      <w:r>
        <w:rPr>
          <w:rFonts w:ascii="Arial" w:cs="Arial" w:eastAsia="Arial" w:hAnsi="Arial"/>
          <w:sz w:val="13"/>
          <w:szCs w:val="13"/>
          <w:color w:val="auto"/>
        </w:rPr>
        <w:t>Members of the Board and the Chair shall receive such remuneration for their service on the Board as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201295</wp:posOffset>
            </wp:positionV>
            <wp:extent cx="5019040" cy="127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6" w:name="page87"/>
    <w:bookmarkEnd w:id="86"/>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97" w:lineRule="exact"/>
        <w:rPr>
          <w:sz w:val="20"/>
          <w:szCs w:val="20"/>
          <w:color w:val="auto"/>
        </w:rPr>
      </w:pPr>
    </w:p>
    <w:p>
      <w:pPr>
        <w:ind w:left="1880" w:right="1499"/>
        <w:spacing w:after="0" w:line="269" w:lineRule="auto"/>
        <w:rPr>
          <w:sz w:val="20"/>
          <w:szCs w:val="20"/>
          <w:color w:val="auto"/>
        </w:rPr>
      </w:pPr>
      <w:r>
        <w:rPr>
          <w:rFonts w:ascii="Arial" w:cs="Arial" w:eastAsia="Arial" w:hAnsi="Arial"/>
          <w:sz w:val="13"/>
          <w:szCs w:val="13"/>
          <w:color w:val="auto"/>
        </w:rPr>
        <w:t>the Board may determine from time to time, having regard to the recommendations of the Human Resources and Compensation Committee.</w:t>
      </w:r>
    </w:p>
    <w:p>
      <w:pPr>
        <w:spacing w:after="0" w:line="19" w:lineRule="exact"/>
        <w:rPr>
          <w:sz w:val="20"/>
          <w:szCs w:val="20"/>
          <w:color w:val="auto"/>
        </w:rPr>
      </w:pPr>
    </w:p>
    <w:p>
      <w:pPr>
        <w:ind w:left="1880" w:hanging="402"/>
        <w:spacing w:after="0"/>
        <w:tabs>
          <w:tab w:leader="none" w:pos="1880" w:val="left"/>
        </w:tabs>
        <w:numPr>
          <w:ilvl w:val="0"/>
          <w:numId w:val="116"/>
        </w:numPr>
        <w:rPr>
          <w:rFonts w:ascii="Arial" w:cs="Arial" w:eastAsia="Arial" w:hAnsi="Arial"/>
          <w:sz w:val="13"/>
          <w:szCs w:val="13"/>
          <w:b w:val="1"/>
          <w:bCs w:val="1"/>
          <w:color w:val="auto"/>
        </w:rPr>
      </w:pPr>
      <w:r>
        <w:rPr>
          <w:rFonts w:ascii="Arial" w:cs="Arial" w:eastAsia="Arial" w:hAnsi="Arial"/>
          <w:sz w:val="13"/>
          <w:szCs w:val="13"/>
          <w:b w:val="1"/>
          <w:bCs w:val="1"/>
          <w:color w:val="auto"/>
        </w:rPr>
        <w:t>DUTIES AND RESPONSIBILITIES OF THE BOARD</w:t>
      </w:r>
    </w:p>
    <w:p>
      <w:pPr>
        <w:spacing w:after="0" w:line="74" w:lineRule="exact"/>
        <w:rPr>
          <w:sz w:val="20"/>
          <w:szCs w:val="20"/>
          <w:color w:val="auto"/>
        </w:rPr>
      </w:pPr>
    </w:p>
    <w:p>
      <w:pPr>
        <w:jc w:val="right"/>
        <w:ind w:left="1480" w:right="1499"/>
        <w:spacing w:after="0" w:line="285" w:lineRule="auto"/>
        <w:rPr>
          <w:sz w:val="20"/>
          <w:szCs w:val="20"/>
          <w:color w:val="auto"/>
        </w:rPr>
      </w:pPr>
      <w:r>
        <w:rPr>
          <w:rFonts w:ascii="Arial" w:cs="Arial" w:eastAsia="Arial" w:hAnsi="Arial"/>
          <w:sz w:val="13"/>
          <w:szCs w:val="13"/>
          <w:color w:val="auto"/>
        </w:rPr>
        <w:t xml:space="preserve">8.1    </w:t>
      </w:r>
      <w:r>
        <w:rPr>
          <w:rFonts w:ascii="Arial" w:cs="Arial" w:eastAsia="Arial" w:hAnsi="Arial"/>
          <w:sz w:val="13"/>
          <w:szCs w:val="13"/>
          <w:u w:val="single" w:color="auto"/>
          <w:color w:val="auto"/>
        </w:rPr>
        <w:t>Specific Aspects of Stewardship Function</w:t>
      </w:r>
      <w:r>
        <w:rPr>
          <w:rFonts w:ascii="Arial" w:cs="Arial" w:eastAsia="Arial" w:hAnsi="Arial"/>
          <w:sz w:val="13"/>
          <w:szCs w:val="13"/>
          <w:color w:val="auto"/>
        </w:rPr>
        <w:t xml:space="preserve"> — In adopting this mandate, the Board hereby explicitly assumes responsibility for the stewardship of the corporation including for the matters set out below:</w:t>
      </w:r>
    </w:p>
    <w:p>
      <w:pPr>
        <w:spacing w:after="0" w:line="33" w:lineRule="exact"/>
        <w:rPr>
          <w:sz w:val="20"/>
          <w:szCs w:val="20"/>
          <w:color w:val="auto"/>
        </w:rPr>
      </w:pPr>
    </w:p>
    <w:p>
      <w:pPr>
        <w:jc w:val="both"/>
        <w:ind w:left="2140" w:right="1499" w:hanging="264"/>
        <w:spacing w:after="0" w:line="270" w:lineRule="auto"/>
        <w:tabs>
          <w:tab w:leader="none" w:pos="214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to the extent feasible, satisfying itself as to the integrity of the corporation’s Chief Executive Officer (“CEO”) and other executive officers and that the CEO and other executive officers create a culture of integrity throughout the organization;</w:t>
      </w:r>
    </w:p>
    <w:p>
      <w:pPr>
        <w:spacing w:after="0" w:line="33" w:lineRule="exact"/>
        <w:rPr>
          <w:rFonts w:ascii="Arial" w:cs="Arial" w:eastAsia="Arial" w:hAnsi="Arial"/>
          <w:sz w:val="13"/>
          <w:szCs w:val="13"/>
          <w:color w:val="auto"/>
        </w:rPr>
      </w:pPr>
    </w:p>
    <w:p>
      <w:pPr>
        <w:ind w:left="2140" w:hanging="264"/>
        <w:spacing w:after="0"/>
        <w:tabs>
          <w:tab w:leader="none" w:pos="214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adopting a strategic planning process and:</w:t>
      </w:r>
    </w:p>
    <w:p>
      <w:pPr>
        <w:spacing w:after="0" w:line="79" w:lineRule="exact"/>
        <w:rPr>
          <w:rFonts w:ascii="Arial" w:cs="Arial" w:eastAsia="Arial" w:hAnsi="Arial"/>
          <w:sz w:val="13"/>
          <w:szCs w:val="13"/>
          <w:color w:val="auto"/>
        </w:rPr>
      </w:pPr>
    </w:p>
    <w:p>
      <w:pPr>
        <w:jc w:val="both"/>
        <w:ind w:left="2400" w:right="1499" w:hanging="259"/>
        <w:spacing w:after="0" w:line="270" w:lineRule="auto"/>
        <w:tabs>
          <w:tab w:leader="none" w:pos="2400" w:val="left"/>
        </w:tabs>
        <w:numPr>
          <w:ilvl w:val="1"/>
          <w:numId w:val="117"/>
        </w:numPr>
        <w:rPr>
          <w:rFonts w:ascii="Arial" w:cs="Arial" w:eastAsia="Arial" w:hAnsi="Arial"/>
          <w:sz w:val="13"/>
          <w:szCs w:val="13"/>
          <w:color w:val="auto"/>
        </w:rPr>
      </w:pPr>
      <w:r>
        <w:rPr>
          <w:rFonts w:ascii="Arial" w:cs="Arial" w:eastAsia="Arial" w:hAnsi="Arial"/>
          <w:sz w:val="13"/>
          <w:szCs w:val="13"/>
          <w:color w:val="auto"/>
        </w:rPr>
        <w:t>approving, on at least an annual basis, a strategic plan that takes into account, among other things, the opportunities and risks of the business and monitoring of progress against strategic and business goals;</w:t>
      </w:r>
    </w:p>
    <w:p>
      <w:pPr>
        <w:spacing w:after="0" w:line="33" w:lineRule="exact"/>
        <w:rPr>
          <w:rFonts w:ascii="Arial" w:cs="Arial" w:eastAsia="Arial" w:hAnsi="Arial"/>
          <w:sz w:val="13"/>
          <w:szCs w:val="13"/>
          <w:color w:val="auto"/>
        </w:rPr>
      </w:pPr>
    </w:p>
    <w:p>
      <w:pPr>
        <w:ind w:left="2400" w:right="1499" w:hanging="259"/>
        <w:spacing w:after="0" w:line="285" w:lineRule="auto"/>
        <w:tabs>
          <w:tab w:leader="none" w:pos="2400" w:val="left"/>
        </w:tabs>
        <w:numPr>
          <w:ilvl w:val="1"/>
          <w:numId w:val="117"/>
        </w:numPr>
        <w:rPr>
          <w:rFonts w:ascii="Arial" w:cs="Arial" w:eastAsia="Arial" w:hAnsi="Arial"/>
          <w:sz w:val="13"/>
          <w:szCs w:val="13"/>
          <w:color w:val="auto"/>
        </w:rPr>
      </w:pPr>
      <w:r>
        <w:rPr>
          <w:rFonts w:ascii="Arial" w:cs="Arial" w:eastAsia="Arial" w:hAnsi="Arial"/>
          <w:sz w:val="13"/>
          <w:szCs w:val="13"/>
          <w:color w:val="auto"/>
        </w:rPr>
        <w:t>conducting an annual review of resources required to implement Celestica’s growth strategy and the regulatory, governmental and other constraints on Celestica’s business;</w:t>
      </w:r>
    </w:p>
    <w:p>
      <w:pPr>
        <w:spacing w:after="0" w:line="23" w:lineRule="exact"/>
        <w:rPr>
          <w:rFonts w:ascii="Arial" w:cs="Arial" w:eastAsia="Arial" w:hAnsi="Arial"/>
          <w:sz w:val="13"/>
          <w:szCs w:val="13"/>
          <w:color w:val="auto"/>
        </w:rPr>
      </w:pPr>
    </w:p>
    <w:p>
      <w:pPr>
        <w:ind w:left="2400" w:right="1499" w:hanging="259"/>
        <w:spacing w:after="0" w:line="285" w:lineRule="auto"/>
        <w:tabs>
          <w:tab w:leader="none" w:pos="2400" w:val="left"/>
        </w:tabs>
        <w:numPr>
          <w:ilvl w:val="1"/>
          <w:numId w:val="117"/>
        </w:numPr>
        <w:rPr>
          <w:rFonts w:ascii="Arial" w:cs="Arial" w:eastAsia="Arial" w:hAnsi="Arial"/>
          <w:sz w:val="13"/>
          <w:szCs w:val="13"/>
          <w:color w:val="auto"/>
        </w:rPr>
      </w:pPr>
      <w:r>
        <w:rPr>
          <w:rFonts w:ascii="Arial" w:cs="Arial" w:eastAsia="Arial" w:hAnsi="Arial"/>
          <w:sz w:val="13"/>
          <w:szCs w:val="13"/>
          <w:color w:val="auto"/>
        </w:rPr>
        <w:t>monitoring the execution of Celestica’s strategy and the achievement of its stated objectives;</w:t>
      </w:r>
    </w:p>
    <w:p>
      <w:pPr>
        <w:spacing w:after="0" w:line="33" w:lineRule="exact"/>
        <w:rPr>
          <w:rFonts w:ascii="Arial" w:cs="Arial" w:eastAsia="Arial" w:hAnsi="Arial"/>
          <w:sz w:val="13"/>
          <w:szCs w:val="13"/>
          <w:color w:val="auto"/>
        </w:rPr>
      </w:pPr>
    </w:p>
    <w:p>
      <w:pPr>
        <w:ind w:left="2400" w:right="1499" w:hanging="259"/>
        <w:spacing w:after="0" w:line="285" w:lineRule="auto"/>
        <w:tabs>
          <w:tab w:leader="none" w:pos="2400" w:val="left"/>
        </w:tabs>
        <w:numPr>
          <w:ilvl w:val="1"/>
          <w:numId w:val="117"/>
        </w:numPr>
        <w:rPr>
          <w:rFonts w:ascii="Arial" w:cs="Arial" w:eastAsia="Arial" w:hAnsi="Arial"/>
          <w:sz w:val="13"/>
          <w:szCs w:val="13"/>
          <w:color w:val="auto"/>
        </w:rPr>
      </w:pPr>
      <w:r>
        <w:rPr>
          <w:rFonts w:ascii="Arial" w:cs="Arial" w:eastAsia="Arial" w:hAnsi="Arial"/>
          <w:sz w:val="13"/>
          <w:szCs w:val="13"/>
          <w:color w:val="auto"/>
        </w:rPr>
        <w:t>reviewing, at every board meeting, any recent developments that may impact Celestica’s growth strategy; and</w:t>
      </w:r>
    </w:p>
    <w:p>
      <w:pPr>
        <w:spacing w:after="0" w:line="23" w:lineRule="exact"/>
        <w:rPr>
          <w:rFonts w:ascii="Arial" w:cs="Arial" w:eastAsia="Arial" w:hAnsi="Arial"/>
          <w:sz w:val="13"/>
          <w:szCs w:val="13"/>
          <w:color w:val="auto"/>
        </w:rPr>
      </w:pPr>
    </w:p>
    <w:p>
      <w:pPr>
        <w:ind w:left="2400" w:hanging="259"/>
        <w:spacing w:after="0"/>
        <w:tabs>
          <w:tab w:leader="none" w:pos="2400" w:val="left"/>
        </w:tabs>
        <w:numPr>
          <w:ilvl w:val="1"/>
          <w:numId w:val="117"/>
        </w:numPr>
        <w:rPr>
          <w:rFonts w:ascii="Arial" w:cs="Arial" w:eastAsia="Arial" w:hAnsi="Arial"/>
          <w:sz w:val="13"/>
          <w:szCs w:val="13"/>
          <w:color w:val="auto"/>
        </w:rPr>
      </w:pPr>
      <w:r>
        <w:rPr>
          <w:rFonts w:ascii="Arial" w:cs="Arial" w:eastAsia="Arial" w:hAnsi="Arial"/>
          <w:sz w:val="13"/>
          <w:szCs w:val="13"/>
          <w:color w:val="auto"/>
        </w:rPr>
        <w:t>evaluating management’s analysis of the strategies of competitors;</w:t>
      </w:r>
    </w:p>
    <w:p>
      <w:pPr>
        <w:spacing w:after="0" w:line="79" w:lineRule="exact"/>
        <w:rPr>
          <w:rFonts w:ascii="Arial" w:cs="Arial" w:eastAsia="Arial" w:hAnsi="Arial"/>
          <w:sz w:val="13"/>
          <w:szCs w:val="13"/>
          <w:color w:val="auto"/>
        </w:rPr>
      </w:pPr>
    </w:p>
    <w:p>
      <w:pPr>
        <w:ind w:left="2140" w:right="1499" w:hanging="264"/>
        <w:spacing w:after="0" w:line="285" w:lineRule="auto"/>
        <w:tabs>
          <w:tab w:leader="none" w:pos="214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identifying the principal risks of the corporation’s business and ensuring the implementation of appropriate systems to manage these risks;</w:t>
      </w:r>
    </w:p>
    <w:p>
      <w:pPr>
        <w:spacing w:after="0" w:line="23" w:lineRule="exact"/>
        <w:rPr>
          <w:rFonts w:ascii="Arial" w:cs="Arial" w:eastAsia="Arial" w:hAnsi="Arial"/>
          <w:sz w:val="13"/>
          <w:szCs w:val="13"/>
          <w:color w:val="auto"/>
        </w:rPr>
      </w:pPr>
    </w:p>
    <w:p>
      <w:pPr>
        <w:ind w:left="2140" w:hanging="264"/>
        <w:spacing w:after="0"/>
        <w:tabs>
          <w:tab w:leader="none" w:pos="214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succession planning;</w:t>
      </w:r>
    </w:p>
    <w:p>
      <w:pPr>
        <w:spacing w:after="0" w:line="69" w:lineRule="exact"/>
        <w:rPr>
          <w:rFonts w:ascii="Arial" w:cs="Arial" w:eastAsia="Arial" w:hAnsi="Arial"/>
          <w:sz w:val="13"/>
          <w:szCs w:val="13"/>
          <w:color w:val="auto"/>
        </w:rPr>
      </w:pPr>
    </w:p>
    <w:p>
      <w:pPr>
        <w:ind w:left="2140" w:hanging="264"/>
        <w:spacing w:after="0"/>
        <w:tabs>
          <w:tab w:leader="none" w:pos="214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reviewing financial reporting and regulatory compliance;</w:t>
      </w:r>
    </w:p>
    <w:p>
      <w:pPr>
        <w:spacing w:after="0" w:line="79" w:lineRule="exact"/>
        <w:rPr>
          <w:rFonts w:ascii="Arial" w:cs="Arial" w:eastAsia="Arial" w:hAnsi="Arial"/>
          <w:sz w:val="13"/>
          <w:szCs w:val="13"/>
          <w:color w:val="auto"/>
        </w:rPr>
      </w:pPr>
    </w:p>
    <w:p>
      <w:pPr>
        <w:ind w:left="2140" w:hanging="264"/>
        <w:spacing w:after="0"/>
        <w:tabs>
          <w:tab w:leader="none" w:pos="214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establishing a communications policy for the corporation;</w:t>
      </w:r>
    </w:p>
    <w:p>
      <w:pPr>
        <w:spacing w:after="0" w:line="69" w:lineRule="exact"/>
        <w:rPr>
          <w:rFonts w:ascii="Arial" w:cs="Arial" w:eastAsia="Arial" w:hAnsi="Arial"/>
          <w:sz w:val="13"/>
          <w:szCs w:val="13"/>
          <w:color w:val="auto"/>
        </w:rPr>
      </w:pPr>
    </w:p>
    <w:p>
      <w:pPr>
        <w:ind w:left="2140" w:hanging="264"/>
        <w:spacing w:after="0"/>
        <w:tabs>
          <w:tab w:leader="none" w:pos="214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reviewing the corporation’s internal control and management information systems;</w:t>
      </w:r>
    </w:p>
    <w:p>
      <w:pPr>
        <w:spacing w:after="0" w:line="79" w:lineRule="exact"/>
        <w:rPr>
          <w:rFonts w:ascii="Arial" w:cs="Arial" w:eastAsia="Arial" w:hAnsi="Arial"/>
          <w:sz w:val="13"/>
          <w:szCs w:val="13"/>
          <w:color w:val="auto"/>
        </w:rPr>
      </w:pPr>
    </w:p>
    <w:p>
      <w:pPr>
        <w:ind w:left="2140" w:hanging="264"/>
        <w:spacing w:after="0"/>
        <w:tabs>
          <w:tab w:leader="none" w:pos="214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reviewing management of capital;</w:t>
      </w:r>
    </w:p>
    <w:p>
      <w:pPr>
        <w:spacing w:after="0" w:line="69" w:lineRule="exact"/>
        <w:rPr>
          <w:rFonts w:ascii="Arial" w:cs="Arial" w:eastAsia="Arial" w:hAnsi="Arial"/>
          <w:sz w:val="13"/>
          <w:szCs w:val="13"/>
          <w:color w:val="auto"/>
        </w:rPr>
      </w:pPr>
    </w:p>
    <w:p>
      <w:pPr>
        <w:ind w:left="2140" w:hanging="264"/>
        <w:spacing w:after="0"/>
        <w:tabs>
          <w:tab w:leader="none" w:pos="214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reviewing and approving material transactions;</w:t>
      </w:r>
    </w:p>
    <w:p>
      <w:pPr>
        <w:spacing w:after="0" w:line="69" w:lineRule="exact"/>
        <w:rPr>
          <w:rFonts w:ascii="Arial" w:cs="Arial" w:eastAsia="Arial" w:hAnsi="Arial"/>
          <w:sz w:val="13"/>
          <w:szCs w:val="13"/>
          <w:color w:val="auto"/>
        </w:rPr>
      </w:pPr>
    </w:p>
    <w:p>
      <w:pPr>
        <w:ind w:left="2140" w:hanging="264"/>
        <w:spacing w:after="0"/>
        <w:tabs>
          <w:tab w:leader="none" w:pos="214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establishing measures for receiving feedback from securityholders;</w:t>
      </w:r>
    </w:p>
    <w:p>
      <w:pPr>
        <w:spacing w:after="0" w:line="79" w:lineRule="exact"/>
        <w:rPr>
          <w:rFonts w:ascii="Arial" w:cs="Arial" w:eastAsia="Arial" w:hAnsi="Arial"/>
          <w:sz w:val="13"/>
          <w:szCs w:val="13"/>
          <w:color w:val="auto"/>
        </w:rPr>
      </w:pPr>
    </w:p>
    <w:p>
      <w:pPr>
        <w:jc w:val="both"/>
        <w:ind w:left="2140" w:right="1499" w:hanging="264"/>
        <w:spacing w:after="0" w:line="270" w:lineRule="auto"/>
        <w:tabs>
          <w:tab w:leader="none" w:pos="214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in addition to the specific governance matters covered by this mandate, overseeing the corporation’s general strategy, policies and initiatives relating to environmental, social and governance matters, including, among other things, sustainability; and</w:t>
      </w:r>
    </w:p>
    <w:p>
      <w:pPr>
        <w:spacing w:after="0" w:line="42" w:lineRule="exact"/>
        <w:rPr>
          <w:rFonts w:ascii="Arial" w:cs="Arial" w:eastAsia="Arial" w:hAnsi="Arial"/>
          <w:sz w:val="13"/>
          <w:szCs w:val="13"/>
          <w:color w:val="auto"/>
        </w:rPr>
      </w:pPr>
    </w:p>
    <w:p>
      <w:pPr>
        <w:ind w:left="2140" w:right="1499" w:hanging="264"/>
        <w:spacing w:after="0" w:line="285" w:lineRule="auto"/>
        <w:tabs>
          <w:tab w:leader="none" w:pos="214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reviewing board operations and evaluating board, committee and individual Director effectiveness.</w:t>
      </w:r>
    </w:p>
    <w:p>
      <w:pPr>
        <w:spacing w:after="0" w:line="23" w:lineRule="exact"/>
        <w:rPr>
          <w:sz w:val="20"/>
          <w:szCs w:val="20"/>
          <w:color w:val="auto"/>
        </w:rPr>
      </w:pPr>
    </w:p>
    <w:p>
      <w:pPr>
        <w:ind w:left="1480"/>
        <w:spacing w:after="0"/>
        <w:tabs>
          <w:tab w:leader="none" w:pos="1860" w:val="left"/>
        </w:tabs>
        <w:rPr>
          <w:sz w:val="20"/>
          <w:szCs w:val="20"/>
          <w:color w:val="auto"/>
        </w:rPr>
      </w:pPr>
      <w:r>
        <w:rPr>
          <w:rFonts w:ascii="Arial" w:cs="Arial" w:eastAsia="Arial" w:hAnsi="Arial"/>
          <w:sz w:val="13"/>
          <w:szCs w:val="13"/>
          <w:color w:val="auto"/>
        </w:rPr>
        <w:t>8.2</w:t>
      </w:r>
      <w:r>
        <w:rPr>
          <w:sz w:val="20"/>
          <w:szCs w:val="20"/>
          <w:color w:val="auto"/>
        </w:rPr>
        <w:tab/>
      </w:r>
      <w:r>
        <w:rPr>
          <w:rFonts w:ascii="Arial" w:cs="Arial" w:eastAsia="Arial" w:hAnsi="Arial"/>
          <w:sz w:val="12"/>
          <w:szCs w:val="12"/>
          <w:u w:val="single" w:color="auto"/>
          <w:color w:val="auto"/>
        </w:rPr>
        <w:t>Corporate Governance Matters</w:t>
      </w:r>
    </w:p>
    <w:p>
      <w:pPr>
        <w:spacing w:after="0" w:line="79" w:lineRule="exact"/>
        <w:rPr>
          <w:sz w:val="20"/>
          <w:szCs w:val="20"/>
          <w:color w:val="auto"/>
        </w:rPr>
      </w:pPr>
    </w:p>
    <w:p>
      <w:pPr>
        <w:jc w:val="both"/>
        <w:ind w:left="2140" w:right="1499" w:hanging="264"/>
        <w:spacing w:after="0" w:line="261" w:lineRule="auto"/>
        <w:tabs>
          <w:tab w:leader="none" w:pos="214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The Board shall be responsible for developing the corporation’s approach to corporate governance, and shall review and, if it considers appropriate, approve corporate governance guidelines recommended to it by the Nominating and Corporate Governance Committee and which comply with all applicable legal and stock exchange listing requirements and with such recommendations of relevant securities regulatory authorities and stock exchanges as the Board may consider appropriate.</w:t>
      </w:r>
    </w:p>
    <w:p>
      <w:pPr>
        <w:spacing w:after="0" w:line="39" w:lineRule="exact"/>
        <w:rPr>
          <w:rFonts w:ascii="Arial" w:cs="Arial" w:eastAsia="Arial" w:hAnsi="Arial"/>
          <w:sz w:val="13"/>
          <w:szCs w:val="13"/>
          <w:color w:val="auto"/>
        </w:rPr>
      </w:pPr>
    </w:p>
    <w:p>
      <w:pPr>
        <w:jc w:val="both"/>
        <w:ind w:left="2140" w:right="1499" w:hanging="264"/>
        <w:spacing w:after="0" w:line="270" w:lineRule="auto"/>
        <w:tabs>
          <w:tab w:leader="none" w:pos="214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The Board shall review and, if it considers appropriate, approve any proposed changes to the corporate governance guidelines recommended to it by the Nominating and Corporate Governance Committee.</w:t>
      </w:r>
    </w:p>
    <w:p>
      <w:pPr>
        <w:spacing w:after="0" w:line="42" w:lineRule="exact"/>
        <w:rPr>
          <w:rFonts w:ascii="Arial" w:cs="Arial" w:eastAsia="Arial" w:hAnsi="Arial"/>
          <w:sz w:val="13"/>
          <w:szCs w:val="13"/>
          <w:color w:val="auto"/>
        </w:rPr>
      </w:pPr>
    </w:p>
    <w:p>
      <w:pPr>
        <w:jc w:val="both"/>
        <w:ind w:left="2140" w:right="1499" w:hanging="264"/>
        <w:spacing w:after="0" w:line="270" w:lineRule="auto"/>
        <w:tabs>
          <w:tab w:leader="none" w:pos="214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The Board shall review and approve any disclosure with respect to Celestica’s governance practices in any document before it is delivered to Celestica’s shareholders or filed with securities regulators or stock exchanges.</w:t>
      </w:r>
    </w:p>
    <w:p>
      <w:pPr>
        <w:spacing w:after="0" w:line="33" w:lineRule="exact"/>
        <w:rPr>
          <w:rFonts w:ascii="Arial" w:cs="Arial" w:eastAsia="Arial" w:hAnsi="Arial"/>
          <w:sz w:val="13"/>
          <w:szCs w:val="13"/>
          <w:color w:val="auto"/>
        </w:rPr>
      </w:pPr>
    </w:p>
    <w:p>
      <w:pPr>
        <w:jc w:val="both"/>
        <w:ind w:left="2140" w:right="1499" w:hanging="264"/>
        <w:spacing w:after="0" w:line="270" w:lineRule="auto"/>
        <w:tabs>
          <w:tab w:leader="none" w:pos="214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The Board shall review and, if it considers appropriate, approve the process recommended to it by the Nominating and Corporate Governance Committee for annually assessing the performance of</w:t>
      </w: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7" w:name="page88"/>
    <w:bookmarkEnd w:id="87"/>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97" w:lineRule="exact"/>
        <w:rPr>
          <w:sz w:val="20"/>
          <w:szCs w:val="20"/>
          <w:color w:val="auto"/>
        </w:rPr>
      </w:pPr>
    </w:p>
    <w:p>
      <w:pPr>
        <w:ind w:left="2140" w:right="1499"/>
        <w:spacing w:after="0" w:line="269" w:lineRule="auto"/>
        <w:rPr>
          <w:sz w:val="20"/>
          <w:szCs w:val="20"/>
          <w:color w:val="auto"/>
        </w:rPr>
      </w:pPr>
      <w:r>
        <w:rPr>
          <w:rFonts w:ascii="Arial" w:cs="Arial" w:eastAsia="Arial" w:hAnsi="Arial"/>
          <w:sz w:val="13"/>
          <w:szCs w:val="13"/>
          <w:color w:val="auto"/>
        </w:rPr>
        <w:t>the Board as a whole, the committees of the Board, the contribution of individual Directors (including the Chair of the Board) and the effectiveness of management.</w:t>
      </w:r>
    </w:p>
    <w:p>
      <w:pPr>
        <w:spacing w:after="0" w:line="23" w:lineRule="exact"/>
        <w:rPr>
          <w:sz w:val="20"/>
          <w:szCs w:val="20"/>
          <w:color w:val="auto"/>
        </w:rPr>
      </w:pPr>
    </w:p>
    <w:p>
      <w:pPr>
        <w:jc w:val="both"/>
        <w:ind w:left="2140" w:right="1499" w:hanging="264"/>
        <w:spacing w:after="0" w:line="270" w:lineRule="auto"/>
        <w:tabs>
          <w:tab w:leader="none" w:pos="214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The Board shall review and, if it considers appropriate, approve disclosure policies recommended to it by the Nominating and Corporate Governance Committee with respect to matters not covered by mandated financial disclosure.</w:t>
      </w:r>
    </w:p>
    <w:p>
      <w:pPr>
        <w:spacing w:after="0" w:line="43" w:lineRule="exact"/>
        <w:rPr>
          <w:sz w:val="20"/>
          <w:szCs w:val="20"/>
          <w:color w:val="auto"/>
        </w:rPr>
      </w:pPr>
    </w:p>
    <w:p>
      <w:pPr>
        <w:ind w:left="1480"/>
        <w:spacing w:after="0"/>
        <w:tabs>
          <w:tab w:leader="none" w:pos="1860" w:val="left"/>
        </w:tabs>
        <w:rPr>
          <w:sz w:val="20"/>
          <w:szCs w:val="20"/>
          <w:color w:val="auto"/>
        </w:rPr>
      </w:pPr>
      <w:r>
        <w:rPr>
          <w:rFonts w:ascii="Arial" w:cs="Arial" w:eastAsia="Arial" w:hAnsi="Arial"/>
          <w:sz w:val="13"/>
          <w:szCs w:val="13"/>
          <w:color w:val="auto"/>
        </w:rPr>
        <w:t>8.3</w:t>
      </w:r>
      <w:r>
        <w:rPr>
          <w:sz w:val="20"/>
          <w:szCs w:val="20"/>
          <w:color w:val="auto"/>
        </w:rPr>
        <w:tab/>
      </w:r>
      <w:r>
        <w:rPr>
          <w:rFonts w:ascii="Arial" w:cs="Arial" w:eastAsia="Arial" w:hAnsi="Arial"/>
          <w:sz w:val="12"/>
          <w:szCs w:val="12"/>
          <w:u w:val="single" w:color="auto"/>
          <w:color w:val="auto"/>
        </w:rPr>
        <w:t>Nomination and Appointment of Directors</w:t>
      </w:r>
    </w:p>
    <w:p>
      <w:pPr>
        <w:spacing w:after="0" w:line="70" w:lineRule="exact"/>
        <w:rPr>
          <w:sz w:val="20"/>
          <w:szCs w:val="20"/>
          <w:color w:val="auto"/>
        </w:rPr>
      </w:pPr>
    </w:p>
    <w:p>
      <w:pPr>
        <w:jc w:val="both"/>
        <w:ind w:left="2140" w:right="1499" w:hanging="264"/>
        <w:spacing w:after="0" w:line="265" w:lineRule="auto"/>
        <w:tabs>
          <w:tab w:leader="none" w:pos="214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The Board shall adopt selection criteria to be used by the Nominating and Corporate Governance Committee in selecting candidates for nomination to the Board and shall require the Nominating and Corporate Governance Committee to make recommendations to it with respect to such selection criteria.</w:t>
      </w:r>
    </w:p>
    <w:p>
      <w:pPr>
        <w:spacing w:after="0" w:line="46" w:lineRule="exact"/>
        <w:rPr>
          <w:rFonts w:ascii="Arial" w:cs="Arial" w:eastAsia="Arial" w:hAnsi="Arial"/>
          <w:sz w:val="13"/>
          <w:szCs w:val="13"/>
          <w:color w:val="auto"/>
        </w:rPr>
      </w:pPr>
    </w:p>
    <w:p>
      <w:pPr>
        <w:jc w:val="both"/>
        <w:ind w:left="2140" w:right="1499" w:hanging="264"/>
        <w:spacing w:after="0" w:line="270" w:lineRule="auto"/>
        <w:tabs>
          <w:tab w:leader="none" w:pos="214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The Board shall nominate individuals for election as Directors by the shareholders and shall require the Nominating and Corporate Governance Committee to make recommendations to it with respect to such nominations.</w:t>
      </w:r>
    </w:p>
    <w:p>
      <w:pPr>
        <w:spacing w:after="0" w:line="33" w:lineRule="exact"/>
        <w:rPr>
          <w:rFonts w:ascii="Arial" w:cs="Arial" w:eastAsia="Arial" w:hAnsi="Arial"/>
          <w:sz w:val="13"/>
          <w:szCs w:val="13"/>
          <w:color w:val="auto"/>
        </w:rPr>
      </w:pPr>
    </w:p>
    <w:p>
      <w:pPr>
        <w:jc w:val="both"/>
        <w:ind w:left="2140" w:right="1499" w:hanging="264"/>
        <w:spacing w:after="0" w:line="270" w:lineRule="auto"/>
        <w:tabs>
          <w:tab w:leader="none" w:pos="214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The Board may fill vacancies on the Board as it is permitted by law to fill and shall require the Nominating and Corporate Governance Committee to make recommendations to it with respect to such vacancies.</w:t>
      </w:r>
    </w:p>
    <w:p>
      <w:pPr>
        <w:spacing w:after="0" w:line="42" w:lineRule="exact"/>
        <w:rPr>
          <w:rFonts w:ascii="Arial" w:cs="Arial" w:eastAsia="Arial" w:hAnsi="Arial"/>
          <w:sz w:val="13"/>
          <w:szCs w:val="13"/>
          <w:color w:val="auto"/>
        </w:rPr>
      </w:pPr>
    </w:p>
    <w:p>
      <w:pPr>
        <w:ind w:left="2140" w:right="1499" w:hanging="264"/>
        <w:spacing w:after="0" w:line="285" w:lineRule="auto"/>
        <w:tabs>
          <w:tab w:leader="none" w:pos="214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The Board shall consider recommendations made to it by the Nominating and Corporate Governance Committee with respect to the size and composition of the Board.</w:t>
      </w:r>
    </w:p>
    <w:p>
      <w:pPr>
        <w:spacing w:after="0" w:line="33" w:lineRule="exact"/>
        <w:rPr>
          <w:sz w:val="20"/>
          <w:szCs w:val="20"/>
          <w:color w:val="auto"/>
        </w:rPr>
      </w:pPr>
    </w:p>
    <w:p>
      <w:pPr>
        <w:jc w:val="both"/>
        <w:ind w:left="1880" w:right="1499" w:hanging="397"/>
        <w:spacing w:after="0" w:line="270" w:lineRule="auto"/>
        <w:tabs>
          <w:tab w:leader="none" w:pos="1860" w:val="left"/>
        </w:tabs>
        <w:rPr>
          <w:sz w:val="20"/>
          <w:szCs w:val="20"/>
          <w:color w:val="auto"/>
        </w:rPr>
      </w:pPr>
      <w:r>
        <w:rPr>
          <w:rFonts w:ascii="Arial" w:cs="Arial" w:eastAsia="Arial" w:hAnsi="Arial"/>
          <w:sz w:val="13"/>
          <w:szCs w:val="13"/>
          <w:color w:val="auto"/>
        </w:rPr>
        <w:t>8.4</w:t>
      </w:r>
      <w:r>
        <w:rPr>
          <w:sz w:val="20"/>
          <w:szCs w:val="20"/>
          <w:color w:val="auto"/>
        </w:rPr>
        <w:tab/>
      </w:r>
      <w:r>
        <w:rPr>
          <w:rFonts w:ascii="Arial" w:cs="Arial" w:eastAsia="Arial" w:hAnsi="Arial"/>
          <w:sz w:val="13"/>
          <w:szCs w:val="13"/>
          <w:u w:val="single" w:color="auto"/>
          <w:color w:val="auto"/>
        </w:rPr>
        <w:t xml:space="preserve">Specific Authorization </w:t>
      </w:r>
      <w:r>
        <w:rPr>
          <w:rFonts w:ascii="Arial" w:cs="Arial" w:eastAsia="Arial" w:hAnsi="Arial"/>
          <w:sz w:val="13"/>
          <w:szCs w:val="13"/>
          <w:color w:val="auto"/>
        </w:rPr>
        <w:t>— The Board shall authorize the CEO to enter into commitments on behalf of</w:t>
      </w:r>
      <w:r>
        <w:rPr>
          <w:rFonts w:ascii="Arial" w:cs="Arial" w:eastAsia="Arial" w:hAnsi="Arial"/>
          <w:sz w:val="13"/>
          <w:szCs w:val="13"/>
          <w:u w:val="single" w:color="auto"/>
          <w:color w:val="auto"/>
        </w:rPr>
        <w:t xml:space="preserve"> </w:t>
      </w:r>
      <w:r>
        <w:rPr>
          <w:rFonts w:ascii="Arial" w:cs="Arial" w:eastAsia="Arial" w:hAnsi="Arial"/>
          <w:sz w:val="13"/>
          <w:szCs w:val="13"/>
          <w:color w:val="auto"/>
        </w:rPr>
        <w:t>Celestica, subject to certain limits, and shall from time to time, as the Board considers appropriate, review such authorization.</w:t>
      </w:r>
    </w:p>
    <w:p>
      <w:pPr>
        <w:spacing w:after="0" w:line="33" w:lineRule="exact"/>
        <w:rPr>
          <w:sz w:val="20"/>
          <w:szCs w:val="20"/>
          <w:color w:val="auto"/>
        </w:rPr>
      </w:pPr>
    </w:p>
    <w:p>
      <w:pPr>
        <w:jc w:val="both"/>
        <w:ind w:left="1880" w:right="1499" w:hanging="397"/>
        <w:spacing w:after="0" w:line="270" w:lineRule="auto"/>
        <w:tabs>
          <w:tab w:leader="none" w:pos="1860" w:val="left"/>
        </w:tabs>
        <w:rPr>
          <w:sz w:val="20"/>
          <w:szCs w:val="20"/>
          <w:color w:val="auto"/>
        </w:rPr>
      </w:pPr>
      <w:r>
        <w:rPr>
          <w:rFonts w:ascii="Arial" w:cs="Arial" w:eastAsia="Arial" w:hAnsi="Arial"/>
          <w:sz w:val="13"/>
          <w:szCs w:val="13"/>
          <w:color w:val="auto"/>
        </w:rPr>
        <w:t>8.5</w:t>
      </w:r>
      <w:r>
        <w:rPr>
          <w:sz w:val="20"/>
          <w:szCs w:val="20"/>
          <w:color w:val="auto"/>
        </w:rPr>
        <w:tab/>
      </w:r>
      <w:r>
        <w:rPr>
          <w:rFonts w:ascii="Arial" w:cs="Arial" w:eastAsia="Arial" w:hAnsi="Arial"/>
          <w:sz w:val="13"/>
          <w:szCs w:val="13"/>
          <w:u w:val="single" w:color="auto"/>
          <w:color w:val="auto"/>
        </w:rPr>
        <w:t xml:space="preserve">Significant Decisions </w:t>
      </w:r>
      <w:r>
        <w:rPr>
          <w:rFonts w:ascii="Arial" w:cs="Arial" w:eastAsia="Arial" w:hAnsi="Arial"/>
          <w:sz w:val="13"/>
          <w:szCs w:val="13"/>
          <w:color w:val="auto"/>
        </w:rPr>
        <w:t>— The Board shall require management to obtain its approval for all</w:t>
      </w:r>
      <w:r>
        <w:rPr>
          <w:rFonts w:ascii="Arial" w:cs="Arial" w:eastAsia="Arial" w:hAnsi="Arial"/>
          <w:sz w:val="13"/>
          <w:szCs w:val="13"/>
          <w:u w:val="single" w:color="auto"/>
          <w:color w:val="auto"/>
        </w:rPr>
        <w:t xml:space="preserve"> </w:t>
      </w:r>
      <w:r>
        <w:rPr>
          <w:rFonts w:ascii="Arial" w:cs="Arial" w:eastAsia="Arial" w:hAnsi="Arial"/>
          <w:sz w:val="13"/>
          <w:szCs w:val="13"/>
          <w:color w:val="auto"/>
        </w:rPr>
        <w:t>significant decisions, including: major financings; significant acquisitions, dispositions and capital expenditures; and each annual operating plan.</w:t>
      </w:r>
    </w:p>
    <w:p>
      <w:pPr>
        <w:spacing w:after="0" w:line="43" w:lineRule="exact"/>
        <w:rPr>
          <w:sz w:val="20"/>
          <w:szCs w:val="20"/>
          <w:color w:val="auto"/>
        </w:rPr>
      </w:pPr>
    </w:p>
    <w:p>
      <w:pPr>
        <w:jc w:val="both"/>
        <w:ind w:left="1880" w:right="1499" w:hanging="397"/>
        <w:spacing w:after="0" w:line="329" w:lineRule="auto"/>
        <w:tabs>
          <w:tab w:leader="none" w:pos="1860" w:val="left"/>
        </w:tabs>
        <w:rPr>
          <w:sz w:val="20"/>
          <w:szCs w:val="20"/>
          <w:color w:val="auto"/>
        </w:rPr>
      </w:pPr>
      <w:r>
        <w:rPr>
          <w:rFonts w:ascii="Arial" w:cs="Arial" w:eastAsia="Arial" w:hAnsi="Arial"/>
          <w:sz w:val="13"/>
          <w:szCs w:val="13"/>
          <w:color w:val="auto"/>
        </w:rPr>
        <w:t>8.6</w:t>
      </w:r>
      <w:r>
        <w:rPr>
          <w:sz w:val="20"/>
          <w:szCs w:val="20"/>
          <w:color w:val="auto"/>
        </w:rPr>
        <w:tab/>
      </w:r>
      <w:r>
        <w:rPr>
          <w:rFonts w:ascii="Arial" w:cs="Arial" w:eastAsia="Arial" w:hAnsi="Arial"/>
          <w:sz w:val="12"/>
          <w:szCs w:val="12"/>
          <w:u w:val="single" w:color="auto"/>
          <w:color w:val="auto"/>
        </w:rPr>
        <w:t xml:space="preserve">Information Flow from Management </w:t>
      </w:r>
      <w:r>
        <w:rPr>
          <w:rFonts w:ascii="Arial" w:cs="Arial" w:eastAsia="Arial" w:hAnsi="Arial"/>
          <w:sz w:val="12"/>
          <w:szCs w:val="12"/>
          <w:color w:val="auto"/>
        </w:rPr>
        <w:t>— The Board shall require management to keep it apprised of</w:t>
      </w:r>
      <w:r>
        <w:rPr>
          <w:rFonts w:ascii="Arial" w:cs="Arial" w:eastAsia="Arial" w:hAnsi="Arial"/>
          <w:sz w:val="12"/>
          <w:szCs w:val="12"/>
          <w:u w:val="single" w:color="auto"/>
          <w:color w:val="auto"/>
        </w:rPr>
        <w:t xml:space="preserve"> </w:t>
      </w:r>
      <w:r>
        <w:rPr>
          <w:rFonts w:ascii="Arial" w:cs="Arial" w:eastAsia="Arial" w:hAnsi="Arial"/>
          <w:sz w:val="12"/>
          <w:szCs w:val="12"/>
          <w:color w:val="auto"/>
        </w:rPr>
        <w:t>the Corporation’s performance and events that may materially affect the Corporation’s business.</w:t>
      </w:r>
    </w:p>
    <w:p>
      <w:pPr>
        <w:spacing w:after="0" w:line="10" w:lineRule="exact"/>
        <w:rPr>
          <w:sz w:val="20"/>
          <w:szCs w:val="20"/>
          <w:color w:val="auto"/>
        </w:rPr>
      </w:pPr>
    </w:p>
    <w:p>
      <w:pPr>
        <w:jc w:val="both"/>
        <w:ind w:left="1880" w:right="1499" w:hanging="397"/>
        <w:spacing w:after="0" w:line="270" w:lineRule="auto"/>
        <w:tabs>
          <w:tab w:leader="none" w:pos="1860" w:val="left"/>
        </w:tabs>
        <w:rPr>
          <w:sz w:val="20"/>
          <w:szCs w:val="20"/>
          <w:color w:val="auto"/>
        </w:rPr>
      </w:pPr>
      <w:r>
        <w:rPr>
          <w:rFonts w:ascii="Arial" w:cs="Arial" w:eastAsia="Arial" w:hAnsi="Arial"/>
          <w:sz w:val="13"/>
          <w:szCs w:val="13"/>
          <w:color w:val="auto"/>
        </w:rPr>
        <w:t>8.7</w:t>
      </w:r>
      <w:r>
        <w:rPr>
          <w:sz w:val="20"/>
          <w:szCs w:val="20"/>
          <w:color w:val="auto"/>
        </w:rPr>
        <w:tab/>
      </w:r>
      <w:r>
        <w:rPr>
          <w:rFonts w:ascii="Arial" w:cs="Arial" w:eastAsia="Arial" w:hAnsi="Arial"/>
          <w:sz w:val="13"/>
          <w:szCs w:val="13"/>
          <w:u w:val="single" w:color="auto"/>
          <w:color w:val="auto"/>
        </w:rPr>
        <w:t xml:space="preserve">Corporate Objectives </w:t>
      </w:r>
      <w:r>
        <w:rPr>
          <w:rFonts w:ascii="Arial" w:cs="Arial" w:eastAsia="Arial" w:hAnsi="Arial"/>
          <w:sz w:val="13"/>
          <w:szCs w:val="13"/>
          <w:color w:val="auto"/>
        </w:rPr>
        <w:t>— The Board shall from time to time, as it considers appropriate, review and</w:t>
      </w:r>
      <w:r>
        <w:rPr>
          <w:rFonts w:ascii="Arial" w:cs="Arial" w:eastAsia="Arial" w:hAnsi="Arial"/>
          <w:sz w:val="13"/>
          <w:szCs w:val="13"/>
          <w:u w:val="single" w:color="auto"/>
          <w:color w:val="auto"/>
        </w:rPr>
        <w:t xml:space="preserve"> </w:t>
      </w:r>
      <w:r>
        <w:rPr>
          <w:rFonts w:ascii="Arial" w:cs="Arial" w:eastAsia="Arial" w:hAnsi="Arial"/>
          <w:sz w:val="13"/>
          <w:szCs w:val="13"/>
          <w:color w:val="auto"/>
        </w:rPr>
        <w:t>approve financial and business goals and objectives which will be used as a basis for measuring the performance of the CEO and will be relevant to CEO compensation.</w:t>
      </w:r>
    </w:p>
    <w:p>
      <w:pPr>
        <w:spacing w:after="0" w:line="33" w:lineRule="exact"/>
        <w:rPr>
          <w:sz w:val="20"/>
          <w:szCs w:val="20"/>
          <w:color w:val="auto"/>
        </w:rPr>
      </w:pPr>
    </w:p>
    <w:p>
      <w:pPr>
        <w:ind w:left="1480"/>
        <w:spacing w:after="0"/>
        <w:tabs>
          <w:tab w:leader="none" w:pos="1860" w:val="left"/>
        </w:tabs>
        <w:rPr>
          <w:sz w:val="20"/>
          <w:szCs w:val="20"/>
          <w:color w:val="auto"/>
        </w:rPr>
      </w:pPr>
      <w:r>
        <w:rPr>
          <w:rFonts w:ascii="Arial" w:cs="Arial" w:eastAsia="Arial" w:hAnsi="Arial"/>
          <w:sz w:val="13"/>
          <w:szCs w:val="13"/>
          <w:color w:val="auto"/>
        </w:rPr>
        <w:t>8.8</w:t>
      </w:r>
      <w:r>
        <w:rPr>
          <w:sz w:val="20"/>
          <w:szCs w:val="20"/>
          <w:color w:val="auto"/>
        </w:rPr>
        <w:tab/>
      </w:r>
      <w:r>
        <w:rPr>
          <w:rFonts w:ascii="Arial" w:cs="Arial" w:eastAsia="Arial" w:hAnsi="Arial"/>
          <w:sz w:val="12"/>
          <w:szCs w:val="12"/>
          <w:u w:val="single" w:color="auto"/>
          <w:color w:val="auto"/>
        </w:rPr>
        <w:t>Establishment of Committees</w:t>
      </w:r>
    </w:p>
    <w:p>
      <w:pPr>
        <w:spacing w:after="0" w:line="79" w:lineRule="exact"/>
        <w:rPr>
          <w:sz w:val="20"/>
          <w:szCs w:val="20"/>
          <w:color w:val="auto"/>
        </w:rPr>
      </w:pPr>
    </w:p>
    <w:p>
      <w:pPr>
        <w:jc w:val="both"/>
        <w:ind w:left="2140" w:right="1499" w:hanging="264"/>
        <w:spacing w:after="0" w:line="265" w:lineRule="auto"/>
        <w:tabs>
          <w:tab w:leader="none" w:pos="214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The Board shall establish and maintain the following standing committees of the Board, each having a mandate that incorporates all applicable legal and stock exchange listing requirements and with such recommendations of relevant securities regulatory authorities and stock exchanges as the Board may consider appropriate:</w:t>
      </w:r>
    </w:p>
    <w:p>
      <w:pPr>
        <w:spacing w:after="0" w:line="46" w:lineRule="exact"/>
        <w:rPr>
          <w:rFonts w:ascii="Arial" w:cs="Arial" w:eastAsia="Arial" w:hAnsi="Arial"/>
          <w:sz w:val="13"/>
          <w:szCs w:val="13"/>
          <w:color w:val="auto"/>
        </w:rPr>
      </w:pPr>
    </w:p>
    <w:p>
      <w:pPr>
        <w:ind w:left="2400" w:hanging="259"/>
        <w:spacing w:after="0"/>
        <w:tabs>
          <w:tab w:leader="none" w:pos="2400" w:val="left"/>
        </w:tabs>
        <w:numPr>
          <w:ilvl w:val="1"/>
          <w:numId w:val="121"/>
        </w:numPr>
        <w:rPr>
          <w:rFonts w:ascii="Arial" w:cs="Arial" w:eastAsia="Arial" w:hAnsi="Arial"/>
          <w:sz w:val="13"/>
          <w:szCs w:val="13"/>
          <w:color w:val="auto"/>
        </w:rPr>
      </w:pPr>
      <w:r>
        <w:rPr>
          <w:rFonts w:ascii="Arial" w:cs="Arial" w:eastAsia="Arial" w:hAnsi="Arial"/>
          <w:sz w:val="13"/>
          <w:szCs w:val="13"/>
          <w:color w:val="auto"/>
        </w:rPr>
        <w:t>Audit Committee;</w:t>
      </w:r>
    </w:p>
    <w:p>
      <w:pPr>
        <w:spacing w:after="0" w:line="69" w:lineRule="exact"/>
        <w:rPr>
          <w:rFonts w:ascii="Arial" w:cs="Arial" w:eastAsia="Arial" w:hAnsi="Arial"/>
          <w:sz w:val="13"/>
          <w:szCs w:val="13"/>
          <w:color w:val="auto"/>
        </w:rPr>
      </w:pPr>
    </w:p>
    <w:p>
      <w:pPr>
        <w:ind w:left="2400" w:hanging="259"/>
        <w:spacing w:after="0"/>
        <w:tabs>
          <w:tab w:leader="none" w:pos="2400" w:val="left"/>
        </w:tabs>
        <w:numPr>
          <w:ilvl w:val="1"/>
          <w:numId w:val="121"/>
        </w:numPr>
        <w:rPr>
          <w:rFonts w:ascii="Arial" w:cs="Arial" w:eastAsia="Arial" w:hAnsi="Arial"/>
          <w:sz w:val="13"/>
          <w:szCs w:val="13"/>
          <w:color w:val="auto"/>
        </w:rPr>
      </w:pPr>
      <w:r>
        <w:rPr>
          <w:rFonts w:ascii="Arial" w:cs="Arial" w:eastAsia="Arial" w:hAnsi="Arial"/>
          <w:sz w:val="13"/>
          <w:szCs w:val="13"/>
          <w:color w:val="auto"/>
        </w:rPr>
        <w:t>Nominating and Corporate Governance Committee; and</w:t>
      </w:r>
    </w:p>
    <w:p>
      <w:pPr>
        <w:spacing w:after="0" w:line="79" w:lineRule="exact"/>
        <w:rPr>
          <w:rFonts w:ascii="Arial" w:cs="Arial" w:eastAsia="Arial" w:hAnsi="Arial"/>
          <w:sz w:val="13"/>
          <w:szCs w:val="13"/>
          <w:color w:val="auto"/>
        </w:rPr>
      </w:pPr>
    </w:p>
    <w:p>
      <w:pPr>
        <w:ind w:left="2400" w:hanging="259"/>
        <w:spacing w:after="0"/>
        <w:tabs>
          <w:tab w:leader="none" w:pos="2400" w:val="left"/>
        </w:tabs>
        <w:numPr>
          <w:ilvl w:val="1"/>
          <w:numId w:val="121"/>
        </w:numPr>
        <w:rPr>
          <w:rFonts w:ascii="Arial" w:cs="Arial" w:eastAsia="Arial" w:hAnsi="Arial"/>
          <w:sz w:val="13"/>
          <w:szCs w:val="13"/>
          <w:color w:val="auto"/>
        </w:rPr>
      </w:pPr>
      <w:r>
        <w:rPr>
          <w:rFonts w:ascii="Arial" w:cs="Arial" w:eastAsia="Arial" w:hAnsi="Arial"/>
          <w:sz w:val="13"/>
          <w:szCs w:val="13"/>
          <w:color w:val="auto"/>
        </w:rPr>
        <w:t>Human Resources and Compensation Committee.</w:t>
      </w:r>
    </w:p>
    <w:p>
      <w:pPr>
        <w:spacing w:after="0" w:line="79" w:lineRule="exact"/>
        <w:rPr>
          <w:rFonts w:ascii="Arial" w:cs="Arial" w:eastAsia="Arial" w:hAnsi="Arial"/>
          <w:sz w:val="13"/>
          <w:szCs w:val="13"/>
          <w:color w:val="auto"/>
        </w:rPr>
      </w:pPr>
    </w:p>
    <w:p>
      <w:pPr>
        <w:jc w:val="both"/>
        <w:ind w:left="2140" w:right="1499" w:hanging="264"/>
        <w:spacing w:after="0" w:line="270" w:lineRule="auto"/>
        <w:tabs>
          <w:tab w:leader="none" w:pos="214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Subject to Celestica’s articles and by-laws, the Board may appoint any other committee of Directors and delegate to such committee any of the powers of the Board, except to the extent that such delegation is prohibited under the OBCA.</w:t>
      </w:r>
    </w:p>
    <w:p>
      <w:pPr>
        <w:spacing w:after="0" w:line="33" w:lineRule="exact"/>
        <w:rPr>
          <w:rFonts w:ascii="Arial" w:cs="Arial" w:eastAsia="Arial" w:hAnsi="Arial"/>
          <w:sz w:val="13"/>
          <w:szCs w:val="13"/>
          <w:color w:val="auto"/>
        </w:rPr>
      </w:pPr>
    </w:p>
    <w:p>
      <w:pPr>
        <w:jc w:val="both"/>
        <w:ind w:left="2140" w:right="1499" w:hanging="264"/>
        <w:spacing w:after="0" w:line="261" w:lineRule="auto"/>
        <w:tabs>
          <w:tab w:leader="none" w:pos="214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The Board shall appoint and maintain in office, members of each of its committees such that the composition of each such committee is in compliance with all applicable legal and stock exchange listing requirements and with such recommendations of relevant securities regulatory authorities and stock exchanges as the Board may consider appropriate. The Board shall require the Nominating and Corporate Governance Committee to make recommendations to it with respect to such matters.</w:t>
      </w:r>
    </w:p>
    <w:p>
      <w:pPr>
        <w:spacing w:after="0" w:line="49" w:lineRule="exact"/>
        <w:rPr>
          <w:rFonts w:ascii="Arial" w:cs="Arial" w:eastAsia="Arial" w:hAnsi="Arial"/>
          <w:sz w:val="13"/>
          <w:szCs w:val="13"/>
          <w:color w:val="auto"/>
        </w:rPr>
      </w:pPr>
    </w:p>
    <w:p>
      <w:pPr>
        <w:jc w:val="both"/>
        <w:ind w:left="2140" w:right="1499" w:hanging="264"/>
        <w:spacing w:after="0" w:line="329" w:lineRule="auto"/>
        <w:tabs>
          <w:tab w:leader="none" w:pos="214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The Board shall from time to time, as it considers appropriate, review the mandates of each of its committees and shall approve any changes to those mandates as it considers appropriate. The</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8" w:name="page89"/>
    <w:bookmarkEnd w:id="88"/>
    <w:p>
      <w:pPr>
        <w:ind w:left="560"/>
        <w:spacing w:after="0"/>
        <w:rPr>
          <w:rFonts w:ascii="Arial" w:cs="Arial" w:eastAsia="Arial" w:hAnsi="Arial"/>
          <w:sz w:val="11"/>
          <w:szCs w:val="11"/>
          <w:color w:val="003366"/>
        </w:rPr>
      </w:pPr>
      <w:hyperlink w:anchor="page7">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397" w:lineRule="exact"/>
        <w:rPr>
          <w:sz w:val="20"/>
          <w:szCs w:val="20"/>
          <w:color w:val="auto"/>
        </w:rPr>
      </w:pPr>
    </w:p>
    <w:p>
      <w:pPr>
        <w:ind w:left="2140" w:right="1499"/>
        <w:spacing w:after="0" w:line="285" w:lineRule="auto"/>
        <w:rPr>
          <w:sz w:val="20"/>
          <w:szCs w:val="20"/>
          <w:color w:val="auto"/>
        </w:rPr>
      </w:pPr>
      <w:r>
        <w:rPr>
          <w:rFonts w:ascii="Arial" w:cs="Arial" w:eastAsia="Arial" w:hAnsi="Arial"/>
          <w:sz w:val="13"/>
          <w:szCs w:val="13"/>
          <w:color w:val="auto"/>
        </w:rPr>
        <w:t>Board shall require the Nominating and Corporate Governance Committee to make recommendations to the Board with respect to such matters.</w:t>
      </w:r>
    </w:p>
    <w:p>
      <w:pPr>
        <w:spacing w:after="0" w:line="23" w:lineRule="exact"/>
        <w:rPr>
          <w:sz w:val="20"/>
          <w:szCs w:val="20"/>
          <w:color w:val="auto"/>
        </w:rPr>
      </w:pPr>
    </w:p>
    <w:p>
      <w:pPr>
        <w:ind w:left="1480"/>
        <w:spacing w:after="0"/>
        <w:tabs>
          <w:tab w:leader="none" w:pos="1860" w:val="left"/>
        </w:tabs>
        <w:rPr>
          <w:sz w:val="20"/>
          <w:szCs w:val="20"/>
          <w:color w:val="auto"/>
        </w:rPr>
      </w:pPr>
      <w:r>
        <w:rPr>
          <w:rFonts w:ascii="Arial" w:cs="Arial" w:eastAsia="Arial" w:hAnsi="Arial"/>
          <w:sz w:val="13"/>
          <w:szCs w:val="13"/>
          <w:color w:val="auto"/>
        </w:rPr>
        <w:t>8.9</w:t>
      </w:r>
      <w:r>
        <w:rPr>
          <w:sz w:val="20"/>
          <w:szCs w:val="20"/>
          <w:color w:val="auto"/>
        </w:rPr>
        <w:tab/>
      </w:r>
      <w:r>
        <w:rPr>
          <w:rFonts w:ascii="Arial" w:cs="Arial" w:eastAsia="Arial" w:hAnsi="Arial"/>
          <w:sz w:val="12"/>
          <w:szCs w:val="12"/>
          <w:u w:val="single" w:color="auto"/>
          <w:color w:val="auto"/>
        </w:rPr>
        <w:t>Appointments</w:t>
      </w:r>
    </w:p>
    <w:p>
      <w:pPr>
        <w:spacing w:after="0" w:line="79" w:lineRule="exact"/>
        <w:rPr>
          <w:sz w:val="20"/>
          <w:szCs w:val="20"/>
          <w:color w:val="auto"/>
        </w:rPr>
      </w:pPr>
    </w:p>
    <w:p>
      <w:pPr>
        <w:ind w:left="2140" w:right="1499" w:hanging="264"/>
        <w:spacing w:after="0" w:line="285" w:lineRule="auto"/>
        <w:tabs>
          <w:tab w:leader="none" w:pos="214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Subject to Celestica’s articles and by-laws, the Board may designate the offices of the Corporation and appoint officers.</w:t>
      </w:r>
    </w:p>
    <w:p>
      <w:pPr>
        <w:spacing w:after="0" w:line="33" w:lineRule="exact"/>
        <w:rPr>
          <w:rFonts w:ascii="Arial" w:cs="Arial" w:eastAsia="Arial" w:hAnsi="Arial"/>
          <w:sz w:val="13"/>
          <w:szCs w:val="13"/>
          <w:color w:val="auto"/>
        </w:rPr>
      </w:pPr>
    </w:p>
    <w:p>
      <w:pPr>
        <w:ind w:left="2140" w:hanging="264"/>
        <w:spacing w:after="0"/>
        <w:tabs>
          <w:tab w:leader="none" w:pos="214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The Board shall also adopt position descriptions for:</w:t>
      </w:r>
    </w:p>
    <w:p>
      <w:pPr>
        <w:spacing w:after="0" w:line="69" w:lineRule="exact"/>
        <w:rPr>
          <w:rFonts w:ascii="Arial" w:cs="Arial" w:eastAsia="Arial" w:hAnsi="Arial"/>
          <w:sz w:val="13"/>
          <w:szCs w:val="13"/>
          <w:color w:val="auto"/>
        </w:rPr>
      </w:pPr>
    </w:p>
    <w:p>
      <w:pPr>
        <w:ind w:left="2400" w:hanging="259"/>
        <w:spacing w:after="0"/>
        <w:tabs>
          <w:tab w:leader="none" w:pos="2400" w:val="left"/>
        </w:tabs>
        <w:numPr>
          <w:ilvl w:val="1"/>
          <w:numId w:val="122"/>
        </w:numPr>
        <w:rPr>
          <w:rFonts w:ascii="Arial" w:cs="Arial" w:eastAsia="Arial" w:hAnsi="Arial"/>
          <w:sz w:val="13"/>
          <w:szCs w:val="13"/>
          <w:color w:val="auto"/>
        </w:rPr>
      </w:pPr>
      <w:r>
        <w:rPr>
          <w:rFonts w:ascii="Arial" w:cs="Arial" w:eastAsia="Arial" w:hAnsi="Arial"/>
          <w:sz w:val="13"/>
          <w:szCs w:val="13"/>
          <w:color w:val="auto"/>
        </w:rPr>
        <w:t>the Chair;</w:t>
      </w:r>
    </w:p>
    <w:p>
      <w:pPr>
        <w:spacing w:after="0" w:line="79" w:lineRule="exact"/>
        <w:rPr>
          <w:rFonts w:ascii="Arial" w:cs="Arial" w:eastAsia="Arial" w:hAnsi="Arial"/>
          <w:sz w:val="13"/>
          <w:szCs w:val="13"/>
          <w:color w:val="auto"/>
        </w:rPr>
      </w:pPr>
    </w:p>
    <w:p>
      <w:pPr>
        <w:ind w:left="2400" w:hanging="259"/>
        <w:spacing w:after="0"/>
        <w:tabs>
          <w:tab w:leader="none" w:pos="2400" w:val="left"/>
        </w:tabs>
        <w:numPr>
          <w:ilvl w:val="1"/>
          <w:numId w:val="122"/>
        </w:numPr>
        <w:rPr>
          <w:rFonts w:ascii="Arial" w:cs="Arial" w:eastAsia="Arial" w:hAnsi="Arial"/>
          <w:sz w:val="13"/>
          <w:szCs w:val="13"/>
          <w:color w:val="auto"/>
        </w:rPr>
      </w:pPr>
      <w:r>
        <w:rPr>
          <w:rFonts w:ascii="Arial" w:cs="Arial" w:eastAsia="Arial" w:hAnsi="Arial"/>
          <w:sz w:val="13"/>
          <w:szCs w:val="13"/>
          <w:color w:val="auto"/>
        </w:rPr>
        <w:t>the CEO; and</w:t>
      </w:r>
    </w:p>
    <w:p>
      <w:pPr>
        <w:spacing w:after="0" w:line="79" w:lineRule="exact"/>
        <w:rPr>
          <w:rFonts w:ascii="Arial" w:cs="Arial" w:eastAsia="Arial" w:hAnsi="Arial"/>
          <w:sz w:val="13"/>
          <w:szCs w:val="13"/>
          <w:color w:val="auto"/>
        </w:rPr>
      </w:pPr>
    </w:p>
    <w:p>
      <w:pPr>
        <w:ind w:left="2400" w:hanging="259"/>
        <w:spacing w:after="0"/>
        <w:tabs>
          <w:tab w:leader="none" w:pos="2400" w:val="left"/>
        </w:tabs>
        <w:numPr>
          <w:ilvl w:val="1"/>
          <w:numId w:val="122"/>
        </w:numPr>
        <w:rPr>
          <w:rFonts w:ascii="Arial" w:cs="Arial" w:eastAsia="Arial" w:hAnsi="Arial"/>
          <w:sz w:val="13"/>
          <w:szCs w:val="13"/>
          <w:color w:val="auto"/>
        </w:rPr>
      </w:pPr>
      <w:r>
        <w:rPr>
          <w:rFonts w:ascii="Arial" w:cs="Arial" w:eastAsia="Arial" w:hAnsi="Arial"/>
          <w:sz w:val="13"/>
          <w:szCs w:val="13"/>
          <w:color w:val="auto"/>
        </w:rPr>
        <w:t>the chair of each standing committee of the Board,</w:t>
      </w:r>
    </w:p>
    <w:p>
      <w:pPr>
        <w:spacing w:after="0" w:line="70" w:lineRule="exact"/>
        <w:rPr>
          <w:sz w:val="20"/>
          <w:szCs w:val="20"/>
          <w:color w:val="auto"/>
        </w:rPr>
      </w:pPr>
    </w:p>
    <w:p>
      <w:pPr>
        <w:ind w:left="2140" w:right="1499"/>
        <w:spacing w:after="0" w:line="285" w:lineRule="auto"/>
        <w:rPr>
          <w:sz w:val="20"/>
          <w:szCs w:val="20"/>
          <w:color w:val="auto"/>
        </w:rPr>
      </w:pPr>
      <w:r>
        <w:rPr>
          <w:rFonts w:ascii="Arial" w:cs="Arial" w:eastAsia="Arial" w:hAnsi="Arial"/>
          <w:sz w:val="13"/>
          <w:szCs w:val="13"/>
          <w:color w:val="auto"/>
        </w:rPr>
        <w:t>and shall require the Nominating and Corporate Governance Committee to make recommendations to the Board with respect to such matters.</w:t>
      </w:r>
    </w:p>
    <w:p>
      <w:pPr>
        <w:spacing w:after="0" w:line="33" w:lineRule="exact"/>
        <w:rPr>
          <w:sz w:val="20"/>
          <w:szCs w:val="20"/>
          <w:color w:val="auto"/>
        </w:rPr>
      </w:pPr>
    </w:p>
    <w:p>
      <w:pPr>
        <w:jc w:val="both"/>
        <w:ind w:left="1880" w:right="1499" w:hanging="397"/>
        <w:spacing w:after="0" w:line="270" w:lineRule="auto"/>
        <w:tabs>
          <w:tab w:leader="none" w:pos="1860" w:val="left"/>
        </w:tabs>
        <w:rPr>
          <w:sz w:val="20"/>
          <w:szCs w:val="20"/>
          <w:color w:val="auto"/>
        </w:rPr>
      </w:pPr>
      <w:r>
        <w:rPr>
          <w:rFonts w:ascii="Arial" w:cs="Arial" w:eastAsia="Arial" w:hAnsi="Arial"/>
          <w:sz w:val="13"/>
          <w:szCs w:val="13"/>
          <w:color w:val="auto"/>
        </w:rPr>
        <w:t>8.10</w:t>
      </w:r>
      <w:r>
        <w:rPr>
          <w:sz w:val="20"/>
          <w:szCs w:val="20"/>
          <w:color w:val="auto"/>
        </w:rPr>
        <w:tab/>
      </w:r>
      <w:r>
        <w:rPr>
          <w:rFonts w:ascii="Arial" w:cs="Arial" w:eastAsia="Arial" w:hAnsi="Arial"/>
          <w:sz w:val="13"/>
          <w:szCs w:val="13"/>
          <w:u w:val="single" w:color="auto"/>
          <w:color w:val="auto"/>
        </w:rPr>
        <w:t xml:space="preserve">Financial Statements </w:t>
      </w:r>
      <w:r>
        <w:rPr>
          <w:rFonts w:ascii="Arial" w:cs="Arial" w:eastAsia="Arial" w:hAnsi="Arial"/>
          <w:sz w:val="13"/>
          <w:szCs w:val="13"/>
          <w:color w:val="auto"/>
        </w:rPr>
        <w:t>— The Board shall review and, if it considers appropriate, approve Celestica’s</w:t>
      </w:r>
      <w:r>
        <w:rPr>
          <w:rFonts w:ascii="Arial" w:cs="Arial" w:eastAsia="Arial" w:hAnsi="Arial"/>
          <w:sz w:val="13"/>
          <w:szCs w:val="13"/>
          <w:u w:val="single" w:color="auto"/>
          <w:color w:val="auto"/>
        </w:rPr>
        <w:t xml:space="preserve"> </w:t>
      </w:r>
      <w:r>
        <w:rPr>
          <w:rFonts w:ascii="Arial" w:cs="Arial" w:eastAsia="Arial" w:hAnsi="Arial"/>
          <w:sz w:val="13"/>
          <w:szCs w:val="13"/>
          <w:color w:val="auto"/>
        </w:rPr>
        <w:t>quarterly and annual financial statements after the Audit Committee has reviewed and made a recommendation to the Board regarding such statements.</w:t>
      </w:r>
    </w:p>
    <w:p>
      <w:pPr>
        <w:spacing w:after="0" w:line="43" w:lineRule="exact"/>
        <w:rPr>
          <w:sz w:val="20"/>
          <w:szCs w:val="20"/>
          <w:color w:val="auto"/>
        </w:rPr>
      </w:pPr>
    </w:p>
    <w:p>
      <w:pPr>
        <w:ind w:left="1480"/>
        <w:spacing w:after="0"/>
        <w:tabs>
          <w:tab w:leader="none" w:pos="1860" w:val="left"/>
        </w:tabs>
        <w:rPr>
          <w:sz w:val="20"/>
          <w:szCs w:val="20"/>
          <w:color w:val="auto"/>
        </w:rPr>
      </w:pPr>
      <w:r>
        <w:rPr>
          <w:rFonts w:ascii="Arial" w:cs="Arial" w:eastAsia="Arial" w:hAnsi="Arial"/>
          <w:sz w:val="13"/>
          <w:szCs w:val="13"/>
          <w:color w:val="auto"/>
        </w:rPr>
        <w:t>8.11</w:t>
      </w:r>
      <w:r>
        <w:rPr>
          <w:sz w:val="20"/>
          <w:szCs w:val="20"/>
          <w:color w:val="auto"/>
        </w:rPr>
        <w:tab/>
      </w:r>
      <w:r>
        <w:rPr>
          <w:rFonts w:ascii="Arial" w:cs="Arial" w:eastAsia="Arial" w:hAnsi="Arial"/>
          <w:sz w:val="12"/>
          <w:szCs w:val="12"/>
          <w:u w:val="single" w:color="auto"/>
          <w:color w:val="auto"/>
        </w:rPr>
        <w:t>Compensation Matters</w:t>
      </w:r>
    </w:p>
    <w:p>
      <w:pPr>
        <w:spacing w:after="0" w:line="70" w:lineRule="exact"/>
        <w:rPr>
          <w:sz w:val="20"/>
          <w:szCs w:val="20"/>
          <w:color w:val="auto"/>
        </w:rPr>
      </w:pPr>
    </w:p>
    <w:p>
      <w:pPr>
        <w:jc w:val="both"/>
        <w:ind w:left="2140" w:right="1499" w:hanging="264"/>
        <w:spacing w:after="0" w:line="270" w:lineRule="auto"/>
        <w:tabs>
          <w:tab w:leader="none" w:pos="2140" w:val="left"/>
        </w:tabs>
        <w:numPr>
          <w:ilvl w:val="0"/>
          <w:numId w:val="123"/>
        </w:numPr>
        <w:rPr>
          <w:rFonts w:ascii="Arial" w:cs="Arial" w:eastAsia="Arial" w:hAnsi="Arial"/>
          <w:sz w:val="13"/>
          <w:szCs w:val="13"/>
          <w:color w:val="auto"/>
        </w:rPr>
      </w:pPr>
      <w:r>
        <w:rPr>
          <w:rFonts w:ascii="Arial" w:cs="Arial" w:eastAsia="Arial" w:hAnsi="Arial"/>
          <w:sz w:val="13"/>
          <w:szCs w:val="13"/>
          <w:i w:val="1"/>
          <w:iCs w:val="1"/>
          <w:color w:val="auto"/>
        </w:rPr>
        <w:t xml:space="preserve">Compensation and Benefits </w:t>
      </w:r>
      <w:r>
        <w:rPr>
          <w:rFonts w:ascii="Arial" w:cs="Arial" w:eastAsia="Arial" w:hAnsi="Arial"/>
          <w:sz w:val="13"/>
          <w:szCs w:val="13"/>
          <w:color w:val="auto"/>
        </w:rPr>
        <w:t>— The Board shall approve the total compensation for the members</w:t>
      </w:r>
      <w:r>
        <w:rPr>
          <w:rFonts w:ascii="Arial" w:cs="Arial" w:eastAsia="Arial" w:hAnsi="Arial"/>
          <w:sz w:val="13"/>
          <w:szCs w:val="13"/>
          <w:i w:val="1"/>
          <w:iCs w:val="1"/>
          <w:color w:val="auto"/>
        </w:rPr>
        <w:t xml:space="preserve"> </w:t>
      </w:r>
      <w:r>
        <w:rPr>
          <w:rFonts w:ascii="Arial" w:cs="Arial" w:eastAsia="Arial" w:hAnsi="Arial"/>
          <w:sz w:val="13"/>
          <w:szCs w:val="13"/>
          <w:color w:val="auto"/>
        </w:rPr>
        <w:t>of the Board, in light of the recommendations of the Human Resources and Compensation Committee.</w:t>
      </w:r>
    </w:p>
    <w:p>
      <w:pPr>
        <w:spacing w:after="0" w:line="42" w:lineRule="exact"/>
        <w:rPr>
          <w:rFonts w:ascii="Arial" w:cs="Arial" w:eastAsia="Arial" w:hAnsi="Arial"/>
          <w:sz w:val="13"/>
          <w:szCs w:val="13"/>
          <w:color w:val="auto"/>
        </w:rPr>
      </w:pPr>
    </w:p>
    <w:p>
      <w:pPr>
        <w:jc w:val="both"/>
        <w:ind w:left="2140" w:right="1499" w:hanging="264"/>
        <w:spacing w:after="0" w:line="303" w:lineRule="auto"/>
        <w:tabs>
          <w:tab w:leader="none" w:pos="2140" w:val="left"/>
        </w:tabs>
        <w:numPr>
          <w:ilvl w:val="0"/>
          <w:numId w:val="123"/>
        </w:numPr>
        <w:rPr>
          <w:rFonts w:ascii="Arial" w:cs="Arial" w:eastAsia="Arial" w:hAnsi="Arial"/>
          <w:sz w:val="12"/>
          <w:szCs w:val="12"/>
          <w:color w:val="auto"/>
        </w:rPr>
      </w:pPr>
      <w:r>
        <w:rPr>
          <w:rFonts w:ascii="Arial" w:cs="Arial" w:eastAsia="Arial" w:hAnsi="Arial"/>
          <w:sz w:val="12"/>
          <w:szCs w:val="12"/>
          <w:i w:val="1"/>
          <w:iCs w:val="1"/>
          <w:color w:val="auto"/>
        </w:rPr>
        <w:t xml:space="preserve">Pension Plan Matters </w:t>
      </w:r>
      <w:r>
        <w:rPr>
          <w:rFonts w:ascii="Arial" w:cs="Arial" w:eastAsia="Arial" w:hAnsi="Arial"/>
          <w:sz w:val="12"/>
          <w:szCs w:val="12"/>
          <w:color w:val="auto"/>
        </w:rPr>
        <w:t>— The Board shall receive and review reports from management and from</w:t>
      </w:r>
      <w:r>
        <w:rPr>
          <w:rFonts w:ascii="Arial" w:cs="Arial" w:eastAsia="Arial" w:hAnsi="Arial"/>
          <w:sz w:val="12"/>
          <w:szCs w:val="12"/>
          <w:i w:val="1"/>
          <w:iCs w:val="1"/>
          <w:color w:val="auto"/>
        </w:rPr>
        <w:t xml:space="preserve"> </w:t>
      </w:r>
      <w:r>
        <w:rPr>
          <w:rFonts w:ascii="Arial" w:cs="Arial" w:eastAsia="Arial" w:hAnsi="Arial"/>
          <w:sz w:val="12"/>
          <w:szCs w:val="12"/>
          <w:color w:val="auto"/>
        </w:rPr>
        <w:t>the Human Resources and Compensation Committee covering the administration, investment performance, funding, financial impact, actuarial reports and other pension plan related matters.</w:t>
      </w:r>
    </w:p>
    <w:p>
      <w:pPr>
        <w:spacing w:after="0" w:line="25" w:lineRule="exact"/>
        <w:rPr>
          <w:sz w:val="20"/>
          <w:szCs w:val="20"/>
          <w:color w:val="auto"/>
        </w:rPr>
      </w:pPr>
    </w:p>
    <w:p>
      <w:pPr>
        <w:ind w:left="1480"/>
        <w:spacing w:after="0"/>
        <w:tabs>
          <w:tab w:leader="none" w:pos="1860" w:val="left"/>
        </w:tabs>
        <w:rPr>
          <w:sz w:val="20"/>
          <w:szCs w:val="20"/>
          <w:color w:val="auto"/>
        </w:rPr>
      </w:pPr>
      <w:r>
        <w:rPr>
          <w:rFonts w:ascii="Arial" w:cs="Arial" w:eastAsia="Arial" w:hAnsi="Arial"/>
          <w:sz w:val="13"/>
          <w:szCs w:val="13"/>
          <w:color w:val="auto"/>
        </w:rPr>
        <w:t>8.12</w:t>
      </w:r>
      <w:r>
        <w:rPr>
          <w:sz w:val="20"/>
          <w:szCs w:val="20"/>
          <w:color w:val="auto"/>
        </w:rPr>
        <w:tab/>
      </w:r>
      <w:r>
        <w:rPr>
          <w:rFonts w:ascii="Arial" w:cs="Arial" w:eastAsia="Arial" w:hAnsi="Arial"/>
          <w:sz w:val="12"/>
          <w:szCs w:val="12"/>
          <w:u w:val="single" w:color="auto"/>
          <w:color w:val="auto"/>
        </w:rPr>
        <w:t>Code of Business Conduct and Ethics</w:t>
      </w:r>
    </w:p>
    <w:p>
      <w:pPr>
        <w:spacing w:after="0" w:line="70" w:lineRule="exact"/>
        <w:rPr>
          <w:sz w:val="20"/>
          <w:szCs w:val="20"/>
          <w:color w:val="auto"/>
        </w:rPr>
      </w:pPr>
    </w:p>
    <w:p>
      <w:pPr>
        <w:jc w:val="both"/>
        <w:ind w:left="2140" w:right="1499" w:hanging="264"/>
        <w:spacing w:after="0" w:line="265" w:lineRule="auto"/>
        <w:tabs>
          <w:tab w:leader="none" w:pos="214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The Board shall approve a business code of conduct and ethics (the “Code”) recommended to it by management and which complies with all applicable legal and stock exchange listing requirements and with such recommendations of relevant securities regulatory authorities and stock exchanges as the Board may consider appropriate.</w:t>
      </w:r>
    </w:p>
    <w:p>
      <w:pPr>
        <w:spacing w:after="0" w:line="46" w:lineRule="exact"/>
        <w:rPr>
          <w:rFonts w:ascii="Arial" w:cs="Arial" w:eastAsia="Arial" w:hAnsi="Arial"/>
          <w:sz w:val="13"/>
          <w:szCs w:val="13"/>
          <w:color w:val="auto"/>
        </w:rPr>
      </w:pPr>
    </w:p>
    <w:p>
      <w:pPr>
        <w:ind w:left="2140" w:right="1499" w:hanging="264"/>
        <w:spacing w:after="0" w:line="285" w:lineRule="auto"/>
        <w:tabs>
          <w:tab w:leader="none" w:pos="214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The Board shall monitor compliance with the Code, including through reports as appropriate from management.</w:t>
      </w:r>
    </w:p>
    <w:p>
      <w:pPr>
        <w:spacing w:after="0" w:line="33" w:lineRule="exact"/>
        <w:rPr>
          <w:rFonts w:ascii="Arial" w:cs="Arial" w:eastAsia="Arial" w:hAnsi="Arial"/>
          <w:sz w:val="13"/>
          <w:szCs w:val="13"/>
          <w:color w:val="auto"/>
        </w:rPr>
      </w:pPr>
    </w:p>
    <w:p>
      <w:pPr>
        <w:jc w:val="both"/>
        <w:ind w:left="2140" w:right="1499" w:hanging="264"/>
        <w:spacing w:after="0" w:line="270" w:lineRule="auto"/>
        <w:tabs>
          <w:tab w:leader="none" w:pos="214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Either the Board or the Nominating and Corporate Governance Committee shall consider and, if it considers appropriate, approve the granting of waivers of the Code for the benefit of the corporation’s Directors or executive officers.</w:t>
      </w:r>
    </w:p>
    <w:p>
      <w:pPr>
        <w:spacing w:after="0" w:line="33" w:lineRule="exact"/>
        <w:rPr>
          <w:sz w:val="20"/>
          <w:szCs w:val="20"/>
          <w:color w:val="auto"/>
        </w:rPr>
      </w:pPr>
    </w:p>
    <w:p>
      <w:pPr>
        <w:jc w:val="both"/>
        <w:ind w:left="1880" w:right="1499" w:hanging="397"/>
        <w:spacing w:after="0" w:line="265" w:lineRule="auto"/>
        <w:tabs>
          <w:tab w:leader="none" w:pos="1860" w:val="left"/>
        </w:tabs>
        <w:rPr>
          <w:sz w:val="20"/>
          <w:szCs w:val="20"/>
          <w:color w:val="auto"/>
        </w:rPr>
      </w:pPr>
      <w:r>
        <w:rPr>
          <w:rFonts w:ascii="Arial" w:cs="Arial" w:eastAsia="Arial" w:hAnsi="Arial"/>
          <w:sz w:val="13"/>
          <w:szCs w:val="13"/>
          <w:color w:val="auto"/>
        </w:rPr>
        <w:t>8.13</w:t>
      </w:r>
      <w:r>
        <w:rPr>
          <w:sz w:val="20"/>
          <w:szCs w:val="20"/>
          <w:color w:val="auto"/>
        </w:rPr>
        <w:tab/>
      </w:r>
      <w:r>
        <w:rPr>
          <w:rFonts w:ascii="Arial" w:cs="Arial" w:eastAsia="Arial" w:hAnsi="Arial"/>
          <w:sz w:val="13"/>
          <w:szCs w:val="13"/>
          <w:u w:val="single" w:color="auto"/>
          <w:color w:val="auto"/>
        </w:rPr>
        <w:t xml:space="preserve">Security Holder Feedback </w:t>
      </w:r>
      <w:r>
        <w:rPr>
          <w:rFonts w:ascii="Arial" w:cs="Arial" w:eastAsia="Arial" w:hAnsi="Arial"/>
          <w:sz w:val="13"/>
          <w:szCs w:val="13"/>
          <w:color w:val="auto"/>
        </w:rPr>
        <w:t>— The Board shall establish measures for receiving feedback from</w:t>
      </w:r>
      <w:r>
        <w:rPr>
          <w:rFonts w:ascii="Arial" w:cs="Arial" w:eastAsia="Arial" w:hAnsi="Arial"/>
          <w:sz w:val="13"/>
          <w:szCs w:val="13"/>
          <w:u w:val="single" w:color="auto"/>
          <w:color w:val="auto"/>
        </w:rPr>
        <w:t xml:space="preserve"> </w:t>
      </w:r>
      <w:r>
        <w:rPr>
          <w:rFonts w:ascii="Arial" w:cs="Arial" w:eastAsia="Arial" w:hAnsi="Arial"/>
          <w:sz w:val="13"/>
          <w:szCs w:val="13"/>
          <w:color w:val="auto"/>
        </w:rPr>
        <w:t>stakeholders, including through a shareholder engagement process, as well as mechanisms that enable security holders to directly contact the Chair of the Board or the independent directors (individually or as a group).</w:t>
      </w:r>
    </w:p>
    <w:p>
      <w:pPr>
        <w:spacing w:after="0" w:line="43" w:lineRule="exact"/>
        <w:rPr>
          <w:sz w:val="20"/>
          <w:szCs w:val="20"/>
          <w:color w:val="auto"/>
        </w:rPr>
      </w:pPr>
    </w:p>
    <w:p>
      <w:pPr>
        <w:ind w:left="1880" w:hanging="402"/>
        <w:spacing w:after="0"/>
        <w:tabs>
          <w:tab w:leader="none" w:pos="1880" w:val="left"/>
        </w:tabs>
        <w:numPr>
          <w:ilvl w:val="0"/>
          <w:numId w:val="125"/>
        </w:numPr>
        <w:rPr>
          <w:rFonts w:ascii="Arial" w:cs="Arial" w:eastAsia="Arial" w:hAnsi="Arial"/>
          <w:sz w:val="13"/>
          <w:szCs w:val="13"/>
          <w:b w:val="1"/>
          <w:bCs w:val="1"/>
          <w:color w:val="auto"/>
        </w:rPr>
      </w:pPr>
      <w:r>
        <w:rPr>
          <w:rFonts w:ascii="Arial" w:cs="Arial" w:eastAsia="Arial" w:hAnsi="Arial"/>
          <w:sz w:val="13"/>
          <w:szCs w:val="13"/>
          <w:b w:val="1"/>
          <w:bCs w:val="1"/>
          <w:color w:val="auto"/>
        </w:rPr>
        <w:t>EVALUATION OF MANDATE</w:t>
      </w:r>
    </w:p>
    <w:p>
      <w:pPr>
        <w:spacing w:after="0" w:line="74" w:lineRule="exact"/>
        <w:rPr>
          <w:sz w:val="20"/>
          <w:szCs w:val="20"/>
          <w:color w:val="auto"/>
        </w:rPr>
      </w:pPr>
    </w:p>
    <w:p>
      <w:pPr>
        <w:jc w:val="both"/>
        <w:ind w:left="1880" w:right="1499" w:hanging="397"/>
        <w:spacing w:after="0" w:line="270" w:lineRule="auto"/>
        <w:tabs>
          <w:tab w:leader="none" w:pos="1860" w:val="left"/>
        </w:tabs>
        <w:rPr>
          <w:sz w:val="20"/>
          <w:szCs w:val="20"/>
          <w:color w:val="auto"/>
        </w:rPr>
      </w:pPr>
      <w:r>
        <w:rPr>
          <w:rFonts w:ascii="Arial" w:cs="Arial" w:eastAsia="Arial" w:hAnsi="Arial"/>
          <w:sz w:val="13"/>
          <w:szCs w:val="13"/>
          <w:color w:val="auto"/>
        </w:rPr>
        <w:t>9.1</w:t>
      </w:r>
      <w:r>
        <w:rPr>
          <w:sz w:val="20"/>
          <w:szCs w:val="20"/>
          <w:color w:val="auto"/>
        </w:rPr>
        <w:tab/>
      </w:r>
      <w:r>
        <w:rPr>
          <w:rFonts w:ascii="Arial" w:cs="Arial" w:eastAsia="Arial" w:hAnsi="Arial"/>
          <w:sz w:val="13"/>
          <w:szCs w:val="13"/>
          <w:u w:val="single" w:color="auto"/>
          <w:color w:val="auto"/>
        </w:rPr>
        <w:t xml:space="preserve">Amendments to Mandate </w:t>
      </w:r>
      <w:r>
        <w:rPr>
          <w:rFonts w:ascii="Arial" w:cs="Arial" w:eastAsia="Arial" w:hAnsi="Arial"/>
          <w:sz w:val="13"/>
          <w:szCs w:val="13"/>
          <w:color w:val="auto"/>
        </w:rPr>
        <w:t>— The Board shall from time to time, as it considers appropriate, review</w:t>
      </w:r>
      <w:r>
        <w:rPr>
          <w:rFonts w:ascii="Arial" w:cs="Arial" w:eastAsia="Arial" w:hAnsi="Arial"/>
          <w:sz w:val="13"/>
          <w:szCs w:val="13"/>
          <w:u w:val="single" w:color="auto"/>
          <w:color w:val="auto"/>
        </w:rPr>
        <w:t xml:space="preserve"> </w:t>
      </w:r>
      <w:r>
        <w:rPr>
          <w:rFonts w:ascii="Arial" w:cs="Arial" w:eastAsia="Arial" w:hAnsi="Arial"/>
          <w:sz w:val="13"/>
          <w:szCs w:val="13"/>
          <w:color w:val="auto"/>
        </w:rPr>
        <w:t>this mandate, and cause the Nominating and Corporate Governance Committee to review this mandate, and the Board shall approve any changes as it considers appropriate.</w:t>
      </w:r>
    </w:p>
    <w:p>
      <w:pPr>
        <w:spacing w:after="0" w:line="39" w:lineRule="exact"/>
        <w:rPr>
          <w:sz w:val="20"/>
          <w:szCs w:val="20"/>
          <w:color w:val="auto"/>
        </w:rPr>
      </w:pPr>
    </w:p>
    <w:p>
      <w:pPr>
        <w:ind w:left="1880" w:hanging="402"/>
        <w:spacing w:after="0"/>
        <w:tabs>
          <w:tab w:leader="none" w:pos="1880" w:val="left"/>
        </w:tabs>
        <w:numPr>
          <w:ilvl w:val="0"/>
          <w:numId w:val="126"/>
        </w:numPr>
        <w:rPr>
          <w:rFonts w:ascii="Arial" w:cs="Arial" w:eastAsia="Arial" w:hAnsi="Arial"/>
          <w:sz w:val="13"/>
          <w:szCs w:val="13"/>
          <w:b w:val="1"/>
          <w:bCs w:val="1"/>
          <w:color w:val="auto"/>
        </w:rPr>
      </w:pPr>
      <w:r>
        <w:rPr>
          <w:rFonts w:ascii="Arial" w:cs="Arial" w:eastAsia="Arial" w:hAnsi="Arial"/>
          <w:sz w:val="13"/>
          <w:szCs w:val="13"/>
          <w:b w:val="1"/>
          <w:bCs w:val="1"/>
          <w:color w:val="auto"/>
        </w:rPr>
        <w:t>NO RIGHTS CREATED</w:t>
      </w:r>
    </w:p>
    <w:p>
      <w:pPr>
        <w:spacing w:after="0" w:line="83" w:lineRule="exact"/>
        <w:rPr>
          <w:sz w:val="20"/>
          <w:szCs w:val="20"/>
          <w:color w:val="auto"/>
        </w:rPr>
      </w:pPr>
    </w:p>
    <w:p>
      <w:pPr>
        <w:jc w:val="both"/>
        <w:ind w:left="1880" w:right="1499" w:hanging="397"/>
        <w:spacing w:after="0" w:line="263" w:lineRule="auto"/>
        <w:tabs>
          <w:tab w:leader="none" w:pos="1860" w:val="left"/>
        </w:tabs>
        <w:rPr>
          <w:sz w:val="20"/>
          <w:szCs w:val="20"/>
          <w:color w:val="auto"/>
        </w:rPr>
      </w:pPr>
      <w:r>
        <w:rPr>
          <w:rFonts w:ascii="Arial" w:cs="Arial" w:eastAsia="Arial" w:hAnsi="Arial"/>
          <w:sz w:val="13"/>
          <w:szCs w:val="13"/>
          <w:color w:val="auto"/>
        </w:rPr>
        <w:t>10.1</w:t>
        <w:tab/>
        <w:t>This mandate is a statement of broad policies and is intended as a component of the flexible governance framework within which the Board, assisted by its committees, directs the affairs of the corporation. While it should be interpreted in the context of all applicable laws, regulations and stock exchange listing requirements, as well as in the context of the corporation’s articles and by-laws, this mandate is not intended to, and shall not, establish any legally binding obligations.</w:t>
      </w: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194945</wp:posOffset>
            </wp:positionV>
            <wp:extent cx="5019040" cy="127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019040" cy="127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9" w:name="page90"/>
    <w:bookmarkEnd w:id="89"/>
    <w:p>
      <w:pPr>
        <w:ind w:left="560"/>
        <w:spacing w:after="0"/>
        <w:rPr>
          <w:rFonts w:ascii="Arial" w:cs="Arial" w:eastAsia="Arial" w:hAnsi="Arial"/>
          <w:sz w:val="10"/>
          <w:szCs w:val="10"/>
          <w:color w:val="003366"/>
        </w:rPr>
      </w:pPr>
      <w:hyperlink w:anchor="page7">
        <w:r>
          <w:rPr>
            <w:rFonts w:ascii="Arial" w:cs="Arial" w:eastAsia="Arial" w:hAnsi="Arial"/>
            <w:sz w:val="10"/>
            <w:szCs w:val="10"/>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6214110</wp:posOffset>
            </wp:positionV>
            <wp:extent cx="5019040" cy="127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019040" cy="1270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2371090</wp:posOffset>
            </wp:positionV>
            <wp:extent cx="2351405" cy="99250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351405" cy="99250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0" w:name="page91"/>
    <w:bookmarkEnd w:id="90"/>
    <w:p>
      <w:pPr>
        <w:ind w:left="9320"/>
        <w:spacing w:after="0"/>
        <w:rPr>
          <w:sz w:val="20"/>
          <w:szCs w:val="20"/>
          <w:color w:val="auto"/>
        </w:rPr>
      </w:pPr>
      <w:r>
        <w:rPr>
          <w:rFonts w:ascii="Arial" w:cs="Arial" w:eastAsia="Arial" w:hAnsi="Arial"/>
          <w:sz w:val="14"/>
          <w:szCs w:val="14"/>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138430</wp:posOffset>
            </wp:positionV>
            <wp:extent cx="7168515" cy="57334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68515" cy="5733415"/>
                    </a:xfrm>
                    <a:prstGeom prst="rect">
                      <a:avLst/>
                    </a:prstGeom>
                    <a:noFill/>
                  </pic:spPr>
                </pic:pic>
              </a:graphicData>
            </a:graphic>
          </wp:anchor>
        </w:drawing>
      </w:r>
    </w:p>
    <w:p>
      <w:pPr>
        <w:sectPr>
          <w:pgSz w:w="11900" w:h="16838" w:orient="portrait"/>
          <w:cols w:equalWidth="0" w:num="1">
            <w:col w:w="10140"/>
          </w:cols>
          <w:pgMar w:left="1440" w:top="298" w:right="319" w:bottom="1440"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467995</wp:posOffset>
            </wp:positionV>
            <wp:extent cx="7168515" cy="57334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68515" cy="5733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ind w:left="9320"/>
        <w:spacing w:after="0"/>
        <w:rPr>
          <w:sz w:val="20"/>
          <w:szCs w:val="20"/>
          <w:color w:val="auto"/>
        </w:rPr>
      </w:pPr>
      <w:r>
        <w:rPr>
          <w:rFonts w:ascii="Arial" w:cs="Arial" w:eastAsia="Arial" w:hAnsi="Arial"/>
          <w:sz w:val="14"/>
          <w:szCs w:val="14"/>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138430</wp:posOffset>
            </wp:positionV>
            <wp:extent cx="7168515" cy="56699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68515" cy="5669915"/>
                    </a:xfrm>
                    <a:prstGeom prst="rect">
                      <a:avLst/>
                    </a:prstGeom>
                    <a:noFill/>
                  </pic:spPr>
                </pic:pic>
              </a:graphicData>
            </a:graphic>
          </wp:anchor>
        </w:drawing>
      </w:r>
    </w:p>
    <w:p>
      <w:pPr>
        <w:sectPr>
          <w:pgSz w:w="11900" w:h="16838" w:orient="portrait"/>
          <w:cols w:equalWidth="0" w:num="1">
            <w:col w:w="10140"/>
          </w:cols>
          <w:pgMar w:left="1440" w:top="298" w:right="319" w:bottom="1440"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467995</wp:posOffset>
            </wp:positionV>
            <wp:extent cx="7168515" cy="56699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68515" cy="5669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ind w:left="9460"/>
        <w:spacing w:after="0"/>
        <w:rPr>
          <w:sz w:val="20"/>
          <w:szCs w:val="20"/>
          <w:color w:val="auto"/>
        </w:rPr>
      </w:pPr>
      <w:r>
        <w:rPr>
          <w:rFonts w:ascii="Arial" w:cs="Arial" w:eastAsia="Arial" w:hAnsi="Arial"/>
          <w:sz w:val="12"/>
          <w:szCs w:val="12"/>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122555</wp:posOffset>
            </wp:positionV>
            <wp:extent cx="7168515" cy="727583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68515" cy="7275830"/>
                    </a:xfrm>
                    <a:prstGeom prst="rect">
                      <a:avLst/>
                    </a:prstGeom>
                    <a:noFill/>
                  </pic:spPr>
                </pic:pic>
              </a:graphicData>
            </a:graphic>
          </wp:anchor>
        </w:drawing>
      </w:r>
    </w:p>
    <w:p>
      <w:pPr>
        <w:sectPr>
          <w:pgSz w:w="11900" w:h="16838" w:orient="portrait"/>
          <w:cols w:equalWidth="0" w:num="1">
            <w:col w:w="10140"/>
          </w:cols>
          <w:pgMar w:left="1440" w:top="127" w:right="319" w:bottom="1440"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354330</wp:posOffset>
            </wp:positionV>
            <wp:extent cx="7168515" cy="727583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68515" cy="7275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ind w:left="9320"/>
        <w:spacing w:after="0"/>
        <w:rPr>
          <w:sz w:val="20"/>
          <w:szCs w:val="20"/>
          <w:color w:val="auto"/>
        </w:rPr>
      </w:pPr>
      <w:r>
        <w:rPr>
          <w:rFonts w:ascii="Arial" w:cs="Arial" w:eastAsia="Arial" w:hAnsi="Arial"/>
          <w:sz w:val="14"/>
          <w:szCs w:val="14"/>
          <w:b w:val="1"/>
          <w:bCs w:val="1"/>
          <w:color w:val="auto"/>
        </w:rPr>
        <w:t>Exhibit 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125095</wp:posOffset>
            </wp:positionV>
            <wp:extent cx="7168515" cy="52527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68515" cy="5252720"/>
                    </a:xfrm>
                    <a:prstGeom prst="rect">
                      <a:avLst/>
                    </a:prstGeom>
                    <a:noFill/>
                  </pic:spPr>
                </pic:pic>
              </a:graphicData>
            </a:graphic>
          </wp:anchor>
        </w:drawing>
      </w:r>
    </w:p>
    <w:p>
      <w:pPr>
        <w:sectPr>
          <w:pgSz w:w="11900" w:h="16838" w:orient="portrait"/>
          <w:cols w:equalWidth="0" w:num="1">
            <w:col w:w="10140"/>
          </w:cols>
          <w:pgMar w:left="1440" w:top="120" w:right="319" w:bottom="1440"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354330</wp:posOffset>
            </wp:positionV>
            <wp:extent cx="7168515" cy="52527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68515" cy="5252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ind w:left="9320"/>
        <w:spacing w:after="0"/>
        <w:rPr>
          <w:sz w:val="20"/>
          <w:szCs w:val="20"/>
          <w:color w:val="auto"/>
        </w:rPr>
      </w:pPr>
      <w:r>
        <w:rPr>
          <w:rFonts w:ascii="Arial" w:cs="Arial" w:eastAsia="Arial" w:hAnsi="Arial"/>
          <w:sz w:val="14"/>
          <w:szCs w:val="14"/>
          <w:b w:val="1"/>
          <w:bCs w:val="1"/>
          <w:color w:val="auto"/>
        </w:rPr>
        <w:t>Exhibit 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137795</wp:posOffset>
            </wp:positionV>
            <wp:extent cx="7168515" cy="25222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68515" cy="2522220"/>
                    </a:xfrm>
                    <a:prstGeom prst="rect">
                      <a:avLst/>
                    </a:prstGeom>
                    <a:noFill/>
                  </pic:spPr>
                </pic:pic>
              </a:graphicData>
            </a:graphic>
          </wp:anchor>
        </w:drawing>
      </w:r>
    </w:p>
    <w:p>
      <w:pPr>
        <w:sectPr>
          <w:pgSz w:w="11900" w:h="16838" w:orient="portrait"/>
          <w:cols w:equalWidth="0" w:num="1">
            <w:col w:w="10140"/>
          </w:cols>
          <w:pgMar w:left="1440" w:top="120" w:right="319" w:bottom="1440"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68515" cy="25222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68515" cy="2522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ind w:left="9460"/>
        <w:spacing w:after="0"/>
        <w:rPr>
          <w:sz w:val="20"/>
          <w:szCs w:val="20"/>
          <w:color w:val="auto"/>
        </w:rPr>
      </w:pPr>
      <w:r>
        <w:rPr>
          <w:rFonts w:ascii="Arial" w:cs="Arial" w:eastAsia="Arial" w:hAnsi="Arial"/>
          <w:sz w:val="12"/>
          <w:szCs w:val="12"/>
          <w:b w:val="1"/>
          <w:bCs w:val="1"/>
          <w:color w:val="auto"/>
        </w:rPr>
        <w:t>Exhibit 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-673100</wp:posOffset>
            </wp:positionH>
            <wp:positionV relativeFrom="paragraph">
              <wp:posOffset>21590</wp:posOffset>
            </wp:positionV>
            <wp:extent cx="6953250" cy="104146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53250" cy="10414635"/>
                    </a:xfrm>
                    <a:prstGeom prst="rect">
                      <a:avLst/>
                    </a:prstGeom>
                    <a:noFill/>
                  </pic:spPr>
                </pic:pic>
              </a:graphicData>
            </a:graphic>
          </wp:anchor>
        </w:drawing>
      </w:r>
    </w:p>
    <w:p>
      <w:pPr>
        <w:sectPr>
          <w:pgSz w:w="11900" w:h="16838" w:orient="portrait"/>
          <w:cols w:equalWidth="0" w:num="1">
            <w:col w:w="10140"/>
          </w:cols>
          <w:pgMar w:left="1440" w:top="127" w:right="319" w:bottom="1440"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664210</wp:posOffset>
            </wp:positionV>
            <wp:extent cx="6788785" cy="190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788785" cy="19050"/>
                    </a:xfrm>
                    <a:prstGeom prst="rect">
                      <a:avLst/>
                    </a:prstGeom>
                    <a:noFill/>
                  </pic:spPr>
                </pic:pic>
              </a:graphicData>
            </a:graphic>
          </wp:anchor>
        </w:drawing>
        <w:drawing>
          <wp:anchor simplePos="0" relativeHeight="251657728" behindDoc="1" locked="0" layoutInCell="0" allowOverlap="1">
            <wp:simplePos x="0" y="0"/>
            <wp:positionH relativeFrom="page">
              <wp:posOffset>240665</wp:posOffset>
            </wp:positionH>
            <wp:positionV relativeFrom="page">
              <wp:posOffset>88900</wp:posOffset>
            </wp:positionV>
            <wp:extent cx="6953250" cy="32258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clrChange>
                        <a:clrFrom>
                          <a:srgbClr val="FFFFFF"/>
                        </a:clrFrom>
                        <a:clrTo>
                          <a:srgbClr val="FFFFFF">
                            <a:alpha val="0"/>
                          </a:srgbClr>
                        </a:clrTo>
                      </a:clrChange>
                      <a:extLst>
                        <a:ext uri="{28A0092B-C50C-407E-A947-70E740481C1C}"/>
                      </a:extLst>
                    </a:blip>
                    <a:srcRect/>
                    <a:stretch>
                      <a:fillRect/>
                    </a:stretch>
                  </pic:blipFill>
                  <pic:spPr bwMode="auto">
                    <a:xfrm>
                      <a:off x="0" y="0"/>
                      <a:ext cx="6953250" cy="322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53250" cy="105156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clrChange>
                        <a:clrFrom>
                          <a:srgbClr val="FFFFFF"/>
                        </a:clrFrom>
                        <a:clrTo>
                          <a:srgbClr val="FFFFFF">
                            <a:alpha val="0"/>
                          </a:srgbClr>
                        </a:clrTo>
                      </a:clrChange>
                      <a:extLst>
                        <a:ext uri="{28A0092B-C50C-407E-A947-70E740481C1C}"/>
                      </a:extLst>
                    </a:blip>
                    <a:srcRect/>
                    <a:stretch>
                      <a:fillRect/>
                    </a:stretch>
                  </pic:blipFill>
                  <pic:spPr bwMode="auto">
                    <a:xfrm>
                      <a:off x="0" y="0"/>
                      <a:ext cx="695325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562610</wp:posOffset>
            </wp:positionV>
            <wp:extent cx="6788785" cy="190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788785" cy="19050"/>
                    </a:xfrm>
                    <a:prstGeom prst="rect">
                      <a:avLst/>
                    </a:prstGeom>
                    <a:noFill/>
                  </pic:spPr>
                </pic:pic>
              </a:graphicData>
            </a:graphic>
          </wp:anchor>
        </w:drawing>
        <w:drawing>
          <wp:anchor simplePos="0" relativeHeight="251657728" behindDoc="1" locked="0" layoutInCell="0" allowOverlap="1">
            <wp:simplePos x="0" y="0"/>
            <wp:positionH relativeFrom="page">
              <wp:posOffset>240665</wp:posOffset>
            </wp:positionH>
            <wp:positionV relativeFrom="page">
              <wp:posOffset>88900</wp:posOffset>
            </wp:positionV>
            <wp:extent cx="6953250" cy="22098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clrChange>
                        <a:clrFrom>
                          <a:srgbClr val="FFFFFF"/>
                        </a:clrFrom>
                        <a:clrTo>
                          <a:srgbClr val="FFFFFF">
                            <a:alpha val="0"/>
                          </a:srgbClr>
                        </a:clrTo>
                      </a:clrChange>
                      <a:extLst>
                        <a:ext uri="{28A0092B-C50C-407E-A947-70E740481C1C}"/>
                      </a:extLst>
                    </a:blip>
                    <a:srcRect/>
                    <a:stretch>
                      <a:fillRect/>
                    </a:stretch>
                  </pic:blipFill>
                  <pic:spPr bwMode="auto">
                    <a:xfrm>
                      <a:off x="0" y="0"/>
                      <a:ext cx="6953250" cy="220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53250" cy="105156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clrChange>
                        <a:clrFrom>
                          <a:srgbClr val="FFFFFF"/>
                        </a:clrFrom>
                        <a:clrTo>
                          <a:srgbClr val="FFFFFF">
                            <a:alpha val="0"/>
                          </a:srgbClr>
                        </a:clrTo>
                      </a:clrChange>
                      <a:extLst>
                        <a:ext uri="{28A0092B-C50C-407E-A947-70E740481C1C}"/>
                      </a:extLst>
                    </a:blip>
                    <a:srcRect/>
                    <a:stretch>
                      <a:fillRect/>
                    </a:stretch>
                  </pic:blipFill>
                  <pic:spPr bwMode="auto">
                    <a:xfrm>
                      <a:off x="0" y="0"/>
                      <a:ext cx="695325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562610</wp:posOffset>
            </wp:positionV>
            <wp:extent cx="6788785" cy="190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788785" cy="19050"/>
                    </a:xfrm>
                    <a:prstGeom prst="rect">
                      <a:avLst/>
                    </a:prstGeom>
                    <a:noFill/>
                  </pic:spPr>
                </pic:pic>
              </a:graphicData>
            </a:graphic>
          </wp:anchor>
        </w:drawing>
        <w:drawing>
          <wp:anchor simplePos="0" relativeHeight="251657728" behindDoc="1" locked="0" layoutInCell="0" allowOverlap="1">
            <wp:simplePos x="0" y="0"/>
            <wp:positionH relativeFrom="page">
              <wp:posOffset>240665</wp:posOffset>
            </wp:positionH>
            <wp:positionV relativeFrom="page">
              <wp:posOffset>88900</wp:posOffset>
            </wp:positionV>
            <wp:extent cx="6953250" cy="22098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clrChange>
                        <a:clrFrom>
                          <a:srgbClr val="FFFFFF"/>
                        </a:clrFrom>
                        <a:clrTo>
                          <a:srgbClr val="FFFFFF">
                            <a:alpha val="0"/>
                          </a:srgbClr>
                        </a:clrTo>
                      </a:clrChange>
                      <a:extLst>
                        <a:ext uri="{28A0092B-C50C-407E-A947-70E740481C1C}"/>
                      </a:extLst>
                    </a:blip>
                    <a:srcRect/>
                    <a:stretch>
                      <a:fillRect/>
                    </a:stretch>
                  </pic:blipFill>
                  <pic:spPr bwMode="auto">
                    <a:xfrm>
                      <a:off x="0" y="0"/>
                      <a:ext cx="6953250" cy="220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53250" cy="105156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clrChange>
                        <a:clrFrom>
                          <a:srgbClr val="FFFFFF"/>
                        </a:clrFrom>
                        <a:clrTo>
                          <a:srgbClr val="FFFFFF">
                            <a:alpha val="0"/>
                          </a:srgbClr>
                        </a:clrTo>
                      </a:clrChange>
                      <a:extLst>
                        <a:ext uri="{28A0092B-C50C-407E-A947-70E740481C1C}"/>
                      </a:extLst>
                    </a:blip>
                    <a:srcRect/>
                    <a:stretch>
                      <a:fillRect/>
                    </a:stretch>
                  </pic:blipFill>
                  <pic:spPr bwMode="auto">
                    <a:xfrm>
                      <a:off x="0" y="0"/>
                      <a:ext cx="695325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562610</wp:posOffset>
            </wp:positionV>
            <wp:extent cx="6788785" cy="190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788785" cy="19050"/>
                    </a:xfrm>
                    <a:prstGeom prst="rect">
                      <a:avLst/>
                    </a:prstGeom>
                    <a:noFill/>
                  </pic:spPr>
                </pic:pic>
              </a:graphicData>
            </a:graphic>
          </wp:anchor>
        </w:drawing>
        <w:drawing>
          <wp:anchor simplePos="0" relativeHeight="251657728" behindDoc="1" locked="0" layoutInCell="0" allowOverlap="1">
            <wp:simplePos x="0" y="0"/>
            <wp:positionH relativeFrom="page">
              <wp:posOffset>240665</wp:posOffset>
            </wp:positionH>
            <wp:positionV relativeFrom="page">
              <wp:posOffset>88900</wp:posOffset>
            </wp:positionV>
            <wp:extent cx="6953250" cy="22098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clrChange>
                        <a:clrFrom>
                          <a:srgbClr val="FFFFFF"/>
                        </a:clrFrom>
                        <a:clrTo>
                          <a:srgbClr val="FFFFFF">
                            <a:alpha val="0"/>
                          </a:srgbClr>
                        </a:clrTo>
                      </a:clrChange>
                      <a:extLst>
                        <a:ext uri="{28A0092B-C50C-407E-A947-70E740481C1C}"/>
                      </a:extLst>
                    </a:blip>
                    <a:srcRect/>
                    <a:stretch>
                      <a:fillRect/>
                    </a:stretch>
                  </pic:blipFill>
                  <pic:spPr bwMode="auto">
                    <a:xfrm>
                      <a:off x="0" y="0"/>
                      <a:ext cx="6953250" cy="220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53250" cy="105156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clrChange>
                        <a:clrFrom>
                          <a:srgbClr val="FFFFFF"/>
                        </a:clrFrom>
                        <a:clrTo>
                          <a:srgbClr val="FFFFFF">
                            <a:alpha val="0"/>
                          </a:srgbClr>
                        </a:clrTo>
                      </a:clrChange>
                      <a:extLst>
                        <a:ext uri="{28A0092B-C50C-407E-A947-70E740481C1C}"/>
                      </a:extLst>
                    </a:blip>
                    <a:srcRect/>
                    <a:stretch>
                      <a:fillRect/>
                    </a:stretch>
                  </pic:blipFill>
                  <pic:spPr bwMode="auto">
                    <a:xfrm>
                      <a:off x="0" y="0"/>
                      <a:ext cx="695325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563245</wp:posOffset>
            </wp:positionV>
            <wp:extent cx="6788785" cy="190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788785" cy="19050"/>
                    </a:xfrm>
                    <a:prstGeom prst="rect">
                      <a:avLst/>
                    </a:prstGeom>
                    <a:noFill/>
                  </pic:spPr>
                </pic:pic>
              </a:graphicData>
            </a:graphic>
          </wp:anchor>
        </w:drawing>
        <w:drawing>
          <wp:anchor simplePos="0" relativeHeight="251657728" behindDoc="1" locked="0" layoutInCell="0" allowOverlap="1">
            <wp:simplePos x="0" y="0"/>
            <wp:positionH relativeFrom="page">
              <wp:posOffset>240665</wp:posOffset>
            </wp:positionH>
            <wp:positionV relativeFrom="page">
              <wp:posOffset>88900</wp:posOffset>
            </wp:positionV>
            <wp:extent cx="6953250" cy="22098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clrChange>
                        <a:clrFrom>
                          <a:srgbClr val="FFFFFF"/>
                        </a:clrFrom>
                        <a:clrTo>
                          <a:srgbClr val="FFFFFF">
                            <a:alpha val="0"/>
                          </a:srgbClr>
                        </a:clrTo>
                      </a:clrChange>
                      <a:extLst>
                        <a:ext uri="{28A0092B-C50C-407E-A947-70E740481C1C}"/>
                      </a:extLst>
                    </a:blip>
                    <a:srcRect/>
                    <a:stretch>
                      <a:fillRect/>
                    </a:stretch>
                  </pic:blipFill>
                  <pic:spPr bwMode="auto">
                    <a:xfrm>
                      <a:off x="0" y="0"/>
                      <a:ext cx="6953250" cy="220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1" w:name="page112"/>
    <w:bookmarkEnd w:id="1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563245</wp:posOffset>
            </wp:positionV>
            <wp:extent cx="6788785" cy="190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78878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53250" cy="105156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clrChange>
                        <a:clrFrom>
                          <a:srgbClr val="FFFFFF"/>
                        </a:clrFrom>
                        <a:clrTo>
                          <a:srgbClr val="FFFFFF">
                            <a:alpha val="0"/>
                          </a:srgbClr>
                        </a:clrTo>
                      </a:clrChange>
                      <a:extLst>
                        <a:ext uri="{28A0092B-C50C-407E-A947-70E740481C1C}"/>
                      </a:extLst>
                    </a:blip>
                    <a:srcRect/>
                    <a:stretch>
                      <a:fillRect/>
                    </a:stretch>
                  </pic:blipFill>
                  <pic:spPr bwMode="auto">
                    <a:xfrm>
                      <a:off x="0" y="0"/>
                      <a:ext cx="695325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563245</wp:posOffset>
            </wp:positionV>
            <wp:extent cx="6788785" cy="190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788785" cy="19050"/>
                    </a:xfrm>
                    <a:prstGeom prst="rect">
                      <a:avLst/>
                    </a:prstGeom>
                    <a:noFill/>
                  </pic:spPr>
                </pic:pic>
              </a:graphicData>
            </a:graphic>
          </wp:anchor>
        </w:drawing>
        <w:drawing>
          <wp:anchor simplePos="0" relativeHeight="251657728" behindDoc="1" locked="0" layoutInCell="0" allowOverlap="1">
            <wp:simplePos x="0" y="0"/>
            <wp:positionH relativeFrom="page">
              <wp:posOffset>240665</wp:posOffset>
            </wp:positionH>
            <wp:positionV relativeFrom="page">
              <wp:posOffset>88900</wp:posOffset>
            </wp:positionV>
            <wp:extent cx="6953250" cy="22098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clrChange>
                        <a:clrFrom>
                          <a:srgbClr val="FFFFFF"/>
                        </a:clrFrom>
                        <a:clrTo>
                          <a:srgbClr val="FFFFFF">
                            <a:alpha val="0"/>
                          </a:srgbClr>
                        </a:clrTo>
                      </a:clrChange>
                      <a:extLst>
                        <a:ext uri="{28A0092B-C50C-407E-A947-70E740481C1C}"/>
                      </a:extLst>
                    </a:blip>
                    <a:srcRect/>
                    <a:stretch>
                      <a:fillRect/>
                    </a:stretch>
                  </pic:blipFill>
                  <pic:spPr bwMode="auto">
                    <a:xfrm>
                      <a:off x="0" y="0"/>
                      <a:ext cx="6953250" cy="220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53250" cy="105156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clrChange>
                        <a:clrFrom>
                          <a:srgbClr val="FFFFFF"/>
                        </a:clrFrom>
                        <a:clrTo>
                          <a:srgbClr val="FFFFFF">
                            <a:alpha val="0"/>
                          </a:srgbClr>
                        </a:clrTo>
                      </a:clrChange>
                      <a:extLst>
                        <a:ext uri="{28A0092B-C50C-407E-A947-70E740481C1C}"/>
                      </a:extLst>
                    </a:blip>
                    <a:srcRect/>
                    <a:stretch>
                      <a:fillRect/>
                    </a:stretch>
                  </pic:blipFill>
                  <pic:spPr bwMode="auto">
                    <a:xfrm>
                      <a:off x="0" y="0"/>
                      <a:ext cx="695325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563245</wp:posOffset>
            </wp:positionV>
            <wp:extent cx="6788785" cy="190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788785" cy="19050"/>
                    </a:xfrm>
                    <a:prstGeom prst="rect">
                      <a:avLst/>
                    </a:prstGeom>
                    <a:noFill/>
                  </pic:spPr>
                </pic:pic>
              </a:graphicData>
            </a:graphic>
          </wp:anchor>
        </w:drawing>
        <w:drawing>
          <wp:anchor simplePos="0" relativeHeight="251657728" behindDoc="1" locked="0" layoutInCell="0" allowOverlap="1">
            <wp:simplePos x="0" y="0"/>
            <wp:positionH relativeFrom="page">
              <wp:posOffset>240665</wp:posOffset>
            </wp:positionH>
            <wp:positionV relativeFrom="page">
              <wp:posOffset>88900</wp:posOffset>
            </wp:positionV>
            <wp:extent cx="6953250" cy="22098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clrChange>
                        <a:clrFrom>
                          <a:srgbClr val="FFFFFF"/>
                        </a:clrFrom>
                        <a:clrTo>
                          <a:srgbClr val="FFFFFF">
                            <a:alpha val="0"/>
                          </a:srgbClr>
                        </a:clrTo>
                      </a:clrChange>
                      <a:extLst>
                        <a:ext uri="{28A0092B-C50C-407E-A947-70E740481C1C}"/>
                      </a:extLst>
                    </a:blip>
                    <a:srcRect/>
                    <a:stretch>
                      <a:fillRect/>
                    </a:stretch>
                  </pic:blipFill>
                  <pic:spPr bwMode="auto">
                    <a:xfrm>
                      <a:off x="0" y="0"/>
                      <a:ext cx="6953250" cy="2209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BE4F1"/>
    <w:multiLevelType w:val="hybridMultilevel"/>
    <w:lvl w:ilvl="0">
      <w:lvlJc w:val="left"/>
      <w:lvlText w:val="•"/>
      <w:numFmt w:val="bullet"/>
      <w:start w:val="1"/>
    </w:lvl>
  </w:abstractNum>
  <w:abstractNum w:abstractNumId="1">
    <w:nsid w:val="310C50B3"/>
    <w:multiLevelType w:val="hybridMultilevel"/>
    <w:lvl w:ilvl="0">
      <w:lvlJc w:val="left"/>
      <w:lvlText w:val="%1."/>
      <w:numFmt w:val="upperLetter"/>
      <w:start w:val="17"/>
    </w:lvl>
  </w:abstractNum>
  <w:abstractNum w:abstractNumId="2">
    <w:nsid w:val="5FF87E05"/>
    <w:multiLevelType w:val="hybridMultilevel"/>
    <w:lvl w:ilvl="0">
      <w:lvlJc w:val="left"/>
      <w:lvlText w:val="%1."/>
      <w:numFmt w:val="upperLetter"/>
      <w:start w:val="1"/>
    </w:lvl>
  </w:abstractNum>
  <w:abstractNum w:abstractNumId="3">
    <w:nsid w:val="2F305DEF"/>
    <w:multiLevelType w:val="hybridMultilevel"/>
    <w:lvl w:ilvl="0">
      <w:lvlJc w:val="left"/>
      <w:lvlText w:val="%1."/>
      <w:numFmt w:val="upperLetter"/>
      <w:start w:val="17"/>
    </w:lvl>
  </w:abstractNum>
  <w:abstractNum w:abstractNumId="4">
    <w:nsid w:val="25A70BF7"/>
    <w:multiLevelType w:val="hybridMultilevel"/>
    <w:lvl w:ilvl="0">
      <w:lvlJc w:val="left"/>
      <w:lvlText w:val="%1."/>
      <w:numFmt w:val="upperLetter"/>
      <w:start w:val="1"/>
    </w:lvl>
  </w:abstractNum>
  <w:abstractNum w:abstractNumId="5">
    <w:nsid w:val="1DBABF00"/>
    <w:multiLevelType w:val="hybridMultilevel"/>
    <w:lvl w:ilvl="0">
      <w:lvlJc w:val="left"/>
      <w:lvlText w:val="%1."/>
      <w:numFmt w:val="upperLetter"/>
      <w:start w:val="17"/>
    </w:lvl>
  </w:abstractNum>
  <w:abstractNum w:abstractNumId="6">
    <w:nsid w:val="4AD084E9"/>
    <w:multiLevelType w:val="hybridMultilevel"/>
    <w:lvl w:ilvl="0">
      <w:lvlJc w:val="left"/>
      <w:lvlText w:val="%1."/>
      <w:numFmt w:val="upperLetter"/>
      <w:start w:val="1"/>
    </w:lvl>
  </w:abstractNum>
  <w:abstractNum w:abstractNumId="7">
    <w:nsid w:val="1F48EAA1"/>
    <w:multiLevelType w:val="hybridMultilevel"/>
    <w:lvl w:ilvl="0">
      <w:lvlJc w:val="left"/>
      <w:lvlText w:val="%1."/>
      <w:numFmt w:val="upperLetter"/>
      <w:start w:val="17"/>
    </w:lvl>
  </w:abstractNum>
  <w:abstractNum w:abstractNumId="8">
    <w:nsid w:val="1381823A"/>
    <w:multiLevelType w:val="hybridMultilevel"/>
    <w:lvl w:ilvl="0">
      <w:lvlJc w:val="left"/>
      <w:lvlText w:val="%1."/>
      <w:numFmt w:val="upperLetter"/>
      <w:start w:val="1"/>
    </w:lvl>
  </w:abstractNum>
  <w:abstractNum w:abstractNumId="9">
    <w:nsid w:val="5DB70AE5"/>
    <w:multiLevelType w:val="hybridMultilevel"/>
    <w:lvl w:ilvl="0">
      <w:lvlJc w:val="left"/>
      <w:lvlText w:val="%1."/>
      <w:numFmt w:val="upperLetter"/>
      <w:start w:val="17"/>
    </w:lvl>
  </w:abstractNum>
  <w:abstractNum w:abstractNumId="10">
    <w:nsid w:val="100F8FCA"/>
    <w:multiLevelType w:val="hybridMultilevel"/>
    <w:lvl w:ilvl="0">
      <w:lvlJc w:val="left"/>
      <w:lvlText w:val="%1."/>
      <w:numFmt w:val="upperLetter"/>
      <w:start w:val="1"/>
    </w:lvl>
  </w:abstractNum>
  <w:abstractNum w:abstractNumId="11">
    <w:nsid w:val="6590700B"/>
    <w:multiLevelType w:val="hybridMultilevel"/>
    <w:lvl w:ilvl="0">
      <w:lvlJc w:val="left"/>
      <w:lvlText w:val="%1."/>
      <w:numFmt w:val="upperLetter"/>
      <w:start w:val="17"/>
    </w:lvl>
  </w:abstractNum>
  <w:abstractNum w:abstractNumId="12">
    <w:nsid w:val="15014ACB"/>
    <w:multiLevelType w:val="hybridMultilevel"/>
    <w:lvl w:ilvl="0">
      <w:lvlJc w:val="left"/>
      <w:lvlText w:val="%1."/>
      <w:numFmt w:val="upperLetter"/>
      <w:start w:val="1"/>
    </w:lvl>
  </w:abstractNum>
  <w:abstractNum w:abstractNumId="13">
    <w:nsid w:val="5F5E7FD0"/>
    <w:multiLevelType w:val="hybridMultilevel"/>
    <w:lvl w:ilvl="0">
      <w:lvlJc w:val="left"/>
      <w:lvlText w:val="%1."/>
      <w:numFmt w:val="upperLetter"/>
      <w:start w:val="17"/>
    </w:lvl>
  </w:abstractNum>
  <w:abstractNum w:abstractNumId="14">
    <w:nsid w:val="98A3148"/>
    <w:multiLevelType w:val="hybridMultilevel"/>
    <w:lvl w:ilvl="0">
      <w:lvlJc w:val="left"/>
      <w:lvlText w:val="%1."/>
      <w:numFmt w:val="upperLetter"/>
      <w:start w:val="1"/>
    </w:lvl>
  </w:abstractNum>
  <w:abstractNum w:abstractNumId="15">
    <w:nsid w:val="799D0247"/>
    <w:multiLevelType w:val="hybridMultilevel"/>
    <w:lvl w:ilvl="0">
      <w:lvlJc w:val="left"/>
      <w:lvlText w:val="%1."/>
      <w:numFmt w:val="upperLetter"/>
      <w:start w:val="17"/>
    </w:lvl>
  </w:abstractNum>
  <w:abstractNum w:abstractNumId="16">
    <w:nsid w:val="6B94764"/>
    <w:multiLevelType w:val="hybridMultilevel"/>
    <w:lvl w:ilvl="0">
      <w:lvlJc w:val="left"/>
      <w:lvlText w:val="%1."/>
      <w:numFmt w:val="upperLetter"/>
      <w:start w:val="1"/>
    </w:lvl>
  </w:abstractNum>
  <w:abstractNum w:abstractNumId="17">
    <w:nsid w:val="42C296BD"/>
    <w:multiLevelType w:val="hybridMultilevel"/>
    <w:lvl w:ilvl="0">
      <w:lvlJc w:val="left"/>
      <w:lvlText w:val="%1."/>
      <w:numFmt w:val="upperLetter"/>
      <w:start w:val="17"/>
    </w:lvl>
  </w:abstractNum>
  <w:abstractNum w:abstractNumId="18">
    <w:nsid w:val="168E121F"/>
    <w:multiLevelType w:val="hybridMultilevel"/>
    <w:lvl w:ilvl="0">
      <w:lvlJc w:val="left"/>
      <w:lvlText w:val="%1."/>
      <w:numFmt w:val="upperLetter"/>
      <w:start w:val="1"/>
    </w:lvl>
  </w:abstractNum>
  <w:abstractNum w:abstractNumId="19">
    <w:nsid w:val="1EBA5D23"/>
    <w:multiLevelType w:val="hybridMultilevel"/>
    <w:lvl w:ilvl="0">
      <w:lvlJc w:val="left"/>
      <w:lvlText w:val="%1."/>
      <w:numFmt w:val="upperLetter"/>
      <w:start w:val="17"/>
    </w:lvl>
  </w:abstractNum>
  <w:abstractNum w:abstractNumId="20">
    <w:nsid w:val="661E3F1E"/>
    <w:multiLevelType w:val="hybridMultilevel"/>
    <w:lvl w:ilvl="0">
      <w:lvlJc w:val="left"/>
      <w:lvlText w:val="%1."/>
      <w:numFmt w:val="upperLetter"/>
      <w:start w:val="1"/>
    </w:lvl>
  </w:abstractNum>
  <w:abstractNum w:abstractNumId="21">
    <w:nsid w:val="5DC79EA8"/>
    <w:multiLevelType w:val="hybridMultilevel"/>
    <w:lvl w:ilvl="0">
      <w:lvlJc w:val="left"/>
      <w:lvlText w:val="%1."/>
      <w:numFmt w:val="upperLetter"/>
      <w:start w:val="17"/>
    </w:lvl>
  </w:abstractNum>
  <w:abstractNum w:abstractNumId="22">
    <w:nsid w:val="540A471C"/>
    <w:multiLevelType w:val="hybridMultilevel"/>
    <w:lvl w:ilvl="0">
      <w:lvlJc w:val="left"/>
      <w:lvlText w:val="%1."/>
      <w:numFmt w:val="upperLetter"/>
      <w:start w:val="1"/>
    </w:lvl>
  </w:abstractNum>
  <w:abstractNum w:abstractNumId="23">
    <w:nsid w:val="7BD3EE7B"/>
    <w:multiLevelType w:val="hybridMultilevel"/>
    <w:lvl w:ilvl="0">
      <w:lvlJc w:val="left"/>
      <w:lvlText w:val="%1."/>
      <w:numFmt w:val="upperLetter"/>
      <w:start w:val="17"/>
    </w:lvl>
  </w:abstractNum>
  <w:abstractNum w:abstractNumId="24">
    <w:nsid w:val="51D9C564"/>
    <w:multiLevelType w:val="hybridMultilevel"/>
    <w:lvl w:ilvl="0">
      <w:lvlJc w:val="left"/>
      <w:lvlText w:val="%1."/>
      <w:numFmt w:val="upperLetter"/>
      <w:start w:val="1"/>
    </w:lvl>
  </w:abstractNum>
  <w:abstractNum w:abstractNumId="25">
    <w:nsid w:val="613EFDC5"/>
    <w:multiLevelType w:val="hybridMultilevel"/>
    <w:lvl w:ilvl="0">
      <w:lvlJc w:val="left"/>
      <w:lvlText w:val="%1."/>
      <w:numFmt w:val="upperLetter"/>
      <w:start w:val="17"/>
    </w:lvl>
  </w:abstractNum>
  <w:abstractNum w:abstractNumId="26">
    <w:nsid w:val="BF72B14"/>
    <w:multiLevelType w:val="hybridMultilevel"/>
    <w:lvl w:ilvl="0">
      <w:lvlJc w:val="left"/>
      <w:lvlText w:val="%1."/>
      <w:numFmt w:val="upperLetter"/>
      <w:start w:val="1"/>
    </w:lvl>
  </w:abstractNum>
  <w:abstractNum w:abstractNumId="27">
    <w:nsid w:val="11447B73"/>
    <w:multiLevelType w:val="hybridMultilevel"/>
    <w:lvl w:ilvl="0">
      <w:lvlJc w:val="left"/>
      <w:lvlText w:val="%1."/>
      <w:numFmt w:val="upperLetter"/>
      <w:start w:val="17"/>
    </w:lvl>
  </w:abstractNum>
  <w:abstractNum w:abstractNumId="28">
    <w:nsid w:val="42963E5A"/>
    <w:multiLevelType w:val="hybridMultilevel"/>
    <w:lvl w:ilvl="0">
      <w:lvlJc w:val="left"/>
      <w:lvlText w:val="%1."/>
      <w:numFmt w:val="upperLetter"/>
      <w:start w:val="1"/>
    </w:lvl>
  </w:abstractNum>
  <w:abstractNum w:abstractNumId="29">
    <w:nsid w:val="A0382C5"/>
    <w:multiLevelType w:val="hybridMultilevel"/>
    <w:lvl w:ilvl="0">
      <w:lvlJc w:val="left"/>
      <w:lvlText w:val="%1."/>
      <w:numFmt w:val="upperLetter"/>
      <w:start w:val="17"/>
    </w:lvl>
  </w:abstractNum>
  <w:abstractNum w:abstractNumId="30">
    <w:nsid w:val="8F2B15E"/>
    <w:multiLevelType w:val="hybridMultilevel"/>
    <w:lvl w:ilvl="0">
      <w:lvlJc w:val="left"/>
      <w:lvlText w:val="%1."/>
      <w:numFmt w:val="upperLetter"/>
      <w:start w:val="1"/>
    </w:lvl>
  </w:abstractNum>
  <w:abstractNum w:abstractNumId="31">
    <w:nsid w:val="1A32234B"/>
    <w:multiLevelType w:val="hybridMultilevel"/>
    <w:lvl w:ilvl="0">
      <w:lvlJc w:val="left"/>
      <w:lvlText w:val="%1"/>
      <w:numFmt w:val="decimal"/>
      <w:start w:val="100"/>
    </w:lvl>
  </w:abstractNum>
  <w:abstractNum w:abstractNumId="32">
    <w:nsid w:val="3B0FD379"/>
    <w:multiLevelType w:val="hybridMultilevel"/>
    <w:lvl w:ilvl="0">
      <w:lvlJc w:val="left"/>
      <w:lvlText w:val="%1."/>
      <w:numFmt w:val="upperLetter"/>
      <w:start w:val="1"/>
    </w:lvl>
  </w:abstractNum>
  <w:abstractNum w:abstractNumId="33">
    <w:nsid w:val="68EB2F63"/>
    <w:multiLevelType w:val="hybridMultilevel"/>
    <w:lvl w:ilvl="0">
      <w:lvlJc w:val="left"/>
      <w:lvlText w:val="%1."/>
      <w:numFmt w:val="upperLetter"/>
      <w:start w:val="17"/>
    </w:lvl>
  </w:abstractNum>
  <w:abstractNum w:abstractNumId="34">
    <w:nsid w:val="4962813B"/>
    <w:multiLevelType w:val="hybridMultilevel"/>
    <w:lvl w:ilvl="0">
      <w:lvlJc w:val="left"/>
      <w:lvlText w:val="%1."/>
      <w:numFmt w:val="upperLetter"/>
      <w:start w:val="1"/>
    </w:lvl>
  </w:abstractNum>
  <w:abstractNum w:abstractNumId="35">
    <w:nsid w:val="60B6DF70"/>
    <w:multiLevelType w:val="hybridMultilevel"/>
    <w:lvl w:ilvl="0">
      <w:lvlJc w:val="left"/>
      <w:lvlText w:val="%1."/>
      <w:numFmt w:val="upperLetter"/>
      <w:start w:val="17"/>
    </w:lvl>
  </w:abstractNum>
  <w:abstractNum w:abstractNumId="36">
    <w:nsid w:val="6A5EE64"/>
    <w:multiLevelType w:val="hybridMultilevel"/>
    <w:lvl w:ilvl="0">
      <w:lvlJc w:val="left"/>
      <w:lvlText w:val="%1."/>
      <w:numFmt w:val="upperLetter"/>
      <w:start w:val="1"/>
    </w:lvl>
  </w:abstractNum>
  <w:abstractNum w:abstractNumId="37">
    <w:nsid w:val="14330624"/>
    <w:multiLevelType w:val="hybridMultilevel"/>
    <w:lvl w:ilvl="0">
      <w:lvlJc w:val="left"/>
      <w:lvlText w:val="*"/>
      <w:numFmt w:val="bullet"/>
      <w:start w:val="1"/>
    </w:lvl>
  </w:abstractNum>
  <w:abstractNum w:abstractNumId="38">
    <w:nsid w:val="7FFFCA11"/>
    <w:multiLevelType w:val="hybridMultilevel"/>
    <w:lvl w:ilvl="0">
      <w:lvlJc w:val="left"/>
      <w:lvlText w:val="(%1)"/>
      <w:numFmt w:val="decimal"/>
      <w:start w:val="1"/>
    </w:lvl>
  </w:abstractNum>
  <w:abstractNum w:abstractNumId="39">
    <w:nsid w:val="1A27709E"/>
    <w:multiLevelType w:val="hybridMultilevel"/>
    <w:lvl w:ilvl="0">
      <w:lvlJc w:val="left"/>
      <w:lvlText w:val="(%1)"/>
      <w:numFmt w:val="lowerLetter"/>
      <w:start w:val="1"/>
    </w:lvl>
  </w:abstractNum>
  <w:abstractNum w:abstractNumId="40">
    <w:nsid w:val="71EA1109"/>
    <w:multiLevelType w:val="hybridMultilevel"/>
    <w:lvl w:ilvl="0">
      <w:lvlJc w:val="left"/>
      <w:lvlText w:val="•"/>
      <w:numFmt w:val="bullet"/>
      <w:start w:val="1"/>
    </w:lvl>
  </w:abstractNum>
  <w:abstractNum w:abstractNumId="41">
    <w:nsid w:val="100F59DC"/>
    <w:multiLevelType w:val="hybridMultilevel"/>
    <w:lvl w:ilvl="0">
      <w:lvlJc w:val="left"/>
      <w:lvlText w:val="•"/>
      <w:numFmt w:val="bullet"/>
      <w:start w:val="1"/>
    </w:lvl>
  </w:abstractNum>
  <w:abstractNum w:abstractNumId="42">
    <w:nsid w:val="7FB7E0AA"/>
    <w:multiLevelType w:val="hybridMultilevel"/>
    <w:lvl w:ilvl="0">
      <w:lvlJc w:val="left"/>
      <w:lvlText w:val="•"/>
      <w:numFmt w:val="bullet"/>
      <w:start w:val="1"/>
    </w:lvl>
  </w:abstractNum>
  <w:abstractNum w:abstractNumId="43">
    <w:nsid w:val="6EB5BD4"/>
    <w:multiLevelType w:val="hybridMultilevel"/>
    <w:lvl w:ilvl="0">
      <w:lvlJc w:val="left"/>
      <w:lvlText w:val="•"/>
      <w:numFmt w:val="bullet"/>
      <w:start w:val="1"/>
    </w:lvl>
  </w:abstractNum>
  <w:abstractNum w:abstractNumId="44">
    <w:nsid w:val="6F6DD9AC"/>
    <w:multiLevelType w:val="hybridMultilevel"/>
    <w:lvl w:ilvl="0">
      <w:lvlJc w:val="left"/>
      <w:lvlText w:val="&amp;"/>
      <w:numFmt w:val="bullet"/>
      <w:start w:val="1"/>
    </w:lvl>
  </w:abstractNum>
  <w:abstractNum w:abstractNumId="45">
    <w:nsid w:val="94211F2"/>
    <w:multiLevelType w:val="hybridMultilevel"/>
    <w:lvl w:ilvl="0">
      <w:lvlJc w:val="left"/>
      <w:lvlText w:val="•"/>
      <w:numFmt w:val="bullet"/>
      <w:start w:val="1"/>
    </w:lvl>
  </w:abstractNum>
  <w:abstractNum w:abstractNumId="46">
    <w:nsid w:val="885E1B"/>
    <w:multiLevelType w:val="hybridMultilevel"/>
    <w:lvl w:ilvl="0">
      <w:lvlJc w:val="left"/>
      <w:lvlText w:val="(%1)"/>
      <w:numFmt w:val="decimal"/>
      <w:start w:val="1"/>
    </w:lvl>
  </w:abstractNum>
  <w:abstractNum w:abstractNumId="47">
    <w:nsid w:val="76272110"/>
    <w:multiLevelType w:val="hybridMultilevel"/>
    <w:lvl w:ilvl="0">
      <w:lvlJc w:val="left"/>
      <w:lvlText w:val="(%1)"/>
      <w:numFmt w:val="decimal"/>
      <w:start w:val="1"/>
    </w:lvl>
  </w:abstractNum>
  <w:abstractNum w:abstractNumId="48">
    <w:nsid w:val="4C04A8AF"/>
    <w:multiLevelType w:val="hybridMultilevel"/>
    <w:lvl w:ilvl="0">
      <w:lvlJc w:val="left"/>
      <w:lvlText w:val="(%1)"/>
      <w:numFmt w:val="decimal"/>
      <w:start w:val="1"/>
    </w:lvl>
  </w:abstractNum>
  <w:abstractNum w:abstractNumId="49">
    <w:nsid w:val="1716703B"/>
    <w:multiLevelType w:val="hybridMultilevel"/>
    <w:lvl w:ilvl="0">
      <w:lvlJc w:val="left"/>
      <w:lvlText w:val="(%1)"/>
      <w:numFmt w:val="decimal"/>
      <w:start w:val="3"/>
    </w:lvl>
  </w:abstractNum>
  <w:abstractNum w:abstractNumId="50">
    <w:nsid w:val="14E17E33"/>
    <w:multiLevelType w:val="hybridMultilevel"/>
    <w:lvl w:ilvl="0">
      <w:lvlJc w:val="left"/>
      <w:lvlText w:val="(%1)"/>
      <w:numFmt w:val="decimal"/>
      <w:start w:val="4"/>
    </w:lvl>
  </w:abstractNum>
  <w:abstractNum w:abstractNumId="51">
    <w:nsid w:val="3222E7CD"/>
    <w:multiLevelType w:val="hybridMultilevel"/>
    <w:lvl w:ilvl="0">
      <w:lvlJc w:val="left"/>
      <w:lvlText w:val="(%1)"/>
      <w:numFmt w:val="decimal"/>
      <w:start w:val="1"/>
    </w:lvl>
  </w:abstractNum>
  <w:abstractNum w:abstractNumId="52">
    <w:nsid w:val="74DE0EE3"/>
    <w:multiLevelType w:val="hybridMultilevel"/>
    <w:lvl w:ilvl="0">
      <w:lvlJc w:val="left"/>
      <w:lvlText w:val="(%1)"/>
      <w:numFmt w:val="decimal"/>
      <w:start w:val="2"/>
    </w:lvl>
  </w:abstractNum>
  <w:abstractNum w:abstractNumId="53">
    <w:nsid w:val="68EBC550"/>
    <w:multiLevelType w:val="hybridMultilevel"/>
    <w:lvl w:ilvl="0">
      <w:lvlJc w:val="left"/>
      <w:lvlText w:val="(%1)"/>
      <w:numFmt w:val="decimal"/>
      <w:start w:val="1"/>
    </w:lvl>
  </w:abstractNum>
  <w:abstractNum w:abstractNumId="54">
    <w:nsid w:val="2DF6D648"/>
    <w:multiLevelType w:val="hybridMultilevel"/>
    <w:lvl w:ilvl="0">
      <w:lvlJc w:val="left"/>
      <w:lvlText w:val="%1."/>
      <w:numFmt w:val="decimal"/>
      <w:start w:val="1"/>
    </w:lvl>
  </w:abstractNum>
  <w:abstractNum w:abstractNumId="55">
    <w:nsid w:val="46B7D447"/>
    <w:multiLevelType w:val="hybridMultilevel"/>
    <w:lvl w:ilvl="0">
      <w:lvlJc w:val="left"/>
      <w:lvlText w:val="•"/>
      <w:numFmt w:val="bullet"/>
      <w:start w:val="1"/>
    </w:lvl>
  </w:abstractNum>
  <w:abstractNum w:abstractNumId="56">
    <w:nsid w:val="4A2AC315"/>
    <w:multiLevelType w:val="hybridMultilevel"/>
    <w:lvl w:ilvl="0">
      <w:lvlJc w:val="left"/>
      <w:lvlText w:val="•"/>
      <w:numFmt w:val="bullet"/>
      <w:start w:val="1"/>
    </w:lvl>
  </w:abstractNum>
  <w:abstractNum w:abstractNumId="57">
    <w:nsid w:val="39EE015C"/>
    <w:multiLevelType w:val="hybridMultilevel"/>
    <w:lvl w:ilvl="0">
      <w:lvlJc w:val="left"/>
      <w:lvlText w:val="(%1)"/>
      <w:numFmt w:val="lowerRoman"/>
      <w:start w:val="1"/>
    </w:lvl>
  </w:abstractNum>
  <w:abstractNum w:abstractNumId="58">
    <w:nsid w:val="57FC4FBB"/>
    <w:multiLevelType w:val="hybridMultilevel"/>
    <w:lvl w:ilvl="0">
      <w:lvlJc w:val="left"/>
      <w:lvlText w:val="•"/>
      <w:numFmt w:val="bullet"/>
      <w:start w:val="1"/>
    </w:lvl>
  </w:abstractNum>
  <w:abstractNum w:abstractNumId="59">
    <w:nsid w:val="CC1016F"/>
    <w:multiLevelType w:val="hybridMultilevel"/>
    <w:lvl w:ilvl="0">
      <w:lvlJc w:val="left"/>
      <w:lvlText w:val="•"/>
      <w:numFmt w:val="bullet"/>
      <w:start w:val="1"/>
    </w:lvl>
  </w:abstractNum>
  <w:abstractNum w:abstractNumId="60">
    <w:nsid w:val="43F18422"/>
    <w:multiLevelType w:val="hybridMultilevel"/>
    <w:lvl w:ilvl="0">
      <w:lvlJc w:val="left"/>
      <w:lvlText w:val="•"/>
      <w:numFmt w:val="bullet"/>
      <w:start w:val="1"/>
    </w:lvl>
  </w:abstractNum>
  <w:abstractNum w:abstractNumId="61">
    <w:nsid w:val="60EF0119"/>
    <w:multiLevelType w:val="hybridMultilevel"/>
    <w:lvl w:ilvl="0">
      <w:lvlJc w:val="left"/>
      <w:lvlText w:val="•"/>
      <w:numFmt w:val="bullet"/>
      <w:start w:val="1"/>
    </w:lvl>
  </w:abstractNum>
  <w:abstractNum w:abstractNumId="62">
    <w:nsid w:val="26F324BA"/>
    <w:multiLevelType w:val="hybridMultilevel"/>
    <w:lvl w:ilvl="0">
      <w:lvlJc w:val="left"/>
      <w:lvlText w:val="•"/>
      <w:numFmt w:val="bullet"/>
      <w:start w:val="1"/>
    </w:lvl>
  </w:abstractNum>
  <w:abstractNum w:abstractNumId="63">
    <w:nsid w:val="7F01579B"/>
    <w:multiLevelType w:val="hybridMultilevel"/>
    <w:lvl w:ilvl="0">
      <w:lvlJc w:val="left"/>
      <w:lvlText w:val="•"/>
      <w:numFmt w:val="bullet"/>
      <w:start w:val="1"/>
    </w:lvl>
  </w:abstractNum>
  <w:abstractNum w:abstractNumId="64">
    <w:nsid w:val="49DA307D"/>
    <w:multiLevelType w:val="hybridMultilevel"/>
    <w:lvl w:ilvl="0">
      <w:lvlJc w:val="left"/>
      <w:lvlText w:val="•"/>
      <w:numFmt w:val="bullet"/>
      <w:start w:val="1"/>
    </w:lvl>
  </w:abstractNum>
  <w:abstractNum w:abstractNumId="65">
    <w:nsid w:val="7055A5F5"/>
    <w:multiLevelType w:val="hybridMultilevel"/>
    <w:lvl w:ilvl="0">
      <w:lvlJc w:val="left"/>
      <w:lvlText w:val="•"/>
      <w:numFmt w:val="bullet"/>
      <w:start w:val="1"/>
    </w:lvl>
    <w:lvl w:ilvl="1">
      <w:lvlJc w:val="left"/>
      <w:lvlText w:val="(%2)"/>
      <w:numFmt w:val="decimal"/>
      <w:start w:val="3"/>
    </w:lvl>
  </w:abstractNum>
  <w:abstractNum w:abstractNumId="66">
    <w:nsid w:val="5FB8370B"/>
    <w:multiLevelType w:val="hybridMultilevel"/>
    <w:lvl w:ilvl="0">
      <w:lvlJc w:val="left"/>
      <w:lvlText w:val="%1)"/>
      <w:numFmt w:val="lowerLetter"/>
      <w:start w:val="1"/>
    </w:lvl>
  </w:abstractNum>
  <w:abstractNum w:abstractNumId="67">
    <w:nsid w:val="50801EE1"/>
    <w:multiLevelType w:val="hybridMultilevel"/>
    <w:lvl w:ilvl="0">
      <w:lvlJc w:val="left"/>
      <w:lvlText w:val="•"/>
      <w:numFmt w:val="bullet"/>
      <w:start w:val="1"/>
    </w:lvl>
  </w:abstractNum>
  <w:abstractNum w:abstractNumId="68">
    <w:nsid w:val="488AC1A"/>
    <w:multiLevelType w:val="hybridMultilevel"/>
    <w:lvl w:ilvl="0">
      <w:lvlJc w:val="left"/>
      <w:lvlText w:val="(%1)"/>
      <w:numFmt w:val="decimal"/>
      <w:start w:val="1"/>
    </w:lvl>
  </w:abstractNum>
  <w:abstractNum w:abstractNumId="69">
    <w:nsid w:val="5FB8011C"/>
    <w:multiLevelType w:val="hybridMultilevel"/>
    <w:lvl w:ilvl="0">
      <w:lvlJc w:val="left"/>
      <w:lvlText w:val="•"/>
      <w:numFmt w:val="bullet"/>
      <w:start w:val="1"/>
    </w:lvl>
  </w:abstractNum>
  <w:abstractNum w:abstractNumId="70">
    <w:nsid w:val="6AA78F7F"/>
    <w:multiLevelType w:val="hybridMultilevel"/>
    <w:lvl w:ilvl="0">
      <w:lvlJc w:val="left"/>
      <w:lvlText w:val="•"/>
      <w:numFmt w:val="bullet"/>
      <w:start w:val="1"/>
    </w:lvl>
  </w:abstractNum>
  <w:abstractNum w:abstractNumId="71">
    <w:nsid w:val="7672BD23"/>
    <w:multiLevelType w:val="hybridMultilevel"/>
    <w:lvl w:ilvl="0">
      <w:lvlJc w:val="left"/>
      <w:lvlText w:val="*"/>
      <w:numFmt w:val="bullet"/>
      <w:start w:val="1"/>
    </w:lvl>
  </w:abstractNum>
  <w:abstractNum w:abstractNumId="72">
    <w:nsid w:val="6FC75AF8"/>
    <w:multiLevelType w:val="hybridMultilevel"/>
    <w:lvl w:ilvl="0">
      <w:lvlJc w:val="left"/>
      <w:lvlText w:val="•"/>
      <w:numFmt w:val="bullet"/>
      <w:start w:val="1"/>
    </w:lvl>
  </w:abstractNum>
  <w:abstractNum w:abstractNumId="73">
    <w:nsid w:val="6A5F7029"/>
    <w:multiLevelType w:val="hybridMultilevel"/>
    <w:lvl w:ilvl="0">
      <w:lvlJc w:val="left"/>
      <w:lvlText w:val="•"/>
      <w:numFmt w:val="bullet"/>
      <w:start w:val="1"/>
    </w:lvl>
  </w:abstractNum>
  <w:abstractNum w:abstractNumId="74">
    <w:nsid w:val="7D5E18F8"/>
    <w:multiLevelType w:val="hybridMultilevel"/>
    <w:lvl w:ilvl="0">
      <w:lvlJc w:val="left"/>
      <w:lvlText w:val="•"/>
      <w:numFmt w:val="bullet"/>
      <w:start w:val="1"/>
    </w:lvl>
  </w:abstractNum>
  <w:abstractNum w:abstractNumId="75">
    <w:nsid w:val="5F3534A4"/>
    <w:multiLevelType w:val="hybridMultilevel"/>
    <w:lvl w:ilvl="0">
      <w:lvlJc w:val="left"/>
      <w:lvlText w:val="•"/>
      <w:numFmt w:val="bullet"/>
      <w:start w:val="1"/>
    </w:lvl>
  </w:abstractNum>
  <w:abstractNum w:abstractNumId="76">
    <w:nsid w:val="73A1821B"/>
    <w:multiLevelType w:val="hybridMultilevel"/>
    <w:lvl w:ilvl="0">
      <w:lvlJc w:val="left"/>
      <w:lvlText w:val="(%1)"/>
      <w:numFmt w:val="decimal"/>
      <w:start w:val="1"/>
    </w:lvl>
  </w:abstractNum>
  <w:abstractNum w:abstractNumId="77">
    <w:nsid w:val="7DE67713"/>
    <w:multiLevelType w:val="hybridMultilevel"/>
    <w:lvl w:ilvl="0">
      <w:lvlJc w:val="left"/>
      <w:lvlText w:val="•"/>
      <w:numFmt w:val="bullet"/>
      <w:start w:val="1"/>
    </w:lvl>
  </w:abstractNum>
  <w:abstractNum w:abstractNumId="78">
    <w:nsid w:val="555C55B5"/>
    <w:multiLevelType w:val="hybridMultilevel"/>
    <w:lvl w:ilvl="0">
      <w:lvlJc w:val="left"/>
      <w:lvlText w:val="•"/>
      <w:numFmt w:val="bullet"/>
      <w:start w:val="1"/>
    </w:lvl>
  </w:abstractNum>
  <w:abstractNum w:abstractNumId="79">
    <w:nsid w:val="3FA62ACA"/>
    <w:multiLevelType w:val="hybridMultilevel"/>
    <w:lvl w:ilvl="0">
      <w:lvlJc w:val="left"/>
      <w:lvlText w:val="•"/>
      <w:numFmt w:val="bullet"/>
      <w:start w:val="1"/>
    </w:lvl>
  </w:abstractNum>
  <w:abstractNum w:abstractNumId="80">
    <w:nsid w:val="14FCE74E"/>
    <w:multiLevelType w:val="hybridMultilevel"/>
    <w:lvl w:ilvl="0">
      <w:lvlJc w:val="left"/>
      <w:lvlText w:val="(%1)"/>
      <w:numFmt w:val="decimal"/>
      <w:start w:val="1"/>
    </w:lvl>
  </w:abstractNum>
  <w:abstractNum w:abstractNumId="81">
    <w:nsid w:val="6A3DD3E8"/>
    <w:multiLevelType w:val="hybridMultilevel"/>
    <w:lvl w:ilvl="0">
      <w:lvlJc w:val="left"/>
      <w:lvlText w:val="•"/>
      <w:numFmt w:val="bullet"/>
      <w:start w:val="1"/>
    </w:lvl>
  </w:abstractNum>
  <w:abstractNum w:abstractNumId="82">
    <w:nsid w:val="71C91298"/>
    <w:multiLevelType w:val="hybridMultilevel"/>
    <w:lvl w:ilvl="0">
      <w:lvlJc w:val="left"/>
      <w:lvlText w:val="(%1)"/>
      <w:numFmt w:val="decimal"/>
      <w:start w:val="1"/>
    </w:lvl>
  </w:abstractNum>
  <w:abstractNum w:abstractNumId="83">
    <w:nsid w:val="9DAF632"/>
    <w:multiLevelType w:val="hybridMultilevel"/>
    <w:lvl w:ilvl="0">
      <w:lvlJc w:val="left"/>
      <w:lvlText w:val="(%1)"/>
      <w:numFmt w:val="decimal"/>
      <w:start w:val="1"/>
    </w:lvl>
  </w:abstractNum>
  <w:abstractNum w:abstractNumId="84">
    <w:nsid w:val="53299938"/>
    <w:multiLevelType w:val="hybridMultilevel"/>
    <w:lvl w:ilvl="0">
      <w:lvlJc w:val="left"/>
      <w:lvlText w:val="(%1)"/>
      <w:numFmt w:val="decimal"/>
      <w:start w:val="1"/>
    </w:lvl>
  </w:abstractNum>
  <w:abstractNum w:abstractNumId="85">
    <w:nsid w:val="1FBFE8E0"/>
    <w:multiLevelType w:val="hybridMultilevel"/>
    <w:lvl w:ilvl="0">
      <w:lvlJc w:val="left"/>
      <w:lvlText w:val="(%1)"/>
      <w:numFmt w:val="decimal"/>
      <w:start w:val="3"/>
    </w:lvl>
  </w:abstractNum>
  <w:abstractNum w:abstractNumId="86">
    <w:nsid w:val="5092CA79"/>
    <w:multiLevelType w:val="hybridMultilevel"/>
    <w:lvl w:ilvl="0">
      <w:lvlJc w:val="left"/>
      <w:lvlText w:val="(%1)"/>
      <w:numFmt w:val="decimal"/>
      <w:start w:val="1"/>
    </w:lvl>
  </w:abstractNum>
  <w:abstractNum w:abstractNumId="87">
    <w:nsid w:val="1D545C4D"/>
    <w:multiLevelType w:val="hybridMultilevel"/>
    <w:lvl w:ilvl="0">
      <w:lvlJc w:val="left"/>
      <w:lvlText w:val="(%1)"/>
      <w:numFmt w:val="decimal"/>
      <w:start w:val="3"/>
    </w:lvl>
  </w:abstractNum>
  <w:abstractNum w:abstractNumId="88">
    <w:nsid w:val="59ADEA3D"/>
    <w:multiLevelType w:val="hybridMultilevel"/>
    <w:lvl w:ilvl="0">
      <w:lvlJc w:val="left"/>
      <w:lvlText w:val="(%1)"/>
      <w:numFmt w:val="decimal"/>
      <w:start w:val="1"/>
    </w:lvl>
  </w:abstractNum>
  <w:abstractNum w:abstractNumId="89">
    <w:nsid w:val="288F1A34"/>
    <w:multiLevelType w:val="hybridMultilevel"/>
    <w:lvl w:ilvl="0">
      <w:lvlJc w:val="left"/>
      <w:lvlText w:val="(%1)"/>
      <w:numFmt w:val="decimal"/>
      <w:start w:val="3"/>
    </w:lvl>
  </w:abstractNum>
  <w:abstractNum w:abstractNumId="90">
    <w:nsid w:val="2A155DBC"/>
    <w:multiLevelType w:val="hybridMultilevel"/>
    <w:lvl w:ilvl="0">
      <w:lvlJc w:val="left"/>
      <w:lvlText w:val="(%1)"/>
      <w:numFmt w:val="decimal"/>
      <w:start w:val="1"/>
    </w:lvl>
  </w:abstractNum>
  <w:abstractNum w:abstractNumId="91">
    <w:nsid w:val="1D9F6E5F"/>
    <w:multiLevelType w:val="hybridMultilevel"/>
    <w:lvl w:ilvl="0">
      <w:lvlJc w:val="left"/>
      <w:lvlText w:val="(%1)"/>
      <w:numFmt w:val="decimal"/>
      <w:start w:val="1"/>
    </w:lvl>
  </w:abstractNum>
  <w:abstractNum w:abstractNumId="92">
    <w:nsid w:val="97E1B4E"/>
    <w:multiLevelType w:val="hybridMultilevel"/>
    <w:lvl w:ilvl="0">
      <w:lvlJc w:val="left"/>
      <w:lvlText w:val="(%1)"/>
      <w:numFmt w:val="decimal"/>
      <w:start w:val="2"/>
    </w:lvl>
  </w:abstractNum>
  <w:abstractNum w:abstractNumId="93">
    <w:nsid w:val="51088277"/>
    <w:multiLevelType w:val="hybridMultilevel"/>
    <w:lvl w:ilvl="0">
      <w:lvlJc w:val="left"/>
      <w:lvlText w:val="(%1)"/>
      <w:numFmt w:val="decimal"/>
      <w:start w:val="1"/>
    </w:lvl>
  </w:abstractNum>
  <w:abstractNum w:abstractNumId="94">
    <w:nsid w:val="1CA0C5FA"/>
    <w:multiLevelType w:val="hybridMultilevel"/>
    <w:lvl w:ilvl="0">
      <w:lvlJc w:val="left"/>
      <w:lvlText w:val="(%1)"/>
      <w:numFmt w:val="lowerLetter"/>
      <w:start w:val="1"/>
    </w:lvl>
  </w:abstractNum>
  <w:abstractNum w:abstractNumId="95">
    <w:nsid w:val="53584BCB"/>
    <w:multiLevelType w:val="hybridMultilevel"/>
    <w:lvl w:ilvl="0">
      <w:lvlJc w:val="left"/>
      <w:lvlText w:val="(%1)"/>
      <w:numFmt w:val="lowerLetter"/>
      <w:start w:val="2"/>
    </w:lvl>
  </w:abstractNum>
  <w:abstractNum w:abstractNumId="96">
    <w:nsid w:val="415E286C"/>
    <w:multiLevelType w:val="hybridMultilevel"/>
    <w:lvl w:ilvl="0">
      <w:lvlJc w:val="left"/>
      <w:lvlText w:val="(%1)"/>
      <w:numFmt w:val="lowerLetter"/>
      <w:start w:val="1"/>
    </w:lvl>
  </w:abstractNum>
  <w:abstractNum w:abstractNumId="97">
    <w:nsid w:val="7C58FD05"/>
    <w:multiLevelType w:val="hybridMultilevel"/>
    <w:lvl w:ilvl="0">
      <w:lvlJc w:val="left"/>
      <w:lvlText w:val="(%1)"/>
      <w:numFmt w:val="decimal"/>
      <w:start w:val="1"/>
    </w:lvl>
  </w:abstractNum>
  <w:abstractNum w:abstractNumId="98">
    <w:nsid w:val="23D86AAC"/>
    <w:multiLevelType w:val="hybridMultilevel"/>
    <w:lvl w:ilvl="0">
      <w:lvlJc w:val="left"/>
      <w:lvlText w:val="(%1)"/>
      <w:numFmt w:val="lowerLetter"/>
      <w:start w:val="1"/>
    </w:lvl>
  </w:abstractNum>
  <w:abstractNum w:abstractNumId="99">
    <w:nsid w:val="45E6D486"/>
    <w:multiLevelType w:val="hybridMultilevel"/>
    <w:lvl w:ilvl="0">
      <w:lvlJc w:val="left"/>
      <w:lvlText w:val="(%1)"/>
      <w:numFmt w:val="decimal"/>
      <w:start w:val="1"/>
    </w:lvl>
  </w:abstractNum>
  <w:abstractNum w:abstractNumId="100">
    <w:nsid w:val="5C10FE21"/>
    <w:multiLevelType w:val="hybridMultilevel"/>
    <w:lvl w:ilvl="0">
      <w:lvlJc w:val="left"/>
      <w:lvlText w:val="(%1)"/>
      <w:numFmt w:val="decimal"/>
      <w:start w:val="1"/>
    </w:lvl>
  </w:abstractNum>
  <w:abstractNum w:abstractNumId="101">
    <w:nsid w:val="E7FFA2B"/>
    <w:multiLevelType w:val="hybridMultilevel"/>
    <w:lvl w:ilvl="0">
      <w:lvlJc w:val="left"/>
      <w:lvlText w:val="(%1)"/>
      <w:numFmt w:val="decimal"/>
      <w:start w:val="1"/>
    </w:lvl>
  </w:abstractNum>
  <w:abstractNum w:abstractNumId="102">
    <w:nsid w:val="3C5991AA"/>
    <w:multiLevelType w:val="hybridMultilevel"/>
    <w:lvl w:ilvl="0">
      <w:lvlJc w:val="left"/>
      <w:lvlText w:val="(%1)"/>
      <w:numFmt w:val="decimal"/>
      <w:start w:val="1"/>
    </w:lvl>
  </w:abstractNum>
  <w:abstractNum w:abstractNumId="103">
    <w:nsid w:val="4BD8591A"/>
    <w:multiLevelType w:val="hybridMultilevel"/>
    <w:lvl w:ilvl="0">
      <w:lvlJc w:val="left"/>
      <w:lvlText w:val="(%1)"/>
      <w:numFmt w:val="decimal"/>
      <w:start w:val="1"/>
    </w:lvl>
  </w:abstractNum>
  <w:abstractNum w:abstractNumId="104">
    <w:nsid w:val="78DF6A55"/>
    <w:multiLevelType w:val="hybridMultilevel"/>
    <w:lvl w:ilvl="0">
      <w:lvlJc w:val="left"/>
      <w:lvlText w:val="%1."/>
      <w:numFmt w:val="decimal"/>
      <w:start w:val="1"/>
    </w:lvl>
  </w:abstractNum>
  <w:abstractNum w:abstractNumId="105">
    <w:nsid w:val="39B7AAA2"/>
    <w:multiLevelType w:val="hybridMultilevel"/>
    <w:lvl w:ilvl="0">
      <w:lvlJc w:val="left"/>
      <w:lvlText w:val="%1"/>
      <w:numFmt w:val="decimal"/>
      <w:start w:val="1"/>
    </w:lvl>
    <w:lvl w:ilvl="1">
      <w:lvlJc w:val="left"/>
      <w:lvlText w:val="(%2)"/>
      <w:numFmt w:val="lowerLetter"/>
      <w:start w:val="1"/>
    </w:lvl>
  </w:abstractNum>
  <w:abstractNum w:abstractNumId="106">
    <w:nsid w:val="2B0D8DBE"/>
    <w:multiLevelType w:val="hybridMultilevel"/>
    <w:lvl w:ilvl="0">
      <w:lvlJc w:val="left"/>
      <w:lvlText w:val="%1."/>
      <w:numFmt w:val="decimal"/>
      <w:start w:val="2"/>
    </w:lvl>
    <w:lvl w:ilvl="1">
      <w:lvlJc w:val="left"/>
      <w:lvlText w:val="%2"/>
      <w:numFmt w:val="lowerLetter"/>
      <w:start w:val="1"/>
    </w:lvl>
  </w:abstractNum>
  <w:abstractNum w:abstractNumId="107">
    <w:nsid w:val="6C80EC70"/>
    <w:multiLevelType w:val="hybridMultilevel"/>
    <w:lvl w:ilvl="0">
      <w:lvlJc w:val="left"/>
      <w:lvlText w:val="%1."/>
      <w:numFmt w:val="decimal"/>
      <w:start w:val="3"/>
    </w:lvl>
  </w:abstractNum>
  <w:abstractNum w:abstractNumId="108">
    <w:nsid w:val="379E21B5"/>
    <w:multiLevelType w:val="hybridMultilevel"/>
    <w:lvl w:ilvl="0">
      <w:lvlJc w:val="left"/>
      <w:lvlText w:val="(%1)"/>
      <w:numFmt w:val="lowerLetter"/>
      <w:start w:val="1"/>
    </w:lvl>
  </w:abstractNum>
  <w:abstractNum w:abstractNumId="109">
    <w:nsid w:val="69E373"/>
    <w:multiLevelType w:val="hybridMultilevel"/>
    <w:lvl w:ilvl="0">
      <w:lvlJc w:val="left"/>
      <w:lvlText w:val="(%1)"/>
      <w:numFmt w:val="lowerLetter"/>
      <w:start w:val="1"/>
    </w:lvl>
  </w:abstractNum>
  <w:abstractNum w:abstractNumId="110">
    <w:nsid w:val="2C27173B"/>
    <w:multiLevelType w:val="hybridMultilevel"/>
    <w:lvl w:ilvl="0">
      <w:lvlJc w:val="left"/>
      <w:lvlText w:val="%1"/>
      <w:numFmt w:val="decimal"/>
      <w:start w:val="1"/>
    </w:lvl>
    <w:lvl w:ilvl="1">
      <w:lvlJc w:val="left"/>
      <w:lvlText w:val="(%2)"/>
      <w:numFmt w:val="lowerLetter"/>
      <w:start w:val="1"/>
    </w:lvl>
  </w:abstractNum>
  <w:abstractNum w:abstractNumId="111">
    <w:nsid w:val="4C9B0904"/>
    <w:multiLevelType w:val="hybridMultilevel"/>
    <w:lvl w:ilvl="0">
      <w:lvlJc w:val="left"/>
      <w:lvlText w:val="%1."/>
      <w:numFmt w:val="decimal"/>
      <w:start w:val="4"/>
    </w:lvl>
    <w:lvl w:ilvl="1">
      <w:lvlJc w:val="left"/>
      <w:lvlText w:val="%2"/>
      <w:numFmt w:val="lowerLetter"/>
      <w:start w:val="1"/>
    </w:lvl>
  </w:abstractNum>
  <w:abstractNum w:abstractNumId="112">
    <w:nsid w:val="6AA7B75C"/>
    <w:multiLevelType w:val="hybridMultilevel"/>
    <w:lvl w:ilvl="0">
      <w:lvlJc w:val="left"/>
      <w:lvlText w:val="%1."/>
      <w:numFmt w:val="decimal"/>
      <w:start w:val="5"/>
    </w:lvl>
  </w:abstractNum>
  <w:abstractNum w:abstractNumId="113">
    <w:nsid w:val="1DF029D3"/>
    <w:multiLevelType w:val="hybridMultilevel"/>
    <w:lvl w:ilvl="0">
      <w:lvlJc w:val="left"/>
      <w:lvlText w:val="%1."/>
      <w:numFmt w:val="decimal"/>
      <w:start w:val="6"/>
    </w:lvl>
  </w:abstractNum>
  <w:abstractNum w:abstractNumId="114">
    <w:nsid w:val="5675FF36"/>
    <w:multiLevelType w:val="hybridMultilevel"/>
    <w:lvl w:ilvl="0">
      <w:lvlJc w:val="left"/>
      <w:lvlText w:val="%1."/>
      <w:numFmt w:val="decimal"/>
      <w:start w:val="7"/>
    </w:lvl>
  </w:abstractNum>
  <w:abstractNum w:abstractNumId="115">
    <w:nsid w:val="3DD15094"/>
    <w:multiLevelType w:val="hybridMultilevel"/>
    <w:lvl w:ilvl="0">
      <w:lvlJc w:val="left"/>
      <w:lvlText w:val="%1."/>
      <w:numFmt w:val="decimal"/>
      <w:start w:val="8"/>
    </w:lvl>
  </w:abstractNum>
  <w:abstractNum w:abstractNumId="116">
    <w:nsid w:val="3DB012B3"/>
    <w:multiLevelType w:val="hybridMultilevel"/>
    <w:lvl w:ilvl="0">
      <w:lvlJc w:val="left"/>
      <w:lvlText w:val="(%1)"/>
      <w:numFmt w:val="lowerLetter"/>
      <w:start w:val="1"/>
    </w:lvl>
    <w:lvl w:ilvl="1">
      <w:lvlJc w:val="left"/>
      <w:lvlText w:val="(%2)"/>
      <w:numFmt w:val="lowerRoman"/>
      <w:start w:val="1"/>
    </w:lvl>
  </w:abstractNum>
  <w:abstractNum w:abstractNumId="117">
    <w:nsid w:val="2708C9AF"/>
    <w:multiLevelType w:val="hybridMultilevel"/>
    <w:lvl w:ilvl="0">
      <w:lvlJc w:val="left"/>
      <w:lvlText w:val="(%1)"/>
      <w:numFmt w:val="lowerLetter"/>
      <w:start w:val="1"/>
    </w:lvl>
  </w:abstractNum>
  <w:abstractNum w:abstractNumId="118">
    <w:nsid w:val="5B25ACE2"/>
    <w:multiLevelType w:val="hybridMultilevel"/>
    <w:lvl w:ilvl="0">
      <w:lvlJc w:val="left"/>
      <w:lvlText w:val="(%1)"/>
      <w:numFmt w:val="lowerLetter"/>
      <w:start w:val="5"/>
    </w:lvl>
  </w:abstractNum>
  <w:abstractNum w:abstractNumId="119">
    <w:nsid w:val="175DFCF0"/>
    <w:multiLevelType w:val="hybridMultilevel"/>
    <w:lvl w:ilvl="0">
      <w:lvlJc w:val="left"/>
      <w:lvlText w:val="(%1)"/>
      <w:numFmt w:val="lowerLetter"/>
      <w:start w:val="1"/>
    </w:lvl>
  </w:abstractNum>
  <w:abstractNum w:abstractNumId="120">
    <w:nsid w:val="4F97E3E4"/>
    <w:multiLevelType w:val="hybridMultilevel"/>
    <w:lvl w:ilvl="0">
      <w:lvlJc w:val="left"/>
      <w:lvlText w:val="(%1)"/>
      <w:numFmt w:val="lowerLetter"/>
      <w:start w:val="1"/>
    </w:lvl>
    <w:lvl w:ilvl="1">
      <w:lvlJc w:val="left"/>
      <w:lvlText w:val="(%2)"/>
      <w:numFmt w:val="lowerRoman"/>
      <w:start w:val="1"/>
    </w:lvl>
  </w:abstractNum>
  <w:abstractNum w:abstractNumId="121">
    <w:nsid w:val="53B0A9E"/>
    <w:multiLevelType w:val="hybridMultilevel"/>
    <w:lvl w:ilvl="0">
      <w:lvlJc w:val="left"/>
      <w:lvlText w:val="(%1)"/>
      <w:numFmt w:val="lowerLetter"/>
      <w:start w:val="1"/>
    </w:lvl>
    <w:lvl w:ilvl="1">
      <w:lvlJc w:val="left"/>
      <w:lvlText w:val="(%2)"/>
      <w:numFmt w:val="lowerRoman"/>
      <w:start w:val="1"/>
    </w:lvl>
  </w:abstractNum>
  <w:abstractNum w:abstractNumId="122">
    <w:nsid w:val="34FD6B4F"/>
    <w:multiLevelType w:val="hybridMultilevel"/>
    <w:lvl w:ilvl="0">
      <w:lvlJc w:val="left"/>
      <w:lvlText w:val="(%1)"/>
      <w:numFmt w:val="lowerLetter"/>
      <w:start w:val="1"/>
    </w:lvl>
  </w:abstractNum>
  <w:abstractNum w:abstractNumId="123">
    <w:nsid w:val="5915FF32"/>
    <w:multiLevelType w:val="hybridMultilevel"/>
    <w:lvl w:ilvl="0">
      <w:lvlJc w:val="left"/>
      <w:lvlText w:val="(%1)"/>
      <w:numFmt w:val="lowerLetter"/>
      <w:start w:val="1"/>
    </w:lvl>
  </w:abstractNum>
  <w:abstractNum w:abstractNumId="124">
    <w:nsid w:val="56438D15"/>
    <w:multiLevelType w:val="hybridMultilevel"/>
    <w:lvl w:ilvl="0">
      <w:lvlJc w:val="left"/>
      <w:lvlText w:val="%1."/>
      <w:numFmt w:val="decimal"/>
      <w:start w:val="9"/>
    </w:lvl>
  </w:abstractNum>
  <w:abstractNum w:abstractNumId="125">
    <w:nsid w:val="519E3149"/>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jpe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png"/><Relationship Id="rId368" Type="http://schemas.openxmlformats.org/officeDocument/2006/relationships/image" Target="media/image361.jpe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jpeg"/><Relationship Id="rId372" Type="http://schemas.openxmlformats.org/officeDocument/2006/relationships/image" Target="media/image365.png"/><Relationship Id="rId373" Type="http://schemas.openxmlformats.org/officeDocument/2006/relationships/image" Target="media/image36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2021-03-15T11:56:29Z</dcterms:created>
  <dcterms:modified xsi:type="dcterms:W3CDTF">2021-03-15T11:56:29Z</dcterms:modified>
</cp:coreProperties>
</file>