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0"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31" w:lineRule="exact"/>
        <w:rPr>
          <w:sz w:val="24"/>
          <w:szCs w:val="24"/>
          <w:color w:val="auto"/>
        </w:rPr>
      </w:pPr>
    </w:p>
    <w:p>
      <w:pPr>
        <w:ind w:right="2100" w:firstLine="26"/>
        <w:spacing w:after="0" w:line="391" w:lineRule="auto"/>
        <w:tabs>
          <w:tab w:leader="none" w:pos="4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 to _________</w:t>
      </w:r>
    </w:p>
    <w:p>
      <w:pPr>
        <w:spacing w:after="0" w:line="9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001-14832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5"/>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3560" w:type="dxa"/>
            <w:vAlign w:val="bottom"/>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98-0185558</w:t>
            </w:r>
          </w:p>
        </w:tc>
        <w:tc>
          <w:tcPr>
            <w:tcW w:w="0" w:type="dxa"/>
            <w:vAlign w:val="bottom"/>
          </w:tcPr>
          <w:p>
            <w:pPr>
              <w:spacing w:after="0"/>
              <w:rPr>
                <w:sz w:val="1"/>
                <w:szCs w:val="1"/>
                <w:color w:val="auto"/>
              </w:rPr>
            </w:pPr>
          </w:p>
        </w:tc>
      </w:tr>
      <w:tr>
        <w:trPr>
          <w:trHeight w:val="225"/>
        </w:trPr>
        <w:tc>
          <w:tcPr>
            <w:tcW w:w="740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740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58"/>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5140 Yonge Street, Suite 1900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Toronto, Ontario, Canada</w:t>
            </w:r>
          </w:p>
        </w:tc>
        <w:tc>
          <w:tcPr>
            <w:tcW w:w="4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M2N 6L7</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(Zip Code)</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060" w:type="dxa"/>
            <w:vAlign w:val="bottom"/>
          </w:tcPr>
          <w:p>
            <w:pPr>
              <w:spacing w:after="0"/>
              <w:rPr>
                <w:sz w:val="24"/>
                <w:szCs w:val="24"/>
                <w:color w:val="auto"/>
              </w:rPr>
            </w:pPr>
          </w:p>
        </w:tc>
        <w:tc>
          <w:tcPr>
            <w:tcW w:w="426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(416) 448-2211</w:t>
            </w: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00" w:type="dxa"/>
            <w:vAlign w:val="bottom"/>
            <w:gridSpan w:val="4"/>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42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_____________________</w:t>
            </w:r>
          </w:p>
        </w:tc>
        <w:tc>
          <w:tcPr>
            <w:tcW w:w="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60" w:type="dxa"/>
            <w:vAlign w:val="bottom"/>
          </w:tcPr>
          <w:p>
            <w:pPr>
              <w:spacing w:after="0"/>
              <w:rPr>
                <w:sz w:val="24"/>
                <w:szCs w:val="24"/>
                <w:color w:val="auto"/>
              </w:rPr>
            </w:pPr>
          </w:p>
        </w:tc>
        <w:tc>
          <w:tcPr>
            <w:tcW w:w="7900" w:type="dxa"/>
            <w:vAlign w:val="bottom"/>
            <w:gridSpan w:val="5"/>
          </w:tcPr>
          <w:p>
            <w:pPr>
              <w:jc w:val="center"/>
              <w:ind w:right="26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495"/>
        </w:trPr>
        <w:tc>
          <w:tcPr>
            <w:tcW w:w="30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Title of each class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Trading</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234"/>
        </w:trPr>
        <w:tc>
          <w:tcPr>
            <w:tcW w:w="30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CLS</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6" w:lineRule="exact"/>
        <w:rPr>
          <w:sz w:val="24"/>
          <w:szCs w:val="24"/>
          <w:color w:val="auto"/>
        </w:rPr>
      </w:pPr>
    </w:p>
    <w:p>
      <w:pPr>
        <w:ind w:right="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5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5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pacing w:after="0" w:line="1" w:lineRule="exact"/>
        <w:rPr>
          <w:sz w:val="24"/>
          <w:szCs w:val="24"/>
          <w:color w:val="auto"/>
        </w:rPr>
      </w:pPr>
    </w:p>
    <w:p>
      <w:pPr>
        <w:ind w:right="390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21, 2026, the registrant had 126,111,808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CELESTICA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67"/>
        </w:trPr>
        <w:tc>
          <w:tcPr>
            <w:tcW w:w="10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0540" w:type="dxa"/>
            <w:vAlign w:val="bottom"/>
            <w:vMerge w:val="continue"/>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68"/>
        </w:trPr>
        <w:tc>
          <w:tcPr>
            <w:tcW w:w="10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68"/>
        </w:trPr>
        <w:tc>
          <w:tcPr>
            <w:tcW w:w="10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2026 and December 31, 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and Nine Months Ended September 30, 2026 and 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Nine Months Ended September 30, 2026 and 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Changes in Equity for the Three and Nine Months Ended September 30, 2026 and 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and Nine Months Ended September 30, 2026 and 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 Quantitative and Qualitative Disclosures Regarding Market Risk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78"/>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68"/>
        </w:trPr>
        <w:tc>
          <w:tcPr>
            <w:tcW w:w="10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 Risk Factors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 Exhibits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378"/>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5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CELESTICA INC.</w:t>
      </w:r>
    </w:p>
    <w:p>
      <w:pPr>
        <w:ind w:left="3480"/>
        <w:spacing w:after="0" w:line="210"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78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7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7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2,638.1</w:t>
            </w: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7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780" w:type="dxa"/>
            <w:vAlign w:val="bottom"/>
          </w:tcPr>
          <w:p>
            <w:pPr>
              <w:jc w:val="center"/>
              <w:ind w:left="999"/>
              <w:spacing w:after="0"/>
              <w:rPr>
                <w:sz w:val="20"/>
                <w:szCs w:val="20"/>
                <w:color w:val="auto"/>
              </w:rPr>
            </w:pPr>
            <w:r>
              <w:rPr>
                <w:rFonts w:ascii="Times New Roman" w:cs="Times New Roman" w:eastAsia="Times New Roman" w:hAnsi="Times New Roman"/>
                <w:sz w:val="16"/>
                <w:szCs w:val="16"/>
                <w:i w:val="1"/>
                <w:iCs w:val="1"/>
                <w:color w:val="auto"/>
              </w:rPr>
              <w:t>15</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0" w:type="dxa"/>
            <w:vAlign w:val="bottom"/>
          </w:tcPr>
          <w:p>
            <w:pPr>
              <w:spacing w:after="0"/>
              <w:rPr>
                <w:sz w:val="1"/>
                <w:szCs w:val="1"/>
                <w:color w:val="auto"/>
              </w:rPr>
            </w:pPr>
          </w:p>
        </w:tc>
      </w:tr>
      <w:tr>
        <w:trPr>
          <w:trHeight w:val="210"/>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5,673.2</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7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29"/>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7,213.1</w:t>
            </w:r>
          </w:p>
        </w:tc>
        <w:tc>
          <w:tcPr>
            <w:tcW w:w="0" w:type="dxa"/>
            <w:vAlign w:val="bottom"/>
          </w:tcPr>
          <w:p>
            <w:pPr>
              <w:spacing w:after="0"/>
              <w:rPr>
                <w:sz w:val="1"/>
                <w:szCs w:val="1"/>
                <w:color w:val="auto"/>
              </w:rPr>
            </w:pPr>
          </w:p>
        </w:tc>
      </w:tr>
      <w:tr>
        <w:trPr>
          <w:trHeight w:val="26"/>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67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credit facility and finance lease obligations</w:t>
            </w:r>
          </w:p>
        </w:tc>
        <w:tc>
          <w:tcPr>
            <w:tcW w:w="17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1,866.1</w:t>
            </w: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 and provisions</w:t>
            </w:r>
          </w:p>
        </w:tc>
        <w:tc>
          <w:tcPr>
            <w:tcW w:w="17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w:t>
            </w:r>
          </w:p>
        </w:tc>
        <w:tc>
          <w:tcPr>
            <w:tcW w:w="0" w:type="dxa"/>
            <w:vAlign w:val="bottom"/>
          </w:tcPr>
          <w:p>
            <w:pPr>
              <w:spacing w:after="0"/>
              <w:rPr>
                <w:sz w:val="1"/>
                <w:szCs w:val="1"/>
                <w:color w:val="auto"/>
              </w:rPr>
            </w:pPr>
          </w:p>
        </w:tc>
      </w:tr>
      <w:tr>
        <w:trPr>
          <w:trHeight w:val="216"/>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1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0"/>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3,939.6</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portion of borrowings under credit facility and finance lease obligations</w:t>
            </w:r>
          </w:p>
        </w:tc>
        <w:tc>
          <w:tcPr>
            <w:tcW w:w="17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Pension and non-pension post-employment benefit obligations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liabilities and provisions</w:t>
            </w:r>
          </w:p>
        </w:tc>
        <w:tc>
          <w:tcPr>
            <w:tcW w:w="1780" w:type="dxa"/>
            <w:vAlign w:val="bottom"/>
          </w:tcPr>
          <w:p>
            <w:pPr>
              <w:jc w:val="center"/>
              <w:ind w:left="999"/>
              <w:spacing w:after="0"/>
              <w:rPr>
                <w:sz w:val="20"/>
                <w:szCs w:val="20"/>
                <w:color w:val="auto"/>
              </w:rPr>
            </w:pPr>
            <w:r>
              <w:rPr>
                <w:rFonts w:ascii="Times New Roman" w:cs="Times New Roman" w:eastAsia="Times New Roman" w:hAnsi="Times New Roman"/>
                <w:sz w:val="16"/>
                <w:szCs w:val="16"/>
                <w:i w:val="1"/>
                <w:iCs w:val="1"/>
                <w:color w:val="auto"/>
              </w:rPr>
              <w:t>15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0"/>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4,996.8</w:t>
            </w:r>
          </w:p>
        </w:tc>
        <w:tc>
          <w:tcPr>
            <w:tcW w:w="0" w:type="dxa"/>
            <w:vAlign w:val="bottom"/>
          </w:tcPr>
          <w:p>
            <w:pPr>
              <w:spacing w:after="0"/>
              <w:rPr>
                <w:sz w:val="1"/>
                <w:szCs w:val="1"/>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equity</w:t>
            </w: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2,216.3</w:t>
            </w:r>
          </w:p>
        </w:tc>
        <w:tc>
          <w:tcPr>
            <w:tcW w:w="0" w:type="dxa"/>
            <w:vAlign w:val="bottom"/>
          </w:tcPr>
          <w:p>
            <w:pPr>
              <w:spacing w:after="0"/>
              <w:rPr>
                <w:sz w:val="1"/>
                <w:szCs w:val="1"/>
                <w:color w:val="auto"/>
              </w:rPr>
            </w:pPr>
          </w:p>
        </w:tc>
      </w:tr>
      <w:tr>
        <w:trPr>
          <w:trHeight w:val="212"/>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7,213.1</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Contingencies (note 17)</w:t>
      </w: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40"/>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1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16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0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5,829.7</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14,575.3</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11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(recovery)</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88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33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per share amounts (in millions):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16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16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90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1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216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1"/>
        </w:trPr>
        <w:tc>
          <w:tcPr>
            <w:tcW w:w="57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Note</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46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10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related to defined benefit pension and non-pension post-employment benefit</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plans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Currency translation differences for foreign operations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currency forward derivative hedges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9"/>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interest rate swap derivative hedges</w:t>
            </w: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14"/>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57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06" w:right="359" w:bottom="1440" w:gutter="0" w:footer="0" w:header="0"/>
        </w:sectPr>
      </w:pPr>
    </w:p>
    <w:bookmarkStart w:id="5" w:name="page6"/>
    <w:bookmarkEnd w:id="5"/>
    <w:p>
      <w:pPr>
        <w:ind w:left="5192"/>
        <w:spacing w:after="0"/>
        <w:rPr>
          <w:sz w:val="20"/>
          <w:szCs w:val="20"/>
          <w:color w:val="auto"/>
        </w:rPr>
      </w:pPr>
      <w:r>
        <w:rPr>
          <w:rFonts w:ascii="Times New Roman" w:cs="Times New Roman" w:eastAsia="Times New Roman" w:hAnsi="Times New Roman"/>
          <w:sz w:val="18"/>
          <w:szCs w:val="18"/>
          <w:b w:val="1"/>
          <w:bCs w:val="1"/>
          <w:color w:val="auto"/>
        </w:rPr>
        <w:t>CELESTICA INC.</w:t>
      </w:r>
    </w:p>
    <w:p>
      <w:pPr>
        <w:ind w:left="2572"/>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ind w:right="-11"/>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unaudited)</w:t>
      </w:r>
    </w:p>
    <w:p>
      <w:pPr>
        <w:spacing w:after="0" w:line="80"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40" w:type="dxa"/>
            <w:vAlign w:val="bottom"/>
          </w:tcPr>
          <w:p>
            <w:pPr>
              <w:spacing w:after="0"/>
              <w:rPr>
                <w:sz w:val="16"/>
                <w:szCs w:val="16"/>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6"/>
                <w:szCs w:val="16"/>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7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2"/>
              </w:rPr>
              <w:t>loss</w:t>
            </w:r>
            <w:r>
              <w:rPr>
                <w:rFonts w:ascii="Times New Roman" w:cs="Times New Roman" w:eastAsia="Times New Roman" w:hAnsi="Times New Roman"/>
                <w:sz w:val="21"/>
                <w:szCs w:val="21"/>
                <w:b w:val="1"/>
                <w:bCs w:val="1"/>
                <w:color w:val="auto"/>
                <w:w w:val="92"/>
                <w:vertAlign w:val="superscript"/>
              </w:rPr>
              <w:t>(a)</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4"/>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June 30, 2026</w:t>
            </w:r>
          </w:p>
        </w:tc>
        <w:tc>
          <w:tcPr>
            <w:tcW w:w="5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2,479.6</w:t>
            </w: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transactions: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 under public offering,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of issuance costs </w:t>
            </w:r>
            <w:r>
              <w:rPr>
                <w:rFonts w:ascii="Times New Roman" w:cs="Times New Roman" w:eastAsia="Times New Roman" w:hAnsi="Times New Roman"/>
                <w:sz w:val="21"/>
                <w:szCs w:val="21"/>
                <w:color w:val="auto"/>
                <w:vertAlign w:val="superscript"/>
              </w:rPr>
              <w:t>(b)</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0" w:type="dxa"/>
            <w:vAlign w:val="bottom"/>
          </w:tcPr>
          <w:p>
            <w:pPr>
              <w:spacing w:after="0"/>
              <w:rPr>
                <w:sz w:val="1"/>
                <w:szCs w:val="1"/>
                <w:color w:val="auto"/>
              </w:rPr>
            </w:pPr>
          </w:p>
        </w:tc>
      </w:tr>
      <w:tr>
        <w:trPr>
          <w:trHeight w:val="189"/>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 under stock-based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(SBC) plans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6"/>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0" w:type="dxa"/>
            <w:vAlign w:val="bottom"/>
          </w:tcPr>
          <w:p>
            <w:pPr>
              <w:spacing w:after="0"/>
              <w:rPr>
                <w:sz w:val="1"/>
                <w:szCs w:val="1"/>
                <w:color w:val="auto"/>
              </w:rPr>
            </w:pPr>
          </w:p>
        </w:tc>
      </w:tr>
      <w:tr>
        <w:trPr>
          <w:trHeight w:val="233"/>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September 30, 2026</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0" w:type="dxa"/>
            <w:vAlign w:val="bottom"/>
          </w:tcPr>
          <w:p>
            <w:pPr>
              <w:spacing w:after="0"/>
              <w:rPr>
                <w:sz w:val="1"/>
                <w:szCs w:val="1"/>
                <w:color w:val="auto"/>
              </w:rPr>
            </w:pPr>
          </w:p>
        </w:tc>
      </w:tr>
      <w:tr>
        <w:trPr>
          <w:trHeight w:val="21"/>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2,216.3</w:t>
            </w: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transactions: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 under public offering,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of issuance costs </w:t>
            </w:r>
            <w:r>
              <w:rPr>
                <w:rFonts w:ascii="Times New Roman" w:cs="Times New Roman" w:eastAsia="Times New Roman" w:hAnsi="Times New Roman"/>
                <w:sz w:val="21"/>
                <w:szCs w:val="21"/>
                <w:color w:val="auto"/>
                <w:vertAlign w:val="superscript"/>
              </w:rPr>
              <w:t>(b)</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0" w:type="dxa"/>
            <w:vAlign w:val="bottom"/>
          </w:tcPr>
          <w:p>
            <w:pPr>
              <w:spacing w:after="0"/>
              <w:rPr>
                <w:sz w:val="1"/>
                <w:szCs w:val="1"/>
                <w:color w:val="auto"/>
              </w:rPr>
            </w:pPr>
          </w:p>
        </w:tc>
      </w:tr>
      <w:tr>
        <w:trPr>
          <w:trHeight w:val="224"/>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 under SBC plans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6"/>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6"/>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0" w:type="dxa"/>
            <w:vAlign w:val="bottom"/>
          </w:tcPr>
          <w:p>
            <w:pPr>
              <w:spacing w:after="0"/>
              <w:rPr>
                <w:sz w:val="1"/>
                <w:szCs w:val="1"/>
                <w:color w:val="auto"/>
              </w:rPr>
            </w:pPr>
          </w:p>
        </w:tc>
      </w:tr>
      <w:tr>
        <w:trPr>
          <w:trHeight w:val="233"/>
        </w:trPr>
        <w:tc>
          <w:tcPr>
            <w:tcW w:w="3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September 30, 2026</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92" w:hanging="292"/>
        <w:spacing w:after="0"/>
        <w:tabs>
          <w:tab w:leader="none" w:pos="29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other comprehensive loss is net of tax (see note 10).</w:t>
      </w:r>
    </w:p>
    <w:p>
      <w:pPr>
        <w:spacing w:after="0" w:line="4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proceeds, net of issuance costs, from our public offering of an aggregate of 11.1 million Common Shares completed on August 7, 2026 (see note 9).</w:t>
      </w:r>
    </w:p>
    <w:p>
      <w:pPr>
        <w:spacing w:after="0" w:line="200" w:lineRule="exact"/>
        <w:rPr>
          <w:sz w:val="20"/>
          <w:szCs w:val="20"/>
          <w:color w:val="auto"/>
        </w:rPr>
      </w:pPr>
    </w:p>
    <w:p>
      <w:pPr>
        <w:spacing w:after="0" w:line="307" w:lineRule="exact"/>
        <w:rPr>
          <w:sz w:val="20"/>
          <w:szCs w:val="20"/>
          <w:color w:val="auto"/>
        </w:rPr>
      </w:pPr>
    </w:p>
    <w:p>
      <w:pPr>
        <w:ind w:left="1672"/>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06"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unaudited)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6"/>
                <w:szCs w:val="16"/>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6"/>
                <w:szCs w:val="1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6"/>
                <w:szCs w:val="16"/>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Note</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2"/>
              </w:rPr>
              <w:t>loss</w:t>
            </w:r>
            <w:r>
              <w:rPr>
                <w:rFonts w:ascii="Times New Roman" w:cs="Times New Roman" w:eastAsia="Times New Roman" w:hAnsi="Times New Roman"/>
                <w:sz w:val="21"/>
                <w:szCs w:val="21"/>
                <w:b w:val="1"/>
                <w:bCs w:val="1"/>
                <w:color w:val="auto"/>
                <w:w w:val="92"/>
                <w:vertAlign w:val="superscript"/>
              </w:rPr>
              <w:t>(a)</w:t>
            </w:r>
          </w:p>
        </w:tc>
        <w:tc>
          <w:tcPr>
            <w:tcW w:w="20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June 30, 2025</w:t>
            </w:r>
          </w:p>
        </w:tc>
        <w:tc>
          <w:tcPr>
            <w:tcW w:w="6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1,757.9</w:t>
            </w:r>
          </w:p>
        </w:tc>
        <w:tc>
          <w:tcPr>
            <w:tcW w:w="0" w:type="dxa"/>
            <w:vAlign w:val="bottom"/>
          </w:tcPr>
          <w:p>
            <w:pPr>
              <w:spacing w:after="0"/>
              <w:rPr>
                <w:sz w:val="1"/>
                <w:szCs w:val="1"/>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transactions: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 under SBC plans</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0" w:type="dxa"/>
            <w:vAlign w:val="bottom"/>
          </w:tcPr>
          <w:p>
            <w:pPr>
              <w:spacing w:after="0"/>
              <w:rPr>
                <w:sz w:val="1"/>
                <w:szCs w:val="1"/>
                <w:color w:val="auto"/>
              </w:rPr>
            </w:pPr>
          </w:p>
        </w:tc>
      </w:tr>
      <w:tr>
        <w:trPr>
          <w:trHeight w:val="233"/>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September 30, 2025</w:t>
            </w: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2,028.6</w:t>
            </w:r>
          </w:p>
        </w:tc>
        <w:tc>
          <w:tcPr>
            <w:tcW w:w="0" w:type="dxa"/>
            <w:vAlign w:val="bottom"/>
          </w:tcPr>
          <w:p>
            <w:pPr>
              <w:spacing w:after="0"/>
              <w:rPr>
                <w:sz w:val="1"/>
                <w:szCs w:val="1"/>
                <w:color w:val="auto"/>
              </w:rPr>
            </w:pPr>
          </w:p>
        </w:tc>
      </w:tr>
      <w:tr>
        <w:trPr>
          <w:trHeight w:val="21"/>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1,896.0</w:t>
            </w:r>
          </w:p>
        </w:tc>
        <w:tc>
          <w:tcPr>
            <w:tcW w:w="0" w:type="dxa"/>
            <w:vAlign w:val="bottom"/>
          </w:tcPr>
          <w:p>
            <w:pPr>
              <w:spacing w:after="0"/>
              <w:rPr>
                <w:sz w:val="1"/>
                <w:szCs w:val="1"/>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transactions: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 under SBC plans</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9"/>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Repurchase of capital stock for cancellation </w:t>
            </w:r>
            <w:r>
              <w:rPr>
                <w:rFonts w:ascii="Times New Roman" w:cs="Times New Roman" w:eastAsia="Times New Roman" w:hAnsi="Times New Roman"/>
                <w:sz w:val="21"/>
                <w:szCs w:val="21"/>
                <w:color w:val="auto"/>
                <w:vertAlign w:val="superscript"/>
              </w:rPr>
              <w:t>(b)</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10"/>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16"/>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0" w:type="dxa"/>
            <w:vAlign w:val="bottom"/>
          </w:tcPr>
          <w:p>
            <w:pPr>
              <w:spacing w:after="0"/>
              <w:rPr>
                <w:sz w:val="1"/>
                <w:szCs w:val="1"/>
                <w:color w:val="auto"/>
              </w:rPr>
            </w:pPr>
          </w:p>
        </w:tc>
      </w:tr>
      <w:tr>
        <w:trPr>
          <w:trHeight w:val="232"/>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September 30, 2025</w:t>
            </w: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other comprehensive loss is net of tax (see note 10).</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$115.0 paid to repurchase Common Shares for cancellation during the first nine months of 2025 and accrued share buyback taxes (see note 9).</w:t>
      </w:r>
    </w:p>
    <w:p>
      <w:pPr>
        <w:spacing w:after="0" w:line="200" w:lineRule="exact"/>
        <w:rPr>
          <w:sz w:val="20"/>
          <w:szCs w:val="20"/>
          <w:color w:val="auto"/>
        </w:rPr>
      </w:pPr>
    </w:p>
    <w:p>
      <w:pPr>
        <w:spacing w:after="0" w:line="33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6"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182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7"/>
        </w:trPr>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8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5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net cash flows provided by operating activities: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SBC</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return swap (TRS) fair value adjustments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11</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Unrealized losses on hedge derivatives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non-cash working capital items: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accrued and other current liabilities, provisions and income taxes payable</w:t>
            </w:r>
          </w:p>
        </w:tc>
        <w:tc>
          <w:tcPr>
            <w:tcW w:w="5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3,590.5</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29"/>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revolving loans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revolving loans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term loans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term loans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 under SBC plans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3"/>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 under public offering, net of issuance costs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TRS settlement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SBC cash settlement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issuance costs paid</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3,298.1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5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0" w:type="dxa"/>
            <w:vAlign w:val="bottom"/>
          </w:tcPr>
          <w:p>
            <w:pPr>
              <w:spacing w:after="0"/>
              <w:rPr>
                <w:sz w:val="1"/>
                <w:szCs w:val="1"/>
                <w:color w:val="auto"/>
              </w:rPr>
            </w:pPr>
          </w:p>
        </w:tc>
      </w:tr>
      <w:tr>
        <w:trPr>
          <w:trHeight w:val="26"/>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information:</w:t>
            </w: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65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taxes paid</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Unpaid purchases of property, plant and equipment at end of period</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ectPr>
          <w:pgSz w:w="11900" w:h="16838" w:orient="portrait"/>
          <w:cols w:equalWidth="0" w:num="1">
            <w:col w:w="11200"/>
          </w:cols>
          <w:pgMar w:left="340" w:top="906" w:right="35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96520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06"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hanging="712"/>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Celestica Inc. (referred to herein as Celestica, the Company, we, us, or our) is incorporated in Ontario with its corporate headquarters located in Toronto, Ontario, Canada. Celestica’s common shares (Common Shares) are listed on the New York Stock Exchange (NYSE) and Toronto Stock Exchange (TSX). Our operating and reportable segments consist of the Connectivity &amp; Cloud Solutions (CCS) segment and the Advanced Technology Solutions (ATS) segment. See note 3 for further detail regarding segment information.</w:t>
      </w:r>
    </w:p>
    <w:p>
      <w:pPr>
        <w:spacing w:after="0" w:line="189" w:lineRule="exact"/>
        <w:rPr>
          <w:sz w:val="20"/>
          <w:szCs w:val="20"/>
          <w:color w:val="auto"/>
        </w:rPr>
      </w:pPr>
    </w:p>
    <w:p>
      <w:pPr>
        <w:ind w:left="720" w:hanging="712"/>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for the period ended September 30, 2026 (Q3 2026 Interim Financial Statements) have been prepared in accordance with generally accepted accounting principles in the United States (GAAP) for interim financial reporting, and the instructions to Form 10-Q and Article 10 of Regulation S-X. Certain information or footnote disclosures, normally included in annual financial statements prepared in accordance with GAAP, have been condensed or omitted pursuant to the rules and regulations of the U.S. Securities and Exchange Commission for interim financial reporting. Accordingly, they do not include all of the information and footnotes required by GAAP for complete financial statements. The Q3 2026 Interim Financial Statements, in the opinion of management, reflect all normal and recurring adjustments necessary to present fairly our financial position, operating results and cash flows for the periods presented. Results for interim periods are not necessarily an indication of results to be</w:t>
      </w:r>
    </w:p>
    <w:p>
      <w:pPr>
        <w:spacing w:after="0" w:line="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expected for the year. The three and nine months ended September 30, 2026 are referred to herein as Q3 2026 and YTD 2026, respectively. The Q3 2026 Interim Financial Statements should be read in conjunction with our 2025 annual consolidated financial statements and related notes (2025 AFS) which are included in our Annual Report on Form 10-K for the year ended December 31, 2025. The Q3 2026 Interim Financial Statements are presented in United States (U.S.) dollars, which is also Celestica's functional currency. Unless otherwise noted, all financial information is presented in millions of U.S. dollars (except percentages and per share/per unit amounts). We have reclassified certain prior period information to conform with the presentation of the current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our subsidiaries, all of which are wholly owned. Any subsidiaries that are formed or acquired during the year are consolidated from their respective dates of formation or acquisition. Inter-company transactions and balances are eliminated on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the Q3 2026 Interim Financial Statements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expected credit losses, and customer creditworthiness. Any revisions to estimates, judgments or assumptions may result in, among other things, write-downs, accelerated depreciation or amortization, or impairments of our assets or our reporting units, any of which could have a material impact on our financial performance and financial condition.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global economic conditions, including the impact of ongoing trade conflicts, tariffs, rising interest rates, and geopolitical conflicts, there has been and we expect there will continue to be uncertainty in the global economy. Management has made estimates and assumptions based on information available as of the date of issuance of the Q3 2026 Interim Financial Statements taking into consideration certain possible impacts due to the foregoing factors. These estimates may change, as new events occur, or additional information is obtained.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Q3 2026 Interim Financial Statements have been prepared on a basis consistent with the accounting policies as described in note 2 to our 2025 AFS.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public business entities to provide more detailed disclosures of certain costs and expenses in the notes to the financial statements. Specifically, the guidance mandates a tabular disaggregation of relevant expense captions into categories including inventory purchases, employee compensation, depreciation, and intangible asset amortization. The accounting standard update is effective for annual periods beginning after December 15, 2026, and interim periods within fiscal years beginning after December 15, 2027, with early adoption permitted.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which expands the hedged risks permitted to be aggregated in a group of individual forecasted transactions in a cash flow hedge, provides a model to facilitate the application of cash flow hedge accounting to forecasted interest payments on variable-rate debt instruments and expands hedge accounting for forecasted purchases and sales of non-financial assets. ASU 2025-09 is effective for annual reporting periods beginning after December 15, 2026, with early adoption permitted.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which provides narrow-scope amendments to clarify, correct errors, and improve the consistency of various topics within the Accounting Standards Codification. The update addresses several technical issues, including refining diluted earnings per share calculations during loss periods, clarifying lease receivable disclosures, and removing obsolete Master Glossary terms to enhance the overall usability of the guidance. ASU 2025-12 is effective for annual periods beginning after December 15, 2026, with early adoption permitted.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interim disclosure requirements. ASU 2025-11 is effective for interim reporting periods within annual reporting periods beginning after December 15, 2027, with early adoption permitted.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evaluating the impact that the updated standards will have on our consolidated financial statements and related disclosures. We believe that other recently issued accounting standards will either not have a material impact on the consolidated financial statements or will not apply to our operations.</w:t>
      </w: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1"/>
          <w:szCs w:val="21"/>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color w:val="auto"/>
        </w:rPr>
        <w:t>SEGMENT AND CUSTOMER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Celestica serves customers in two operating and reportable segments, CCS and ATS. Effective Q3 2026, we renamed the two end markets within our CCS segment to better describe the nature of the products delivered in each end market. Specifically, our Communications end market was renamed Networking, and our Enterprise end market was renamed Compute &amp; Storage. This name change does not impact our segment reporting structure, the composition of our reportable segments, or previously reported financial results for our segments and end markets. Our Compute &amp; Storage end market continues to consist of Servers and Storage businesses. Our ATS segment consists of our ATS end market, and is comprised of our Aerospace and Defense, Industrial, HealthTech, and Capital Equipment businesses. Segment performance is evaluated based on segment revenue, segment income and segment margin (segment income as a percentage of segment revenue). Segment income is defined as a segment's revenue less its cost of sales and its allocatable portion of selling, general and administrative expenses (SG&amp;A)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(collectively, Segment Costs). See note 21 to our 2025 AFS for a description of the businesses that comprise our segments, how segment revenue is attributed, how costs are allocated to our segments, and how segment income and segment margin are determined.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each reportable segment for the periods indicated is set forth below:</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segment:</w:t>
            </w: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0" w:type="dxa"/>
            <w:vAlign w:val="bottom"/>
            <w:tcBorders>
              <w:bottom w:val="single" w:sz="8" w:color="auto"/>
            </w:tcBorders>
          </w:tcPr>
          <w:p>
            <w:pPr>
              <w:spacing w:after="0"/>
              <w:rPr>
                <w:sz w:val="18"/>
                <w:szCs w:val="18"/>
                <w:color w:val="auto"/>
              </w:rPr>
            </w:pPr>
          </w:p>
        </w:tc>
      </w:tr>
      <w:tr>
        <w:trPr>
          <w:trHeight w:val="211"/>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8"/>
                <w:szCs w:val="18"/>
                <w:color w:val="auto"/>
              </w:rPr>
            </w:pPr>
          </w:p>
        </w:tc>
      </w:tr>
      <w:tr>
        <w:trPr>
          <w:trHeight w:val="191"/>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color w:val="auto"/>
                <w:w w:val="97"/>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color w:val="auto"/>
              </w:rPr>
              <w:t>% of total</w:t>
            </w:r>
          </w:p>
        </w:tc>
      </w:tr>
      <w:tr>
        <w:trPr>
          <w:trHeight w:val="197"/>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CCS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Networking</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19"/>
        </w:trPr>
        <w:tc>
          <w:tcPr>
            <w:tcW w:w="3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Compute &amp; Storage</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1,316.9</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7"/>
        </w:trPr>
        <w:tc>
          <w:tcPr>
            <w:tcW w:w="32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4,872.3</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11,923.6</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6,328.7</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ATS</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2,407.3</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60"/>
        </w:trPr>
        <w:tc>
          <w:tcPr>
            <w:tcW w:w="3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5,829.7</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14,575.3</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8,736.0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Costs by segment:</w:t>
            </w:r>
          </w:p>
        </w:tc>
        <w:tc>
          <w:tcPr>
            <w:tcW w:w="120" w:type="dxa"/>
            <w:vAlign w:val="bottom"/>
          </w:tcPr>
          <w:p>
            <w:pPr>
              <w:spacing w:after="0"/>
              <w:rPr>
                <w:sz w:val="18"/>
                <w:szCs w:val="18"/>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4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CCS cost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5,581.8</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CCS other Segment Costs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ATS cost of sales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ATS other Segment Costs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w:t>
            </w: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2,951.8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8,091.3</w:t>
            </w:r>
          </w:p>
        </w:tc>
      </w:tr>
      <w:tr>
        <w:trPr>
          <w:trHeight w:val="23"/>
        </w:trPr>
        <w:tc>
          <w:tcPr>
            <w:tcW w:w="5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income, segment margin, and reconciliation of</w:t>
            </w:r>
          </w:p>
        </w:tc>
        <w:tc>
          <w:tcPr>
            <w:tcW w:w="220" w:type="dxa"/>
            <w:vAlign w:val="bottom"/>
          </w:tcPr>
          <w:p>
            <w:pPr>
              <w:spacing w:after="0"/>
              <w:rPr>
                <w:sz w:val="16"/>
                <w:szCs w:val="16"/>
                <w:color w:val="auto"/>
              </w:rPr>
            </w:pPr>
          </w:p>
        </w:tc>
        <w:tc>
          <w:tcPr>
            <w:tcW w:w="3380" w:type="dxa"/>
            <w:vAlign w:val="bottom"/>
            <w:gridSpan w:val="7"/>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6"/>
                <w:szCs w:val="16"/>
                <w:color w:val="auto"/>
              </w:rPr>
            </w:pPr>
          </w:p>
        </w:tc>
        <w:tc>
          <w:tcPr>
            <w:tcW w:w="3340" w:type="dxa"/>
            <w:vAlign w:val="bottom"/>
            <w:gridSpan w:val="6"/>
            <w:vMerge w:val="restart"/>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income to earnings before income taxes: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7"/>
            <w:vMerge w:val="continue"/>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Segment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Segment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Segment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jc w:val="right"/>
              <w:ind w:right="124"/>
              <w:spacing w:after="0" w:line="131" w:lineRule="exact"/>
              <w:rPr>
                <w:sz w:val="20"/>
                <w:szCs w:val="20"/>
                <w:color w:val="auto"/>
              </w:rPr>
            </w:pPr>
            <w:r>
              <w:rPr>
                <w:rFonts w:ascii="Times New Roman" w:cs="Times New Roman" w:eastAsia="Times New Roman" w:hAnsi="Times New Roman"/>
                <w:sz w:val="14"/>
                <w:szCs w:val="14"/>
                <w:color w:val="auto"/>
              </w:rPr>
              <w:t>Segment</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Margin</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Margin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Margin</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Margin</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CCS segment income and margin</w:t>
            </w:r>
          </w:p>
        </w:tc>
        <w:tc>
          <w:tcPr>
            <w:tcW w:w="5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ATS segment income and margin</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income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Reconciling items: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SBC expense</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160"/>
              <w:spacing w:after="0" w:line="168" w:lineRule="exact"/>
              <w:rPr>
                <w:sz w:val="20"/>
                <w:szCs w:val="20"/>
                <w:color w:val="auto"/>
              </w:rPr>
            </w:pPr>
            <w:r>
              <w:rPr>
                <w:rFonts w:ascii="Times New Roman" w:cs="Times New Roman" w:eastAsia="Times New Roman" w:hAnsi="Times New Roman"/>
                <w:sz w:val="16"/>
                <w:szCs w:val="16"/>
                <w:color w:val="auto"/>
              </w:rPr>
              <w:t>TRS fair value adjustment (TRS FVA):</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losses (gains)</w:t>
            </w: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 (excluding</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computer software)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5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customers (all in our CCS segment) individually represented 10% or more of total revenue in Q3 2026 (35%, 17% and 14%) and YTD 2026 (34%, 16% and 15%).</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Three customers (all in our CCS segment) individually represented 10% or more of total revenue in the third quarter of 2025 (Q3 2025) (30%, 15% and 14%) and in the nine months ended September 30, 2025 (YTD 2025) (30%, 14% and 12%).</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ACCOUNTS RECEIVABLE (A/R),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 is recorded net of allowance of $35.9 at September 30, 2026 (December 31, 2025 — $30.5).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 sales program and supplier financing programs: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A/R sales program agreement with a bank to sell up to $1,000.0 (as amended in September 2026 to increase the previous limit of $450.0)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are required to comply with certain covenants, including those relating to the fulfillment of payment obligations and restrictions on the sale, assignment or creation of liens, with respect to A/R sold under this agreement. At September 30, 2026 and December 31, 2025, we were in compliance with these covenants. Under our A/R sales program, we collect cash from relevant customers and remit amounts collected to the bank weekly.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participate in supplier financing programs (SFPs) with certain customers in our ATS segment. Pursuant to the SFPs, we sell A/R from the respective customer to banks on an uncommitted basis. The SFPs have indefinite terms and may be terminated at any time by the customer or by us upon specified prior notice. Under our SFPs, the banks collect the relevant receivables directly from the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 sold under each of these programs are derecognized from our A/R balance at the time of sale, and the proceeds are reflected as cash provided by operating activities in our consolidated statements of cash flows. Upon sale, we assign the rights to the A/R to the banks. A/R are sold net of discount charges, which are recorded as finance costs in our consolidated statements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Q3 2026 and YTD 2026, we sold A/R aggregating $1,297.5 and $2,176.9, respectively, under our A/R sales program and SFPs (Q3 2025 — $11.3; YTD 2025 — $22.1). Aggregated discount charges incurred on both of these programs were $4.2 and $7.7 for Q3 2026 and YTD 2026, respectively (Q3 2025 — nil; YTD 2025 — $0.1). At September 30, 2026, $700.8 of sold A/R under the A/R sales program (December 31, 2025 — nil) remained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our A/R balance included $417.2 (December 31, 2025 — $296.3) of contract assets recognized as revenue in accordance with our revenue recognition accounting policy.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21"/>
                <w:szCs w:val="21"/>
                <w:b w:val="1"/>
                <w:bCs w:val="1"/>
                <w:color w:val="auto"/>
              </w:rPr>
              <w:t>.</w:t>
            </w:r>
          </w:p>
        </w:tc>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inventories, net of applicable net realizable value write-downs, are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24"/>
                <w:szCs w:val="24"/>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1,783.1</w:t>
            </w:r>
          </w:p>
        </w:tc>
      </w:tr>
      <w:tr>
        <w:trPr>
          <w:trHeight w:val="21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Work in progress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r>
      <w:tr>
        <w:trPr>
          <w:trHeight w:val="21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w:t>
            </w:r>
          </w:p>
        </w:tc>
      </w:tr>
      <w:tr>
        <w:trPr>
          <w:trHeight w:val="210"/>
        </w:trPr>
        <w:tc>
          <w:tcPr>
            <w:tcW w:w="4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2,188.0</w:t>
            </w:r>
          </w:p>
        </w:tc>
      </w:tr>
      <w:tr>
        <w:trPr>
          <w:trHeight w:val="23"/>
        </w:trPr>
        <w:tc>
          <w:tcPr>
            <w:tcW w:w="4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inventory write-downs of $18.5 and $61.1 for Q3 2026 and YTD 2026, respectively (Q3 2025 — $20.3; YTD 2025 — $49.6) in cost of sales.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400" w:right="262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0"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finance lease and operating lease expenses for the periods indicated are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expense:</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2"/>
        </w:trPr>
        <w:tc>
          <w:tcPr>
            <w:tcW w:w="588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Amortization of right-of-use (ROU) assets </w:t>
            </w:r>
            <w:r>
              <w:rPr>
                <w:rFonts w:ascii="Times New Roman" w:cs="Times New Roman" w:eastAsia="Times New Roman" w:hAnsi="Times New Roman"/>
                <w:sz w:val="21"/>
                <w:szCs w:val="21"/>
                <w:color w:val="auto"/>
                <w:vertAlign w:val="superscript"/>
              </w:rPr>
              <w:t>(1)</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6"/>
        </w:trPr>
        <w:tc>
          <w:tcPr>
            <w:tcW w:w="58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Interest on lease obligations </w:t>
            </w:r>
            <w:r>
              <w:rPr>
                <w:rFonts w:ascii="Times New Roman" w:cs="Times New Roman" w:eastAsia="Times New Roman" w:hAnsi="Times New Roman"/>
                <w:sz w:val="21"/>
                <w:szCs w:val="21"/>
                <w:color w:val="auto"/>
                <w:vertAlign w:val="superscript"/>
              </w:rPr>
              <w:t>(2)</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58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 xml:space="preserve">Operating lease expense </w:t>
            </w:r>
            <w:r>
              <w:rPr>
                <w:rFonts w:ascii="Times New Roman" w:cs="Times New Roman" w:eastAsia="Times New Roman" w:hAnsi="Times New Roman"/>
                <w:sz w:val="21"/>
                <w:szCs w:val="21"/>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3"/>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0"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Recorded within either cost of sales or SG&amp;A on the consolidated statements of operations based on the nature of the leased assets.</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Recorded within finance costs on the consolidated statements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ROU assets: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ROU assets (included in property, plant &amp; equipment, net)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Total ROU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6"/>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(included in accrued and other current liabilities and provisions)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43"/>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liability (included in current portion of borrowings under credit facility and finance lease obligations)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 of lease obligations: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(included in other non-current liabilities and provisions)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43"/>
        </w:trPr>
        <w:tc>
          <w:tcPr>
            <w:tcW w:w="8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liability (included in long-term portion of borrowings under credit facility and finance lease obligations)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Total lease obligations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102" w:lineRule="exact"/>
        <w:rPr>
          <w:sz w:val="20"/>
          <w:szCs w:val="20"/>
          <w:color w:val="auto"/>
        </w:rPr>
      </w:pPr>
    </w:p>
    <w:p>
      <w:pPr>
        <w:ind w:right="2160"/>
        <w:spacing w:after="0" w:line="537" w:lineRule="auto"/>
        <w:rPr>
          <w:sz w:val="20"/>
          <w:szCs w:val="20"/>
          <w:color w:val="auto"/>
        </w:rPr>
      </w:pPr>
      <w:r>
        <w:rPr>
          <w:rFonts w:ascii="Times New Roman" w:cs="Times New Roman" w:eastAsia="Times New Roman" w:hAnsi="Times New Roman"/>
          <w:sz w:val="18"/>
          <w:szCs w:val="18"/>
          <w:b w:val="1"/>
          <w:bCs w:val="1"/>
          <w:color w:val="auto"/>
        </w:rPr>
        <w:t xml:space="preserve">7. ACCRUED AND OTHER CURRENT LIABILITIES AND PROVISIONS </w:t>
      </w:r>
      <w:r>
        <w:rPr>
          <w:rFonts w:ascii="Times New Roman" w:cs="Times New Roman" w:eastAsia="Times New Roman" w:hAnsi="Times New Roman"/>
          <w:sz w:val="18"/>
          <w:szCs w:val="18"/>
          <w:color w:val="auto"/>
        </w:rPr>
        <w:t>The components of accrued and other current liabilities and provisions are as follow:</w:t>
      </w:r>
    </w:p>
    <w:p>
      <w:pPr>
        <w:spacing w:after="0" w:line="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Customer cash deposits for inventory </w:t>
      </w:r>
      <w:r>
        <w:rPr>
          <w:rFonts w:ascii="Times New Roman" w:cs="Times New Roman" w:eastAsia="Times New Roman" w:hAnsi="Times New Roman"/>
          <w:sz w:val="21"/>
          <w:szCs w:val="21"/>
          <w:color w:val="auto"/>
          <w:vertAlign w:val="superscript"/>
        </w:rPr>
        <w:t>(1)</w:t>
      </w:r>
    </w:p>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p>
      <w:pPr>
        <w:spacing w:after="0" w:line="12" w:lineRule="exact"/>
        <w:rPr>
          <w:sz w:val="20"/>
          <w:szCs w:val="20"/>
          <w:color w:val="auto"/>
        </w:rPr>
      </w:pPr>
    </w:p>
    <w:p>
      <w:pPr>
        <w:ind w:left="20"/>
        <w:spacing w:after="0"/>
        <w:tabs>
          <w:tab w:leader="none" w:pos="7820" w:val="left"/>
        </w:tabs>
        <w:rPr>
          <w:sz w:val="20"/>
          <w:szCs w:val="20"/>
          <w:color w:val="auto"/>
        </w:rPr>
      </w:pPr>
      <w:r>
        <w:rPr>
          <w:rFonts w:ascii="Times New Roman" w:cs="Times New Roman" w:eastAsia="Times New Roman" w:hAnsi="Times New Roman"/>
          <w:sz w:val="16"/>
          <w:szCs w:val="16"/>
          <w:color w:val="auto"/>
        </w:rPr>
        <w:t>Other current liabilities and provisions</w:t>
      </w:r>
      <w:r>
        <w:rPr>
          <w:sz w:val="20"/>
          <w:szCs w:val="20"/>
          <w:color w:val="auto"/>
        </w:rPr>
        <w:tab/>
      </w:r>
      <w:r>
        <w:rPr>
          <w:rFonts w:ascii="Times New Roman" w:cs="Times New Roman" w:eastAsia="Times New Roman" w:hAnsi="Times New Roman"/>
          <w:sz w:val="15"/>
          <w:szCs w:val="15"/>
          <w:i w:val="1"/>
          <w:iCs w:val="1"/>
          <w:color w:val="auto"/>
        </w:rPr>
        <w:t>6 &amp; 15</w:t>
      </w:r>
    </w:p>
    <w:p>
      <w:pPr>
        <w:spacing w:after="0" w:line="367"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receive deposits from certain of our customers primarily to reduce risks related to excess and/or obsolete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6"/>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w:t>
            </w:r>
          </w:p>
        </w:tc>
      </w:tr>
      <w:tr>
        <w:trPr>
          <w:trHeight w:val="216"/>
        </w:trPr>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r>
      <w:tr>
        <w:trPr>
          <w:trHeight w:val="216"/>
        </w:trPr>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r>
      <w:tr>
        <w:trPr>
          <w:trHeight w:val="219"/>
        </w:trPr>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1,896.8</w:t>
            </w:r>
          </w:p>
        </w:tc>
      </w:tr>
    </w:tbl>
    <w:p>
      <w:pPr>
        <w:spacing w:after="0" w:line="531" w:lineRule="exact"/>
        <w:rPr>
          <w:sz w:val="20"/>
          <w:szCs w:val="20"/>
          <w:color w:val="auto"/>
        </w:rPr>
      </w:pPr>
    </w:p>
    <w:p>
      <w:pPr>
        <w:sectPr>
          <w:pgSz w:w="11900" w:h="16838" w:orient="portrait"/>
          <w:cols w:equalWidth="0" w:num="2">
            <w:col w:w="8280" w:space="160"/>
            <w:col w:w="2800"/>
          </w:cols>
          <w:pgMar w:left="320" w:top="360" w:right="339" w:bottom="1440" w:gutter="0" w:footer="0" w:header="0"/>
          <w:type w:val="continuous"/>
        </w:sectPr>
      </w:pPr>
    </w:p>
    <w:p>
      <w:pPr>
        <w:spacing w:after="0" w:line="1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CREDIT FACILITIES</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lenders party thereto, which, as amended in April 2026 (April 2026 Amendment), includes a term loan in the original principal amount of $250.0 (Term A Loan), a term loan in the original principal amount of $500.0 (Term B Loan), and a $1,750.0 revolving credit facility (Revolver). Prior to the April 2026 Amendment, the Credit Facility included a term loan in the original principal amount of $250.0 (Refinanced Term A Loan), the Term B Loan, and commitments of $750.0 under the Revolver. The Refinanced Term</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Loan was fully repaid at closing of the April 2026 Amendment, using a substantial portion of the proceeds of the Term A Loan. Notwithstanding the repayment of the Refinanced Term A Loan in full and its replacement with the Term A Loan, for accounting purposes, this transaction was treated as a non-substantial modification of the Refinanced Term A Loan. Term A Loan (or its predecessor term loan, the Refinanced Term A Loan) and the Term B Loan are referred to as the "Term Loans."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A Loan and the Revolver each mature in April 2031. The Term B Loan matures in June 2031. The Term A Loan requires quarterly principal repayments of $3.125. The Term B Loan requires quarterly principal repayments of $1.250. Both Term Loans require a lump sum repayment of the remainder outstanding at maturity.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April 2026 Amendment, (a) borrowings under the Revolver bore interest, depending on the currency of the borrowing and our election for such currency, at: (i) term Secured Overnight Financing Rate (Term SOFR) plus 0.1% (Adjusted Term SOFR), (ii) Base Rate, (iii) Canadian Prime, (iv) an Alternative Currency Daily Rate, or (v) an Alternative Currency Term Rate plus a specified margin (each as defined in the Credit Facility prior to the April 2026 Amendment); (b) the margin for borrowings under the Revolver ranged from 1.50% to 2.25%, or from 0.50% to 1.25%, in each case depending on the rate we selected and a defined net leverage ratio; (c) commitment fees ranged from 0.30% to 0.45%, depending on our defined net leverage ratio; and</w:t>
      </w:r>
    </w:p>
    <w:p>
      <w:pPr>
        <w:spacing w:after="0" w:line="3" w:lineRule="exact"/>
        <w:rPr>
          <w:sz w:val="20"/>
          <w:szCs w:val="20"/>
          <w:color w:val="auto"/>
        </w:rPr>
      </w:pPr>
    </w:p>
    <w:p>
      <w:pPr>
        <w:jc w:val="both"/>
        <w:ind w:firstLine="8"/>
        <w:spacing w:after="0" w:line="255" w:lineRule="auto"/>
        <w:tabs>
          <w:tab w:leader="none" w:pos="2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amounts under the Refinanced Term A Loan bore interest at Adjusted Term SOFR or Base Rate, plus a margin ranging from 1.50% to 2.25% for Adjusted Term SOFR borrowings and from 0.50% to 1.25% for Base Rate borrowings, in each case depending on the rate we selected and our defined net leverage ratio.</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 to the April 2026 Amendment, (a) borrowings under the Revolver bear interest at varying rates (as specified therein), plus a margin ranging from 1.00% to 1.75%, or from 0.05% to 0.75%, in each case depending on the currencies of the borrowings we select and the corporate rating of the Company (as defined in the Credit Facility); (b) commitment fees range from 0.100% to 0.275%, depending on the corporate rating of the Company (as defined in the Credit Facility); (c) outstanding amounts under the Term A Loan bear interest at varying rates (as specified therein), plus a margin ranging from 1.00% to 1.75%, or from 0.05% to 0.75%, in each case depending on the rate we select and the corporate rating of the Company (as defined in the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amounts under the Term B Loan bear interest at Term SOFR plus 1.75% or the Base Rate plus 0.75%, depending on the rate we select.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outstanding borrowings under the Term A Loan bore interest at Term SOFR plus 1.50%; outstanding borrowings under the Term B Loan bore interest at Term SOFR plus 1.75%.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has an accordion feature that allows us to increase the Term Loans and/or commitments under the Revolver by an amount equal to the sum of (i) the greater of $700.0 and 10% of our consolidated total assets as of the date of the incurrence of such incremental borrowings, (ii) voluntary repayments and certain other retirements of the Term A Loan, and (iii) an unlimited amount to the extent that certain defined leverage ratios do not exceed specified limits, in each case subject to the satisfaction of certain terms and conditions.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also includes a $100.0 sub-limit for swing line loans, providing for short-term borrowings up to a maximum of ten business days, as well as a $300.0 sub-limit for letters of credit (L/Cs), in each case subject to the overall Revolver credit limit.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required to make annual prepayments of outstanding obligations under the Credit Facility (applied first to the Term Loans, then to the Revolver, in the manner set forth in the Credit Facility) ranging from 0% to 50% (based on a defined leverage ratio) of specified excess cash flow for the prior fiscal year. No prepayments based on excess cash flow were required in 2025, or will be required in 2026. In addition, prepayments of outstanding obligations under the Credit Facility (applied as described above) may also be required in the amount of specified net cash proceeds received above a specified annual threshold (including proceeds from the disposal of certain assets). No prepayments based on net cash proceeds were required in 2025, or will be required in 2026. Any outstanding amounts under the Revolver are due at maturity.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Facility and the obligations of the guarantees provided by our subsidiaries are secured by substantially all of the assets of the Company and of the subsidiary guarantors. The April 2026 Amendment adds a collateral fallaway provision under which the liens securing (x) our obligations under the Credit Facility and (y) the guarantees provided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certain subsidiaries will be automatically released upon the satisfaction of specified conditions. These conditions include (a) the Company obtaining and maintaining investment grade credit ratings from at least two nationally recognized statistical rating organizations, (b) the repayment in full of all outstanding principal of, accrued interest on, and prepayment premiums and all other amounts in respect of the Term B Loan and any incremental Term B Loan and (c) the absence of any default or event of default under the Credit Facility as of the date of such collateral fallaway.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Our Credit Facility also limits share repurchases for cancellation if our consolidated secured leverage ratio (as defined in such facility) exceeds a specified amount (Repurchase Restriction). At September 30, 2026 and December 31, 2025, we were in compliance with all restrictive and financial covenants under the Credit Facility, and the Repurchase Restriction was not exceeded.</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interest rate swap agreements to hedge against our exposures to the interest rate variability on a portion of the Term Loans. See note 15 for further detail.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at the dates shown, outstanding borrowings under the Credit Facility, excluding ordinary course L/Cs; notional amounts under our interest rate swap agreements; and outstanding finance lease obligations: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 amounts under interest rate</w:t>
            </w:r>
          </w:p>
        </w:tc>
        <w:tc>
          <w:tcPr>
            <w:tcW w:w="0" w:type="dxa"/>
            <w:vAlign w:val="bottom"/>
          </w:tcPr>
          <w:p>
            <w:pPr>
              <w:spacing w:after="0"/>
              <w:rPr>
                <w:sz w:val="1"/>
                <w:szCs w:val="1"/>
                <w:color w:val="auto"/>
              </w:rPr>
            </w:pPr>
          </w:p>
        </w:tc>
      </w:tr>
      <w:tr>
        <w:trPr>
          <w:trHeight w:val="242"/>
        </w:trPr>
        <w:tc>
          <w:tcPr>
            <w:tcW w:w="5740" w:type="dxa"/>
            <w:vAlign w:val="bottom"/>
          </w:tcPr>
          <w:p>
            <w:pPr>
              <w:spacing w:after="0"/>
              <w:rPr>
                <w:sz w:val="21"/>
                <w:szCs w:val="21"/>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borrowings</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swaps (note 15)</w:t>
            </w: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380" w:type="dxa"/>
            <w:vAlign w:val="bottom"/>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14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Borrowings under the Revolver</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Borrowings under the Term Loans:</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Refinanced Term A Loan</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Term A Loan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246.9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Term B Loan</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488.7</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13"/>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735.6</w:t>
            </w:r>
          </w:p>
        </w:tc>
        <w:tc>
          <w:tcPr>
            <w:tcW w:w="8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Total borrowings under Credit Facility</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735.6</w:t>
            </w:r>
          </w:p>
        </w:tc>
        <w:tc>
          <w:tcPr>
            <w:tcW w:w="80" w:type="dxa"/>
            <w:vAlign w:val="bottom"/>
          </w:tcPr>
          <w:p>
            <w:pPr>
              <w:spacing w:after="0"/>
              <w:rPr>
                <w:sz w:val="24"/>
                <w:szCs w:val="24"/>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issuance costs related to the Term Loans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obligations (see note 6)</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7"/>
                <w:szCs w:val="17"/>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818.8</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Credit Facility and finance lease obligations:</w:t>
            </w: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5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791.5</w:t>
            </w: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818.8</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at the dates shown, information regarding outstanding L/Cs, guarantees, surety bonds and overdraft facilities: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L/Cs under the Revolver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bank guarantees and surety bonds outside the Revolver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Available uncommitted bank overdraft facilities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7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Amounts outstanding under available uncommitted bank overdraft facilities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1"/>
                <w:szCs w:val="21"/>
                <w:b w:val="1"/>
                <w:bCs w:val="1"/>
                <w:color w:val="auto"/>
              </w:rPr>
              <w:t>.</w:t>
            </w:r>
          </w:p>
        </w:tc>
        <w:tc>
          <w:tcPr>
            <w:tcW w:w="89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transactions: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Activities with respect to our capital stock for the periods indicated are set forth below:</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 of shares (in millions)</w:t>
            </w:r>
          </w:p>
        </w:tc>
        <w:tc>
          <w:tcPr>
            <w:tcW w:w="178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9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Issued and outstanding at December 31, 2024</w:t>
            </w: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gridSpan w:val="3"/>
            <w:vMerge w:val="continue"/>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from treasury to settle vested SBC</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Cancelled under normal course issuer bids (NCIB)</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and outstanding at September 30, 2025</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and outstanding at December 31,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from treasury to settle vested SBC</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420" w:type="dxa"/>
            <w:vAlign w:val="bottom"/>
            <w:gridSpan w:val="3"/>
          </w:tcPr>
          <w:p>
            <w:pPr>
              <w:spacing w:after="0" w:line="235" w:lineRule="exact"/>
              <w:rPr>
                <w:sz w:val="20"/>
                <w:szCs w:val="20"/>
                <w:color w:val="auto"/>
              </w:rPr>
            </w:pPr>
            <w:r>
              <w:rPr>
                <w:rFonts w:ascii="Times New Roman" w:cs="Times New Roman" w:eastAsia="Times New Roman" w:hAnsi="Times New Roman"/>
                <w:sz w:val="16"/>
                <w:szCs w:val="16"/>
                <w:color w:val="auto"/>
              </w:rPr>
              <w:t xml:space="preserve">Issued under public offering </w:t>
            </w:r>
            <w:r>
              <w:rPr>
                <w:rFonts w:ascii="Times New Roman" w:cs="Times New Roman" w:eastAsia="Times New Roman" w:hAnsi="Times New Roman"/>
                <w:sz w:val="21"/>
                <w:szCs w:val="21"/>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Cancelled under NCIB</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and outstanding at September 30, 2026</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60" w:hanging="252"/>
        <w:spacing w:after="0" w:line="237" w:lineRule="auto"/>
        <w:tabs>
          <w:tab w:leader="none" w:pos="349"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August 7, 2026, we completed a public offering and issued an aggregate of 11.1 million Common Shares at a price of $310 per share. In connection with this public offering, we received proceeds of $3,391.3, net of issuance costs (underwriting discounts and offering expenses), which were recorded within total equity on the consolidated balance sheets, capital stock on the consolidated statements of changes in equity, and financing activities on the consolidated statements of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Repurchase Plans: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repurchased Common Shares in the open market, or as otherwise permitted, for cancellation through NCIBs, which allow us to repurchase a limited number of Common Shares during a specified period. The maximum number of Common Shares we are permitted to repurchase for cancellation under each NCIB is reduced by the number of Common Shares we arrange to be purchased by any non-independent broker in the open market during the term of such NCIB to satisfy delivery obligations under our SBC plans. We from time-to-time enter into automatic share purchase plans (ASPPs) with a broker, instructing the broker to purchase our Common Shares in the open market on our behalf, either for cancellation under an NCIB (NCIB ASPPs) or for delivery obligations under our SBC plans (SBC ASPPs), including during any applicable trading blackout periods, up to specified maximums (and subject to certain pricing and other conditions) through the term of each ASPP.</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30, 2024, the TSX accepted our notice to launch an NCIB (2024 NCIB), which allowed us to repurchase, at our discretion, from November 1, 2024 until the earlier of October 31, 2025 or the completion of purchases thereunder, up to approximately 8.6 million of our Common Shares in the open market, or as otherwise permitted, subject to the normal terms and limitations of such bids. One SBC ASPP and two NCIB ASPPs were in effect during YTD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29, 2025, the TSX accepted our notice to launch another NCIB (2025 NCIB), which allows us to repurchase, at our discretion, from November 3, 2025 until the earlier of November 2, 2026 or the completion of purchases thereunder, up to approximately 5.7 million of our Common Shares in the open market, or as otherwise permitted, subject to the normal terms and limitations of such bids. At September 30, 2026, approximately 5.4 million Common Shares remained available for repurchase under the 2025 NCIB either for cancellation or for SBC delivery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regarding Common Shares purchases in Q3 2026, YTD 2026 and respective prior year periods, for cancellation and for SBC plan delivery obligations (including under ASPPs) is set forth below:</w:t>
      </w:r>
    </w:p>
    <w:tbl>
      <w:tblPr>
        <w:tblLayout w:type="fixed"/>
        <w:tblInd w:w="40" w:type="dxa"/>
        <w:tblCellMar>
          <w:top w:w="0" w:type="dxa"/>
          <w:left w:w="0" w:type="dxa"/>
          <w:bottom w:w="0" w:type="dxa"/>
          <w:right w:w="0" w:type="dxa"/>
        </w:tblCellMar>
      </w:tblPr>
      <w:tr>
        <w:trPr>
          <w:trHeight w:val="165"/>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1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Aggregate cost (including transaction fees and excluding share buyback taxes) of Common Shares repurchased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7"/>
        </w:trPr>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 cancellation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22"/>
        </w:trPr>
        <w:tc>
          <w:tcPr>
            <w:tcW w:w="7300" w:type="dxa"/>
            <w:vAlign w:val="bottom"/>
          </w:tcPr>
          <w:p>
            <w:pPr>
              <w:ind w:left="160"/>
              <w:spacing w:after="0" w:line="222" w:lineRule="exact"/>
              <w:rPr>
                <w:sz w:val="20"/>
                <w:szCs w:val="20"/>
                <w:color w:val="auto"/>
              </w:rPr>
            </w:pPr>
            <w:r>
              <w:rPr>
                <w:rFonts w:ascii="Times New Roman" w:cs="Times New Roman" w:eastAsia="Times New Roman" w:hAnsi="Times New Roman"/>
                <w:sz w:val="16"/>
                <w:szCs w:val="16"/>
                <w:color w:val="auto"/>
              </w:rPr>
              <w:t xml:space="preserve">Number of Common Shares repurchased for cancellation (in millions)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 average price per share for repurchases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273.60</w:t>
            </w:r>
          </w:p>
        </w:tc>
        <w:tc>
          <w:tcPr>
            <w:tcW w:w="10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w:t>
            </w:r>
          </w:p>
        </w:tc>
      </w:tr>
      <w:tr>
        <w:trPr>
          <w:trHeight w:val="24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Aggregate cost (including transaction fees) of Common Shares repurchased for delivery under SBC plans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21"/>
                <w:szCs w:val="21"/>
                <w:color w:val="auto"/>
              </w:rPr>
            </w:pPr>
          </w:p>
        </w:tc>
        <w:tc>
          <w:tcPr>
            <w:tcW w:w="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r>
      <w:tr>
        <w:trPr>
          <w:trHeight w:val="300"/>
        </w:trPr>
        <w:tc>
          <w:tcPr>
            <w:tcW w:w="7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Number of Common Shares repurchased for delivery under SBC plans (in millions)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66"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Q3 2025 and YTD 2025, includes nil and 0.6 million Common Shares, respectively, purchased for cancellation under NCIB ASPPs.</w:t>
      </w:r>
    </w:p>
    <w:p>
      <w:pPr>
        <w:spacing w:after="0" w:line="37" w:lineRule="exact"/>
        <w:rPr>
          <w:rFonts w:ascii="Times New Roman" w:cs="Times New Roman" w:eastAsia="Times New Roman" w:hAnsi="Times New Roman"/>
          <w:sz w:val="21"/>
          <w:szCs w:val="21"/>
          <w:color w:val="auto"/>
          <w:vertAlign w:val="superscript"/>
        </w:rPr>
      </w:pPr>
    </w:p>
    <w:p>
      <w:pPr>
        <w:ind w:left="300" w:hanging="292"/>
        <w:spacing w:after="0" w:line="191" w:lineRule="auto"/>
        <w:tabs>
          <w:tab w:leader="none" w:pos="30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YTD 2025, consists entirely of SBC ASPP purchases through an independent broker.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SBC:</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time to time, we pay cash to a broker to purchase Common Shares in the open market to satisfy delivery requirements under our SBC plans (see table above). In Q3 2026 and YTD 2026, we used 0.1 million Common Shares and 1.7 million Common Shares, respectively (Q3 2025 — 0.01 million; YTD 2025 — 2.0 million) to settle SBC awards. At September 30, 2026, the broker held 0.2 million Common Shares with a value of $45.1 (December 31, 2025</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1.8 million Common Shares with a value of $153.8) for this purpose, which we report as treasury stock on our consolidated statements of changes in equity.</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restricted share units (RSUs) and performance share units (PSUs), and occasionally, stock options, to employees under our SBC plans. The majority of RSUs vest one-third per year over a three-year period. Stock options generally vest 25% per year over a four-year period. The number of outstanding PSUs that will actually vest varies from 0% to 200% of a target amount granted. The number of PSUs that will vest is based on the level of achievement of a pre-determined non-market performance measurement, subject to modification by our relative total shareholder return compared to a pre-defined group of companies, in each case over the relevant three-year performance period. We also granted deferred share units and director share units (collectively, DSUs), RSUs and Director RSUs (D-RSUs) to directors. DSUs vest upon retirement. D-RSUs vest on the first anniversary of the grant date, subject to continued service. See note 2(</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to the 2025 AFS for further detail.</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RSU, PSU, DSU and D-RSU grants to employees and directors, as applicable, for the periods indicated is set forth below (no stock options were granted in the periods below):</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5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7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4"/>
        </w:trPr>
        <w:tc>
          <w:tcPr>
            <w:tcW w:w="5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RSUs Granted: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312.39</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305.64</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PSUs Granted: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 representing 100% of target)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357.56</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330.65</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149.29</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DSUs Granted: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282.41</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131.31</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D-RSUs Granted: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314.59</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334.15</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Q3 2026 and YTD 2026, we made a cash payment of $47.3 and $373.6, respectively, for withholding taxes in connection with the SBC awards that vested during such periods (Q3 2025 — nil; YTD 2025 — $156.0).</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the TRS agreement (TRS Agreement) to manage cash flow requirements and our exposure to fluctuations in the share price of our Common Shares in connection with the settlement of certain outstanding equity awards under our SBC plans. See note 15 for further detail.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employee and director SBC expense and TRS FVAs (which represent changes in fair value of the TRS) for the periods indicated is set forth below:</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4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8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Employee SBC expense in cost of sales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Employee SBC expense in SG&amp;A</w:t>
            </w: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employee SBC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TRS FVAs: losses (gains) in cost of sales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TRS FVAs: losses (gains) in SG&amp;A</w:t>
            </w: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TRS FVAs: losses (gains)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r>
      <w:tr>
        <w:trPr>
          <w:trHeight w:val="114"/>
        </w:trPr>
        <w:tc>
          <w:tcPr>
            <w:tcW w:w="58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Combined effect of employee SBC expense and TRS FVAs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1"/>
        </w:trPr>
        <w:tc>
          <w:tcPr>
            <w:tcW w:w="5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Director SBC expense in SG&amp;A</w:t>
            </w:r>
            <w:r>
              <w:rPr>
                <w:rFonts w:ascii="Times New Roman" w:cs="Times New Roman" w:eastAsia="Times New Roman" w:hAnsi="Times New Roman"/>
                <w:sz w:val="21"/>
                <w:szCs w:val="21"/>
                <w:color w:val="auto"/>
                <w:vertAlign w:val="superscript"/>
              </w:rPr>
              <w:t>(1)</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75"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Expense consists of director compensation to be settled with Common Shares, or Common Shares and cash.</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32"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21"/>
                <w:szCs w:val="21"/>
                <w:b w:val="1"/>
                <w:bCs w:val="1"/>
                <w:color w:val="auto"/>
              </w:rPr>
              <w:t>.</w:t>
            </w: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NET OF TAX</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24"/>
                <w:szCs w:val="24"/>
                <w:color w:val="auto"/>
              </w:rPr>
            </w:pPr>
          </w:p>
        </w:tc>
        <w:tc>
          <w:tcPr>
            <w:tcW w:w="186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86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Translation adjustments: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Opening balance of foreign currency translation account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30"/>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foreign currency translation account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3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Foreign exchange derivatives </w:t>
            </w:r>
            <w:r>
              <w:rPr>
                <w:rFonts w:ascii="Times New Roman" w:cs="Times New Roman" w:eastAsia="Times New Roman" w:hAnsi="Times New Roman"/>
                <w:sz w:val="21"/>
                <w:szCs w:val="21"/>
                <w:b w:val="1"/>
                <w:bCs w:val="1"/>
                <w:color w:val="auto"/>
                <w:vertAlign w:val="superscript"/>
              </w:rPr>
              <w:t>(i)</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Opening balance of unrealized net gain (loss) on currency forward cash flow hedges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6"/>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gain (loss) on currency forward cash flow hedges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30"/>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Reclassification of net loss (gain) on currency forward cash flow hedges to operations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unrealized net gain (loss) on currency forward cash flow hedges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Interest rate swap derivatives </w:t>
            </w:r>
            <w:r>
              <w:rPr>
                <w:rFonts w:ascii="Times New Roman" w:cs="Times New Roman" w:eastAsia="Times New Roman" w:hAnsi="Times New Roman"/>
                <w:sz w:val="21"/>
                <w:szCs w:val="21"/>
                <w:b w:val="1"/>
                <w:bCs w:val="1"/>
                <w:color w:val="auto"/>
                <w:vertAlign w:val="superscript"/>
              </w:rPr>
              <w:t>(i)</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Opening balance of unrealized net gain (loss) on interest rate swap cash flow hedges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gain (loss) on interest rate swap cash flow hedges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0"/>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Reclassification of net gain on interest rate swap cash flow hedges to operations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unrealized net gain (loss) on interest rate swap cash flow hedges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Employment benefit </w:t>
            </w:r>
            <w:r>
              <w:rPr>
                <w:rFonts w:ascii="Times New Roman" w:cs="Times New Roman" w:eastAsia="Times New Roman" w:hAnsi="Times New Roman"/>
                <w:sz w:val="21"/>
                <w:szCs w:val="21"/>
                <w:b w:val="1"/>
                <w:bCs w:val="1"/>
                <w:color w:val="auto"/>
                <w:vertAlign w:val="superscript"/>
              </w:rPr>
              <w:t>(i)</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Opening balance of pension and non-pension post-employment benefit account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6"/>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loss on pension and non-pension post-employment benefit plans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net gain on pension and non-pension post-employment benefit plans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pension and non-pension post-employment benefit account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14"/>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 (AOCI), net of tax</w:t>
            </w: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6960" w:type="dxa"/>
            <w:vAlign w:val="bottom"/>
            <w:gridSpan w:val="2"/>
            <w:vMerge w:val="continue"/>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were net of immaterial tax.</w:t>
      </w:r>
    </w:p>
    <w:p>
      <w:pPr>
        <w:spacing w:after="0" w:line="213" w:lineRule="exact"/>
        <w:rPr>
          <w:sz w:val="20"/>
          <w:szCs w:val="20"/>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 (RECOVERIES)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4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8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charges (a)</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Transition Costs (Recoveries) (b)</w:t>
            </w:r>
          </w:p>
        </w:tc>
        <w:tc>
          <w:tcPr>
            <w:tcW w:w="9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costs (c)</w:t>
            </w:r>
          </w:p>
        </w:tc>
        <w:tc>
          <w:tcPr>
            <w:tcW w:w="9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charges (recoveries) (d)</w:t>
            </w:r>
          </w:p>
        </w:tc>
        <w:tc>
          <w:tcPr>
            <w:tcW w:w="9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58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3"/>
        </w:trPr>
        <w:tc>
          <w:tcPr>
            <w:tcW w:w="5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charges: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restructuring activities consist primarily of actions to adjust our cost base to address reduced levels of demand in certain of our businesses and geographies. In Q3 2026, YTD 2026 and the respective prior year periods, our restructuring charges consisted primarily of cash charges related to employee terminations. Restructuring charges in Q3 2025 and YTD 2025 also included accelerated depreciation of equipment related to disengaging programs. At September 30, 2026, our restructuring provision was $3.2 (December 31, 2025 — $4.4), which we recorded in accrued and other current liabilities and provisions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0"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Transition Costs (Recoveries):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14 to the 2025 AFS for a description of Transition Costs and Transition Recoveries. In YTD 2026, we recorded Transition Recoveries of $3.4, reflecting the gain on the disposal of certain real properties.</w:t>
      </w:r>
    </w:p>
    <w:p>
      <w:pPr>
        <w:spacing w:after="0" w:line="185"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consisted of consulting, transaction and integration costs related to potential and completed acquisitions.</w:t>
      </w:r>
    </w:p>
    <w:p>
      <w:pPr>
        <w:spacing w:after="0" w:line="248"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charges (recoveries):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we completed the acquisition of 100% of the interests of NCS Global Services LLC (NCS). The NCS acquisition agreement included a potential earn-out of up to $20 if certain adjusted earnings before interest, taxes, depreciation and amortization targets are achieved during the period from May 2024 to April 2025. The fair value of such potential earn-out was estimated to be $6.6 at the acquisition date. During YTD 2026, the liability was re-measured to nil as the required targets were not met, resulting in a $6.6 gain.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YTD 2025, we recorded other charges of $1.4 related to our transition as a U.S. domestic filer.</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MISCELLANEOUS EXPENSE (INCOME)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miscellaneous expense (income) for the periods indicated are as follows: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hanging="80"/>
        <w:spacing w:after="0" w:line="280" w:lineRule="auto"/>
        <w:rPr>
          <w:sz w:val="20"/>
          <w:szCs w:val="20"/>
          <w:color w:val="auto"/>
        </w:rPr>
      </w:pPr>
      <w:r>
        <w:rPr>
          <w:rFonts w:ascii="Times New Roman" w:cs="Times New Roman" w:eastAsia="Times New Roman" w:hAnsi="Times New Roman"/>
          <w:sz w:val="16"/>
          <w:szCs w:val="16"/>
          <w:color w:val="auto"/>
        </w:rPr>
        <w:t>Components of net periodic benefit cost other than the service cost under pension and other post-employment benefit plans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Loss recognized on interest rate swaps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Gains on insurance claims settlement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2"/>
        </w:trPr>
        <w:tc>
          <w:tcPr>
            <w:tcW w:w="4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23"/>
        </w:trPr>
        <w:tc>
          <w:tcPr>
            <w:tcW w:w="46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46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12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
        </w:trPr>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760" w:space="520"/>
            <w:col w:w="5960"/>
          </w:cols>
          <w:pgMar w:left="320" w:top="360" w:right="339" w:bottom="1440" w:gutter="0" w:footer="0" w:header="0"/>
          <w:type w:val="continuous"/>
        </w:sectPr>
      </w:pPr>
    </w:p>
    <w:p>
      <w:pPr>
        <w:spacing w:after="0" w:line="79" w:lineRule="exact"/>
        <w:rPr>
          <w:sz w:val="20"/>
          <w:szCs w:val="20"/>
          <w:color w:val="auto"/>
        </w:rPr>
      </w:pPr>
    </w:p>
    <w:p>
      <w:pPr>
        <w:ind w:right="4880"/>
        <w:spacing w:after="0" w:line="456"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PENSION AND NON-PENSION POST-EMPLOYMENT BENEFIT PLANS </w:t>
      </w:r>
      <w:r>
        <w:rPr>
          <w:rFonts w:ascii="Times New Roman" w:cs="Times New Roman" w:eastAsia="Times New Roman" w:hAnsi="Times New Roman"/>
          <w:sz w:val="18"/>
          <w:szCs w:val="18"/>
          <w:color w:val="auto"/>
        </w:rPr>
        <w:t>The components of net periodic benefit cost for the periods indicated are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20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 Benefits Plans</w:t>
            </w:r>
          </w:p>
        </w:tc>
        <w:tc>
          <w:tcPr>
            <w:tcW w:w="220" w:type="dxa"/>
            <w:vAlign w:val="bottom"/>
          </w:tcPr>
          <w:p>
            <w:pPr>
              <w:spacing w:after="0"/>
              <w:rPr>
                <w:sz w:val="18"/>
                <w:szCs w:val="18"/>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180" w:type="dxa"/>
            <w:vAlign w:val="bottom"/>
          </w:tcPr>
          <w:p>
            <w:pPr>
              <w:spacing w:after="0"/>
              <w:rPr>
                <w:sz w:val="18"/>
                <w:szCs w:val="18"/>
                <w:color w:val="auto"/>
              </w:rPr>
            </w:pPr>
          </w:p>
        </w:tc>
        <w:tc>
          <w:tcPr>
            <w:tcW w:w="182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Other Benefits Plans</w:t>
            </w:r>
          </w:p>
        </w:tc>
      </w:tr>
      <w:tr>
        <w:trPr>
          <w:trHeight w:val="158"/>
        </w:trPr>
        <w:tc>
          <w:tcPr>
            <w:tcW w:w="2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4"/>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4"/>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4"/>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4"/>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2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2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7"/>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gain</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7"/>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periodic benefit cost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9"/>
              </w:rPr>
              <w:t>3.2</w:t>
            </w:r>
          </w:p>
        </w:tc>
      </w:tr>
      <w:tr>
        <w:trPr>
          <w:trHeight w:val="23"/>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miscellaneous expense in our consolidated statements of operations. See note 12. We generally record the service cost component in cost of sales and SG&amp;A, depending on the nature of the expenses.</w:t>
      </w:r>
    </w:p>
    <w:p>
      <w:pPr>
        <w:spacing w:after="0" w:line="1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Interim period income tax expense or recovery is determined by multiplying the year-to-date earnings or losses before tax by management’s best estimate of the overall annual effective income tax rate, taking into account the tax effect of certain items</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recognized in the interim period. As a result, the effective income tax rates used in our interim financial statements may differ from management’s estimate of the annual effective tax rate for the annual financial statements. Our estimated annual effective income tax rate varies as the quarters progress, for various reasons, including as a result of the mix and volume of business in various tax jurisdictions within the Americas, Europe and Asia, in jurisdictions with tax holidays and tax incentives, and in jurisdictions for which a valuation allowance has been recognized to reduce net deferred tax assets to nil because management believes that it is more likely than not that the benefit will not be realized (i.e., based on our review of financial projections, no estimated future taxable profit will be available against which tax losses and deductible temporary differences could be utilized). Our annual effective income tax rate can also vary due to the impact of restructuring charges, foreign exchange fluctuations, operating losses, cash repatriations, and changes in our provisions related to tax uncertainties.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Q3 2026 and YTD 2026 net income tax expense of $58.6 and $175.4, respectively, included $8.4 of discrete tax benefit related to the acceptance of certain subsidiaries into a bilateral advance pricing arrangement for the 2025 to 2029 fiscal years, offset in part by a $3.8 tax expense for tax uncertainties relating to another of our subsidiaries. Our YTD 2026 net income tax expense also included $16.2 of income taxes related to Pillar Two global minimum tax legislation (GMT).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Q3 2025 and YTD 2025 net income tax expense of $43.1 and $116.9, respectively, included $13.3 and $27.2, respectively, of income taxes related to GMT.</w:t>
      </w:r>
    </w:p>
    <w:p>
      <w:pPr>
        <w:spacing w:after="0" w:line="185"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assets are comprised primarily of cash and cash equivalents, A/R, and derivatives used for hedging purposes. Our financial liabilities are comprised primarily of accounts payable, certain accrued and other liabilities, the Term Loans, borrowings under the Revolver, lease obligations, and derivatives used for hedging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currency risk is driven by operational costs, including income tax expense, incurred in local currencies by our subsidiaries. We cannot predict changes in currency exchange rates, the impact of exchange rate changes on our operating results, nor the degree to which we will be able to manage the impact of currency exchange rate changes. Such changes could have a material effect on our business, financial performance and financial condition. We enter into foreign currency forward contracts and swaps to hedge our foreign currency risk related to anticipated future cash flows and monetary assets and liabilities denominated in foreign currencies.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the TRS Agreement with a bank to manage our cash flow requirements and exposure to fluctuations in the price of our Common Shares in connection with the settlement of certain outstanding equity awards under our SBC plans. The TRS Agreement provides for automatic annual one-year extensions (subject to specified conditions), and may be terminated (in whole or in part) by either party at any time. The value of the TRS Agreement is determined by comparing the market price of our Common Shares to the fixed price paid by the counterparty for such shares (Strike Price). The counterparty under the TRS Agreement is obligated to make a payment to us upon its termination (in whole or in part) or expiration (Settlement) based on the increase (if any) in the value of the TRS Agreement over its term, in exchange for periodic payments made by us based on Secured Overnight Financing Rate plus a specified margin applied to the Equity Notional Amount (defined in the TRS Agreement, as an amount equal to the product of (i) the number of Common Shares then subject to the TRS Agreement (notional quantity) multiplied by (ii) the Strike Price in effect). Similarly, if the value of the TRS Agreement decreases over its term, we are obligated to pay the counterparty the amount of such decrease upon Settlement. The TRS Agreement does not qualify for hedge accounting.</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our TRS Agreement had a notional quantity of 1.25 million Common Shares (December 31, 2025 — 1.25 million Common Shares).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December 2025 and March 2025, we re-struck our TRS Agreement at a Strike Price of $288.87 per share and $91.58 per share, respectively, and received $246.6 and $98.6 from the counterparty, respectively, each of which was recorded in cash provided by financing activities in our consolidated statements of cash flows.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expose us to interest rate risk due to the potential variability of market interest rates (see note 8). In order to partially hedge against our exposure to interest rate variability on our Term Loans, we are party to various agreements with multiple banks to swap the variable interest rate with a fixed rate of interest for a portion of the borrowings thereunder. At September 30, 2026, associated with the Term A Loan, we had: (i) interest rate swaps with $80.0 notional amount expiring in June 2027; (ii) interest rate swaps with $40.0 notional amount expiring in June 2029; and (iii) interest rate swaps with $80.0 notional amount commencing June 2027 and expiring in June 2029. At September 30, 2026, associated with the Term B Loan, we had: (i) interest rate swaps with $230.0 notional amount expiring in June 2027; and (ii) interest rate swaps with $230.0 notional amount commencing in June 2027 and expiring in June 2029.</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the interest rate risk related to $385.6 of borrowings under the Credit Facility was unhedged, consisting of unhedged amounts outstanding under the Term Loans ($126.9 under the Term A Loan and $258.7 under the Term B Loan). See note 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swaps are designated as cash flow hedges when the hedge relationship is effective and meets the hedge accounting criteria.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TRS Agreement exposes us to interest rate risk as interest payments on our TRS Agreement are based on a variable interest rate (see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to assess counterparty credit-related non-performance.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and swaps, interest rate swaps, or annuities for our pension plans, or the counterparty to our TRS Agreement, defaults on their contractual obligations. With respect to our financial market activities, we have adopted a policy of dealing only with counterparties we deem to be creditworthy to help mitigate the risk of financial loss from defaults. Adjustments are made to our allowance for credit losses each period in connection with our ongoing credit risk assessments. See note 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Liquidity risk is the risk that we may not have cash available to satisfy our financial obligations as they come due. We manage liquidity risk through maintenance of cash on hand and access to the various financing arrangements described in note 4 and note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regarding the fair values of derivative instruments and the effects of derivative instruments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02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 (economic hedges):</w:t>
      </w:r>
    </w:p>
    <w:p>
      <w:pPr>
        <w:sectPr>
          <w:pgSz w:w="11900" w:h="16838" w:orient="portrait"/>
          <w:cols w:equalWidth="0" w:num="1">
            <w:col w:w="11240"/>
          </w:cols>
          <w:pgMar w:left="320" w:top="360" w:right="339" w:bottom="1440" w:gutter="0" w:footer="0" w:header="0"/>
        </w:sectPr>
      </w:pPr>
    </w:p>
    <w:p>
      <w:pPr>
        <w:spacing w:after="0" w:line="1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Asset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21590</wp:posOffset>
            </wp:positionV>
            <wp:extent cx="2717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b w:val="1"/>
          <w:bCs w:val="1"/>
          <w:color w:val="auto"/>
        </w:rPr>
        <w:t>Fair Value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21590</wp:posOffset>
            </wp:positionV>
            <wp:extent cx="27178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Fair Value</w:t>
      </w:r>
    </w:p>
    <w:p>
      <w:pPr>
        <w:spacing w:after="0" w:line="28" w:lineRule="exact"/>
        <w:rPr>
          <w:sz w:val="20"/>
          <w:szCs w:val="20"/>
          <w:color w:val="auto"/>
        </w:rPr>
      </w:pPr>
    </w:p>
    <w:p>
      <w:pPr>
        <w:sectPr>
          <w:pgSz w:w="11900" w:h="16838" w:orient="portrait"/>
          <w:cols w:equalWidth="0" w:num="2">
            <w:col w:w="7660" w:space="720"/>
            <w:col w:w="2860"/>
          </w:cols>
          <w:pgMar w:left="320" w:top="360" w:right="339" w:bottom="1440" w:gutter="0" w:footer="0" w:header="0"/>
          <w:type w:val="continuous"/>
        </w:sectPr>
      </w:pPr>
    </w:p>
    <w:tbl>
      <w:tblPr>
        <w:tblLayout w:type="fixed"/>
        <w:tblInd w:w="2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54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39"/>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19"/>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560" w:type="dxa"/>
            <w:vAlign w:val="bottom"/>
          </w:tcPr>
          <w:p>
            <w:pPr>
              <w:spacing w:after="0"/>
              <w:rPr>
                <w:sz w:val="18"/>
                <w:szCs w:val="18"/>
                <w:color w:val="auto"/>
              </w:rPr>
            </w:pPr>
          </w:p>
        </w:tc>
        <w:tc>
          <w:tcPr>
            <w:tcW w:w="168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59"/>
        </w:trPr>
        <w:tc>
          <w:tcPr>
            <w:tcW w:w="25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Foreign currency contracts</w:t>
            </w:r>
          </w:p>
        </w:tc>
        <w:tc>
          <w:tcPr>
            <w:tcW w:w="14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Other current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2.9</w:t>
            </w:r>
          </w:p>
        </w:tc>
      </w:tr>
      <w:tr>
        <w:trPr>
          <w:trHeight w:val="210"/>
        </w:trPr>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68"/>
        </w:trPr>
        <w:tc>
          <w:tcPr>
            <w:tcW w:w="25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TRS</w:t>
            </w:r>
          </w:p>
        </w:tc>
        <w:tc>
          <w:tcPr>
            <w:tcW w:w="1680" w:type="dxa"/>
            <w:vAlign w:val="bottom"/>
            <w:gridSpan w:val="3"/>
          </w:tcPr>
          <w:p>
            <w:pPr>
              <w:jc w:val="center"/>
              <w:ind w:right="159"/>
              <w:spacing w:after="0" w:line="168" w:lineRule="exact"/>
              <w:rPr>
                <w:sz w:val="20"/>
                <w:szCs w:val="20"/>
                <w:color w:val="auto"/>
              </w:rPr>
            </w:pPr>
            <w:r>
              <w:rPr>
                <w:rFonts w:ascii="Times New Roman" w:cs="Times New Roman" w:eastAsia="Times New Roman" w:hAnsi="Times New Roman"/>
                <w:sz w:val="16"/>
                <w:szCs w:val="16"/>
                <w:color w:val="auto"/>
              </w:rPr>
              <w:t>Other current assets</w:t>
            </w: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6"/>
                <w:szCs w:val="16"/>
                <w:color w:val="auto"/>
              </w:rPr>
              <w:t>Other current</w:t>
            </w:r>
          </w:p>
        </w:tc>
        <w:tc>
          <w:tcPr>
            <w:tcW w:w="140" w:type="dxa"/>
            <w:vAlign w:val="bottom"/>
          </w:tcPr>
          <w:p>
            <w:pPr>
              <w:spacing w:after="0"/>
              <w:rPr>
                <w:sz w:val="14"/>
                <w:szCs w:val="14"/>
                <w:color w:val="auto"/>
              </w:rPr>
            </w:pPr>
          </w:p>
        </w:tc>
        <w:tc>
          <w:tcPr>
            <w:tcW w:w="12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(Gain) Recognized in Income</w:t>
            </w:r>
          </w:p>
        </w:tc>
        <w:tc>
          <w:tcPr>
            <w:tcW w:w="29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400" w:type="dxa"/>
            <w:vAlign w:val="bottom"/>
            <w:vMerge w:val="continue"/>
          </w:tcPr>
          <w:p>
            <w:pPr>
              <w:spacing w:after="0"/>
              <w:rPr>
                <w:sz w:val="18"/>
                <w:szCs w:val="18"/>
                <w:color w:val="auto"/>
              </w:rPr>
            </w:pPr>
          </w:p>
        </w:tc>
        <w:tc>
          <w:tcPr>
            <w:tcW w:w="2920" w:type="dxa"/>
            <w:vAlign w:val="bottom"/>
            <w:gridSpan w:val="7"/>
            <w:vMerge w:val="continue"/>
          </w:tcPr>
          <w:p>
            <w:pPr>
              <w:spacing w:after="0"/>
              <w:rPr>
                <w:sz w:val="18"/>
                <w:szCs w:val="18"/>
                <w:color w:val="auto"/>
              </w:rPr>
            </w:pPr>
          </w:p>
        </w:tc>
        <w:tc>
          <w:tcPr>
            <w:tcW w:w="188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6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Foreign currency contracts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SG&amp;A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TRS (see note 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6"/>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SG&amp;A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cash flow hedges: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Liability Derivatives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2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9"/>
        </w:trPr>
        <w:tc>
          <w:tcPr>
            <w:tcW w:w="2980" w:type="dxa"/>
            <w:vAlign w:val="bottom"/>
          </w:tcPr>
          <w:p>
            <w:pPr>
              <w:spacing w:after="0"/>
              <w:rPr>
                <w:sz w:val="13"/>
                <w:szCs w:val="13"/>
                <w:color w:val="auto"/>
              </w:rPr>
            </w:pPr>
          </w:p>
        </w:tc>
        <w:tc>
          <w:tcPr>
            <w:tcW w:w="14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3"/>
                <w:szCs w:val="13"/>
                <w:color w:val="auto"/>
              </w:rPr>
            </w:pPr>
          </w:p>
        </w:tc>
        <w:tc>
          <w:tcPr>
            <w:tcW w:w="1160" w:type="dxa"/>
            <w:vAlign w:val="bottom"/>
          </w:tcPr>
          <w:p>
            <w:pPr>
              <w:jc w:val="right"/>
              <w:ind w:right="79"/>
              <w:spacing w:after="0" w:line="159"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1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19"/>
              <w:spacing w:after="0" w:line="159"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160" w:type="dxa"/>
            <w:vAlign w:val="bottom"/>
          </w:tcPr>
          <w:p>
            <w:pPr>
              <w:jc w:val="right"/>
              <w:ind w:right="11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9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59"/>
        </w:trPr>
        <w:tc>
          <w:tcPr>
            <w:tcW w:w="29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 xml:space="preserve">Foreign currency contracts </w:t>
            </w:r>
            <w:r>
              <w:rPr>
                <w:rFonts w:ascii="Times New Roman" w:cs="Times New Roman" w:eastAsia="Times New Roman" w:hAnsi="Times New Roman"/>
                <w:sz w:val="18"/>
                <w:szCs w:val="18"/>
                <w:color w:val="auto"/>
                <w:vertAlign w:val="superscript"/>
              </w:rPr>
              <w:t>(i)</w:t>
            </w:r>
          </w:p>
        </w:tc>
        <w:tc>
          <w:tcPr>
            <w:tcW w:w="132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3"/>
                <w:szCs w:val="13"/>
                <w:color w:val="auto"/>
              </w:rPr>
            </w:pPr>
          </w:p>
        </w:tc>
        <w:tc>
          <w:tcPr>
            <w:tcW w:w="14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1.2</w:t>
            </w:r>
          </w:p>
        </w:tc>
        <w:tc>
          <w:tcPr>
            <w:tcW w:w="1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Other current</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23.8</w:t>
            </w: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1.5</w:t>
            </w:r>
          </w:p>
        </w:tc>
      </w:tr>
      <w:tr>
        <w:trPr>
          <w:trHeight w:val="210"/>
        </w:trPr>
        <w:tc>
          <w:tcPr>
            <w:tcW w:w="2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 xml:space="preserve">Interest rate swaps </w:t>
            </w:r>
            <w:r>
              <w:rPr>
                <w:rFonts w:ascii="Times New Roman" w:cs="Times New Roman" w:eastAsia="Times New Roman" w:hAnsi="Times New Roman"/>
                <w:sz w:val="19"/>
                <w:szCs w:val="19"/>
                <w:color w:val="auto"/>
                <w:vertAlign w:val="superscript"/>
              </w:rPr>
              <w:t>(ii)</w:t>
            </w:r>
          </w:p>
        </w:tc>
        <w:tc>
          <w:tcPr>
            <w:tcW w:w="142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4"/>
                <w:szCs w:val="14"/>
                <w:color w:val="auto"/>
              </w:rPr>
            </w:pPr>
          </w:p>
        </w:tc>
        <w:tc>
          <w:tcPr>
            <w:tcW w:w="126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Other current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2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 xml:space="preserve">Interest rate swaps </w:t>
            </w:r>
            <w:r>
              <w:rPr>
                <w:rFonts w:ascii="Times New Roman" w:cs="Times New Roman" w:eastAsia="Times New Roman" w:hAnsi="Times New Roman"/>
                <w:sz w:val="19"/>
                <w:szCs w:val="19"/>
                <w:color w:val="auto"/>
                <w:vertAlign w:val="superscript"/>
              </w:rPr>
              <w:t>(ii)</w:t>
            </w:r>
          </w:p>
        </w:tc>
        <w:tc>
          <w:tcPr>
            <w:tcW w:w="142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rPr>
              <w:t>Other non-current</w:t>
            </w:r>
          </w:p>
        </w:tc>
        <w:tc>
          <w:tcPr>
            <w:tcW w:w="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8.6</w:t>
            </w:r>
          </w:p>
        </w:tc>
        <w:tc>
          <w:tcPr>
            <w:tcW w:w="18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Other non-current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2.8</w:t>
            </w:r>
          </w:p>
        </w:tc>
      </w:tr>
      <w:tr>
        <w:trPr>
          <w:trHeight w:val="210"/>
        </w:trPr>
        <w:tc>
          <w:tcPr>
            <w:tcW w:w="29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54" w:lineRule="exact"/>
        <w:rPr>
          <w:sz w:val="20"/>
          <w:szCs w:val="20"/>
          <w:color w:val="auto"/>
        </w:rPr>
      </w:pPr>
    </w:p>
    <w:p>
      <w:pPr>
        <w:ind w:left="260" w:hanging="252"/>
        <w:spacing w:after="0" w:line="272" w:lineRule="auto"/>
        <w:tabs>
          <w:tab w:leader="none" w:pos="3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next twelve months, we estimate that $16.3 of existing losses, net of tax, will be reclassified from AOCI into our consolidated statements of operations. The maximum length of time we hedge our exposure to the variability in future cash flows for forecasted foreign currency transactions is 12 months.</w:t>
      </w:r>
    </w:p>
    <w:p>
      <w:pPr>
        <w:spacing w:after="0" w:line="1" w:lineRule="exact"/>
        <w:rPr>
          <w:rFonts w:ascii="Times New Roman" w:cs="Times New Roman" w:eastAsia="Times New Roman" w:hAnsi="Times New Roman"/>
          <w:sz w:val="16"/>
          <w:szCs w:val="16"/>
          <w:color w:val="auto"/>
        </w:rPr>
      </w:pPr>
    </w:p>
    <w:p>
      <w:pPr>
        <w:ind w:left="260" w:hanging="252"/>
        <w:spacing w:after="0" w:line="298" w:lineRule="auto"/>
        <w:tabs>
          <w:tab w:leader="none" w:pos="2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next twelve months, we estimate that $3.4 of existing gains, net of tax, will be reclassified from AOCI into our consolidated statements of operations. The maximum length of time that we hedge our exposure to the variability in future cash flows for forecasted interest payments is 2.7 years.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(Gain) Reclassified from AOCI into Income</w:t>
            </w:r>
          </w:p>
        </w:tc>
        <w:tc>
          <w:tcPr>
            <w:tcW w:w="14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4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(see note 10 for activities recorded in AOCI for the periods indicated)</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2"/>
        </w:trPr>
        <w:tc>
          <w:tcPr>
            <w:tcW w:w="5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Foreign currency contracts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7"/>
              </w:rPr>
              <w:t>(5.2)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SG&amp;A</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(0.6)</w:t>
            </w:r>
          </w:p>
        </w:tc>
      </w:tr>
      <w:tr>
        <w:trPr>
          <w:trHeight w:val="324"/>
        </w:trPr>
        <w:tc>
          <w:tcPr>
            <w:tcW w:w="5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7"/>
              </w:rPr>
              <w:t>(2.0)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Miscellaneous expense</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2300" w:right="72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calculated by dividing net earnings by the following weighted average number of shares:</w:t>
      </w:r>
    </w:p>
    <w:p>
      <w:pPr>
        <w:sectPr>
          <w:pgSz w:w="11900" w:h="16838" w:orient="portrait"/>
          <w:cols w:equalWidth="0" w:num="1">
            <w:col w:w="11240"/>
          </w:cols>
          <w:pgMar w:left="320" w:top="360"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millions)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Diluted effect of outstanding awards under SBC plans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Diluted weighted average number of shares outstanding</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3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19"/>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020" w:space="720"/>
            <w:col w:w="5500"/>
          </w:cols>
          <w:pgMar w:left="320" w:top="360" w:right="339" w:bottom="1440" w:gutter="0" w:footer="0" w:header="0"/>
          <w:type w:val="continuous"/>
        </w:sectPr>
      </w:pPr>
    </w:p>
    <w:p>
      <w:pPr>
        <w:spacing w:after="0" w:line="115"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$7 at Q3 2026 period-end exchange rates), for additional income and value-added taxes for our Romanian subsidiary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continue to vigorously defend our position through all necessary appeals or other judicial processes.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under examination by the Thailand tax authorities for tax years 2019 and 2020. The examination may lead to adjustments to our taxes with respect to the years under examination as well as other subsequent periods.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the Thailand tax authorities issued an assessment letter seeking to impose additional value-added taxes and surcharges in the aggregate amount of approximately 403 million Thai baht (approximately $12 at Q3 2026 period-end exchange rates) for our Thailand subsidiary for the 2019 tax year. We believe that our original positions with respect to the value-added taxes are in compliance with applicable Thailand tax laws and regulations, and continue to vigorously defend our position through all necessary appeals or other judicial processes. A bank guarantee has been issued for the maximum potential liability.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major tax jurisdictions, we may be subject to income tax examinations for tax years from 2018 to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 this Quarterly Report on Form 10-Q (Q3 2026 10-Q), including this Management’s Discussion and Analysis of Financial Condition and Results of Operations (MD&amp;A), "Celestica," the "Company," "we," "us," and "our" refer to Celestica Inc. and its subsidiaries. This MD&amp;A should be read in conjunction with our September 30, 2026 unaudited interim financial statements (Q3 2026 Interim Financial Statements) and our Annual Report on Form 10-K for the year ended December 31, 2025 (2025 10-K), including our 2025 audited consolidated annual financial statements (2025 AFS) and related notes, which we prepared in accordance with U.S. generally accepted accounting principles (GAAP). Unless otherwise noted, all dollar amounts are expressed in United States (U.S.) dollars. The information in this MD&amp;A is provided as of October 26, 2026 unless we indicate otherwise. As used herein, "Q1," "Q2," "Q3," and "Q4" followed by a year refers to the first quarter, second quarter, third quarter and fourth quarter of such year, respectively. The nine months of 2026 is referred to herein as "YTD 2026", and the nine months of 2025 is referred to herein as "YTD 2025."</w:t>
      </w:r>
    </w:p>
    <w:p>
      <w:pPr>
        <w:spacing w:after="0" w:line="2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Certain statements contained in this Q3 2026 10-Q, including this MD&amp;A constitute "forward-looking statements" within the meaning of Section 27A of the U.S. Securities Act of 1933, as amended (U.S. Securities Act), and Section 21E of the U.S. Securities Exchange Act of 1934, as amended (U.S. Exchange Act), and "forward-looking information" within the meaning of applicable Canadian securities laws (collectively, forward-looking statements), including, without limitation, statements related to: our priorities, intended areas of focus, targets, objectives and goals; our capital investment plans and the funding therefor; developments related to new customer or program wins; timing of production ramps, anticipated economic conditions, industry and market trends and projections, underlying market growth rates, customer demand, prospects and opportunities; our strategies and strategic initiatives; trends in our segments and/or their constituent businesses; the anticipated impact of current market conditions and customer-specific factors on each of our segments (and/or their constituent businesses) and near term expectations; potential restructuring and divestiture actions; our anticipated financial and/or operating results and outlook, including expected changes in revenue and growth in certain segments, businesses and end markets; our credit risk; the potential impact of acquisitions, or program wins, transfers, losses or disengagements; materials, component and supply chain constraints; anticipated expenses and other working capital requirements and contractual obligations (and intended methods of funding such items); the potential impact of trade policies between countries in which we conduct business (including the tariffs proposed and implemented by the U.S. government, and any reciprocal or retaliatory tariffs); the adoption, integration and use of artificial intelligence (AI) in manufacturing and service offerings and in certain of our internal processes; the impact of our price reductions and longer payment terms; our intended repatriation of certain undistributed earnings from non-Canadian subsidiaries; the potential impact of tax and litigation outcomes; investor dissatisfaction with inclusion, employee engagement, and other sustainability matters; our ability to use certain tax losses; planned investments in our business; the potential impact of the pace of technological changes (including with respect to AI technologies), customer outsourcing, and the global economic environment; our anticipated use of the net proceeds of our recent public offering; our intention to launch a new normal course issuer bid (NCIB) and its anticipated terms; the intended method of funding common share (Common Share) repurchases; the impact of our outstanding indebtedness; liquidity and the sufficiency of our capital resources; our intention to settle outstanding share unit awards with Common Shares; our financial statement estimates and assumptions; recently issued accounting pronouncements and amendments; the potential adverse impacts of events outside of our control (including those described under "External factors that may impact our business" below); mandatory prepayments under, and our compliance with covenants under, our credit facility; pension plan funding requirements and obligations, and the impact of annuity purchases; refinancing debt at maturity; interest rates and expense; income tax incentives; expectations with respect to reporting units with goodwill; our future warranty obligations; cybersecurity threats and incidents; our intentions with respect to environmental assessments for newly-leased or acquired properties; our intention to retain earnings for general corporate purposes; costs in connection with our pursuit of acquisitions and strategic transactions; and expectations regarding the acceptance of offers to sell accounts receivable (A/R) under our A/R sales programs and supplier financing programs. Such forward-looking statements may, without limitation, be preceded by, followed by, or include words such as "believes," "expects," "anticipates," "estimates," "intends," "plans," "continues," "projects," "target," "objective,"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2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Q3 2026 10-Q are based on various assumptions, many of which involve factors that are beyond our control. Our material assumptions include: growth in manufacturing outsourcing from customers in diversified markets; technology upgrade cycles; our ability to retain programs and customers, including no unexpected customer or program transfers, losses or disengagements; no unforeseen adverse changes in our mix of businesses; no undue negative impact on our customers' ability to compete and succeed using products we manufacture and services we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provide; continued strengthening of customer demand and demand environment of our businesses; accelerating growth from our customer base, including our CCS customer base; continued growth in our segments and end markets; our ability to successfully diversify our customer base and develop new capabilities; anticipated demand levels across our businesses, including continued growth in the demand from data center customers; continued advancement and commercialization of AI technologies and cloud computing; supporting sustained high levels of capital expenditure investments by leading hyperscaler, AI and data center customers; scaling of our operations to meet the anticipated growth in customer demand; the amount and timing of our working capital investments and capital investments proceeding as anticipated, including timely completion of construction and operationalization of assets, securing required materials, utilities, and equipment for our expansion plans; alignment of our capacity with our business demands; the successful recruitment and retention of skilled talent; no significant unforeseen negative impacts to our operations; no unforeseen materials price increases, margin pressures, or other competitive factors affecting the contract design and manufacturing industry in general or our segments in particular; compliance by third parties with their contractual obligations; no material changes to tariffs (including continuing or retaliatory tariff measures), trade restrictions, or customs administration from those in effect as of October 26, 2026; no unforeseen adverse changes in the regulatory environment or government policies (including export controls, moratoriums and other AI-related measures); that our customers will continue to retain liability for and we will continue to be able to recover substantially all costs from customers relating to product/component tariffs and countermeasures; no material changes in business activities resulting from current macroeconomic trends and uncertainties, including evolving trade negotiations; our ability to achieve our strategic goals; our ability to keep pace with rapidly changing technological developments; the successful resolution of quality issues that arise from time to time; fluctuation of production schedules from our customers in terms of volume and mix of products or services; the timing and execution of, and investments associated with, ramping new programs; programs and production ramps occurring and progressing as anticipated, in line with our expectations regarding: timelines, specifications, qualification requirements and outcomes, production schedules, customer decisions, design changes, silicon and component availability, deployment timelines and priorities, constraints affecting data center development, construction, equipping or operation, and other technical, commercial, regulatory or supply-chain factors, as well as our expected role in such programs, including our 800G and 1.6T networking, and AI compute programs with data center customers; supplier performance and quality, pricing and terms; the costs and availability of components, materials, services, equipment, labor, energy and transportation; our ability to secure adequate component and materials supply; no significant decline in the global economy or in economic activity in our end markets due to a major recession, global trade tensions or otherwise; no unforeseen disruptions due to geopolitical factors (including war, tariffs and trade restrictions) causing significant negative impacts to economic activity, global or regional supply chains or normal business operations; that global inflation will not have a material impact on our revenues or expenses; revenue growth and earnings (including customer forecasts, continued strengthening of customer demand, close alignment with key customers on demand planning, sustained improvements in demand visibility, and continued strengthening of adjusted operating margins); the impact of anticipated market conditions on our businesses; the stability of currency exchange rates; the availability of cash from operations, cash on hand (including the net proceeds of our recent public offering) and our credit facilities to fund planned capital investments and working capital requirements without the need for additional capital; the availability of capital resources for, and the permissibility under our credit facility of, repurchases of outstanding Common Shares under our current NCIB, acceptance of a new NCIB and compliance with applicable laws and regulations pertaining to NCIBs; compliance with applicable credit facility covenants and the components of our leverage ratios (as defined in our credit facility); our maintenance of sufficient financial resources to fund currently anticipated financial actions and obligations and to pursue desirable business opportunities; global tax legislation changes; and the timing, execution and effect of restructuring actions.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the Company's actual results may differ significantly from the results discussed in the forward-looking statements.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You should bear this in mind as you consider forward-looking statements, and you are cautioned not to place undue reliance on forward-looking statements. Forward-looking statements speak only as of the date on which they are made, and we undertake no obligation to publicly update forward-looking statements, whether as a result of new information, future events or otherwise, except as required by law or by the rules and regulations of the U.S. Securities and Exchange Commission (SEC). You are advised, however, to consult any further disclosures we make on related subjects. Factors that could cause such differences include, but are not limited to, those discussed in the Risk Factor Summary and in Part I, Item 1A of our 2025 10-K under the heading "Risk Factors," which are incorporated herein by reference, and in our subsequent Quarterly Reports on Form 10-Q and other documents filed with the SEC and, as applicable, the Canadian Securities Administrators.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Celestica's business: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Celestica is a technology leader with deep expertise in design, engineering, manufacturing, supply chain and platform solutions. Celestica enables critical data center infrastructure for AI, cloud and hybrid cloud, and advances technologies in high-growth markets. Our global headquarters is located in Toronto, Ontario, Canada. We operate a network of sites and design centers strategically located in North America, Asia, and Europe.</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serve across two operating and reportable segments: Connectivity &amp; Cloud Solutions (CCS) and Advanced Technology Solutions (ATS). Effective Q3 2026, we renamed the two end markets within our CCS segment to better describe the nature of the products delivered in each end market. Specifically, our Communications end market was renamed Networking, and our Enterprise end market was renamed Compute &amp; Storage. This name change does not impact our segment reporting structure, the composition of our reportable segments, or previously reported financial results for our segments and end markets. Our Compute &amp; Storage end market continues to consist of Servers and Storage businesses. Our ATS segment consists of our ATS end market, and is comprised of our Aerospace and Defense (A&amp;D), Industrial, HealthTech, and Capital Equipment businesses. Additional information regarding our segments is included in note 3 to the Q3 2026 Interim Financial Statements and in note 21 to the 2025 AFS. Customers in our CCS segment include cloud based service providers, hyperscalers and other data center customers (including frontier AI lab companies), as well as hardware original equipment manufacturer (OEMs) and enterprise customers. Customers in our ATS segment include OEMs in a range of diversified markets that we serve.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a comprehensive range of products and services that cover the entire technology product lifecycle, including</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hardware design and development, new product introduction, engineering services, supply chain management and logistics, electronics manufacturing and assembly, complex mechanical assembly, precision machining, systems integration, testing, product licensing, software enablement solutions, and services, including asset management and disposition services.</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periods, we have experienced an increasing shift in the mix of our programs towards cloud-based and other service providers, primarily hyperscalers, which are cyclically different from our traditional OEM customers, and currently experiencing a period of significant increases in product deployments to support their build-out of data center infrastructure, including to support AI applications. This demand growth has required our business to place a greater focus on various operational factors, including the management of our manufacturing capacity, human capital dedicated to these programs, supply chain, capital investments, and working capital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Overview:</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Celestica operates in the contract design and manufacturing industry and competes with a variety of providers from electronics manufacturing services (EMS) companies to original design manufacturers (ODMs). The EMS companies that Celestica competes with, typically manage global manufacturing and logistics networks that are capable of delivering customized solutions, and may offer, depending on the extent of their capabilities, end-to-end services covering the full product lifecycle, which can include assembly, supply chain management, testing, system integration, fulfillment and other services. ODMs offer a similar range of services, and also typically support the design and development of products they manufacture for their customers.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"Overview" in Item 7, Management's Discussion and Analysis of Financial Condition and Results of Operations (MD&amp;A) of our 2025 10-K for additional detail of our business and business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factors that may impact our business: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External factors that could have a material and adverse impact on our industry and/or business include the long-term sustainability and growth of data center-related investments; technology changes (including AI-related technologies); energy, power, and water constraints in the data center infrastructure; supplier or customer financial difficulties; global economic and political tension (including increased tensions between the U.S. and other countries and between mainland China and Taiwan); geopolitical uncertainty and conflicts (including the Russia/Ukraine conflict and the conflicts in the Middle East area); government legislation, regulations, or policies (including with respect to tariffs and AI technology); fires and related disruptions; labor or social unrest, criminal activity, cybersecurity incidents, natural disasters and unusually adverse weather conditions (including those caused by climate-and weather-related risks). See Item 1A, Risk Factors of our 2025 10-K. These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events could disrupt operations or the economics of one or more of our sites or those of our customers, component suppliers and/or our logistics partners and may materially negatively impact our operating results.</w:t>
      </w:r>
    </w:p>
    <w:p>
      <w:pPr>
        <w:spacing w:after="0" w:line="189"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Recent investments in AI infrastructure by hyperscalers and other data center customers have increased demand for certain products in our CCS segment, including our Hardware Platform Solutions (HPS) business. However,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trajectory of AI adoption and related data center deployment is uncertain and may be affected by a variety of factors outside our control, including rapid changes in technology and customer AI roadmaps; evolving regulatory and government policies (including export controls, moratoriums and other AI-related measures) that increase our customers’ costs or restrict their AI activities; constraints on specialized components and data center capacity; and the availability, timing, reliability and price of critical utilities. Adverse developments in any of these areas could cause our cloud-based and other service provider customers, including hyperscalers and OEM customers, to delay, reduce or cancel programs, which could adversely impact demand for our products and services, as well as our revenue growth and operating results. See Item 1A, Risk Factors of our 2025 10-K "</w:t>
      </w:r>
      <w:r>
        <w:rPr>
          <w:rFonts w:ascii="Times New Roman" w:cs="Times New Roman" w:eastAsia="Times New Roman" w:hAnsi="Times New Roman"/>
          <w:sz w:val="18"/>
          <w:szCs w:val="18"/>
          <w:i w:val="1"/>
          <w:iCs w:val="1"/>
          <w:color w:val="auto"/>
        </w:rPr>
        <w:t>The future development and adoption of AI and the deployment of data center infrastructure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 and depend on the availability and cost of critical inputs (including power and water), which could materially affect demand for our products and services and our operating results.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pace of technological changes (including AI-related technologies) and the frequency of customer outsourcing or transferring business among EMS and/or ODM competitors, may impact our business, results of operations and/or financial condition. Data center deployments, which have numerous, specific infrastructure requirements, have influenced our revenue variability and may continue to impact our future demand.</w:t>
      </w:r>
    </w:p>
    <w:p>
      <w:pPr>
        <w:spacing w:after="0" w:line="203"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Our capital investments may not proceed as anticipated, or we may encounter delays in the timely completion of construction and operationalization of new or expanded assets due to various reasons such as issues with securing required materials, equipment, utilities and labor in a timely manner. We may also experience delays or challenges related to utility, power availability, grid interconnection, supply chain constraints, and other infrastructure or regulatory requirements. Any of these factors could delay the realization of anticipated capacity, increase project costs, or result in assets that are not fully operational when expected. If demand, mix, yield or utilization differ from our expectations, or if customer roadmaps change, ramp milestones are delayed, or expected volumes do not materialize, added capacity may be underutilized and returns on these investments may be lower than expected, and our financial results could be adversely affected. See Item 1A, Risk Factors of our 2025 10-K "</w:t>
      </w:r>
      <w:r>
        <w:rPr>
          <w:rFonts w:ascii="Times New Roman" w:cs="Times New Roman" w:eastAsia="Times New Roman" w:hAnsi="Times New Roman"/>
          <w:sz w:val="18"/>
          <w:szCs w:val="18"/>
          <w:i w:val="1"/>
          <w:iCs w:val="1"/>
          <w:color w:val="auto"/>
        </w:rPr>
        <w:t>Increased capital expenditures to expand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capacity to support anticipated growth in customer demand may not proceed as anticipated and may increase our fixed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cost base, constrain liquidity and adversely affect returns" </w:t>
      </w:r>
      <w:r>
        <w:rPr>
          <w:rFonts w:ascii="Times New Roman" w:cs="Times New Roman" w:eastAsia="Times New Roman" w:hAnsi="Times New Roman"/>
          <w:sz w:val="18"/>
          <w:szCs w:val="18"/>
          <w:color w:val="auto"/>
        </w:rPr>
        <w:t>and Item 7, MD&amp;A — "Liquidity and Capital Resources" of our 2025 10-K and "Liquidity and Capital Resources" below.</w:t>
      </w: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Governmental actions related to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Government-imposed restrictions on producing certain products in, or shipping them to, specific countries, or as the result of other similar actions by other countries or citizens affected by such changes in policies could negatively affect our operating results. We will continue to monitor the scope and duration of trade actions by the U.S. and other governments with respect to our business. See Item 1A, Risk Factors of our 2025 10-K "</w:t>
      </w:r>
      <w:r>
        <w:rPr>
          <w:rFonts w:ascii="Times New Roman" w:cs="Times New Roman" w:eastAsia="Times New Roman" w:hAnsi="Times New Roman"/>
          <w:sz w:val="18"/>
          <w:szCs w:val="18"/>
          <w:i w:val="1"/>
          <w:iCs w:val="1"/>
          <w:color w:val="auto"/>
        </w:rPr>
        <w:t>Our ability to successfully manage unexpected changes or risks inherent in our global operations and supply chain may adversely impact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financial performance.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2025, the U.S. Administration imposed a series of tariffs on nearly all U.S. trading partners pursuant to the International Emergency Economic Powers Act of 1977 (IEEPA). In March 2026, the U.S. Court of International Trade issued an order directing U.S. Customs and Border Protection to process refunds of certain IEEPA tariffs. In Q2 2026 and Q3 2026, we received refunds for IEEPA tariffs previously paid. On July 23, 2026, the Office of the U.S. Trade Representative took action under Section 301 of the Trade Act of 1974 and imposed new tariff rates ranging from 10% to 12.5% on most imports from certain countries. As of October 26, 2026, both tariff payments and tariff refunds have not had a material impact on our results of operations. The global tariff landscape continues to evolve rapidly. Changes in policies by U.S. and other governments, including replacement or additional tariffs, trade restrictions, retaliatory measures or changes in refund eligibility by the U.S. or other governments could negatively affect our business, results of operations and financial condition. See Item 1A, Risk Factors of our 2025 10-K "</w:t>
      </w:r>
      <w:r>
        <w:rPr>
          <w:rFonts w:ascii="Times New Roman" w:cs="Times New Roman" w:eastAsia="Times New Roman" w:hAnsi="Times New Roman"/>
          <w:sz w:val="18"/>
          <w:szCs w:val="18"/>
          <w:i w:val="1"/>
          <w:iCs w:val="1"/>
          <w:color w:val="auto"/>
        </w:rPr>
        <w:t>U.S. policies or legislation could have a material adverse effect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results of operations and financial condition.</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Component shortages or other issues affecting timely access to materials (which often occur in our industry) may impact our ability to successfully complete a program. Factors that may cause or contribute to such component shortages or supply issues include: supplier or manufacturer delays or failures to provide components, supplies or equipment as required; quality or reliability issues at component providers; financial difficulties affecting suppliers' production and ability to supply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components; and industry-wide shortages for certain electronic components. Such component shortages or supply issues could have a significant impact on our operations and on our customers, including: inability to deliver finished products in a timely manner; losses on fixed price contracts due to increased costs for equipment and supplies; having to source items from third parties on less favorable terms; halted or delayed production of a customer's product; claims against us for failure to meet required customer specifications; and carrying higher levels of inventory and extended lead-times. Shortages may also result in increased component prices, which may require price increases in the products and services that we provide. Any increase in our costs that we are unable to recover would negatively impact our margins and operating results. See Item 1A, Risk Factors of our 2025 10-K "</w:t>
      </w:r>
      <w:r>
        <w:rPr>
          <w:rFonts w:ascii="Times New Roman" w:cs="Times New Roman" w:eastAsia="Times New Roman" w:hAnsi="Times New Roman"/>
          <w:sz w:val="18"/>
          <w:szCs w:val="18"/>
          <w:i w:val="1"/>
          <w:iCs w:val="1"/>
          <w:color w:val="auto"/>
        </w:rPr>
        <w:t>We are dependent on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to supply certain materials, and our results were negatively affected by the availability of such materials in the past and may be negatively affected by the quality, availability and cost of such materials in the future</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Increases in prices for energy and other commodities may result in further increased raw materials, component and transportation costs. Any increase in our costs that we are unable to recover through our pricing to our customers would negatively impact our margins and operating results. See Item 1A, Risk Factors of our 2025 10-K "</w:t>
      </w:r>
      <w:r>
        <w:rPr>
          <w:rFonts w:ascii="Times New Roman" w:cs="Times New Roman" w:eastAsia="Times New Roman" w:hAnsi="Times New Roman"/>
          <w:sz w:val="18"/>
          <w:szCs w:val="18"/>
          <w:i w:val="1"/>
          <w:iCs w:val="1"/>
          <w:color w:val="auto"/>
        </w:rPr>
        <w:t>Volatility in energy and commodity prices may negatively impact our operating results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"External Factors that May Impact our Business" in Item 7, MD&amp;A of our 2025 10-K for a discussion of additional factors beyond our control that may have an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Public Offering:</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announced, on August 7, 2026, we completed a public offering (Public Offering) of an aggregate of 11,129,031 Common Shares (including the full exercise of the underwriters' option of 1,451,612 Common Shares) at a price of $310 per share. In connection with the Public Offering, we received proceeds of $3,391.3 million, net of underwriting discounts and offering expenses of $58.7 million, which were recorded within total equity on the consolidated balance sheets, capital stock on the consolidated statements of changes in equity, and within financing activities on the consolidated statements of cash flows. We expect to use the net proceeds from this Public Offering for working capital and to support investments in capital expenditures, in addition to other general corporate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Intention to Launch a New NCIB:</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file a notice of intention with the Toronto Stock Exchange (TSX) to commence a new NCIB in Q4 2026, after our current NCIB expires on November 2, 2026. If this notice is accepted by the TSX, we expect to be permitted to repurchase for cancellation, at our discretion during the twelve months following such acceptance, up to 2.5% of the "public float" (calculated in accordance with TSX rules) of our issued and outstanding Common Shares. Purchases under the new NCIB, if accepted by the TSX, will be conducted in the open market or as otherwise permitted, subject to applicable terms and limitations, and will be made through the facilities of the TSX and the New York Stock Exchange. We believe that a new NCIB is in the best interests of Celestica and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Share Repurchases: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2026, approximately 5.4 million of our Common Shares remain available for repurchase under our current NCIB. The maximum number of Common Shares we are permitted to repurchase for cancellation under our current NCIB is reduced by the number of Common Shares we arrange to be purchased by any non-independent broker in the open market during the term of the NCIB to satisfy delivery obligations under our stock-based compensation (SBC) plans. In Q3 2026, we paid $37.6 million (including transaction fees) to repurchase 0.1 million Common Shares through a non-independent broker for delivery obligations under our SBC plans. See "Summary of Q3 2026 and Year-to-Date Period" and Part II, Item 2, "Unregistered Sales of Equity Securities and Use of Proceeds" below. See note 9 to our Q3 2026 Interim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Summary of Q3 2026 and Year-to-Date Period</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Q3 2026 Interim Financial Statements reflect all normal and recurring adjustments that are, in the opinion of management, necessary to present fairly our financial position at September 30, 2026 and the operating results and cash flows for the three and nine months ended September 30, 2026. A discussion of our Q3 2026 and YTD 2026 financial results is set forth under "Operating Results" below.</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key operating results and financial information for the periods indicated (in millions, except per share amounts and percentages):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(SG&amp;A)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 charges (recoveries)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earnings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 (EPS)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342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320" w:type="dxa"/>
            <w:vAlign w:val="bottom"/>
            <w:gridSpan w:val="6"/>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Increase</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8"/>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65"/>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4"/>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900" w:space="140"/>
            <w:col w:w="7200"/>
          </w:cols>
          <w:pgMar w:left="320" w:top="927" w:right="339" w:bottom="1440" w:gutter="0" w:footer="0" w:header="0"/>
          <w:type w:val="continuous"/>
        </w:sectPr>
      </w:pP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1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revenue* as a percentage of total revenue:</w:t>
            </w: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80" w:type="dxa"/>
            <w:vAlign w:val="bottom"/>
            <w:tcBorders>
              <w:top w:val="single" w:sz="8" w:color="auto"/>
            </w:tcBorders>
            <w:gridSpan w:val="5"/>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CCS segment</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84%</w:t>
            </w: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76%</w:t>
            </w: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center"/>
              <w:ind w:right="436"/>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ATS segment</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16%</w:t>
            </w:r>
          </w:p>
        </w:tc>
        <w:tc>
          <w:tcPr>
            <w:tcW w:w="1280" w:type="dxa"/>
            <w:vAlign w:val="bottom"/>
            <w:gridSpan w:val="5"/>
          </w:tcPr>
          <w:p>
            <w:pPr>
              <w:jc w:val="center"/>
              <w:ind w:left="672"/>
              <w:spacing w:after="0"/>
              <w:rPr>
                <w:sz w:val="20"/>
                <w:szCs w:val="20"/>
                <w:color w:val="auto"/>
              </w:rPr>
            </w:pPr>
            <w:r>
              <w:rPr>
                <w:rFonts w:ascii="Times New Roman" w:cs="Times New Roman" w:eastAsia="Times New Roman" w:hAnsi="Times New Roman"/>
                <w:sz w:val="18"/>
                <w:szCs w:val="18"/>
                <w:color w:val="auto"/>
                <w:w w:val="96"/>
              </w:rPr>
              <w:t>24%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tcPr>
          <w:p>
            <w:pPr>
              <w:jc w:val="center"/>
              <w:ind w:right="436"/>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594"/>
        </w:trPr>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gridSpan w:val="11"/>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60" w:type="dxa"/>
            <w:vAlign w:val="bottom"/>
            <w:gridSpan w:val="10"/>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55"/>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income and segment margin*:</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color w:val="auto"/>
              </w:rPr>
              <w:t>Segment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c>
          <w:tcPr>
            <w:tcW w:w="1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c>
          <w:tcPr>
            <w:tcW w:w="0" w:type="dxa"/>
            <w:vAlign w:val="bottom"/>
          </w:tcPr>
          <w:p>
            <w:pPr>
              <w:spacing w:after="0"/>
              <w:rPr>
                <w:sz w:val="1"/>
                <w:szCs w:val="1"/>
                <w:color w:val="auto"/>
              </w:rPr>
            </w:pPr>
          </w:p>
        </w:tc>
      </w:tr>
      <w:tr>
        <w:trPr>
          <w:trHeight w:val="216"/>
        </w:trPr>
        <w:tc>
          <w:tcPr>
            <w:tcW w:w="3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w w:val="97"/>
              </w:rPr>
              <w:t>Margin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color w:val="auto"/>
              </w:rPr>
              <w:t>Margin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Margin</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Margin</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CCS segment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1,040.3</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4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ATS segment</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hanging="172"/>
        <w:spacing w:after="0" w:line="280" w:lineRule="auto"/>
        <w:tabs>
          <w:tab w:leader="none" w:pos="2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performance is evaluated based on segment revenue, segment income and segment margin. See note 3 to the Q3 2026 Interim Financial Statements and note 21 to the 2025 AFS for definitions of each item.</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2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7,213.1</w:t>
            </w:r>
          </w:p>
        </w:tc>
      </w:tr>
      <w:tr>
        <w:trPr>
          <w:trHeight w:val="230"/>
        </w:trPr>
        <w:tc>
          <w:tcPr>
            <w:tcW w:w="80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Borrowings under term loans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30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8"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unamortized debt issuance costs.</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ordinary course letters of credit (L/Cs).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0" w:name="page31"/>
    <w:bookmarkEnd w:id="30"/>
    <w:tbl>
      <w:tblPr>
        <w:tblLayout w:type="fixed"/>
        <w:tblInd w:w="4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7"/>
                <w:szCs w:val="17"/>
                <w:color w:val="auto"/>
              </w:rPr>
            </w:pPr>
          </w:p>
        </w:tc>
        <w:tc>
          <w:tcPr>
            <w:tcW w:w="19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0"/>
                <w:szCs w:val="20"/>
                <w:color w:val="auto"/>
              </w:rPr>
            </w:pPr>
          </w:p>
        </w:tc>
        <w:tc>
          <w:tcPr>
            <w:tcW w:w="19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333"/>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Common Share repurchase activities: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Aggregate cost (including transaction fees and excluding share buyback taxes) of Common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repurchased for cancellation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3"/>
        </w:trPr>
        <w:tc>
          <w:tcPr>
            <w:tcW w:w="6740" w:type="dxa"/>
            <w:vAlign w:val="bottom"/>
          </w:tcPr>
          <w:p>
            <w:pPr>
              <w:ind w:left="160"/>
              <w:spacing w:after="0" w:line="233" w:lineRule="exact"/>
              <w:rPr>
                <w:sz w:val="20"/>
                <w:szCs w:val="20"/>
                <w:color w:val="auto"/>
              </w:rPr>
            </w:pPr>
            <w:r>
              <w:rPr>
                <w:rFonts w:ascii="Times New Roman" w:cs="Times New Roman" w:eastAsia="Times New Roman" w:hAnsi="Times New Roman"/>
                <w:sz w:val="18"/>
                <w:szCs w:val="18"/>
                <w:color w:val="auto"/>
              </w:rPr>
              <w:t xml:space="preserve">Number of Common Shares repurchased for cancellation (in millions)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price per share for repurchases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r>
      <w:tr>
        <w:trPr>
          <w:trHeight w:val="22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Aggregate cost (including transaction fees) of Common Shares repurchased for delivery</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1"/>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under SBC plans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312"/>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Number of Common Shares repurchased for delivery under SBC plans (in millions)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95"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For Q3 2025 and </w:t>
      </w:r>
      <w:r>
        <w:rPr>
          <w:rFonts w:ascii="Times New Roman" w:cs="Times New Roman" w:eastAsia="Times New Roman" w:hAnsi="Times New Roman"/>
          <w:sz w:val="17"/>
          <w:szCs w:val="17"/>
          <w:color w:val="auto"/>
        </w:rPr>
        <w:t>YTD</w:t>
      </w:r>
      <w:r>
        <w:rPr>
          <w:rFonts w:ascii="Times New Roman" w:cs="Times New Roman" w:eastAsia="Times New Roman" w:hAnsi="Times New Roman"/>
          <w:sz w:val="16"/>
          <w:szCs w:val="16"/>
          <w:color w:val="auto"/>
        </w:rPr>
        <w:t xml:space="preserve"> 2025, includes nil and 0.6 million Common Shares, respectively, purchased for cancellation under automatic share purchase plans (ASPPs).</w:t>
      </w:r>
    </w:p>
    <w:p>
      <w:pPr>
        <w:spacing w:after="0" w:line="58" w:lineRule="exact"/>
        <w:rPr>
          <w:rFonts w:ascii="Times New Roman" w:cs="Times New Roman" w:eastAsia="Times New Roman" w:hAnsi="Times New Roman"/>
          <w:sz w:val="21"/>
          <w:szCs w:val="21"/>
          <w:color w:val="auto"/>
          <w:vertAlign w:val="superscript"/>
        </w:rPr>
      </w:pPr>
    </w:p>
    <w:p>
      <w:pPr>
        <w:ind w:left="240" w:hanging="232"/>
        <w:spacing w:after="0" w:line="197" w:lineRule="auto"/>
        <w:tabs>
          <w:tab w:leader="none" w:pos="24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For </w:t>
      </w:r>
      <w:r>
        <w:rPr>
          <w:rFonts w:ascii="Times New Roman" w:cs="Times New Roman" w:eastAsia="Times New Roman" w:hAnsi="Times New Roman"/>
          <w:sz w:val="17"/>
          <w:szCs w:val="17"/>
          <w:color w:val="auto"/>
        </w:rPr>
        <w:t>YTD</w:t>
      </w:r>
      <w:r>
        <w:rPr>
          <w:rFonts w:ascii="Times New Roman" w:cs="Times New Roman" w:eastAsia="Times New Roman" w:hAnsi="Times New Roman"/>
          <w:sz w:val="16"/>
          <w:szCs w:val="16"/>
          <w:color w:val="auto"/>
        </w:rPr>
        <w:t xml:space="preserve"> 2025, consists entirely of Common Share repurchases under ASPPs for SBC delivery obligations through an independent broker.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performance indicators: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addition to the key operating results and financial information described above, management reviews the following measures: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0" w:type="dxa"/>
            <w:vAlign w:val="bottom"/>
          </w:tcPr>
          <w:p>
            <w:pPr>
              <w:spacing w:after="0"/>
              <w:rPr>
                <w:sz w:val="1"/>
                <w:szCs w:val="1"/>
                <w:color w:val="auto"/>
              </w:rPr>
            </w:pP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Days in A/R</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Days in inventory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Days in accounts payable (A/P)</w:t>
            </w: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Days in cash deposits*</w:t>
            </w: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Cash cycle days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Inventory turns</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40" w:type="dxa"/>
            <w:vAlign w:val="bottom"/>
            <w:vMerge w:val="continue"/>
          </w:tcPr>
          <w:p>
            <w:pPr>
              <w:spacing w:after="0"/>
              <w:rPr>
                <w:sz w:val="19"/>
                <w:szCs w:val="19"/>
                <w:color w:val="auto"/>
              </w:rPr>
            </w:pP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5.2x</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5.4x</w:t>
            </w:r>
          </w:p>
        </w:tc>
        <w:tc>
          <w:tcPr>
            <w:tcW w:w="8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5.9x</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6.1x</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5.6x</w:t>
            </w:r>
          </w:p>
        </w:tc>
        <w:tc>
          <w:tcPr>
            <w:tcW w:w="8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5.4x</w:t>
            </w:r>
          </w:p>
        </w:tc>
        <w:tc>
          <w:tcPr>
            <w:tcW w:w="8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5.4x</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80" w:hanging="172"/>
        <w:spacing w:after="0" w:line="280" w:lineRule="auto"/>
        <w:tabs>
          <w:tab w:leader="none" w:pos="16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cash deposits from certain of our customers primarily to help reduce risks related to excess and/or obsolete inventory. See "Customer cash deposits for inventory at period end" in the table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balance of sold A/R at period end*:</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8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4"/>
                <w:szCs w:val="14"/>
                <w:color w:val="auto"/>
              </w:rPr>
            </w:pPr>
          </w:p>
        </w:tc>
        <w:tc>
          <w:tcPr>
            <w:tcW w:w="24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September 30</w:t>
            </w:r>
          </w:p>
        </w:tc>
        <w:tc>
          <w:tcPr>
            <w:tcW w:w="72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28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2"/>
                <w:szCs w:val="12"/>
                <w:color w:val="auto"/>
              </w:rPr>
            </w:pPr>
          </w:p>
        </w:tc>
        <w:tc>
          <w:tcPr>
            <w:tcW w:w="8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bottom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 sales program</w:t>
            </w:r>
          </w:p>
        </w:tc>
        <w:tc>
          <w:tcPr>
            <w:tcW w:w="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Financing Programs (SFPs)</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93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 xml:space="preserve">*  See "Liquidity — Financing and finance costs — </w:t>
            </w:r>
            <w:r>
              <w:rPr>
                <w:rFonts w:ascii="Times New Roman" w:cs="Times New Roman" w:eastAsia="Times New Roman" w:hAnsi="Times New Roman"/>
                <w:sz w:val="16"/>
                <w:szCs w:val="16"/>
                <w:i w:val="1"/>
                <w:iCs w:val="1"/>
                <w:color w:val="auto"/>
              </w:rPr>
              <w:t>A/R sales program and customer SFPs</w:t>
            </w:r>
            <w:r>
              <w:rPr>
                <w:rFonts w:ascii="Times New Roman" w:cs="Times New Roman" w:eastAsia="Times New Roman" w:hAnsi="Times New Roman"/>
                <w:sz w:val="16"/>
                <w:szCs w:val="16"/>
                <w:color w:val="auto"/>
              </w:rPr>
              <w:t>" below for descriptions of these programs.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6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June</w:t>
            </w:r>
          </w:p>
        </w:tc>
        <w:tc>
          <w:tcPr>
            <w:tcW w:w="1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50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September 30</w:t>
            </w:r>
          </w:p>
        </w:tc>
        <w:tc>
          <w:tcPr>
            <w:tcW w:w="72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June</w:t>
            </w: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144"/>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2"/>
                <w:szCs w:val="12"/>
                <w:color w:val="auto"/>
              </w:rPr>
            </w:pPr>
          </w:p>
        </w:tc>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gridSpan w:val="3"/>
            <w:vMerge w:val="continue"/>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1180" w:type="dxa"/>
            <w:vAlign w:val="bottom"/>
            <w:tcBorders>
              <w:bottom w:val="single" w:sz="8" w:color="auto"/>
            </w:tcBorders>
            <w:gridSpan w:val="3"/>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Customer cash deposits for inventory at period</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22"/>
                <w:szCs w:val="22"/>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407.1 $</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381.6 $</w:t>
            </w: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396.6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days in A/R, days in inventory, and cash cycle days, and a higher number of days in A/P, days in cash deposits, and inventory turns generally reflect improved cash management performance.</w:t>
      </w:r>
    </w:p>
    <w:p>
      <w:pPr>
        <w:spacing w:after="0" w:line="189" w:lineRule="exact"/>
        <w:rPr>
          <w:sz w:val="20"/>
          <w:szCs w:val="20"/>
          <w:color w:val="auto"/>
        </w:rPr>
      </w:pPr>
    </w:p>
    <w:p>
      <w:pPr>
        <w:jc w:val="both"/>
        <w:ind w:right="20" w:firstLine="190"/>
        <w:spacing w:after="0" w:line="282" w:lineRule="auto"/>
        <w:rPr>
          <w:sz w:val="20"/>
          <w:szCs w:val="20"/>
          <w:color w:val="auto"/>
        </w:rPr>
      </w:pPr>
      <w:r>
        <w:rPr>
          <w:rFonts w:ascii="Times New Roman" w:cs="Times New Roman" w:eastAsia="Times New Roman" w:hAnsi="Times New Roman"/>
          <w:sz w:val="18"/>
          <w:szCs w:val="18"/>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the Q3 2026 Interim Financial Statements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expected credit losses and customer creditworthiness. Any revisions to estimates, judgments or assumptions may result in, among other things, write-downs, accelerated depreciation or amortization, or impairments of our assets or reporting units, any of which could have a material impact on our financial performance and financial condition. No significant revisions to our critical accounting estimates and/or assumptions were made in YTD 2026. In addition, we determined that no triggering event occurred in YTD 2026 that would require an interim impairment assessment of our reporting units.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global economic conditions, including the impact of ongoing trade conflicts, tariffs, rising interest rates, and geopolitical conflicts, there has been and we expect there will continue to be uncertainty in the global economy. Management has made estimates and assumptions based on information available as of the date of issuance of the Q3 2026 Interim Financial Statements taking into consideration certain possible impacts due to the foregoing factors. These estimates may change, as new events occur, or additional information is obtained.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Significant accounting policies and methods used in the preparation of our consolidated financial statements and recently issued accounting pronouncements are described in note 2 to our 2025 AFS and note 2 to our Q3 2026 Interim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56" w:lineRule="exact"/>
        <w:rPr>
          <w:sz w:val="20"/>
          <w:szCs w:val="20"/>
          <w:color w:val="auto"/>
        </w:rPr>
      </w:pPr>
    </w:p>
    <w:p>
      <w:pPr>
        <w:jc w:val="both"/>
        <w:ind w:firstLine="182"/>
        <w:spacing w:after="0" w:line="282" w:lineRule="auto"/>
        <w:rPr>
          <w:sz w:val="20"/>
          <w:szCs w:val="20"/>
          <w:color w:val="auto"/>
        </w:rPr>
      </w:pPr>
      <w:r>
        <w:rPr>
          <w:rFonts w:ascii="Times New Roman" w:cs="Times New Roman" w:eastAsia="Times New Roman" w:hAnsi="Times New Roman"/>
          <w:sz w:val="18"/>
          <w:szCs w:val="18"/>
          <w:color w:val="auto"/>
        </w:rPr>
        <w:t>See "Overview" above for a discussion of the impact of recent market conditions on our segments and businesses. See the initial paragraph of "Operating Results" in Item 7, MD&amp;A of our 2025 10-K for a general discussion of factors that can cause our financial results to fluctuate from period to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ind w:right="20" w:firstLine="197"/>
        <w:spacing w:after="0" w:line="282" w:lineRule="auto"/>
        <w:rPr>
          <w:sz w:val="20"/>
          <w:szCs w:val="20"/>
          <w:color w:val="auto"/>
        </w:rPr>
      </w:pPr>
      <w:r>
        <w:rPr>
          <w:rFonts w:ascii="Times New Roman" w:cs="Times New Roman" w:eastAsia="Times New Roman" w:hAnsi="Times New Roman"/>
          <w:sz w:val="18"/>
          <w:szCs w:val="18"/>
          <w:color w:val="auto"/>
        </w:rPr>
        <w:t>Revenue of $5.83 billion for Q3 2026 increased 83% compared to Q3 2025. Revenue of $14.58 billion for YTD 2026 increased 67% compared to YTD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color w:val="auto"/>
        </w:rPr>
        <w:t>The following table sets forth segment revenue information (in millions, except percentages) for the periods indicated: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80" w:type="dxa"/>
            <w:vAlign w:val="bottom"/>
            <w:tcBorders>
              <w:bottom w:val="single" w:sz="8" w:color="auto"/>
            </w:tcBorders>
          </w:tcPr>
          <w:p>
            <w:pPr>
              <w:spacing w:after="0"/>
              <w:rPr>
                <w:sz w:val="20"/>
                <w:szCs w:val="20"/>
                <w:color w:val="auto"/>
              </w:rPr>
            </w:pPr>
          </w:p>
        </w:tc>
      </w:tr>
      <w:tr>
        <w:trPr>
          <w:trHeight w:val="223"/>
        </w:trPr>
        <w:tc>
          <w:tcPr>
            <w:tcW w:w="2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04"/>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color w:val="auto"/>
              </w:rPr>
              <w:t>% of total</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 of total</w:t>
            </w:r>
          </w:p>
        </w:tc>
      </w:tr>
      <w:tr>
        <w:trPr>
          <w:trHeight w:val="21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CCS segment revenue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Networking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1,942.9</w:t>
            </w: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5,011.8</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Compute &amp; Storage</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8"/>
        </w:trPr>
        <w:tc>
          <w:tcPr>
            <w:tcW w:w="28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6,328.7</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33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ATS segment revenue</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108"/>
        </w:trPr>
        <w:tc>
          <w:tcPr>
            <w:tcW w:w="2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5,829.7</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8,736.0</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CCS segment revenue increased $2,459.3 million (102%) in Q3 2026 compared to Q3 2025 and increased $5,594.9 million (88%) in YTD 2026 compared to YTD 2025. Networking end market revenue increased $1,320.3 million (68%) in Q3 2026 compared to Q3 2025 and increased $3,315.2 million (66%) in YTD 2026 compared to YTD 2025, driven by data center networking demand, including the continued growth of our switch programs. HPS revenue for Q3 2026 increased 70% to approximately $2.3 billion compared to Q3 2025, and accounted for 40% of our total Q3 2026 revenue (Q3 2025 — 44% of our total Q3 2025 revenue). Our HPS revenue for YTD 2026 increased 64% to approximately $5.9 billion compared to YTD 2025, and accounted for 41% of our total YTD 2026 revenue (YTD 2025 — 42% of our total YTD 2025 revenue). HPS revenue growth was driven by program ramps across multiple hyperscaler customers. Compute &amp; Storage end market revenue increased $1,139.0 million (242%) in Q3 2026 compared to Q3 2025 and increased $2,279.7 million (173%) in YTD 2026 compared to YTD 2025, driven by the continued growth in hyperscaler AI compute volumes and strength in our storage programs.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ATS segment revenue increased $176.4 million (23%) in Q3 2026 compared to Q3 2025, and increased $244.4 million (10%) in YTD 2026 compared to YTD 2025, primarily due to acceleration in our Capital Equipment business, as well as increased demand in each of our other businesses.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depend on a small number of customers for a substantial portion of our revenue. In the aggregate, our top 10 customers represented 85% of total revenue for Q3 2026 and 84% of total revenue for YTD 2026 (Q3 2025 — 80%; YTD 2025 — 79%). Three customers (all in our CCS segment) individually represented 10% or more of total revenue in Q3 2026 (35%, 17% and 14%) and YTD 2026 (34%, 16% and 15%). Three customers (all in our CCS segment) individually represented 10% or more of total revenue in Q3 2025 (30%, 15% and 14%) and in YTD 2025 (30%, 14% and 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gross profit and gross margin (gross profit as a percentage of total revenue) for the periods indicated: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3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29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(in millions)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640.8</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1,061.0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Gross profit increased by 54% or $224.7 million to $640.8 million in Q3 2026 compared to Q3 2025 and increased by 56% or $594.5 million to $1,655.5 million in YTD 2026 compared to YTD 2025, primarily driven by our strong revenue growth. Gross margin decreased to 11.0% in Q3 2026 from 13.0% in Q3 2025 and decreased to 11.4% in YTD 2026 from 12.1% in YTD 2025. Both gross profit and gross margin were negatively impacted by the unfavorable changes in the fair value adjustments (TRS FVAs) related to our total return swap agreement (TRS Agreement) recorded in cost of sales ($0.9 million loss in Q3 2026 compared to $48.5 million gain in Q3 2025; $40.0 million gain in YTD 2026 compared to $81.6 million gain in YTD 2025), as well as mix dynamics in our CCS business.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 for a description of our TRS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SG&amp;A for Q3 2026 of $118.2 million (2.0% of total revenue) increased $79.8 million compared to $38.4 million (1.2% of total revenue) for Q3 2025. SG&amp;A for YTD 2026 of $293.7 million (2.0% of total revenue) increased $103.9 million compared to $189.8 million (2.2% of total revenue) for YTD 2025. The increases in SG&amp;A in Q3 2026 and YTD 2026 compared to the respective prior year periods were primarily due to unfavorable changes in TRS FVAs ($3.0 million loss in Q3 2026 compared to $64.8 million gain in Q3 2025; $43.2 million gain in YTD 2026 compared to $110.0 million gain in YTD 2025), as well as higher variable compensation and variable spend.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 and margin:</w:t>
      </w:r>
    </w:p>
    <w:p>
      <w:pPr>
        <w:spacing w:after="0" w:line="254"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color w:val="auto"/>
        </w:rPr>
        <w:t>Segment performance is evaluated based on segment revenue (set forth above), segment income, and segment margin (segment income as a percentage of segment revenue). See "Summary of Q3 2026 and Year-to-Date Period" above for a table showing segment income and segment margin for Q3 2026, YTD 2026 and the respective prior year periods. See the reconciliation of segment income to our earnings before income taxes for Q3 2026, YTD 2026 and the respective prior year periods in note 3 to the Q3 2026 Interim Financial Statements.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CCS segment income increased $233.8 million (117%) in Q3 2026 compared to Q3 2025 and increased $522.6 million (101%) in YTD 2026 compared to YTD 2025, driven by the revenue growth described above. CCS segment margin increased to 8.9% in Q3 2026 from 8.3% in Q3 2025 and increased to 8.7% in YTD 2026 from 8.2% in YTD 2025, driven by improved operating leverage.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ATS segment income increased $20.1 million (47%) in Q3 2026 compared to Q3 2025 and increased $40.3 million (32%) in YTD 2026 compared to YTD 2025, driven by the revenue growth described above. ATS segment margin increased to 6.6% in Q3 2026 from 5.5% in Q3 2025 and increased to 6.3% in YTD 2026 from 5.3% in YTD 2025, primarily due to improved mix and operating leverage.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SBC expense and TRS FVAs:</w:t>
      </w:r>
    </w:p>
    <w:p>
      <w:pPr>
        <w:spacing w:after="0" w:line="25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entered into the TRS Agreement to manage cash flow requirements and exposure to fluctuations in the share price of our Common Shares in connection with the settlement of certain outstanding equity awards under our SBC plans.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 for further detail.</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grant restricted share units (RSUs) and performance share units (PSUs), and from time to time grant stock options, to employees. Directors may receive compensation in director share units or deferred share units (collectively, "DSUs"), RSUs, Director RSUs (D-RSUs), or cash. The following table shows employee SBC expense, TRS FVAs, and director SBC expense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9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7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Employee SBC expense in cost of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Employee SBC expense in SG&amp;A</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 SBC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3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TRS FVAs: losses (gains) in cost of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TRS FVAs: losses (gains) in SG&amp;A</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TRS FVAs: losses (gains)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103"/>
        </w:trPr>
        <w:tc>
          <w:tcPr>
            <w:tcW w:w="5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Combined effect of employee SBC expense and TRS FVAs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SBC expense in SG&amp;A</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5400" w:type="dxa"/>
            <w:vAlign w:val="bottom"/>
            <w:vMerge w:val="continue"/>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consists of director compensation to be settled with Common Shares, or Common Shares and cash.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charges (recoveries):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perform ongoing evaluations of our business, operational efficiency and cost structure, and implement restructuring actions as we deem necessary. Our restructuring activities consist primarily of actions to adjust our cost base to address reduced levels of demand in certain of our businesses and geographies.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restructuring charges of $0.9 million in Q3 2026 and $6.0 million in YTD 2026 (Q3 2025 — $3.9 million; YTD 2025 — $18.9 million). In Q3 2026, YTD 2026 and the respective prior year periods, our restructuring charges consisted primarily of cash charges related to employee terminations. Restructuring charges in Q3 2025 and YTD 2025 also included accelerated depreciation of equipment related to disengaging programs. At September 30, 2026, our restructuring provision of $3.2 million (December 31, 2025 — $4.4 million) was recorded in accrued and other current liabilities and provisions on our consolidated balance sheets, which we intend to fund with cash on hand.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11 to the Q3 2026 Interim Financial Statements for details of other costs and recoveries included in the restructuring and other charges (recoveries) recorded in our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254" w:lineRule="exact"/>
        <w:rPr>
          <w:sz w:val="20"/>
          <w:szCs w:val="20"/>
          <w:color w:val="auto"/>
        </w:rPr>
      </w:pPr>
    </w:p>
    <w:p>
      <w:pPr>
        <w:jc w:val="both"/>
        <w:ind w:firstLine="260"/>
        <w:spacing w:after="0" w:line="254" w:lineRule="auto"/>
        <w:rPr>
          <w:sz w:val="20"/>
          <w:szCs w:val="20"/>
          <w:color w:val="auto"/>
        </w:rPr>
      </w:pPr>
      <w:r>
        <w:rPr>
          <w:rFonts w:ascii="Times New Roman" w:cs="Times New Roman" w:eastAsia="Times New Roman" w:hAnsi="Times New Roman"/>
          <w:sz w:val="18"/>
          <w:szCs w:val="18"/>
          <w:color w:val="auto"/>
        </w:rPr>
        <w:t>Finance costs consist of interest expense and fees related to our credit facility (including debt issuance and related amortization costs), interest rate swaps, TRS Agreement, A/R sales program, customer SFPs, and finance lease obligations. We incurred finance costs of $24.1 million in Q3 2026 and $63.3 million in YTD 2026 (Q3 2025 — $13.8 million; YTD 2025 — $43.2 million). This primarily included credit facility interest (including interest rate swap impacts) of $12.6 million and $35.2 million in Q3 2026 and YTD 2026, respectively (Q3 2025 — $10.5 million; YTD 2025 — $34.8 million); TRS interest costs of $5.1 million and $15.1 million in Q3 2026 and YTD 2026, respectively (Q3 2025 — $1.8 million; YTD 2025 — $4.1 million); and A/R sales program and customer SFP discount charges of $4.2 million and $7.7 million in Q3 2026 and YTD 2026, respectively (Q3 2025 — nil; YTD 2025 — $0.1 million). The increase in discount charges was driven by higher volumes of A/R sold in Q3 2026 and YTD 2026. See "Liquidity and Capital Resources" below for further descriptions of these programs.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earn interest income primarily from cash and short-term deposits maintained with major financial institutions. We recorded interest income of $19.7 million in Q3 2026 and $25.5 million in YTD 2026 (Q3 2025 — $1.0 million; YTD 2025 — $3.2 million). The increases of interest income in Q3 2026 and YTD 2026 from the respective prior year periods were primarily driven by higher cash and cash equivalent balances, resulting from the Public Offering (see "Recent Developments —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and tax contingencies</w:t>
      </w:r>
      <w:r>
        <w:rPr>
          <w:rFonts w:ascii="Times New Roman" w:cs="Times New Roman" w:eastAsia="Times New Roman" w:hAnsi="Times New Roman"/>
          <w:sz w:val="18"/>
          <w:szCs w:val="18"/>
          <w:b w:val="1"/>
          <w:bCs w:val="1"/>
          <w:i w:val="1"/>
          <w:iCs w:val="1"/>
          <w:color w:val="auto"/>
        </w:rPr>
        <w: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Q3 2026, we had a net income tax expense of $58.6 million on earnings before tax of $455.8 million, compared to a net income tax expense of $43.1 million on earnings before tax of $310.9 million for Q3 2025. For YTD 2026, we had a net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of $175.4 million on earnings before tax of $1,153.7 million, compared to a net income tax expense of $116.9 million on earnings before tax of $681.9 million for YTD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Q3 2026 and YTD 2026 net income tax expenses included $8.4 million of discrete tax benefit related to the acceptance of certain subsidiaries into a bilateral advance pricing arrangement for the 2025 to 2029 fiscal years, offset in part by a $3.8 million tax expense for tax uncertainties relating to another of our subsidiaries. Our YTD 2026 net income tax expense also included $16.2 million of income taxes related to Pillar Two global minimum tax legislation (GMT).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Q3 2025 and YTD 2025 net income tax expenses included $13.3 million and $27.2 million, respectively, of income taxes related to GMT.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countries in which we do business grant tax incentives to attract and retain our business. Our tax expense could increase if certain tax incentives from which we benefit are retracted or exhausted.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been granted certain income tax incentives in Thailand, including tax holidays, that will expire in whole or in part at various dates during 2027 through 2029, unless extended or otherwise renegotiated. These tax exemptions are subject to certain conditions with which we intend to comply.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as well as withholding and indirect taxes. Any such increase in our income tax expense and related interest and/or penalties could have a significant adverse impact on our future earnings and future cash flows.</w:t>
      </w:r>
    </w:p>
    <w:p>
      <w:pPr>
        <w:spacing w:after="0" w:line="214" w:lineRule="exact"/>
        <w:rPr>
          <w:sz w:val="20"/>
          <w:szCs w:val="20"/>
          <w:color w:val="auto"/>
        </w:rPr>
      </w:pPr>
    </w:p>
    <w:p>
      <w:pPr>
        <w:jc w:val="both"/>
        <w:ind w:firstLine="214"/>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$7 million at Q3 2026 period-end exchange rates), for additional income and value-added taxes for our Romanian subsidiary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continue to vigorously defend our position through all necessary appeals or other judicial processes.</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under examination by the Thailand tax authorities for tax years 2019 and 2020. The examination may lead to adjustments to our taxes with respect to the years under examination as well as other subsequent periods.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2024, the Thailand tax authorities issued an assessment letter seeking to impose additional value-added taxes and surcharges in the aggregate amount of approximately 403 million Thai baht (approximately $12 million at Q3 2026 period-end exchange rates) for our Thailand subsidiary for the 2019 tax year. We believe that our original positions with respect to the value-added taxes are in compliance with applicable Thailand tax laws and regulations, and continue to vigorously defend our position through all necessary appeals or other judicial processes. A bank guarantee has been issued for the maximum potential liability.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major tax jurisdictions, we may be subject to income tax examinations for tax years from 2018 to present.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successful pursuit of assertions made by any government authority, including tax authorities, could result in our owing significant amounts of tax or other reimbursements, interest and possibly penalties. We believe that adequate amounts have been accrued in accordance with GAAP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any adjustments to the income tax expense or other tax items that may ultimately result from these examinations. However, there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Net earnings:</w:t>
      </w:r>
    </w:p>
    <w:p>
      <w:pPr>
        <w:spacing w:after="0" w:line="254"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Net earnings for Q3 2026 of $397.2 million increased $129.4 million compared to Q3 2025, primarily due to $224.7 million in higher gross profit and $18.7 million in higher interest income (see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above), partially offset by $79.8 million in higher SG&amp;A expense, $15.5 million in higher income tax expense, and $14.8 million in higher R&amp;D expenses. Net earnings for YTD 2026 of $978.3 million increased $413.3 million compared to YTD 2025, primarily due to $594.5 million in higher gross profit, partially offset by $103.9 million in higher SG&amp;A expense, $58.5 million in higher income tax expense, and $50.7 million in higher R&amp;D. See "</w:t>
      </w: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above for description of changes in our gross profit and SG&amp;A, respectively, in Q3 2026 and YTD 2026 compared to the respective prior year periods. Higher R&amp;D expenses in Q3 2026 and YTD 2026 were to support the growth of our HPS business. Increases in income tax expenses in Q3 2026 and YTD 2026 compared to respective prior year periods were driven by higher earnings before income taxes in Q3 2026 and YTD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set forth key liquidity metrics for the periods indicated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358"/>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 Excludes ordinary course L/Cs.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2"/>
        </w:trPr>
        <w:tc>
          <w:tcPr>
            <w:tcW w:w="52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5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6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33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non-cash working capital items (included in operating</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above):</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 accrued and other current liabilities, provisions and income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changes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YTD 2026, we generated $1,156.9 million of net cash from operating activities, primarily due to net earnings of $978.3 million, favorable changes in working capital of $133.6 million and non-cash expenses added back to net earnings, partially offset by non-cash recoveries (including favorable TRS FVAs of $83.2 million). Our favorable working capital changes in YTD 2026 were primarily driven by an increase in A/P balances in YTD 2026, largely offset by the increases in A/R and inventory balances in YTD 2026. A/P balances increased in YTD 2026 primarily due to our business growth, as well as timing of payments and purchases. A/R balances increased in YTD 2026 primarily due to timing and volume of revenue and collections. Inventory balances increased in YTD 2026, to support the increase in our customer demand and our anticipated revenue growth. Net cash provided by operating activities for YTD 2026 increased $748.0 million compared to YTD 2025, primarily driven by an increase in cash earnings and the favorable changes in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Non-GAAP free cash flow:</w:t>
      </w:r>
    </w:p>
    <w:p>
      <w:pPr>
        <w:spacing w:after="0" w:line="254" w:lineRule="exact"/>
        <w:rPr>
          <w:sz w:val="20"/>
          <w:szCs w:val="20"/>
          <w:color w:val="auto"/>
        </w:rPr>
      </w:pPr>
    </w:p>
    <w:p>
      <w:pPr>
        <w:jc w:val="both"/>
        <w:ind w:firstLine="195"/>
        <w:spacing w:after="0" w:line="256" w:lineRule="auto"/>
        <w:rPr>
          <w:sz w:val="20"/>
          <w:szCs w:val="20"/>
          <w:color w:val="auto"/>
        </w:rPr>
      </w:pPr>
      <w:r>
        <w:rPr>
          <w:rFonts w:ascii="Times New Roman" w:cs="Times New Roman" w:eastAsia="Times New Roman" w:hAnsi="Times New Roman"/>
          <w:sz w:val="18"/>
          <w:szCs w:val="18"/>
          <w:color w:val="auto"/>
        </w:rPr>
        <w:t>Non-GAAP free cash flow is a non-GAAP financial measure without a standardized meaning and may not be comparable to similar measures presented by other companies. We define non-GAAP free cash flow as cash provided by or used in operations less the purchase of property, plant and equipment (net of proceeds from the sale of certain surplus assets, when applicable). Non-GAAP free cash flow does not represent residual cash flow available to Celestica for discretionary expenditures. Management uses non-GAAP free cash flow as a measure, in addition to GAAP cash provided by or used in operations (described above), to assess our operational cash flow performance. We believe non-GAAP free cash flow provides another level of transparency to our ability to generate cash from normal business operations.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reconciliation of non-GAAP free cash flow to cash provided by operating activities measured under GAAP is set forth below (in millions):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2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8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GAAP cash provided by operations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408.9</w:t>
            </w:r>
          </w:p>
        </w:tc>
      </w:tr>
      <w:tr>
        <w:trPr>
          <w:trHeight w:val="26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net of sales proceeds</w:t>
            </w:r>
          </w:p>
        </w:tc>
        <w:tc>
          <w:tcPr>
            <w:tcW w:w="9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(106.5)</w:t>
            </w: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Non-GAAP free cash flow</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302.4</w:t>
            </w:r>
          </w:p>
        </w:tc>
      </w:tr>
      <w:tr>
        <w:trPr>
          <w:trHeight w:val="21"/>
        </w:trPr>
        <w:tc>
          <w:tcPr>
            <w:tcW w:w="4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non-GAAP free cash flow of $412.5 million for YTD 2026 increased $110.1 million compared to YTD 2025, primarily due to $748.0 million in higher cash generated from operations (as described above), partially offset by $637.9 million in higher purchases of property, plant and equipment (see "</w:t>
      </w: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 below), net of sales proceeds.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a net use of cash in 2027 driven by higher working capital requirements and capital expenditures to support our business growth. See "Capital Expenditures"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for YTD 2026 were $767.4 million (YTD 2025 — $106.5 million). Our capital expenditures for YTD 2026 were primarily to support revenue growth in our CCS business and expand our manufacturing facilities in various geographies (including our Thailand and U.S. facilities).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and used in financing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repurchases: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"Summary of Q3 2026 and Year-to-Date Period" above for a table detailing Common Share repurchases for the periods indicated.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from issuance of capital stock under Public Offering:</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August 7, 2026, we completed the Public Offering and issued an aggregate of 11,129,031 Common Shares at a price of $310 per share. In connection with the Public Offering, we received proceeds of $3,391.3 million, net of underwriting discounts and offering expenses of $58.7 million. We expect to use the net proceeds from this Public Offering for working capital and to support investments in capital expenditures, in addition to other general corporate purposes. See "Recent Developments —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of finance leases: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YTD 2026, we paid $7.3 million (YTD 2025 — $7.6 million) in principal payment of finance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TRS re-strike transaction:</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value of the TRS Agreement is determined by comparing the market price of our Common Shares to the fixed price paid by the counterparty for such shares (Strike Price). In each of December 2025 and March 2025, we re-struck our TRS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Agreement at a Strike Price of $288.87 per share and $91.58 per share, respectively, and received $246.6 million and $98.6 million from the counterparty, respectively, each of which was recorded in cash provided by financing activities in our consolidated statements of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SBC cash settlements: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YTD 2026, we made a cash payment of $373.6 million for withholding taxes in connection with the SBC awards that vested during such period (YTD 2025 — $156.0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and finance costs: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lenders party thereto, which, as amended in April 2026 (April 2026 Amendment), includes a term loan in the original principal amount of $250.0 million (Term A Loan), a term loan in the original principal amount of $500.0 million (Term B Loan), and a $1,750.0 million revolving credit facility (Revolver). Prior to the April 2026 Amendment, the Credit Facility included a term loan in the original principal amount of $250.0 million (Refinanced Term A Loan), the Term B Loan, and commitments of $750.0 million under the Revolver. The Refinanced Term A Loan was fully repaid at closing of the April 2026 Amendment, using a substantial portion of the proceeds of the Term A Loan. Notwithstanding the repayment of the Refinanced Term A Loan in full and its replacement with the Term A Loan, for accounting purposes, this transaction was treated as a non-substantial modification of the Refinanced Term A Loan. Term A Loan (or its predecessor term loan, the Refinanced Term A Loan) and the Term B Loan are referred to as the "Term Loans."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A Loan and the Revolver each mature in April 2031. The Term B Loan matures in June 2031. The Term A Loan requires quarterly principal repayments of $3.125 million. The Term B Loan requires quarterly principal repayments of $1.250 million. Both Term Loans require a lump sum repayment of the remainder outstanding at maturity.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8 to the Q3 2026 Interim Financial Statements for a description of additional terms of the Credit Facility under the April 2026 Amendment. See note 11 to the 2025 AFS for a description of the Credit Facility terms prior to the April 2026 Amendment.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Activity under our Credit Facility during YTD 2026 is set forth below (in millions):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7"/>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Revolver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65"/>
        </w:trPr>
        <w:tc>
          <w:tcPr>
            <w:tcW w:w="7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(Excluding L/C)</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Term Loans</w:t>
            </w:r>
          </w:p>
        </w:tc>
        <w:tc>
          <w:tcPr>
            <w:tcW w:w="360" w:type="dxa"/>
            <w:vAlign w:val="bottom"/>
          </w:tcPr>
          <w:p>
            <w:pPr>
              <w:spacing w:after="0"/>
              <w:rPr>
                <w:sz w:val="23"/>
                <w:szCs w:val="23"/>
                <w:color w:val="auto"/>
              </w:rPr>
            </w:pPr>
          </w:p>
        </w:tc>
      </w:tr>
      <w:tr>
        <w:trPr>
          <w:trHeight w:val="21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360" w:type="dxa"/>
            <w:vAlign w:val="bottom"/>
            <w:tcBorders>
              <w:top w:val="single" w:sz="8" w:color="auto"/>
            </w:tcBorders>
          </w:tcPr>
          <w:p>
            <w:pPr>
              <w:spacing w:after="0"/>
              <w:rPr>
                <w:sz w:val="18"/>
                <w:szCs w:val="18"/>
                <w:color w:val="auto"/>
              </w:rPr>
            </w:pPr>
          </w:p>
        </w:tc>
      </w:tr>
      <w:tr>
        <w:trPr>
          <w:trHeight w:val="199"/>
        </w:trPr>
        <w:tc>
          <w:tcPr>
            <w:tcW w:w="76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Amount borrowed in Q1 2026</w:t>
            </w:r>
          </w:p>
        </w:tc>
        <w:tc>
          <w:tcPr>
            <w:tcW w:w="180" w:type="dxa"/>
            <w:vAlign w:val="bottom"/>
          </w:tcPr>
          <w:p>
            <w:pPr>
              <w:spacing w:after="0"/>
              <w:rPr>
                <w:sz w:val="17"/>
                <w:szCs w:val="17"/>
                <w:color w:val="auto"/>
              </w:rPr>
            </w:pPr>
          </w:p>
        </w:tc>
        <w:tc>
          <w:tcPr>
            <w:tcW w:w="1540" w:type="dxa"/>
            <w:vAlign w:val="bottom"/>
          </w:tcPr>
          <w:p>
            <w:pPr>
              <w:jc w:val="right"/>
              <w:ind w:right="310"/>
              <w:spacing w:after="0" w:line="199" w:lineRule="exact"/>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2026</w:t>
            </w:r>
          </w:p>
        </w:tc>
        <w:tc>
          <w:tcPr>
            <w:tcW w:w="18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(1)</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2026</w:t>
            </w:r>
          </w:p>
        </w:tc>
        <w:tc>
          <w:tcPr>
            <w:tcW w:w="18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(2)</w:t>
            </w:r>
          </w:p>
        </w:tc>
      </w:tr>
      <w:tr>
        <w:trPr>
          <w:trHeight w:val="26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2026</w:t>
            </w:r>
          </w:p>
        </w:tc>
        <w:tc>
          <w:tcPr>
            <w:tcW w:w="180" w:type="dxa"/>
            <w:vAlign w:val="bottom"/>
          </w:tcPr>
          <w:p>
            <w:pPr>
              <w:spacing w:after="0"/>
              <w:rPr>
                <w:sz w:val="22"/>
                <w:szCs w:val="22"/>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122"/>
              <w:spacing w:after="0" w:line="259" w:lineRule="exact"/>
              <w:rPr>
                <w:sz w:val="20"/>
                <w:szCs w:val="20"/>
                <w:color w:val="auto"/>
              </w:rPr>
            </w:pPr>
            <w:r>
              <w:rPr>
                <w:rFonts w:ascii="Times New Roman" w:cs="Times New Roman" w:eastAsia="Times New Roman" w:hAnsi="Times New Roman"/>
                <w:sz w:val="18"/>
                <w:szCs w:val="18"/>
                <w:color w:val="auto"/>
              </w:rPr>
              <w:t xml:space="preserve">(229.3) </w:t>
            </w:r>
            <w:r>
              <w:rPr>
                <w:rFonts w:ascii="Times New Roman" w:cs="Times New Roman" w:eastAsia="Times New Roman" w:hAnsi="Times New Roman"/>
                <w:sz w:val="23"/>
                <w:szCs w:val="23"/>
                <w:color w:val="auto"/>
                <w:vertAlign w:val="superscript"/>
              </w:rPr>
              <w:t>(3)</w:t>
            </w:r>
          </w:p>
        </w:tc>
      </w:tr>
      <w:tr>
        <w:trPr>
          <w:trHeight w:val="199"/>
        </w:trPr>
        <w:tc>
          <w:tcPr>
            <w:tcW w:w="76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Amount borrowed in Q3 2026</w:t>
            </w:r>
          </w:p>
        </w:tc>
        <w:tc>
          <w:tcPr>
            <w:tcW w:w="180" w:type="dxa"/>
            <w:vAlign w:val="bottom"/>
          </w:tcPr>
          <w:p>
            <w:pPr>
              <w:spacing w:after="0"/>
              <w:rPr>
                <w:sz w:val="17"/>
                <w:szCs w:val="17"/>
                <w:color w:val="auto"/>
              </w:rPr>
            </w:pPr>
          </w:p>
        </w:tc>
        <w:tc>
          <w:tcPr>
            <w:tcW w:w="1540" w:type="dxa"/>
            <w:vAlign w:val="bottom"/>
          </w:tcPr>
          <w:p>
            <w:pPr>
              <w:jc w:val="right"/>
              <w:ind w:right="310"/>
              <w:spacing w:after="0" w:line="199" w:lineRule="exact"/>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r>
      <w:tr>
        <w:trPr>
          <w:trHeight w:val="265"/>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2026</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(1)</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360" w:type="dxa"/>
            <w:vAlign w:val="bottom"/>
            <w:tcBorders>
              <w:bottom w:val="single" w:sz="8" w:color="auto"/>
            </w:tcBorders>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scheduled quarterly principal repayments under the Term Loans.</w:t>
      </w:r>
    </w:p>
    <w:p>
      <w:pPr>
        <w:spacing w:after="0" w:line="37" w:lineRule="exact"/>
        <w:rPr>
          <w:rFonts w:ascii="Times New Roman" w:cs="Times New Roman" w:eastAsia="Times New Roman" w:hAnsi="Times New Roman"/>
          <w:sz w:val="21"/>
          <w:szCs w:val="21"/>
          <w:color w:val="auto"/>
          <w:vertAlign w:val="superscript"/>
        </w:rPr>
      </w:pPr>
    </w:p>
    <w:p>
      <w:pPr>
        <w:ind w:left="300" w:hanging="292"/>
        <w:spacing w:after="0" w:line="191" w:lineRule="auto"/>
        <w:tabs>
          <w:tab w:leader="none" w:pos="30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borrowings under the Term A Loan.</w:t>
      </w:r>
    </w:p>
    <w:p>
      <w:pPr>
        <w:spacing w:after="0" w:line="37" w:lineRule="exact"/>
        <w:rPr>
          <w:rFonts w:ascii="Times New Roman" w:cs="Times New Roman" w:eastAsia="Times New Roman" w:hAnsi="Times New Roman"/>
          <w:sz w:val="21"/>
          <w:szCs w:val="21"/>
          <w:color w:val="auto"/>
          <w:vertAlign w:val="superscript"/>
        </w:rPr>
      </w:pPr>
    </w:p>
    <w:p>
      <w:pPr>
        <w:ind w:left="300" w:hanging="292"/>
        <w:spacing w:after="0" w:line="191" w:lineRule="auto"/>
        <w:tabs>
          <w:tab w:leader="none" w:pos="30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repayment and termination of the Refinanced Term A Loan and the scheduled quarterly principal repayment under the Term B Loan.</w:t>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we paid under the Credit Facility (included in "net cash provided by operating activities"), including the impact of our interest rate swap agreements (described in "Capital Resources" below), was $32.8 million in YTD 2026 (YTD 2025 — $33.4 million). Interest rates for outstanding borrowings under the Credit Facility at September 30, 2026 are described under "Capital Resources" below. Any increase in prevailing interest rates, margins, or amounts borrowed, would cause our interest expense to increase. Under the Credit Facility, we are required to pay a commitment fee on the unused portion of the Revolver. Commitment fees paid in YTD 2026 were $3.0 million (YTD 2025 — $2.3 million). During YTD 2026, we paid $6.4 million in debt issuance costs related to the April 2026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YTD 2026, we paid $10.8 million (YTD 2025 — $2.6 million) in interest costs under our TRS Agreement (included in "net cash provided by operating activities").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above for a description of finance costs incurred in Q3 2026, YTD 2026 and the respective prior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 sales program and customer SFPs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party to an agreement with a bank to sell up to $1,000.0 million (as amended in September 2026 to increase the previous limit of $450.0 million)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also participate in SFPs with certain customers in our ATS segment, pursuant to which we sell A/R from the relevant customer to banks on an uncommitted basis to receive earlier payment. The SFPs have indefinite terms and may be terminated at any time by the customer or by us upon specified prior notice. A/R are sold under these arrangements net of discount charges.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During Q3 2026 and YTD 2026, we sold A/R aggregating $1,297.5 million and $2,176.9 million, respectively, under our A/R sales program and customer SFPs (Q3 2025 — $11.3 million; YTD 2025 — $22.1 million). 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above for detail of discount charges we incurred under the A/R sales program and customer SFPs. Proceeds from sold A/R, net of discount charges, were included in "net cash provided by operating activities". At September 30, 2026, $700.8 million of sold A/R under our A/R sales program remained outstanding (December 31, 2025 — nil). We vary the amounts we offer to sell under our A/R sales program and customer SFPs depending on our short-term ordinary course cash requirements.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"Net proceeds from issuance of capital stock under Public Offering" above for a description of the Public Offering and related underwriting discounts and offering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As a result, we make intra-quarter borrowings and repayments under the Revolver (Intra-Quarter B/Rs) (see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we made in YTD 2026), sell A/R through our A/R sales program, and/or participate in available customer SFPs when deemed necessary or desirable to effectively manage our short-term liquidity and working capital requirements. The timing and the amounts we borrow or repay under these facilities can vary significantly from month-to-month depending upon our cash requirements.</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believe that cash flow from operating activities, together with cash on hand (including the net proceeds we received from issuance of capital stock under the Public Offering), availability under the Revolver ($1,739.3 million at September 30, 2026), potential availability under uncommitted intraday and overnight bank overdraft facilities, and cash from accepted sales of A/R, will be sufficient to fund our anticipated working capital needs, planned capital spending, contractual obligations and other cash requirements (including any required SBC share repurchases and SBC cash settlements, debt repayments and finance costs). See "Capital Resources" below. Notwithstanding the foregoing, although we anticipate that we will be able to repay or refinance outstanding obligations under our Credit Facility when they mature, there can be no assurance we will be able to do so, or that the terms of any refinancing will be favorable. In addition, we may require additional capital in the future to fund capital expenditures, acquisitions, strategic transactions or other investments. We will continue to assess our liquidity position and potential sources of supplemental liquidity in view of our objectives, operating performance, economic and capital market conditions and other relevant circumstances. Our operating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 may also be affected by matters discussed under Item 1A, Risk Factors of our 2025 10-K. These risks and uncertainties may adversely affect our long-term liquidity.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set forth under "Contractual Obligations" and "Additional Commitments" of the "Liquidity" section of Item 7, MD&amp;A of our 2025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w:t>
      </w:r>
    </w:p>
    <w:p>
      <w:pPr>
        <w:spacing w:after="0" w:line="250" w:lineRule="exact"/>
        <w:rPr>
          <w:sz w:val="20"/>
          <w:szCs w:val="20"/>
          <w:color w:val="auto"/>
        </w:rPr>
      </w:pPr>
    </w:p>
    <w:p>
      <w:pPr>
        <w:jc w:val="both"/>
        <w:ind w:firstLine="229"/>
        <w:spacing w:after="0" w:line="267" w:lineRule="auto"/>
        <w:rPr>
          <w:sz w:val="20"/>
          <w:szCs w:val="20"/>
          <w:color w:val="auto"/>
        </w:rPr>
      </w:pPr>
      <w:r>
        <w:rPr>
          <w:rFonts w:ascii="Times New Roman" w:cs="Times New Roman" w:eastAsia="Times New Roman" w:hAnsi="Times New Roman"/>
          <w:sz w:val="18"/>
          <w:szCs w:val="18"/>
          <w:color w:val="auto"/>
        </w:rPr>
        <w:t xml:space="preserve">See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interest and commitment fees paid under our Credit Facility in YTD 2026. Annual interest expense and fees under the Credit Facility, including the impact of our interest rate swap agreements, based on amounts and swap agreements outstanding at September 30, 2026 are approximately $47 million. We expect to fund our finance costs with cash on hand.</w:t>
      </w:r>
    </w:p>
    <w:p>
      <w:pPr>
        <w:spacing w:after="0" w:line="202" w:lineRule="exact"/>
        <w:rPr>
          <w:sz w:val="20"/>
          <w:szCs w:val="20"/>
          <w:color w:val="auto"/>
        </w:rPr>
      </w:pPr>
    </w:p>
    <w:p>
      <w:pPr>
        <w:jc w:val="both"/>
        <w:ind w:firstLine="221"/>
        <w:spacing w:after="0" w:line="258" w:lineRule="auto"/>
        <w:rPr>
          <w:sz w:val="20"/>
          <w:szCs w:val="20"/>
          <w:color w:val="auto"/>
        </w:rPr>
      </w:pPr>
      <w:r>
        <w:rPr>
          <w:rFonts w:ascii="Times New Roman" w:cs="Times New Roman" w:eastAsia="Times New Roman" w:hAnsi="Times New Roman"/>
          <w:sz w:val="18"/>
          <w:szCs w:val="18"/>
          <w:color w:val="auto"/>
        </w:rPr>
        <w:t xml:space="preserve">We do not believe that the aggregate amounts outstanding under our Credit Facility at September 30, 2026 ($735.6 million under the Term Loans and $10.7 million in ordinary course L/Cs), had or will have a material adverse impact on our liquidity, our results of operations or financial condition. In addition, we do not believe that Intra-Quarter B/Rs have had (or future Intra-Quarter B/Rs will have) a material adverse impact on our liquidity, results of operations or financial condition. See "Capital Resources" below for a description of our available sources of liquidity. See the Credit Facility activity table under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during YTD 2026.</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our current outstanding indebtedness and the mandatory repayment provisions of the Credit Facility (described in note 8 to the Q3 2026 Interim Financial Statements) require us to use a portion of our cash flow to service such debt, and may reduce our ability to fund future capital expenditures and/or acquisitions;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219" w:lineRule="exact"/>
        <w:rPr>
          <w:sz w:val="20"/>
          <w:szCs w:val="20"/>
          <w:color w:val="auto"/>
        </w:rPr>
      </w:pPr>
    </w:p>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 xml:space="preserve">The Credit Facility contains restrictive covenants that limit our ability to engage in specified types of transactions, and limit share repurchases for cancellation if our consolidated secured leverage ratio (as defined in such facility) exceeds a specified amount, as well as specified financial covenants (described in "Capital Resources" below). Our A/R sales program requires us to comply with certain covenants, including those relating to the fulfillment of payment obligations and restrictions on the sale, assignment or creation of liens, with respect to A/R sold under this agreement. See "Financing and finance costs — </w:t>
      </w:r>
      <w:r>
        <w:rPr>
          <w:rFonts w:ascii="Times New Roman" w:cs="Times New Roman" w:eastAsia="Times New Roman" w:hAnsi="Times New Roman"/>
          <w:sz w:val="18"/>
          <w:szCs w:val="18"/>
          <w:i w:val="1"/>
          <w:iCs w:val="1"/>
          <w:color w:val="auto"/>
        </w:rPr>
        <w:t>A/R sales program and customer SFPs</w:t>
      </w:r>
      <w:r>
        <w:rPr>
          <w:rFonts w:ascii="Times New Roman" w:cs="Times New Roman" w:eastAsia="Times New Roman" w:hAnsi="Times New Roman"/>
          <w:sz w:val="18"/>
          <w:szCs w:val="18"/>
          <w:color w:val="auto"/>
        </w:rPr>
        <w:t>" above for a description of our A/R sales program and customer SFPs.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are and expect to remain in compliance with our Credit Facility covenants and A/R sales program covenants. However, our ability to maintain compliance with applicable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party to a TRS Agreement with a bank to manage our cash flow requirements and exposure to fluctuations in the price of our Common Shares in connection with the settlement of certain outstanding equity awards under our SBC plans. The value of the TRS Agreement is determined by comparing the market price of our Common Shares to the Strike Price. The counterparty under the TRS Agreement is obligated to make a payment to us upon Settlement based on the increase (if any) in the value of the TRS Agreement over the TRS Agreement’s term, in exchange for periodic payments made by us based on Secured Overnight Financing Rate plus a specified margin applied to the Equity Notional Amount (defined in the TRS Agreement as an amount equal to the product of (i) the number of Common Shares then subject to the TRS Agreement (notional quantity) multiplied by (ii) the Strike Price in effect). Similarly, if the value of the TRS Agreement decreases over the term of the TRS Agreement, we are obligated to pay the counterparty the amount of such decrease upon Settlement. The TRS Agreement does not qualify for hedge accounting.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our TRS Agreement had a notional quantity of 1.25 million Common Shares (December 31, 2025 — 1.25 million Common Shares). The Strike Price of our TRS Agreement in effect at September 30, 2026 was $288.87 per share.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interest payments under the TRS Agreement will vary from period to period and the value of our Common Shares upon further Settlement cannot be ascertained in advance, we cannot determine future interest and/or other payments that may be payable by (or to) us with respect to our TRS Agreement. We expect to fund required payments under our TRS Agreement from cash on hand.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Repatriations: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2026, approximately 37% of our cash and cash equivalents were held by foreign subsidiaries outside of Canada, a lower proportion compared to recent prior periods driven by the cash proceeds received in Canada from the Public Offering. We have repatriated and expect to continue repatriating funds from our foreign subsidiaries. Repatriation of certain foreign funds could result in additional tax liabilities under current tax laws. We have recorded tax liabilities in our consolidated financial statements for the anticipated repatriations in the foreseeable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capital spending varies each period based on, among other things, the timing of new business wins and forecasted sales levels. We continue to anticipate capital spending for 2026 to be approximately $1 billion. For 2027, we expect capital spending to be between $1.5 billion and $2.0 billion.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Repurchases and SBC settlements: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funded and intend to continue to fund our Common Share repurchases (for cancellation under our NCIBs and to satisfy delivery obligations under SBC plans) and SBC cash settlements from cash on hand, borrowings under the Revolver, or a combination thereof. The timing of, and the amounts paid for, such repurchases and settlements can vary from period to period. See "Summary of Q3 2026 and Year-to-Date Period"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Obligations: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we recognized a total of $300.3 million of finance lease and operating lease obligations (December 31, 2025 — $197.2 million). All lease obligations are expected to be funded with cash on hand and through the financing arrangements described below under "Capital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contingencies: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currently pending matters will not have a material adverse impact on our financial performance, financial position or liquidity. See "Operating Results — </w:t>
      </w:r>
      <w:r>
        <w:rPr>
          <w:rFonts w:ascii="Times New Roman" w:cs="Times New Roman" w:eastAsia="Times New Roman" w:hAnsi="Times New Roman"/>
          <w:sz w:val="18"/>
          <w:szCs w:val="18"/>
          <w:i w:val="1"/>
          <w:iCs w:val="1"/>
          <w:color w:val="auto"/>
        </w:rPr>
        <w:t>Income taxes and tax contingencies</w:t>
      </w:r>
      <w:r>
        <w:rPr>
          <w:rFonts w:ascii="Times New Roman" w:cs="Times New Roman" w:eastAsia="Times New Roman" w:hAnsi="Times New Roman"/>
          <w:sz w:val="18"/>
          <w:szCs w:val="18"/>
          <w:color w:val="auto"/>
        </w:rPr>
        <w:t>" above for a description of the ongoing Romanian income and value-added tax matter and Thailand tax matters.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routine indemnifications, the terms of which range in duration and scope, and often are not explicitly defined, including for third-party intellectual property infringement, certain negligence claims, and for our directors and officers.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resources consist of cash provided by operating activities, access to the Revolver, uncommitted intraday and overnight bank overdraft facilities, an uncommitted A/R sales program,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we had cash and cash equivalents of $3,961.3 million (December 31, 2025 — $595.6 million), the majority of which was denominated in U.S. dollars. Our cash and cash equivalents are subject to intra-quarter swings, generally related to the timing of A/R collections, inventory purchases and payments, various capital uses, and debt refinancing or equity issuance.</w:t>
      </w:r>
    </w:p>
    <w:p>
      <w:pPr>
        <w:spacing w:after="0" w:line="203" w:lineRule="exact"/>
        <w:rPr>
          <w:sz w:val="20"/>
          <w:szCs w:val="20"/>
          <w:color w:val="auto"/>
        </w:rPr>
      </w:pPr>
    </w:p>
    <w:p>
      <w:pPr>
        <w:jc w:val="both"/>
        <w:ind w:firstLine="174"/>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2026, an aggregate of $735.6 million was outstanding under the Term Loans, and other than ordinary course L/Cs, no amounts were outstanding under the Revolver (December 31, 2025 — $723.7 million outstanding under our Term Loans, and other than ordinary course L/Cs, no amounts outstanding under the Revolver). See "Liquidity — </w:t>
      </w:r>
      <w:r>
        <w:rPr>
          <w:rFonts w:ascii="Times New Roman" w:cs="Times New Roman" w:eastAsia="Times New Roman" w:hAnsi="Times New Roman"/>
          <w:sz w:val="18"/>
          <w:szCs w:val="18"/>
          <w:i w:val="1"/>
          <w:iCs w:val="1"/>
          <w:color w:val="auto"/>
        </w:rPr>
        <w:t>Cash provided by and used in financing activities</w:t>
      </w:r>
      <w:r>
        <w:rPr>
          <w:rFonts w:ascii="Times New Roman" w:cs="Times New Roman" w:eastAsia="Times New Roman" w:hAnsi="Times New Roman"/>
          <w:sz w:val="18"/>
          <w:szCs w:val="18"/>
          <w:color w:val="auto"/>
        </w:rPr>
        <w:t xml:space="preserve"> — Financing and finance costs" above for a discussion of amounts borrowed and repaid under our Credit Facility during YTD 2026. Except under specified circumstances, and subject to the payment of breakage costs (if any), we are generally permitted to make voluntary prepayments of outstanding amounts under the Revolver and Term Loans without any other premium or penalty. Repaid amounts on the Term Loans may not be re-borrowed. Repaid amounts on the Revolver may be re-borrowed. At September 30, 2026, we had $1,739.3 million available under the Revolver for future borrowings, reflecting outstanding L/Cs issued under the Revolver (December 31, 2025 — $739.2 million of availability).</w:t>
      </w:r>
    </w:p>
    <w:p>
      <w:pPr>
        <w:spacing w:after="0" w:line="192" w:lineRule="exact"/>
        <w:rPr>
          <w:sz w:val="20"/>
          <w:szCs w:val="20"/>
          <w:color w:val="auto"/>
        </w:rPr>
      </w:pPr>
    </w:p>
    <w:p>
      <w:pPr>
        <w:jc w:val="both"/>
        <w:ind w:right="20" w:firstLine="198"/>
        <w:spacing w:after="0" w:line="282" w:lineRule="auto"/>
        <w:rPr>
          <w:sz w:val="20"/>
          <w:szCs w:val="20"/>
          <w:color w:val="auto"/>
        </w:rPr>
      </w:pPr>
      <w:r>
        <w:rPr>
          <w:rFonts w:ascii="Times New Roman" w:cs="Times New Roman" w:eastAsia="Times New Roman" w:hAnsi="Times New Roman"/>
          <w:sz w:val="18"/>
          <w:szCs w:val="18"/>
          <w:color w:val="auto"/>
        </w:rPr>
        <w:t>See note 8 to the Q3 2026 Interim Financial Statements for a description of interest rates, margins and commitment fees applicable to borrowings under the Credit Facility, as well as the sub-limits for swing line loans and letters of credit under the Revolver and the accordion feature.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outstanding amounts under the Term A Loan bore interest at term Secured Overnight Financing Rate (Term SOFR) plus 1.50%; outstanding amounts under the Term B Loan bore interest at Term SOFR plus 1.75%.</w:t>
      </w:r>
    </w:p>
    <w:p>
      <w:pPr>
        <w:spacing w:after="0" w:line="189"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color w:val="auto"/>
        </w:rPr>
        <w:t>In order to partially hedge against our exposure to interest rate variability on our Term Loans, we are party to various agreements with multiple banks to swap the variable interest rate with a fixed rate of interest. At September 30, 2026, associated with the Term A Loan, we had: (i) interest rate swaps with $80.0 million notional amount expiring in June 2027; (ii) interest rate swaps with $40.0 million notional amount expiring in June 2029; and (iii) interest rate swaps with $80.0 million notional amount commencing June 2027 and expiring in June 2029. At September 30, 2026, associated with the Term B Loan, we had: (i) interest rate swaps with $230.0 million notional amount expiring in June 2027; and (ii) interest rate swaps with $230.0 million notional amount commencing in June 2027 and expiring in June 2029. These derivatives when in effective hedge relationships are designated as cash flow hedging instruments.</w:t>
      </w: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the interest rate risk related to $385.6 million of borrowings under the Credit Facility was unhedged (December 31, 2025 — $373.7 million), consisting entirely of unhedged amounts outstanding under the Term Loans.</w:t>
      </w:r>
    </w:p>
    <w:p>
      <w:pPr>
        <w:spacing w:after="0" w:line="189" w:lineRule="exact"/>
        <w:rPr>
          <w:sz w:val="20"/>
          <w:szCs w:val="20"/>
          <w:color w:val="auto"/>
        </w:rPr>
      </w:pPr>
    </w:p>
    <w:p>
      <w:pPr>
        <w:jc w:val="both"/>
        <w:ind w:firstLine="196"/>
        <w:spacing w:after="0" w:line="253" w:lineRule="auto"/>
        <w:rPr>
          <w:sz w:val="20"/>
          <w:szCs w:val="20"/>
          <w:color w:val="auto"/>
        </w:rPr>
      </w:pPr>
      <w:r>
        <w:rPr>
          <w:rFonts w:ascii="Times New Roman" w:cs="Times New Roman" w:eastAsia="Times New Roman" w:hAnsi="Times New Roman"/>
          <w:sz w:val="18"/>
          <w:szCs w:val="18"/>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At September 30, 2026, we were in compliance with all restrictive and financial covenants under the Credit Facility. Our Credit Facility also limits share repurchases for cancellation if our consolidated secured leverage ratio (as defined in such facility) exceeds a specified amount (Repurchase Restriction). The Repurchase Restriction did not prohibit Common Share purchases during Q3 2026 or at September 30, 2026.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221" w:lineRule="exact"/>
        <w:rPr>
          <w:sz w:val="20"/>
          <w:szCs w:val="20"/>
          <w:color w:val="auto"/>
        </w:rPr>
      </w:pPr>
    </w:p>
    <w:p>
      <w:pPr>
        <w:jc w:val="both"/>
        <w:ind w:firstLine="232"/>
        <w:spacing w:after="0" w:line="266" w:lineRule="auto"/>
        <w:rPr>
          <w:sz w:val="20"/>
          <w:szCs w:val="20"/>
          <w:color w:val="auto"/>
        </w:rPr>
      </w:pPr>
      <w:r>
        <w:rPr>
          <w:rFonts w:ascii="Times New Roman" w:cs="Times New Roman" w:eastAsia="Times New Roman" w:hAnsi="Times New Roman"/>
          <w:sz w:val="18"/>
          <w:szCs w:val="18"/>
          <w:color w:val="auto"/>
        </w:rPr>
        <w:t>At September 30, 2026, we had $10.7 million outstanding in L/Cs under the Revolver (December 31, 2025 — $10.8 million). We also arrange bank guarantees and surety bonds outside of the Revolver. At September 30, 2026, we had $52.2 million of bank guarantees and surety bonds outstanding (December 31, 2025 — $38.1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both"/>
        <w:ind w:firstLine="228"/>
        <w:spacing w:after="0" w:line="266" w:lineRule="auto"/>
        <w:rPr>
          <w:sz w:val="20"/>
          <w:szCs w:val="20"/>
          <w:color w:val="auto"/>
        </w:rPr>
      </w:pPr>
      <w:r>
        <w:rPr>
          <w:rFonts w:ascii="Times New Roman" w:cs="Times New Roman" w:eastAsia="Times New Roman" w:hAnsi="Times New Roman"/>
          <w:sz w:val="18"/>
          <w:szCs w:val="18"/>
          <w:color w:val="auto"/>
        </w:rPr>
        <w:t>At September 30, 2026, we also had a total of $211.9 million in uncommitted bank overdraft facilities available for intraday and overnight operating requirements (December 31, 2025 — $198.5 million). There were no amounts outstanding under these overdraft facilities at September 30, 2026 or December 31, 2025.</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"Liquidity — Financing and finance costs — </w:t>
      </w:r>
      <w:r>
        <w:rPr>
          <w:rFonts w:ascii="Times New Roman" w:cs="Times New Roman" w:eastAsia="Times New Roman" w:hAnsi="Times New Roman"/>
          <w:sz w:val="18"/>
          <w:szCs w:val="18"/>
          <w:i w:val="1"/>
          <w:iCs w:val="1"/>
          <w:color w:val="auto"/>
        </w:rPr>
        <w:t>A/R sales program and customer SFPs</w:t>
      </w:r>
      <w:r>
        <w:rPr>
          <w:rFonts w:ascii="Times New Roman" w:cs="Times New Roman" w:eastAsia="Times New Roman" w:hAnsi="Times New Roman"/>
          <w:sz w:val="18"/>
          <w:szCs w:val="18"/>
          <w:color w:val="auto"/>
        </w:rPr>
        <w:t>" above for a description of our A/R sales program and customer SFPs.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timing and the amounts we borrow and repay under our Revolver (including Intra-Quarter B/Rs) and overdraft facilities, or sell under the SFPs or our A/R sales program, can vary significantly from month-to-month depending on our working capital and other cash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strategy on capital risk management has not changed significantly since the end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21, 2026, we had 126,111,808 outstanding Common Shares. As of such date, we also had 38,549 outstanding stock options, 629,216 outstanding RSUs, 777,832 outstanding PSUs assuming vesting of 100% of the target amount granted (PSUs that will vest range from 0% to 200% of the target amount granted), 115,460 outstanding DSUs, and 7,141 outstanding D-RSUs; each vested option or unit entitling the holder thereof to receive one Common Share (or in certain cases, cash) pursuant to the terms thereof, subject to certain time or performance-based vesting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Quarterly Financial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2026 compared to Q2 2026:</w:t>
      </w:r>
    </w:p>
    <w:p>
      <w:pPr>
        <w:spacing w:after="0" w:line="254" w:lineRule="exact"/>
        <w:rPr>
          <w:sz w:val="20"/>
          <w:szCs w:val="20"/>
          <w:color w:val="auto"/>
        </w:rPr>
      </w:pPr>
    </w:p>
    <w:p>
      <w:pPr>
        <w:jc w:val="both"/>
        <w:ind w:firstLine="189"/>
        <w:spacing w:after="0" w:line="261" w:lineRule="auto"/>
        <w:rPr>
          <w:sz w:val="20"/>
          <w:szCs w:val="20"/>
          <w:color w:val="auto"/>
        </w:rPr>
      </w:pPr>
      <w:r>
        <w:rPr>
          <w:rFonts w:ascii="Times New Roman" w:cs="Times New Roman" w:eastAsia="Times New Roman" w:hAnsi="Times New Roman"/>
          <w:sz w:val="18"/>
          <w:szCs w:val="18"/>
          <w:color w:val="auto"/>
        </w:rPr>
        <w:t>Total revenue for Q3 2026 increased $1,131.1 million or 24% compared to Q2 2026. CCS segment revenue increased $1,062.0 million (28%), driven by a $610.0 million (23%) increase in Networking revenue primarily from higher hyperscaler demand in switch programs, along with a $452.0 million (39%) increase in Compute &amp; Storage revenue due to the continued growth in hyperscaler AI compute volumes and strength in our storage programs. ATS segment revenue grew $69.1 million (8%), primarily driven by the revenue acceleration in our Capital Equipment business.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sequentially by $63.3 million (11%) on higher revenue. However, gross margin decreased from 12.3% to 11.0% primarily due to unfavorable changes in TRS FVAs recorded in cost of sales ($0.9 million loss in Q3 2026 compared to $48.4 million gain in Q2 2026). CCS segment income increased $103.3 million (margin expanded to 8.9% from 8.7%), and ATS segment income increased $6.5 million (margin expanded to 6.6% from 6.3%). Growth in segment income and segment margin of both segments was driven by operating leverage.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earnings for Q3 2026 increased $28.4 million sequentially to $397.2 million. This growth was driven by higher gross profit, a $15.9 million increase in interest income resulting from higher cash and cash equivalent balances following the Public Offering, and a $14.2 million reduction in income tax expense primarily due to the acceptance of certain subsidiaries into a bilateral advance pricing arrangement. These benefits were partially offset by a $60.1 million increase in SG&amp;A, primarily driven by unfavorable changes in TRS FVAs ($3.0 million loss in Q3 2026 compared to $55.7 million gain in Q2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6"/>
        </w:trPr>
        <w:tc>
          <w:tcPr>
            <w:tcW w:w="6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Summary of Selected Q3 2026 Results: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Q3 2026 Actual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Q3 2026 Guidance</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(in billions)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$5.83</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$5.25 to $5.55</w:t>
            </w:r>
          </w:p>
        </w:tc>
        <w:tc>
          <w:tcPr>
            <w:tcW w:w="0" w:type="dxa"/>
            <w:vAlign w:val="bottom"/>
          </w:tcPr>
          <w:p>
            <w:pPr>
              <w:spacing w:after="0"/>
              <w:rPr>
                <w:sz w:val="1"/>
                <w:szCs w:val="1"/>
                <w:color w:val="auto"/>
              </w:rPr>
            </w:pP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earnings from operations as a % of revenue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7.9%</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3"/>
        </w:trPr>
        <w:tc>
          <w:tcPr>
            <w:tcW w:w="64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GAAP EPS </w:t>
            </w:r>
            <w:r>
              <w:rPr>
                <w:rFonts w:ascii="Times New Roman" w:cs="Times New Roman" w:eastAsia="Times New Roman" w:hAnsi="Times New Roman"/>
                <w:sz w:val="23"/>
                <w:szCs w:val="23"/>
                <w:color w:val="auto"/>
                <w:vertAlign w:val="superscript"/>
              </w:rPr>
              <w:t>(1)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operating margin (non-GAAP)*</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8.5%</w:t>
            </w:r>
          </w:p>
        </w:tc>
        <w:tc>
          <w:tcPr>
            <w:tcW w:w="100" w:type="dxa"/>
            <w:vAlign w:val="bottom"/>
          </w:tcPr>
          <w:p>
            <w:pPr>
              <w:spacing w:after="0"/>
              <w:rPr>
                <w:sz w:val="15"/>
                <w:szCs w:val="15"/>
                <w:color w:val="auto"/>
              </w:rPr>
            </w:pPr>
          </w:p>
        </w:tc>
        <w:tc>
          <w:tcPr>
            <w:tcW w:w="26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8.4% at the mid-point of our</w:t>
            </w:r>
          </w:p>
        </w:tc>
        <w:tc>
          <w:tcPr>
            <w:tcW w:w="0" w:type="dxa"/>
            <w:vAlign w:val="bottom"/>
          </w:tcPr>
          <w:p>
            <w:pPr>
              <w:spacing w:after="0"/>
              <w:rPr>
                <w:sz w:val="1"/>
                <w:szCs w:val="1"/>
                <w:color w:val="auto"/>
              </w:rPr>
            </w:pPr>
          </w:p>
        </w:tc>
      </w:tr>
      <w:tr>
        <w:trPr>
          <w:trHeight w:val="184"/>
        </w:trPr>
        <w:tc>
          <w:tcPr>
            <w:tcW w:w="640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revenue and adjusted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EPS (non-GAAP) guidance ranges</w:t>
            </w:r>
          </w:p>
        </w:tc>
        <w:tc>
          <w:tcPr>
            <w:tcW w:w="0" w:type="dxa"/>
            <w:vAlign w:val="bottom"/>
          </w:tcPr>
          <w:p>
            <w:pPr>
              <w:spacing w:after="0"/>
              <w:rPr>
                <w:sz w:val="1"/>
                <w:szCs w:val="1"/>
                <w:color w:val="auto"/>
              </w:rPr>
            </w:pPr>
          </w:p>
        </w:tc>
      </w:tr>
      <w:tr>
        <w:trPr>
          <w:trHeight w:val="311"/>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 (non-GAAP)*</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 to $3.08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See "Non-GAAP Financial Measures" below.</w:t>
      </w:r>
    </w:p>
    <w:p>
      <w:pPr>
        <w:spacing w:after="0" w:line="248" w:lineRule="exact"/>
        <w:rPr>
          <w:sz w:val="20"/>
          <w:szCs w:val="20"/>
          <w:color w:val="auto"/>
        </w:rPr>
      </w:pPr>
    </w:p>
    <w:p>
      <w:pPr>
        <w:jc w:val="both"/>
        <w:ind w:left="180" w:hanging="172"/>
        <w:spacing w:after="0"/>
        <w:tabs>
          <w:tab w:leader="none" w:pos="286"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GAAP EPS for Q3 2026 included an aggregate charge of $0.26 per share (pre-tax) for employee SBC expense, amortization of intangible assets (excluding computer software), and restructuring charges. See "Operating Results" above and "Non-GAAP Financial Measures" below for per-item charges. This aggregate charge was below our previously communicated Q3 2026 anticipated range of $0.27 to $0.33 per share (pre-tax) for these items, primarily due to the increase in our weighted average number of shares outstanding resulting from the Public Offering. GAAP EPS for Q3 2026 also included $0.03 per share (pre-tax) negative impact attributable to TRS FVAs.</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Q3 2026, our revenue exceeded the high end of our guidance range due to higher than anticipated customer demand and strong operational execution. Stronger than anticipated operating leverage drove our non-GAAP adjusted operating margin to exceed the mid-point of our revenue and non-GAAP adjusted EPS guidance ranges, which, combined with the higher revenue, drove our non-GAAP adjusted EPS to exceed the high end of our guidance range. Our GAAP effective tax rate for Q3 2026 was 13%. Our adjusted effective tax rate (non-GAAP) for Q3 2026 was 18%, lower than our anticipated estimate of approximately 20%, primarily due to favorable profit mix and a discrete tax benefit.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Company’s press release dated October 26, 2026, "Celestica Announces Third Quarter 2026 Financial Results and Will Hold 2026 Investor and Analyst Day", under the heading "2026 Annual Outlook Update", management updated its annual financial outlook for 2026. This press release can be accessed under the Company’s profile at www.sedarplus.ca and www.sec.gov. The information included in this press release does not constitute a part of this Q3 2026 10-Q and is not incorporated by reference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uses non-GAAP financial measures (including ratios based on GAAP financial measures) described herein to (i) assess operating performance, financial leverage and the effective use and allocation of resources, (ii) provide more normalized period-to-period comparisons of operating results, (iii) enhance investors' understanding of the core operating results of our business and (iv) set management incentive targets. We believe the non-GAAP financial measures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 uses to measure performance, and to help compare our results with those of our competitors. In addition, management believes that the use of adjusted tax expense and adjusted effective tax rate provides additional transparency into the tax effects of our core operations, and is useful to management and investors for historical comparisons and forecasting. These non-GAAP financial measures reflect management’s belief that the excluded items are not indicative of our core operations.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Non-GAAP financial measures do not have any standardized meaning prescribed by GAAP and therefore may not be directly comparable to similar measures presented by other companies.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189" w:lineRule="exact"/>
        <w:rPr>
          <w:sz w:val="20"/>
          <w:szCs w:val="20"/>
          <w:color w:val="auto"/>
        </w:rPr>
      </w:pPr>
    </w:p>
    <w:p>
      <w:pPr>
        <w:jc w:val="both"/>
        <w:ind w:firstLine="290"/>
        <w:spacing w:after="0" w:line="266" w:lineRule="auto"/>
        <w:rPr>
          <w:sz w:val="20"/>
          <w:szCs w:val="20"/>
          <w:color w:val="auto"/>
        </w:rPr>
      </w:pPr>
      <w:r>
        <w:rPr>
          <w:rFonts w:ascii="Times New Roman" w:cs="Times New Roman" w:eastAsia="Times New Roman" w:hAnsi="Times New Roman"/>
          <w:sz w:val="18"/>
          <w:szCs w:val="18"/>
          <w:color w:val="auto"/>
        </w:rPr>
        <w:t>The following non-GAAP financial measures are included in this MD&amp;A: adjusted gross profit, adjusted SG&amp;A, adjusted operating earnings (or adjusted EBIAT), adjusted net earnings, and each of the foregoing measures as a percentage of revenue, adjusted EPS, adjusted return on invested capital (ROIC), free cash flow, adjusted tax expense and adjusted effective tax 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Our non-GAAP financial measures are calculated by making the following adjustments (as applicable) to our GAAP financial measures: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SBC expense, </w:t>
      </w:r>
      <w:r>
        <w:rPr>
          <w:rFonts w:ascii="Times New Roman" w:cs="Times New Roman" w:eastAsia="Times New Roman" w:hAnsi="Times New Roman"/>
          <w:sz w:val="18"/>
          <w:szCs w:val="18"/>
          <w:color w:val="auto"/>
        </w:rPr>
        <w:t>which represents the estimated fair value of stock options, RSUs and PSUs granted to employees, is excluded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return swap fair value adjustments (TRS FVAs) </w:t>
      </w:r>
      <w:r>
        <w:rPr>
          <w:rFonts w:ascii="Times New Roman" w:cs="Times New Roman" w:eastAsia="Times New Roman" w:hAnsi="Times New Roman"/>
          <w:sz w:val="18"/>
          <w:szCs w:val="18"/>
          <w:color w:val="auto"/>
        </w:rPr>
        <w:t>represent mark-to-market adjustments to our TRS Agreement, as the TRS Agreement is re-measured at fair value at each quarter end. We exclude the impact of these non-cash fair value adjustments (which reflect fluctuations in the market price of our Common Shares recorded in cost of sales and SG&amp;A) from period to period as such fluctuations do not represent our ongoing operating performance. In addition, we believe that excluding these non-cash adjustments permits a helpful comparison of our core operating results to our competitors.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(excluding computer software) </w:t>
      </w:r>
      <w:r>
        <w:rPr>
          <w:rFonts w:ascii="Times New Roman" w:cs="Times New Roman" w:eastAsia="Times New Roman" w:hAnsi="Times New Roman"/>
          <w:sz w:val="18"/>
          <w:szCs w:val="18"/>
          <w:color w:val="auto"/>
        </w:rPr>
        <w:t>consists of non-cash charges for intangible assets that are impacted by the timing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(Recoveries) </w:t>
      </w:r>
      <w:r>
        <w:rPr>
          <w:rFonts w:ascii="Times New Roman" w:cs="Times New Roman" w:eastAsia="Times New Roman" w:hAnsi="Times New Roman"/>
          <w:sz w:val="18"/>
          <w:szCs w:val="18"/>
          <w:color w:val="auto"/>
        </w:rPr>
        <w:t>consist of, when applicable: Restructuring Charges (Recoveries) (defined below); Transition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(defined below); consulting, transaction and integration costs related to potential and completed acquisitions; where applicable, certain fair value adjustments of contingent consideration in connection with acquisitions; where applicable, legal settlements (recoveries); and where applicable, related costs pertaining to our transition to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21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Charges (Recoveries)</w:t>
      </w:r>
      <w:r>
        <w:rPr>
          <w:rFonts w:ascii="Times New Roman" w:cs="Times New Roman" w:eastAsia="Times New Roman" w:hAnsi="Times New Roman"/>
          <w:sz w:val="18"/>
          <w:szCs w:val="18"/>
          <w:color w:val="auto"/>
        </w:rPr>
        <w:t>, consist of costs or recoveries relating to: employee severance, site closings and consolidations,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of owned and leased property and equipment which are no longer used and are held for sale, and reductions in infrastructure.</w:t>
      </w:r>
    </w:p>
    <w:p>
      <w:pPr>
        <w:spacing w:after="0" w:line="185" w:lineRule="exact"/>
        <w:rPr>
          <w:sz w:val="20"/>
          <w:szCs w:val="20"/>
          <w:color w:val="auto"/>
        </w:rPr>
      </w:pPr>
    </w:p>
    <w:p>
      <w:pPr>
        <w:jc w:val="both"/>
        <w:ind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Transition Costs (Recoveries) </w:t>
      </w:r>
      <w:r>
        <w:rPr>
          <w:rFonts w:ascii="Times New Roman" w:cs="Times New Roman" w:eastAsia="Times New Roman" w:hAnsi="Times New Roman"/>
          <w:sz w:val="18"/>
          <w:szCs w:val="18"/>
          <w:color w:val="auto"/>
        </w:rPr>
        <w:t>consist of costs and recoveries in connection with: (i) the transfer of manufacturing lines from closed sites to other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our global network; (ii) the sale of real properties unrelated to restructuring actions; and (iii) where applicable, specified charges or recoveries related to the sublet of a 10-year building lease in Toronto that we previously anticipated to be our corporate headquarters.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We believe that excluding Transition Costs and Recoveries permits a helpful comparison of our core operating results from period-to-period, as they do not reflect our ongoing operations once these specified events are complete.</w:t>
      </w:r>
    </w:p>
    <w:p>
      <w:pPr>
        <w:spacing w:after="0" w:line="210" w:lineRule="exact"/>
        <w:rPr>
          <w:sz w:val="20"/>
          <w:szCs w:val="20"/>
          <w:color w:val="auto"/>
        </w:rPr>
      </w:pPr>
    </w:p>
    <w:p>
      <w:pPr>
        <w:jc w:val="both"/>
        <w:ind w:firstLine="20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Miscellaneous Expense (Income) </w:t>
      </w:r>
      <w:r>
        <w:rPr>
          <w:rFonts w:ascii="Times New Roman" w:cs="Times New Roman" w:eastAsia="Times New Roman" w:hAnsi="Times New Roman"/>
          <w:sz w:val="18"/>
          <w:szCs w:val="18"/>
          <w:color w:val="auto"/>
        </w:rPr>
        <w:t>consists primarily of: (i) certain net periodic benefit costs (gains) related to our pension and post-employment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consisting of interest costs, expected returns on plan balances, and amortization of actuarial gains or losses; (ii) where applicable, gains on insurance claims settlement; and (iii) where applicable, gains or losses related to interest rate swaps that we entered into prior to 2024. Those interest rate swap contracts were accounted for as cash flow hedges (qualifying for hedge accounting) under International Financial Reporting Standards. However, those contracts were not accounted for as such under GAAP until January 1, 2024. Certain gains and losses related to those contracts were recorded in Miscellaneous Expense (Income). We exclude such items because we believe they are not directly related to our ongoing operating results.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Tax effects of the non-core items, which include our non-GAAP adjustments above, are excluded from GAAP tax expense to calculate adjusted tax expense (non-GAAP), as we do not believe these costs or recoveries reflect our core operating performance and vary significantly among our competitors who also generally exclude such items in assessing operating performance.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Our non-GAAP financial measures include the following:</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operating earnings (Adjusted EBIAT) </w:t>
      </w:r>
      <w:r>
        <w:rPr>
          <w:rFonts w:ascii="Times New Roman" w:cs="Times New Roman" w:eastAsia="Times New Roman" w:hAnsi="Times New Roman"/>
          <w:sz w:val="18"/>
          <w:szCs w:val="18"/>
          <w:color w:val="auto"/>
        </w:rPr>
        <w:t>is defined as GAAP earnings from operations excluding the impact of Employee SBC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TRS FVAs, Amortization of intangible assets (excluding computer software), and Restructuring and Other Charges (Recoveries). Adjusted operating margin is adjusted operating earnings as a percentage of GAAP revenue. Management uses adjusted operating earnings (adjusted EBIAT) as a measure to assess performance related to our core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net earnings </w:t>
      </w:r>
      <w:r>
        <w:rPr>
          <w:rFonts w:ascii="Times New Roman" w:cs="Times New Roman" w:eastAsia="Times New Roman" w:hAnsi="Times New Roman"/>
          <w:sz w:val="18"/>
          <w:szCs w:val="18"/>
          <w:color w:val="auto"/>
        </w:rPr>
        <w:t>is defined as GAAP net earnings excluding the impact of Employee SBC expense, TRS FVAs, Amortization of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(excluding computer software), Restructuring and Other Charges (Recoveries), Miscellaneous Expense (Income) and adjustment for taxes. Adjusted EPS is calculated by dividing adjusted net earnings by the number of diluted weighted average shares outstanding. Management uses adjusted net earnings as a measure to assess performance related to our core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Non-GAAP free cash flow </w:t>
      </w:r>
      <w:r>
        <w:rPr>
          <w:rFonts w:ascii="Times New Roman" w:cs="Times New Roman" w:eastAsia="Times New Roman" w:hAnsi="Times New Roman"/>
          <w:sz w:val="18"/>
          <w:szCs w:val="18"/>
          <w:color w:val="auto"/>
        </w:rPr>
        <w:t>is defined as cash provided by (used in) operations less the purchase of property, plant and equipment (net of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sale of certain surplus assets, when applicable). Free cash flow does not represent residual cash flow available to Celestica for discretionary expenditures.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ROIC </w:t>
      </w:r>
      <w:r>
        <w:rPr>
          <w:rFonts w:ascii="Times New Roman" w:cs="Times New Roman" w:eastAsia="Times New Roman" w:hAnsi="Times New Roman"/>
          <w:sz w:val="18"/>
          <w:szCs w:val="18"/>
          <w:color w:val="auto"/>
        </w:rPr>
        <w:t>is calculated by dividing annualized adjusted EBIAT by average net invested capital for the period. Net invested capital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tables below) is derived from GAAP financial measures, and is defined as total assets less: cash, right-of-use (ROU) assets (operating and finance leases), accounts payable, accrued and other current liabilities and provisions (excluding finance and operating lease liabilities)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determination of the GAAP effective tax rate and adjusted effective tax rate (non-GAAP) is described in footnote 1 to the table below.</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various non-GAAP financial measures discussed above, and a reconciliation of such non-GAAP financial measures to the most directly comparable financial measures determined under GAAP (in millions,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7" w:name="page48"/>
    <w:bookmarkEnd w:id="47"/>
    <w:tbl>
      <w:tblPr>
        <w:tblLayout w:type="fixed"/>
        <w:tblInd w:w="3072" w:type="dxa"/>
        <w:tblCellMar>
          <w:top w:w="0" w:type="dxa"/>
          <w:left w:w="0" w:type="dxa"/>
          <w:bottom w:w="0" w:type="dxa"/>
          <w:right w:w="0" w:type="dxa"/>
        </w:tblCellMar>
      </w:tblPr>
      <w:tr>
        <w:trPr>
          <w:trHeight w:val="215"/>
        </w:trPr>
        <w:tc>
          <w:tcPr>
            <w:tcW w:w="412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2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20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2540</wp:posOffset>
            </wp:positionV>
            <wp:extent cx="1243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232"/>
          </w:cols>
          <w:pgMar w:left="328" w:top="974" w:right="339" w:bottom="1440" w:gutter="0" w:footer="0" w:header="0"/>
        </w:sectPr>
      </w:pPr>
    </w:p>
    <w:tbl>
      <w:tblPr>
        <w:tblLayout w:type="fixed"/>
        <w:tblInd w:w="12" w:type="dxa"/>
        <w:tblCellMar>
          <w:top w:w="0" w:type="dxa"/>
          <w:left w:w="0" w:type="dxa"/>
          <w:bottom w:w="0" w:type="dxa"/>
          <w:right w:w="0" w:type="dxa"/>
        </w:tblCellMar>
      </w:tblPr>
      <w:tr>
        <w:trPr>
          <w:trHeight w:val="159"/>
        </w:trPr>
        <w:tc>
          <w:tcPr>
            <w:tcW w:w="3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9"/>
              <w:spacing w:after="0" w:line="159" w:lineRule="exact"/>
              <w:rPr>
                <w:sz w:val="20"/>
                <w:szCs w:val="20"/>
                <w:color w:val="auto"/>
              </w:rPr>
            </w:pPr>
            <w:r>
              <w:rPr>
                <w:rFonts w:ascii="Times New Roman" w:cs="Times New Roman" w:eastAsia="Times New Roman" w:hAnsi="Times New Roman"/>
                <w:sz w:val="16"/>
                <w:szCs w:val="16"/>
                <w:color w:val="auto"/>
              </w:rPr>
              <w: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5,829.7</w:t>
            </w:r>
          </w:p>
        </w:tc>
        <w:tc>
          <w:tcPr>
            <w:tcW w:w="8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640.8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losses (gains)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gross profit (non-GAAP)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SG&amp;A</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306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(10.6)</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gains (losses)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SG&amp;A (non-GAAP)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104.6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earnings from operations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06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losses (gains)</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Amortization of intangible assets (excluding</w:t>
            </w:r>
          </w:p>
        </w:tc>
        <w:tc>
          <w:tcPr>
            <w:tcW w:w="24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computer software)</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Adjusted operating earnings (adjusted</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496.1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EBIAT) (non-GAAP)</w:t>
            </w: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net earnings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306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397.2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losses (gains)</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Amortization of intangible assets (excluding</w:t>
            </w:r>
          </w:p>
        </w:tc>
        <w:tc>
          <w:tcPr>
            <w:tcW w:w="24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computer software)</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Adjustments for taxes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(31.0)</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(non-GAAP)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402.1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 of shares (in millions)</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GAAP EPS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3.26</w:t>
            </w:r>
          </w:p>
        </w:tc>
        <w:tc>
          <w:tcPr>
            <w:tcW w:w="8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EPS (non-GAAP)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c>
          <w:tcPr>
            <w:tcW w:w="8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 of shares outstanding at period end (in</w:t>
            </w:r>
          </w:p>
        </w:tc>
        <w:tc>
          <w:tcPr>
            <w:tcW w:w="24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126.1</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cash provided by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389.7</w:t>
            </w:r>
          </w:p>
        </w:tc>
        <w:tc>
          <w:tcPr>
            <w:tcW w:w="8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(262.2)</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sales proceeds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127.5</w:t>
            </w:r>
          </w:p>
        </w:tc>
        <w:tc>
          <w:tcPr>
            <w:tcW w:w="8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ROIC %</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ROIC % (non-GAAP)</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80" w:type="dxa"/>
            <w:vAlign w:val="bottom"/>
          </w:tcPr>
          <w:p>
            <w:pPr>
              <w:spacing w:after="0"/>
              <w:rPr>
                <w:sz w:val="13"/>
                <w:szCs w:val="13"/>
                <w:color w:val="auto"/>
              </w:rPr>
            </w:pPr>
          </w:p>
        </w:tc>
        <w:tc>
          <w:tcPr>
            <w:tcW w:w="900" w:type="dxa"/>
            <w:vAlign w:val="bottom"/>
          </w:tcPr>
          <w:p>
            <w:pPr>
              <w:jc w:val="right"/>
              <w:ind w:right="319"/>
              <w:spacing w:after="0" w:line="159" w:lineRule="exact"/>
              <w:rPr>
                <w:sz w:val="20"/>
                <w:szCs w:val="20"/>
                <w:color w:val="auto"/>
              </w:rPr>
            </w:pPr>
            <w:r>
              <w:rPr>
                <w:rFonts w:ascii="Times New Roman" w:cs="Times New Roman" w:eastAsia="Times New Roman" w:hAnsi="Times New Roman"/>
                <w:sz w:val="16"/>
                <w:szCs w:val="16"/>
                <w:color w:val="auto"/>
              </w:rPr>
              <w:t>% of</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 of</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9"/>
              <w:spacing w:after="0" w:line="159" w:lineRule="exact"/>
              <w:rPr>
                <w:sz w:val="20"/>
                <w:szCs w:val="20"/>
                <w:color w:val="auto"/>
              </w:rPr>
            </w:pPr>
            <w:r>
              <w:rPr>
                <w:rFonts w:ascii="Times New Roman" w:cs="Times New Roman" w:eastAsia="Times New Roman" w:hAnsi="Times New Roman"/>
                <w:sz w:val="16"/>
                <w:szCs w:val="16"/>
                <w:color w:val="auto"/>
              </w:rPr>
              <w:t>% of</w:t>
            </w:r>
          </w:p>
        </w:tc>
      </w:tr>
      <w:tr>
        <w:trPr>
          <w:trHeight w:val="210"/>
        </w:trPr>
        <w:tc>
          <w:tcPr>
            <w:tcW w:w="780" w:type="dxa"/>
            <w:vAlign w:val="bottom"/>
          </w:tcPr>
          <w:p>
            <w:pPr>
              <w:spacing w:after="0"/>
              <w:rPr>
                <w:sz w:val="18"/>
                <w:szCs w:val="18"/>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revenue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revenue</w:t>
            </w:r>
          </w:p>
        </w:tc>
      </w:tr>
      <w:tr>
        <w:trPr>
          <w:trHeight w:val="210"/>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5"/>
              </w:rPr>
              <w:t>3,194.0</w:t>
            </w:r>
          </w:p>
        </w:tc>
        <w:tc>
          <w:tcPr>
            <w:tcW w:w="9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14,575.3</w:t>
            </w: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8,736.0</w:t>
            </w:r>
          </w:p>
        </w:tc>
        <w:tc>
          <w:tcPr>
            <w:tcW w:w="880" w:type="dxa"/>
            <w:vAlign w:val="bottom"/>
            <w:tcBorders>
              <w:top w:val="single" w:sz="8" w:color="auto"/>
            </w:tcBorders>
          </w:tcPr>
          <w:p>
            <w:pPr>
              <w:spacing w:after="0"/>
              <w:rPr>
                <w:sz w:val="18"/>
                <w:szCs w:val="18"/>
                <w:color w:val="auto"/>
              </w:rPr>
            </w:pPr>
          </w:p>
        </w:tc>
      </w:tr>
      <w:tr>
        <w:trPr>
          <w:trHeight w:val="324"/>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416.1</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1,655.5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1,061.0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6.8</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33.9</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(48.5)</w:t>
            </w: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(40.0)</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(81.6)</w:t>
            </w:r>
          </w:p>
        </w:tc>
        <w:tc>
          <w:tcPr>
            <w:tcW w:w="880" w:type="dxa"/>
            <w:vAlign w:val="bottom"/>
          </w:tcPr>
          <w:p>
            <w:pPr>
              <w:spacing w:after="0"/>
              <w:rPr>
                <w:sz w:val="18"/>
                <w:szCs w:val="18"/>
                <w:color w:val="auto"/>
              </w:rPr>
            </w:pPr>
          </w:p>
        </w:tc>
      </w:tr>
      <w:tr>
        <w:trPr>
          <w:trHeight w:val="215"/>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374.4</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11.7 %</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1,649.4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1,003.6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38.4</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293.7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6"/>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(8.8)</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(32.6)</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64.8</w:t>
            </w: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110.0</w:t>
            </w:r>
          </w:p>
        </w:tc>
        <w:tc>
          <w:tcPr>
            <w:tcW w:w="880" w:type="dxa"/>
            <w:vAlign w:val="bottom"/>
          </w:tcPr>
          <w:p>
            <w:pPr>
              <w:spacing w:after="0"/>
              <w:rPr>
                <w:sz w:val="18"/>
                <w:szCs w:val="18"/>
                <w:color w:val="auto"/>
              </w:rPr>
            </w:pPr>
          </w:p>
        </w:tc>
      </w:tr>
      <w:tr>
        <w:trPr>
          <w:trHeight w:val="215"/>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94.4</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299.7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267.2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4"/>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325.0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1,190.4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726.3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(113.3)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(191.6)</w:t>
            </w:r>
          </w:p>
        </w:tc>
        <w:tc>
          <w:tcPr>
            <w:tcW w:w="880" w:type="dxa"/>
            <w:vAlign w:val="bottom"/>
          </w:tcPr>
          <w:p>
            <w:pPr>
              <w:spacing w:after="0"/>
              <w:rPr>
                <w:sz w:val="18"/>
                <w:szCs w:val="18"/>
                <w:color w:val="auto"/>
              </w:rPr>
            </w:pPr>
          </w:p>
        </w:tc>
      </w:tr>
      <w:tr>
        <w:trPr>
          <w:trHeight w:val="378"/>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880" w:type="dxa"/>
            <w:vAlign w:val="bottom"/>
          </w:tcPr>
          <w:p>
            <w:pPr>
              <w:spacing w:after="0"/>
              <w:rPr>
                <w:sz w:val="24"/>
                <w:szCs w:val="24"/>
                <w:color w:val="auto"/>
              </w:rPr>
            </w:pPr>
          </w:p>
        </w:tc>
      </w:tr>
      <w:tr>
        <w:trPr>
          <w:trHeight w:val="219"/>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880" w:type="dxa"/>
            <w:vAlign w:val="bottom"/>
          </w:tcPr>
          <w:p>
            <w:pPr>
              <w:spacing w:after="0"/>
              <w:rPr>
                <w:sz w:val="19"/>
                <w:szCs w:val="19"/>
                <w:color w:val="auto"/>
              </w:rPr>
            </w:pPr>
          </w:p>
        </w:tc>
      </w:tr>
      <w:tr>
        <w:trPr>
          <w:trHeight w:val="334"/>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242.2</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7.6 %</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1,207.6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644.7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267.8</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978.3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565.0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(113.3)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(191.6)</w:t>
            </w:r>
          </w:p>
        </w:tc>
        <w:tc>
          <w:tcPr>
            <w:tcW w:w="880" w:type="dxa"/>
            <w:vAlign w:val="bottom"/>
          </w:tcPr>
          <w:p>
            <w:pPr>
              <w:spacing w:after="0"/>
              <w:rPr>
                <w:sz w:val="18"/>
                <w:szCs w:val="18"/>
                <w:color w:val="auto"/>
              </w:rPr>
            </w:pPr>
          </w:p>
        </w:tc>
      </w:tr>
      <w:tr>
        <w:trPr>
          <w:trHeight w:val="378"/>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880" w:type="dxa"/>
            <w:vAlign w:val="bottom"/>
          </w:tcPr>
          <w:p>
            <w:pPr>
              <w:spacing w:after="0"/>
              <w:rPr>
                <w:sz w:val="24"/>
                <w:szCs w:val="24"/>
                <w:color w:val="auto"/>
              </w:rPr>
            </w:pP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(47.4)</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880" w:type="dxa"/>
            <w:vAlign w:val="bottom"/>
          </w:tcPr>
          <w:p>
            <w:pPr>
              <w:spacing w:after="0"/>
              <w:rPr>
                <w:sz w:val="18"/>
                <w:szCs w:val="18"/>
                <w:color w:val="auto"/>
              </w:rPr>
            </w:pPr>
          </w:p>
        </w:tc>
      </w:tr>
      <w:tr>
        <w:trPr>
          <w:trHeight w:val="215"/>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183.1</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5.7 %</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947.0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484.4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0"/>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00"/>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115.9</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116.2</w:t>
            </w:r>
          </w:p>
        </w:tc>
        <w:tc>
          <w:tcPr>
            <w:tcW w:w="880" w:type="dxa"/>
            <w:vAlign w:val="bottom"/>
          </w:tcPr>
          <w:p>
            <w:pPr>
              <w:spacing w:after="0"/>
              <w:rPr>
                <w:sz w:val="24"/>
                <w:szCs w:val="24"/>
                <w:color w:val="auto"/>
              </w:rPr>
            </w:pP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2.31</w:t>
            </w:r>
          </w:p>
        </w:tc>
        <w:tc>
          <w:tcPr>
            <w:tcW w:w="9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8.30</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4.86</w:t>
            </w:r>
          </w:p>
        </w:tc>
        <w:tc>
          <w:tcPr>
            <w:tcW w:w="880" w:type="dxa"/>
            <w:vAlign w:val="bottom"/>
          </w:tcPr>
          <w:p>
            <w:pPr>
              <w:spacing w:after="0"/>
              <w:rPr>
                <w:sz w:val="18"/>
                <w:szCs w:val="18"/>
                <w:color w:val="auto"/>
              </w:rPr>
            </w:pPr>
          </w:p>
        </w:tc>
      </w:tr>
      <w:tr>
        <w:trPr>
          <w:trHeight w:val="216"/>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1.58</w:t>
            </w:r>
          </w:p>
        </w:tc>
        <w:tc>
          <w:tcPr>
            <w:tcW w:w="9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880" w:type="dxa"/>
            <w:vAlign w:val="bottom"/>
          </w:tcPr>
          <w:p>
            <w:pPr>
              <w:spacing w:after="0"/>
              <w:rPr>
                <w:sz w:val="18"/>
                <w:szCs w:val="18"/>
                <w:color w:val="auto"/>
              </w:rPr>
            </w:pPr>
          </w:p>
        </w:tc>
      </w:tr>
      <w:tr>
        <w:trPr>
          <w:trHeight w:val="378"/>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115.0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115.0</w:t>
            </w:r>
          </w:p>
        </w:tc>
        <w:tc>
          <w:tcPr>
            <w:tcW w:w="880" w:type="dxa"/>
            <w:vAlign w:val="bottom"/>
          </w:tcPr>
          <w:p>
            <w:pPr>
              <w:spacing w:after="0"/>
              <w:rPr>
                <w:sz w:val="24"/>
                <w:szCs w:val="24"/>
                <w:color w:val="auto"/>
              </w:rPr>
            </w:pPr>
          </w:p>
        </w:tc>
      </w:tr>
      <w:tr>
        <w:trPr>
          <w:trHeight w:val="324"/>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126.2</w:t>
            </w:r>
          </w:p>
        </w:tc>
        <w:tc>
          <w:tcPr>
            <w:tcW w:w="9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1,156.9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408.9</w:t>
            </w:r>
          </w:p>
        </w:tc>
        <w:tc>
          <w:tcPr>
            <w:tcW w:w="880" w:type="dxa"/>
            <w:vAlign w:val="bottom"/>
          </w:tcPr>
          <w:p>
            <w:pPr>
              <w:spacing w:after="0"/>
              <w:rPr>
                <w:sz w:val="24"/>
                <w:szCs w:val="24"/>
                <w:color w:val="auto"/>
              </w:rPr>
            </w:pPr>
          </w:p>
        </w:tc>
      </w:tr>
      <w:tr>
        <w:trPr>
          <w:trHeight w:val="378"/>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(37.3)</w:t>
            </w:r>
          </w:p>
        </w:tc>
        <w:tc>
          <w:tcPr>
            <w:tcW w:w="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(744.4)</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(106.5)</w:t>
            </w:r>
          </w:p>
        </w:tc>
        <w:tc>
          <w:tcPr>
            <w:tcW w:w="880" w:type="dxa"/>
            <w:vAlign w:val="bottom"/>
          </w:tcPr>
          <w:p>
            <w:pPr>
              <w:spacing w:after="0"/>
              <w:rPr>
                <w:sz w:val="24"/>
                <w:szCs w:val="24"/>
                <w:color w:val="auto"/>
              </w:rPr>
            </w:pPr>
          </w:p>
        </w:tc>
      </w:tr>
      <w:tr>
        <w:trPr>
          <w:trHeight w:val="213"/>
        </w:trPr>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88.9</w:t>
            </w: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412.5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302.4</w:t>
            </w:r>
          </w:p>
        </w:tc>
        <w:tc>
          <w:tcPr>
            <w:tcW w:w="880" w:type="dxa"/>
            <w:vAlign w:val="bottom"/>
          </w:tcPr>
          <w:p>
            <w:pPr>
              <w:spacing w:after="0"/>
              <w:rPr>
                <w:sz w:val="18"/>
                <w:szCs w:val="18"/>
                <w:color w:val="auto"/>
              </w:rPr>
            </w:pPr>
          </w:p>
        </w:tc>
      </w:tr>
      <w:tr>
        <w:trPr>
          <w:trHeight w:val="23"/>
        </w:trPr>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r>
      <w:tr>
        <w:trPr>
          <w:trHeight w:val="285"/>
        </w:trPr>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50.4 %</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880" w:type="dxa"/>
            <w:vAlign w:val="bottom"/>
          </w:tcPr>
          <w:p>
            <w:pPr>
              <w:spacing w:after="0"/>
              <w:rPr>
                <w:sz w:val="24"/>
                <w:szCs w:val="24"/>
                <w:color w:val="auto"/>
              </w:rPr>
            </w:pPr>
          </w:p>
        </w:tc>
      </w:tr>
      <w:tr>
        <w:trPr>
          <w:trHeight w:val="216"/>
        </w:trPr>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37.5 %</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56.7 %</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-355600</wp:posOffset>
            </wp:positionV>
            <wp:extent cx="677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-329565</wp:posOffset>
            </wp:positionV>
            <wp:extent cx="677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-501015</wp:posOffset>
            </wp:positionV>
            <wp:extent cx="677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-1821180</wp:posOffset>
            </wp:positionV>
            <wp:extent cx="677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-1795780</wp:posOffset>
            </wp:positionV>
            <wp:extent cx="6775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-1967230</wp:posOffset>
            </wp:positionV>
            <wp:extent cx="6775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-3115945</wp:posOffset>
            </wp:positionV>
            <wp:extent cx="6775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-3089910</wp:posOffset>
            </wp:positionV>
            <wp:extent cx="677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-3338830</wp:posOffset>
            </wp:positionV>
            <wp:extent cx="6775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-4358640</wp:posOffset>
            </wp:positionV>
            <wp:extent cx="677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-4213225</wp:posOffset>
            </wp:positionV>
            <wp:extent cx="6775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-4187190</wp:posOffset>
            </wp:positionV>
            <wp:extent cx="677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-5001895</wp:posOffset>
            </wp:positionV>
            <wp:extent cx="6775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-4855845</wp:posOffset>
            </wp:positionV>
            <wp:extent cx="677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-4830445</wp:posOffset>
            </wp:positionV>
            <wp:extent cx="6775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-5627370</wp:posOffset>
            </wp:positionV>
            <wp:extent cx="12433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232" w:space="280"/>
            <w:col w:w="5720"/>
          </w:cols>
          <w:pgMar w:left="328" w:top="974" w:right="339" w:bottom="1440" w:gutter="0" w:footer="0" w:header="0"/>
          <w:type w:val="continuous"/>
        </w:sectPr>
      </w:pPr>
    </w:p>
    <w:p>
      <w:pPr>
        <w:ind w:left="152" w:hanging="152"/>
        <w:spacing w:after="0"/>
        <w:tabs>
          <w:tab w:leader="none" w:pos="152"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adjustments for taxes represent the tax effects (reflecting applicable effective tax rates) of the non-core items, which include our non-GAAP adjustments above.</w:t>
      </w:r>
    </w:p>
    <w:p>
      <w:pPr>
        <w:spacing w:after="0" w:line="221" w:lineRule="exact"/>
        <w:rPr>
          <w:rFonts w:ascii="Times New Roman" w:cs="Times New Roman" w:eastAsia="Times New Roman" w:hAnsi="Times New Roman"/>
          <w:sz w:val="19"/>
          <w:szCs w:val="19"/>
          <w:color w:val="auto"/>
          <w:vertAlign w:val="superscript"/>
        </w:rPr>
      </w:pPr>
    </w:p>
    <w:p>
      <w:pPr>
        <w:jc w:val="both"/>
        <w:ind w:left="172"/>
        <w:spacing w:after="0" w:line="263"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Our GAAP effective tax rate is calculated as (i) GAAP tax expense divided by (ii) earnings from operations minus finance costs, net of interest income, and Miscellaneous Expense (Income) recorded on our statements of operations. Our adjusted effective tax rate (non-GAAP) is calculated as (i) adjusted tax expense (non-GAAP) divided by (ii) adjusted operating earnings (non-GAAP) minus finance costs, net of interest income. The following table sets forth, for the periods indicated, our calculation of GAAP effective tax rate and adjusted effective tax rate (non-GAAP):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4" w:right="339" w:bottom="1440" w:gutter="0" w:footer="0" w:header="0"/>
          <w:type w:val="continuous"/>
        </w:sectPr>
      </w:pPr>
    </w:p>
    <w:bookmarkStart w:id="48" w:name="page49"/>
    <w:bookmarkEnd w:id="48"/>
    <w:tbl>
      <w:tblPr>
        <w:tblLayout w:type="fixed"/>
        <w:tblInd w:w="2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09"/>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GAAP tax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116.9</w:t>
            </w:r>
          </w:p>
        </w:tc>
      </w:tr>
      <w:tr>
        <w:trPr>
          <w:trHeight w:val="324"/>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460.0</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726.3</w:t>
            </w: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(43.2)</w:t>
            </w: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Income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1,153.7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681.9</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GAAP effective tax rate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Adjusted tax expense (non-GAAP)</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120.3</w:t>
            </w:r>
          </w:p>
        </w:tc>
      </w:tr>
      <w:tr>
        <w:trPr>
          <w:trHeight w:val="324"/>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earnings (non-GAAP)</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496.1</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242.2</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1,207.6</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644.7</w:t>
            </w: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(43.2)</w:t>
            </w:r>
          </w:p>
        </w:tc>
      </w:tr>
      <w:tr>
        <w:trPr>
          <w:trHeight w:val="219"/>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1,169.8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604.7</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Adjusted effective tax rate (non-GAAP)</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3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calculation of GAAP ROIC % and non-GAAP adjusted ROIC % (in millions, except GAAP ROIC % and non-GAAP adjusted ROIC %):</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6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09"/>
        </w:trPr>
        <w:tc>
          <w:tcPr>
            <w:tcW w:w="5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GAAP earnings from operations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726.3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Multiplier to annualize earnings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1.333</w:t>
            </w:r>
          </w:p>
        </w:tc>
      </w:tr>
      <w:tr>
        <w:trPr>
          <w:trHeight w:val="21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Annualized GAAP earnings from operations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1,840.0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1,586.8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968.2</w:t>
            </w:r>
          </w:p>
        </w:tc>
      </w:tr>
      <w:tr>
        <w:trPr>
          <w:trHeight w:val="301"/>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Average net invested capital for the period*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3,066.6</w:t>
            </w:r>
          </w:p>
        </w:tc>
        <w:tc>
          <w:tcPr>
            <w:tcW w:w="8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2,581.6</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2,839.0</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2,482.8</w:t>
            </w: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GAAP ROIC %</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r>
    </w:tbl>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6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09"/>
        </w:trPr>
        <w:tc>
          <w:tcPr>
            <w:tcW w:w="5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earnings (adjusted EBIAT) (non-GAAP)</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496.1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1,207.6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644.7</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Multiplier to annualize earnings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1.333</w:t>
            </w:r>
          </w:p>
        </w:tc>
      </w:tr>
      <w:tr>
        <w:trPr>
          <w:trHeight w:val="21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Annualized adjusted EBIAT (non-GAAP)</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1,984.4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1,609.7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859.4</w:t>
            </w:r>
          </w:p>
        </w:tc>
      </w:tr>
      <w:tr>
        <w:trPr>
          <w:trHeight w:val="301"/>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Average net invested capital for the period*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3,066.6</w:t>
            </w:r>
          </w:p>
        </w:tc>
        <w:tc>
          <w:tcPr>
            <w:tcW w:w="8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2,581.6</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2,839.0</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2,482.8</w:t>
            </w: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Adjusted ROIC % (non-GAAP)</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49" w:name="page50"/>
    <w:bookmarkEnd w:id="49"/>
    <w:tbl>
      <w:tblPr>
        <w:tblLayout w:type="fixed"/>
        <w:tblInd w:w="2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invested capital consists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9,787.6</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7,213.1</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ROU assets (operating and finance leases)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r>
      <w:tr>
        <w:trPr>
          <w:trHeight w:val="20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A/P, accrued and other current liabilities and provisions (excluding finance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0"/>
        </w:trPr>
        <w:tc>
          <w:tcPr>
            <w:tcW w:w="5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and operating lease liabilities) and income taxes payable</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5,021.7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3,882.0</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invested capital at period end*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2,562.4</w:t>
            </w:r>
          </w:p>
        </w:tc>
      </w:tr>
      <w:tr>
        <w:trPr>
          <w:trHeight w:val="21"/>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invested capital consists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6,241.1</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5,988.2</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ROU assets (operating and finance leases)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r>
      <w:tr>
        <w:trPr>
          <w:trHeight w:val="20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A/P, accrued and other current liabilities and provisions (excluding finance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0"/>
        </w:trPr>
        <w:tc>
          <w:tcPr>
            <w:tcW w:w="5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and operating lease liabilities) and income taxes payable</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2,969.2</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invested capital at period end*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2,414.9</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180" w:hanging="172"/>
        <w:spacing w:after="0" w:line="272" w:lineRule="auto"/>
        <w:tabs>
          <w:tab w:leader="none" w:pos="27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a two-point average to calculate average net invested capital for the quarter and a four-point average to calculate average net invested capital for the nine-month period. Average net invested capital for Q3 2026 is the average of net invested capital at September 30, 2026 and June 30, 2026 and average net invested capital for YTD 2026 is the average of net invested capital at September 30, 2026, June 30, 2026, March 31, 2026 and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a variety of risks associated with financial instruments and otherwise. Except as set forth below, there have been no material changes to our primary market risk exposures or our management of such exposures during YTD 2026 from the description set forth in note 18 to our 2025 AFS, under "Capital Resources" in Item 7, MD&amp;A of the 2025 10-K and in Item 7A, Quantitative and Qualitative Disclosures About Market Risk of the 2025 10-K.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Currency risk: We enter into foreign currency forward contracts and swaps to hedge our foreign currency risk related to anticipated future cash flows and monetary assets and liabilities denominated in foreign currencies, generally for periods of up to 12 months, which is intended to reduce the foreign currency risk related to our operating costs and future cash flows denominated in foreign currencies. The fair value of the outstanding contracts at September 30, 2026 was a net unrealized loss of $26.6 million (December 31, 2025 — net unrealized gain of $13.2 million), resulting from fluctuations in foreign exchange rates between the contract execution and the period-end date.</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Equity price risk: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above for a description of the TRS Agreement. If the value of the TRS Agreement decreases over its term, we are obligated to pay the counterparty the amount of such decrease upon Settlement. As a result, the TRS Agreement is subject to equity price risk. In December 2025, we re-struck our TRS Agreement with the Strike Price of $288.87 per share. At September 30, 2026, our TRS Agreement had a notional quantity of 1.25 million Common Shares (December 31, 2025 — 1.25 million Common Shares). A one dollar decrease in our Common Share price would decrease the value of the TRS Agreement at September 30, 2026 by $1.3 million. At September 30, 2026, the fair value of the TRS Agreement was an unrealized gain of $90.4 million (December 31, 2025 — an unrealized gain of $7.2 million).</w:t>
      </w:r>
    </w:p>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rate risk: Borrowings under the Credit Facility bear interest at specified rates, plus specified margins (described in note 8 to the Q3 2026 Interim Financial Statements and note 11 to our 2025 AFS). In order to partially hedge against our exposure to interest rate variability on our Term Loans, we have entered into various agreements with multiple banks to swap the variable interest rate with a fixed rate of interest for a portion of the borrowings under our Term Loans. At September 30, 2026, the fair value of our interest rate swap agreements was a net unrealized gain of $10.4 million (December 31, 2025 — a net unrealized loss of $2.4 million). A downward shift of the forward interest rate curve would decrease the fair value of these swap agreements. A one-percentage point increase in relevant interest rates would increase interest expense, based on outstanding borrowings under the Credit Facility at September 30, 2026, by $3.9 million annually, including the impact of our interest rate swap agreements, and by $7.4 million annually, without accounting for such agreements.</w:t>
      </w:r>
    </w:p>
    <w:p>
      <w:pPr>
        <w:sectPr>
          <w:pgSz w:w="11900" w:h="16838" w:orient="portrait"/>
          <w:cols w:equalWidth="0" w:num="1">
            <w:col w:w="11240"/>
          </w:cols>
          <w:pgMar w:left="320" w:top="9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type w:val="continuous"/>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TRS Agreement exposes us to interest rate risk as interest payments on our TRS Agreement are based on a variable interest rate.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and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and with the participation of our principal executive officer and principal financial officer, has evaluated the effectiveness of the design and operation of our disclosure controls and procedures as of September 30, 2026. Based on that evaluation, our principal executive officer and principal financial officer have concluded that, as of September 30, 2026, our disclosure controls and procedures are effective to meet the requirements of Rules 13a-15(e) and 15d-15(e) under the U.S. Exchange 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Q3 2026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our legal proceedings, see note 17 to our Q3 2026 Interim Financial Statements, and "Operating Results —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and tax contingencies</w:t>
      </w:r>
      <w:r>
        <w:rPr>
          <w:rFonts w:ascii="Times New Roman" w:cs="Times New Roman" w:eastAsia="Times New Roman" w:hAnsi="Times New Roman"/>
          <w:sz w:val="18"/>
          <w:szCs w:val="18"/>
          <w:color w:val="auto"/>
        </w:rPr>
        <w:t>" in Part I, Item 2 above for a description of the ongoing Romanian income and value-added tax matter and Thailand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which are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2025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repurchase activity during the quarter ended September 30, 2026 related to its equity securities registered pursuant to Section 12 of the U.S. Exchange Act:</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60" w:type="dxa"/>
            <w:vAlign w:val="bottom"/>
            <w:tcBorders>
              <w:top w:val="single" w:sz="8" w:color="auto"/>
              <w:left w:val="single" w:sz="8" w:color="auto"/>
              <w:right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spacing w:after="0"/>
              <w:rPr>
                <w:sz w:val="16"/>
                <w:szCs w:val="16"/>
                <w:color w:val="auto"/>
              </w:rPr>
            </w:pP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Total Number of Common</w:t>
            </w:r>
          </w:p>
        </w:tc>
        <w:tc>
          <w:tcPr>
            <w:tcW w:w="23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(d) Maximum</w:t>
            </w:r>
          </w:p>
        </w:tc>
        <w:tc>
          <w:tcPr>
            <w:tcW w:w="0" w:type="dxa"/>
            <w:vAlign w:val="bottom"/>
          </w:tcPr>
          <w:p>
            <w:pPr>
              <w:spacing w:after="0"/>
              <w:rPr>
                <w:sz w:val="1"/>
                <w:szCs w:val="1"/>
                <w:color w:val="auto"/>
              </w:rPr>
            </w:pPr>
          </w:p>
        </w:tc>
      </w:tr>
      <w:tr>
        <w:trPr>
          <w:trHeight w:val="176"/>
        </w:trPr>
        <w:tc>
          <w:tcPr>
            <w:tcW w:w="27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 Common Shares</w:t>
            </w:r>
          </w:p>
        </w:tc>
        <w:tc>
          <w:tcPr>
            <w:tcW w:w="0" w:type="dxa"/>
            <w:vAlign w:val="bottom"/>
          </w:tcPr>
          <w:p>
            <w:pPr>
              <w:spacing w:after="0"/>
              <w:rPr>
                <w:sz w:val="1"/>
                <w:szCs w:val="1"/>
                <w:color w:val="auto"/>
              </w:rPr>
            </w:pPr>
          </w:p>
        </w:tc>
      </w:tr>
      <w:tr>
        <w:trPr>
          <w:trHeight w:val="175"/>
        </w:trPr>
        <w:tc>
          <w:tcPr>
            <w:tcW w:w="27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Total Number</w:t>
            </w:r>
          </w:p>
        </w:tc>
        <w:tc>
          <w:tcPr>
            <w:tcW w:w="166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w:t>
            </w:r>
          </w:p>
        </w:tc>
        <w:tc>
          <w:tcPr>
            <w:tcW w:w="0" w:type="dxa"/>
            <w:vAlign w:val="bottom"/>
          </w:tcPr>
          <w:p>
            <w:pPr>
              <w:spacing w:after="0"/>
              <w:rPr>
                <w:sz w:val="1"/>
                <w:szCs w:val="1"/>
                <w:color w:val="auto"/>
              </w:rPr>
            </w:pPr>
          </w:p>
        </w:tc>
      </w:tr>
      <w:tr>
        <w:trPr>
          <w:trHeight w:val="189"/>
        </w:trPr>
        <w:tc>
          <w:tcPr>
            <w:tcW w:w="276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Average Price</w:t>
            </w:r>
          </w:p>
        </w:tc>
        <w:tc>
          <w:tcPr>
            <w:tcW w:w="24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75"/>
        </w:trPr>
        <w:tc>
          <w:tcPr>
            <w:tcW w:w="27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Common Shares</w:t>
            </w:r>
          </w:p>
        </w:tc>
        <w:tc>
          <w:tcPr>
            <w:tcW w:w="1660" w:type="dxa"/>
            <w:vAlign w:val="bottom"/>
            <w:tcBorders>
              <w:right w:val="single" w:sz="8" w:color="auto"/>
            </w:tcBorders>
            <w:vMerge w:val="continue"/>
          </w:tcPr>
          <w:p>
            <w:pPr>
              <w:spacing w:after="0"/>
              <w:rPr>
                <w:sz w:val="15"/>
                <w:szCs w:val="15"/>
                <w:color w:val="auto"/>
              </w:rPr>
            </w:pPr>
          </w:p>
        </w:tc>
        <w:tc>
          <w:tcPr>
            <w:tcW w:w="24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175"/>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16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Paid</w:t>
            </w:r>
          </w:p>
        </w:tc>
        <w:tc>
          <w:tcPr>
            <w:tcW w:w="24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programs</w:t>
            </w: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r>
        <w:trPr>
          <w:trHeight w:val="243"/>
        </w:trPr>
        <w:tc>
          <w:tcPr>
            <w:tcW w:w="27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Common Share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32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(in millions)</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July 1 — 31, 2026</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August 1 — 31, 2026</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$309.67</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5.4</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1 — 30, 2026</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5.4</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$309.67</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2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40" w:hanging="332"/>
        <w:spacing w:after="0" w:line="258" w:lineRule="auto"/>
        <w:tabs>
          <w:tab w:leader="none" w:pos="40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29, 2025, the TSX accepted our notice to launch an NCIB (2025 NCIB). The 2025 NCIB allows us to repurchase, at our discretion, from November 3, 2025 until the earlier of November 2, 2026 or the completion of purchases thereunder, up to 5,722,527 of our Common Shares in the open market, or as otherwise permitted, subject to the normal terms and limitations of such bids and compliance with applicable securities laws, TSX rules, and the volume and other limitations under Rule 10b-18 under the Exchange Act. The maximum number of Common Shares we are permitted to repurchase for cancellation under the 2025 NCIB will be reduced by the number of Common Shares we arrange to be purchased by any non-independent broker in the open market during its term to satisfy delivery obligations under our SBC plans, if any. In August 2026, under the 2025 NCIB, we repurchased 0.1 million Common Shares through a non-independent broker for delivery obligations under our SBC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(each as defined in Regulation S-K Item 408(a)) during the Company’s fiscal quarter ended September 30,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43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18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Filed/</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243"/>
        </w:trPr>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43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Description</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File No.</w:t>
            </w: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Filing Date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68"/>
        </w:trPr>
        <w:tc>
          <w:tcPr>
            <w:tcW w:w="118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5200" w:type="dxa"/>
            <w:vAlign w:val="bottom"/>
            <w:gridSpan w:val="2"/>
          </w:tcPr>
          <w:p>
            <w:pPr>
              <w:ind w:left="120"/>
              <w:spacing w:after="0" w:line="169" w:lineRule="exact"/>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 xml:space="preserve">Certificate and Restated Articles of Incorporation, effective </w:t>
              </w:r>
            </w:hyperlink>
            <w:r>
              <w:rPr>
                <w:rFonts w:ascii="Times New Roman" w:cs="Times New Roman" w:eastAsia="Times New Roman" w:hAnsi="Times New Roman"/>
                <w:sz w:val="18"/>
                <w:szCs w:val="18"/>
                <w:color w:val="auto"/>
              </w:rPr>
              <w:t>6-K</w:t>
            </w:r>
          </w:p>
        </w:tc>
        <w:tc>
          <w:tcPr>
            <w:tcW w:w="126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001-14832</w:t>
            </w:r>
          </w:p>
        </w:tc>
        <w:tc>
          <w:tcPr>
            <w:tcW w:w="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99.2</w:t>
            </w:r>
          </w:p>
        </w:tc>
        <w:tc>
          <w:tcPr>
            <w:tcW w:w="158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April 25, 2024</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April 25, 2024</w:t>
              </w:r>
            </w:hyperlink>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4360" w:type="dxa"/>
            <w:vAlign w:val="bottom"/>
          </w:tcPr>
          <w:p>
            <w:pPr>
              <w:ind w:left="120"/>
              <w:spacing w:after="0" w:line="184" w:lineRule="exact"/>
              <w:rPr>
                <w:rFonts w:ascii="Times New Roman" w:cs="Times New Roman" w:eastAsia="Times New Roman" w:hAnsi="Times New Roman"/>
                <w:sz w:val="18"/>
                <w:szCs w:val="18"/>
                <w:color w:val="auto"/>
                <w:w w:val="99"/>
              </w:rPr>
            </w:pPr>
            <w:hyperlink r:id="rId80">
              <w:r>
                <w:rPr>
                  <w:rFonts w:ascii="Times New Roman" w:cs="Times New Roman" w:eastAsia="Times New Roman" w:hAnsi="Times New Roman"/>
                  <w:sz w:val="18"/>
                  <w:szCs w:val="18"/>
                  <w:color w:val="auto"/>
                  <w:w w:val="99"/>
                </w:rPr>
                <w:t>Certificate and Articles of Amendment, effective April 25,</w:t>
              </w:r>
            </w:hyperlink>
          </w:p>
        </w:tc>
        <w:tc>
          <w:tcPr>
            <w:tcW w:w="8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6-K</w:t>
            </w:r>
          </w:p>
        </w:tc>
        <w:tc>
          <w:tcPr>
            <w:tcW w:w="1260" w:type="dxa"/>
            <w:vAlign w:val="bottom"/>
          </w:tcPr>
          <w:p>
            <w:pPr>
              <w:jc w:val="right"/>
              <w:ind w:right="250"/>
              <w:spacing w:after="0" w:line="184" w:lineRule="exact"/>
              <w:rPr>
                <w:sz w:val="20"/>
                <w:szCs w:val="20"/>
                <w:color w:val="auto"/>
              </w:rPr>
            </w:pPr>
            <w:r>
              <w:rPr>
                <w:rFonts w:ascii="Times New Roman" w:cs="Times New Roman" w:eastAsia="Times New Roman" w:hAnsi="Times New Roman"/>
                <w:sz w:val="18"/>
                <w:szCs w:val="18"/>
                <w:color w:val="auto"/>
              </w:rPr>
              <w:t>001-14832</w:t>
            </w:r>
          </w:p>
        </w:tc>
        <w:tc>
          <w:tcPr>
            <w:tcW w:w="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58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April 25, 2024</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2024</w:t>
              </w:r>
            </w:hyperlink>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4360" w:type="dxa"/>
            <w:vAlign w:val="bottom"/>
          </w:tcPr>
          <w:p>
            <w:pPr>
              <w:ind w:left="120"/>
              <w:spacing w:after="0"/>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Amended and Restated By-Law No. 1</w:t>
              </w:r>
            </w:hyperlink>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6-K</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001-14832</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28, 2024</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4360" w:type="dxa"/>
            <w:vAlign w:val="bottom"/>
          </w:tcPr>
          <w:p>
            <w:pPr>
              <w:ind w:left="120"/>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By-Law No. 2</w:t>
              </w:r>
            </w:hyperlink>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001-14832</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January 31, 2025</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Fourth Amendment to the Revolving Trade Receivables</w:t>
            </w: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Agreement, dated as of March 31, 2023, among</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Celestica LLC, Celestica Holdings Pte Ltd., Celestica</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 Ltd., Celestica (Romania) S.R.L., Celestica</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 KK, Celestica Oregon LLC, Celestica Electronics</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 Sdn. Bhd, Celestica Precision Machining Ltd., and</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Celestica International LP, as Sellers, Celestica Inc., as</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Servicer, and Credit Agricole Corporate and Investment</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New York Branch and Credit Agricole Corporate</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2"/>
                <w:szCs w:val="22"/>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Investment Bank (Canada Branch), as Purchasers</w:t>
            </w: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the Principal Executive Officer and</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Pursuant to Section 906 of the</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INS***</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7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SCH</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4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CAL</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LAB</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PRE</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4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DEF</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document in Exhibit 101)</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1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80" w:type="dxa"/>
            <w:vAlign w:val="bottom"/>
            <w:tcBorders>
              <w:bottom w:val="single" w:sz="8" w:color="9A9A9A"/>
            </w:tcBorders>
          </w:tcPr>
          <w:p>
            <w:pPr>
              <w:spacing w:after="0"/>
              <w:rPr>
                <w:sz w:val="11"/>
                <w:szCs w:val="11"/>
                <w:color w:val="auto"/>
              </w:rPr>
            </w:pPr>
          </w:p>
        </w:tc>
        <w:tc>
          <w:tcPr>
            <w:tcW w:w="43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Certain portions of this exhibit have been omitted because they are both: (i) not material; and (ii) of the type that the registrant treats as private or confidential.</w:t>
      </w:r>
    </w:p>
    <w:p>
      <w:pPr>
        <w:spacing w:after="0" w:line="46" w:lineRule="exact"/>
        <w:rPr>
          <w:sz w:val="20"/>
          <w:szCs w:val="20"/>
          <w:color w:val="auto"/>
        </w:rPr>
      </w:pPr>
    </w:p>
    <w:p>
      <w:pPr>
        <w:jc w:val="both"/>
        <w:ind w:left="420" w:hanging="412"/>
        <w:spacing w:after="0" w:line="270" w:lineRule="auto"/>
        <w:tabs>
          <w:tab w:leader="none" w:pos="36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purposes of Section 18 of the U.S. Exchange Act, or otherwise subject to the liability of that section, nor shall it be deemed incorporated by reference into any filing under the U.S. Securities Act or the U.S. Exchange Act, except to the extent that the registrant specifically incorporates it by reference.</w:t>
      </w:r>
    </w:p>
    <w:p>
      <w:pPr>
        <w:ind w:left="420" w:hanging="412"/>
        <w:spacing w:after="0"/>
        <w:tabs>
          <w:tab w:leader="none" w:pos="4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540" w:firstLine="405"/>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CELESTICA INC.</w:t>
            </w:r>
          </w:p>
        </w:tc>
        <w:tc>
          <w:tcPr>
            <w:tcW w:w="0" w:type="dxa"/>
            <w:vAlign w:val="bottom"/>
          </w:tcPr>
          <w:p>
            <w:pPr>
              <w:spacing w:after="0"/>
              <w:rPr>
                <w:sz w:val="1"/>
                <w:szCs w:val="1"/>
                <w:color w:val="auto"/>
              </w:rPr>
            </w:pP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Mionis</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256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4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Mionis</w:t>
            </w:r>
          </w:p>
        </w:tc>
        <w:tc>
          <w:tcPr>
            <w:tcW w:w="0" w:type="dxa"/>
            <w:vAlign w:val="bottom"/>
          </w:tcPr>
          <w:p>
            <w:pPr>
              <w:spacing w:after="0"/>
              <w:rPr>
                <w:sz w:val="1"/>
                <w:szCs w:val="1"/>
                <w:color w:val="auto"/>
              </w:rPr>
            </w:pPr>
          </w:p>
        </w:tc>
      </w:tr>
      <w:tr>
        <w:trPr>
          <w:trHeight w:val="378"/>
        </w:trPr>
        <w:tc>
          <w:tcPr>
            <w:tcW w:w="3440" w:type="dxa"/>
            <w:vAlign w:val="bottom"/>
          </w:tcPr>
          <w:p>
            <w:pPr>
              <w:spacing w:after="0"/>
              <w:rPr>
                <w:sz w:val="24"/>
                <w:szCs w:val="24"/>
                <w:color w:val="auto"/>
              </w:rPr>
            </w:pP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5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Todd Ankenmann</w:t>
            </w:r>
          </w:p>
        </w:tc>
        <w:tc>
          <w:tcPr>
            <w:tcW w:w="0" w:type="dxa"/>
            <w:vAlign w:val="bottom"/>
          </w:tcPr>
          <w:p>
            <w:pPr>
              <w:spacing w:after="0"/>
              <w:rPr>
                <w:sz w:val="1"/>
                <w:szCs w:val="1"/>
                <w:color w:val="auto"/>
              </w:rPr>
            </w:pPr>
          </w:p>
        </w:tc>
      </w:tr>
      <w:tr>
        <w:trPr>
          <w:trHeight w:val="67"/>
        </w:trPr>
        <w:tc>
          <w:tcPr>
            <w:tcW w:w="3440" w:type="dxa"/>
            <w:vAlign w:val="bottom"/>
          </w:tcPr>
          <w:p>
            <w:pPr>
              <w:spacing w:after="0"/>
              <w:rPr>
                <w:sz w:val="5"/>
                <w:szCs w:val="5"/>
                <w:color w:val="auto"/>
              </w:rPr>
            </w:pPr>
          </w:p>
        </w:tc>
        <w:tc>
          <w:tcPr>
            <w:tcW w:w="256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Ankenmann</w:t>
            </w:r>
          </w:p>
        </w:tc>
        <w:tc>
          <w:tcPr>
            <w:tcW w:w="0" w:type="dxa"/>
            <w:vAlign w:val="bottom"/>
          </w:tcPr>
          <w:p>
            <w:pPr>
              <w:spacing w:after="0"/>
              <w:rPr>
                <w:sz w:val="1"/>
                <w:szCs w:val="1"/>
                <w:color w:val="auto"/>
              </w:rPr>
            </w:pPr>
          </w:p>
        </w:tc>
      </w:tr>
      <w:tr>
        <w:trPr>
          <w:trHeight w:val="378"/>
        </w:trPr>
        <w:tc>
          <w:tcPr>
            <w:tcW w:w="3440" w:type="dxa"/>
            <w:vAlign w:val="bottom"/>
          </w:tcPr>
          <w:p>
            <w:pPr>
              <w:spacing w:after="0"/>
              <w:rPr>
                <w:sz w:val="24"/>
                <w:szCs w:val="24"/>
                <w:color w:val="auto"/>
              </w:rPr>
            </w:pP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941"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AMENDMENT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REVOLVING TRADE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MEMORANDUM OF AGREEMENT </w:t>
      </w:r>
      <w:r>
        <w:rPr>
          <w:rFonts w:ascii="Times New Roman" w:cs="Times New Roman" w:eastAsia="Times New Roman" w:hAnsi="Times New Roman"/>
          <w:sz w:val="22"/>
          <w:szCs w:val="22"/>
          <w:color w:val="auto"/>
        </w:rPr>
        <w:t>made as of the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September,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(hereinafter referred to as the “</w:t>
      </w:r>
      <w:r>
        <w:rPr>
          <w:rFonts w:ascii="Times New Roman" w:cs="Times New Roman" w:eastAsia="Times New Roman" w:hAnsi="Times New Roman"/>
          <w:sz w:val="22"/>
          <w:szCs w:val="22"/>
          <w:b w:val="1"/>
          <w:bCs w:val="1"/>
          <w:u w:val="single" w:color="auto"/>
          <w:color w:val="auto"/>
        </w:rPr>
        <w:t>Servicer</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and -</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LLC,</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HOLDINGS PTE LTD,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HONG KONG LIMITED,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(ROMANIA) S.R.L.,</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JAPAN KK,</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OREGON LLC,</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ELECTRONICS (M.) SDN. BHD.,</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PRECISION MACHINING LTD.,</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 and -</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CELESTICA INTERNATIONAL LP, by its general partner, Celestica International GP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(hereinafter referred to collectively as the “</w:t>
      </w:r>
      <w:r>
        <w:rPr>
          <w:rFonts w:ascii="Times New Roman" w:cs="Times New Roman" w:eastAsia="Times New Roman" w:hAnsi="Times New Roman"/>
          <w:sz w:val="22"/>
          <w:szCs w:val="22"/>
          <w:b w:val="1"/>
          <w:bCs w:val="1"/>
          <w:u w:val="single" w:color="auto"/>
          <w:color w:val="auto"/>
        </w:rPr>
        <w:t>Sellers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and -</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CREDIT AGRICOLE CORPORATE AND INVESTMENT BANK,</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NEW YORK BRANCH</w:t>
      </w:r>
    </w:p>
    <w:p>
      <w:pPr>
        <w:spacing w:after="0" w:line="19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and -</w:t>
      </w:r>
    </w:p>
    <w:p>
      <w:pPr>
        <w:spacing w:after="0" w:line="216" w:lineRule="exact"/>
        <w:rPr>
          <w:sz w:val="20"/>
          <w:szCs w:val="20"/>
          <w:color w:val="auto"/>
        </w:rPr>
      </w:pPr>
    </w:p>
    <w:p>
      <w:pPr>
        <w:ind w:left="1960" w:right="3100"/>
        <w:spacing w:after="0" w:line="287" w:lineRule="auto"/>
        <w:rPr>
          <w:sz w:val="20"/>
          <w:szCs w:val="20"/>
          <w:color w:val="auto"/>
        </w:rPr>
      </w:pPr>
      <w:r>
        <w:rPr>
          <w:rFonts w:ascii="Times New Roman" w:cs="Times New Roman" w:eastAsia="Times New Roman" w:hAnsi="Times New Roman"/>
          <w:sz w:val="22"/>
          <w:szCs w:val="22"/>
          <w:b w:val="1"/>
          <w:bCs w:val="1"/>
          <w:color w:val="auto"/>
        </w:rPr>
        <w:t>CREDIT AGRICOLE CORPORATE AND INVESTMENT BANK (CANADA BRANCH),</w:t>
      </w:r>
    </w:p>
    <w:p>
      <w:pPr>
        <w:spacing w:after="0" w:line="1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(hereinafter each referred to as “</w:t>
      </w:r>
      <w:r>
        <w:rPr>
          <w:rFonts w:ascii="Times New Roman" w:cs="Times New Roman" w:eastAsia="Times New Roman" w:hAnsi="Times New Roman"/>
          <w:sz w:val="22"/>
          <w:szCs w:val="22"/>
          <w:b w:val="1"/>
          <w:bCs w:val="1"/>
          <w:u w:val="single" w:color="auto"/>
          <w:color w:val="auto"/>
        </w:rPr>
        <w:t>Purchaser</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b w:val="1"/>
          <w:bCs w:val="1"/>
          <w:u w:val="single" w:color="auto"/>
          <w:color w:val="auto"/>
        </w:rPr>
        <w:t>Purchasers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22"/>
          <w:szCs w:val="22"/>
          <w:color w:val="auto"/>
        </w:rPr>
        <w:t>WHEREAS the Sellers, the Servicer and the Purchasers are parties to a Revolving Trade Receivables Purchase Agreement, dated as of March 6, 2020, as amended by the First Amendment thereto dated as of February 4, 2022, the Second Amendment thereto dated as of September 27, 2022, and the Third Amendment thereto dated as of March 31, 2023 (as so amended, and as it may be further amended, restated, modified or supplemented, the “</w:t>
      </w:r>
      <w:r>
        <w:rPr>
          <w:rFonts w:ascii="Times New Roman" w:cs="Times New Roman" w:eastAsia="Times New Roman" w:hAnsi="Times New Roman"/>
          <w:sz w:val="22"/>
          <w:szCs w:val="22"/>
          <w:b w:val="1"/>
          <w:bCs w:val="1"/>
          <w:u w:val="single" w:color="auto"/>
          <w:color w:val="auto"/>
        </w:rPr>
        <w:t>Receivables Purchase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Celestica – Fourth Amendment to Revolving Trade Receivables Purchase Agreement</w:t>
      </w:r>
    </w:p>
    <w:p>
      <w:pPr>
        <w:sectPr>
          <w:pgSz w:w="11900" w:h="16838" w:orient="portrait"/>
          <w:cols w:equalWidth="0" w:num="1">
            <w:col w:w="11240"/>
          </w:cols>
          <w:pgMar w:left="320" w:top="603" w:right="339" w:bottom="1440" w:gutter="0" w:footer="0" w:header="0"/>
        </w:sectPr>
      </w:pPr>
    </w:p>
    <w:bookmarkStart w:id="56" w:name="page57"/>
    <w:bookmarkEnd w:id="56"/>
    <w:p>
      <w:pPr>
        <w:spacing w:after="0" w:line="200" w:lineRule="exact"/>
        <w:rPr>
          <w:sz w:val="20"/>
          <w:szCs w:val="20"/>
          <w:color w:val="auto"/>
        </w:rPr>
      </w:pPr>
    </w:p>
    <w:p>
      <w:pPr>
        <w:spacing w:after="0" w:line="241" w:lineRule="exact"/>
        <w:rPr>
          <w:sz w:val="20"/>
          <w:szCs w:val="20"/>
          <w:color w:val="auto"/>
        </w:rPr>
      </w:pPr>
    </w:p>
    <w:p>
      <w:pPr>
        <w:jc w:val="both"/>
        <w:ind w:right="20" w:firstLine="1295"/>
        <w:spacing w:after="0" w:line="295" w:lineRule="auto"/>
        <w:rPr>
          <w:sz w:val="20"/>
          <w:szCs w:val="20"/>
          <w:color w:val="auto"/>
        </w:rPr>
      </w:pPr>
      <w:r>
        <w:rPr>
          <w:rFonts w:ascii="Times New Roman" w:cs="Times New Roman" w:eastAsia="Times New Roman" w:hAnsi="Times New Roman"/>
          <w:sz w:val="21"/>
          <w:szCs w:val="21"/>
          <w:color w:val="auto"/>
        </w:rPr>
        <w:t>WHEREAS the Sellers, the Servicer and the Purchasers now wish to further amend the Receivables Purchase Agreement by this Fourth Amendment to the Revolving Trade Receivables Purchase Agreement (this “</w:t>
      </w:r>
      <w:r>
        <w:rPr>
          <w:rFonts w:ascii="Times New Roman" w:cs="Times New Roman" w:eastAsia="Times New Roman" w:hAnsi="Times New Roman"/>
          <w:sz w:val="21"/>
          <w:szCs w:val="21"/>
          <w:b w:val="1"/>
          <w:bCs w:val="1"/>
          <w:u w:val="single" w:color="auto"/>
          <w:color w:val="auto"/>
        </w:rPr>
        <w:t>Amending Agreement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1295"/>
        <w:spacing w:after="0" w:line="284" w:lineRule="auto"/>
        <w:rPr>
          <w:sz w:val="20"/>
          <w:szCs w:val="20"/>
          <w:color w:val="auto"/>
        </w:rPr>
      </w:pPr>
      <w:r>
        <w:rPr>
          <w:rFonts w:ascii="Times New Roman" w:cs="Times New Roman" w:eastAsia="Times New Roman" w:hAnsi="Times New Roman"/>
          <w:sz w:val="22"/>
          <w:szCs w:val="22"/>
          <w:color w:val="auto"/>
        </w:rPr>
        <w:t>AND WHEREAS Section 8.1 of the Receivables Purchase Agreement permits written amendments thereto with the written consent of each of the Sellers, the Servicer and, the Purchasers;</w:t>
      </w:r>
    </w:p>
    <w:p>
      <w:pPr>
        <w:spacing w:after="0" w:line="144"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22"/>
          <w:szCs w:val="22"/>
          <w:color w:val="auto"/>
        </w:rPr>
        <w:t>NOW THEREFORE THIS AGREEMENT WITNESSES that, in consideration of the premises, covenants and agreements of the parties herein contained and for other good and valuable consideration, the receipt and sufficiency of which are hereby acknowledged by each party, the parties hereby covenant and agree as follows:</w:t>
      </w:r>
    </w:p>
    <w:p>
      <w:pPr>
        <w:spacing w:after="0" w:line="169" w:lineRule="exact"/>
        <w:rPr>
          <w:sz w:val="20"/>
          <w:szCs w:val="20"/>
          <w:color w:val="auto"/>
        </w:rPr>
      </w:pPr>
    </w:p>
    <w:p>
      <w:pPr>
        <w:ind w:left="660" w:hanging="652"/>
        <w:spacing w:after="0" w:line="287"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capitalized terms and expressions used and not otherwise defined in this Amending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recitals hereto shall have the meanings specified in the Receivables Purchase Agreement.</w:t>
      </w:r>
    </w:p>
    <w:p>
      <w:pPr>
        <w:spacing w:after="0" w:line="13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of Definitions in Section 1.1</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are hereby amended and restated in their entirety as follows:</w:t>
      </w:r>
    </w:p>
    <w:p>
      <w:pPr>
        <w:spacing w:after="0" w:line="21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Collection Accounts</w:t>
      </w:r>
      <w:r>
        <w:rPr>
          <w:rFonts w:ascii="Times New Roman" w:cs="Times New Roman" w:eastAsia="Times New Roman" w:hAnsi="Times New Roman"/>
          <w:sz w:val="21"/>
          <w:szCs w:val="21"/>
          <w:color w:val="auto"/>
        </w:rPr>
        <w:t>”: each of account Nos. [**REDACTED**], in each case with Bank of America and each other account from time to time opened by a Seller and subject to the Lien of the Collection Account Pledge Agreement or, in the case of the Malaysian Collection Account subject to the Lien of the Malaysian Collection Account Pledge Agreement, provided that, except with respect to the Malaysian Collection Account, the relevant account bank shall have executed and delivered a Deposit Account Control Agreement or Security Deed, and in the case of the Malaysian Collection Account, the relevant account bank shall have acknowledged the notification comprising Annex 2 to the Malaysian Collection Account Pledge Agreement, as the case may be, in form and substance satisfactory to the Purchasers and shall have taken such other measures as the Purchasers shall require to assure its security interest in such account.</w:t>
      </w:r>
    </w:p>
    <w:p>
      <w:pPr>
        <w:spacing w:after="0" w:line="178"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Maximum Facility Amount</w:t>
      </w:r>
      <w:r>
        <w:rPr>
          <w:rFonts w:ascii="Times New Roman" w:cs="Times New Roman" w:eastAsia="Times New Roman" w:hAnsi="Times New Roman"/>
          <w:sz w:val="22"/>
          <w:szCs w:val="22"/>
          <w:color w:val="auto"/>
        </w:rPr>
        <w:t>”: means the lower of (i) $1,000,000,000 (including the Purchasing Participants) and (ii) the aggregate of the Obligor Limits, or the equivalent amount in other currencies, it being understood that the Maximum Facility Amount for the Purchasers is $500,000,000 (excluding the Purchasing Participants).</w:t>
      </w:r>
    </w:p>
    <w:p>
      <w:pPr>
        <w:spacing w:after="0" w:line="16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 SOFR</w:t>
      </w:r>
      <w:r>
        <w:rPr>
          <w:rFonts w:ascii="Times New Roman" w:cs="Times New Roman" w:eastAsia="Times New Roman" w:hAnsi="Times New Roman"/>
          <w:sz w:val="22"/>
          <w:szCs w:val="22"/>
          <w:color w:val="auto"/>
        </w:rPr>
        <w:t>”: means the Term SOFR Reference Rate for a tenor comparable to the applicable Discount Period or other period, as applicable, as such rate is published by the Term SOFR Administrator on the day (such day, the “</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 Day</w:t>
      </w:r>
      <w:r>
        <w:rPr>
          <w:rFonts w:ascii="Times New Roman" w:cs="Times New Roman" w:eastAsia="Times New Roman" w:hAnsi="Times New Roman"/>
          <w:sz w:val="22"/>
          <w:szCs w:val="22"/>
          <w:color w:val="auto"/>
        </w:rPr>
        <w:t>”) two (2) U.S. Government Securities Business Days prior to the Purchase Date for the applicable Purchased Asset or two (2) U.S. Government Securities Business Days</w:t>
      </w:r>
    </w:p>
    <w:p>
      <w:pPr>
        <w:sectPr>
          <w:pgSz w:w="11900" w:h="16838" w:orient="portrait"/>
          <w:cols w:equalWidth="0" w:num="1">
            <w:col w:w="11240"/>
          </w:cols>
          <w:pgMar w:left="320" w:top="1440" w:right="339" w:bottom="1440" w:gutter="0" w:footer="0" w:header="0"/>
        </w:sectPr>
      </w:pPr>
    </w:p>
    <w:bookmarkStart w:id="57" w:name="page58"/>
    <w:bookmarkEnd w:id="57"/>
    <w:p>
      <w:pPr>
        <w:jc w:val="both"/>
        <w:ind w:left="652"/>
        <w:spacing w:after="0" w:line="248" w:lineRule="auto"/>
        <w:rPr>
          <w:sz w:val="20"/>
          <w:szCs w:val="20"/>
          <w:color w:val="auto"/>
        </w:rPr>
      </w:pPr>
      <w:r>
        <w:rPr>
          <w:rFonts w:ascii="Times New Roman" w:cs="Times New Roman" w:eastAsia="Times New Roman" w:hAnsi="Times New Roman"/>
          <w:sz w:val="22"/>
          <w:szCs w:val="22"/>
          <w:color w:val="auto"/>
        </w:rPr>
        <w:t>immediately preceding the first day for which such rate is accruing, as applicable; provided, that (i) if the Term SOFR Administrator does not publish the Term SOFR Reference for a tenor comparable to such Discount Period or other period, the Term SOFR Reference Rate shall be determined by the Purchasers by linear interpolation of (A) the Term SOFR Reference Rate for the longest published tenor which is shorter than such Discount Period or other period, as such rate is otherwise determined pursuant to the terms of this definition, and (B) the Term SOFR Reference Rate for the shortest published tenor which is longer than such Discount Period or other period, as such rate is otherwise determined pursuant to the terms of this definition, and (ii) if on any Term SOFR Determination Day the Term SOFR Reference Rate for the applicable tenor is not published by the Term SOFR Administrator, then Term SOFR shall be the Term SOFR Reference Rate for the applicable tenor as most recently published by the Term SOFR Administrator. Notwithstanding the foregoing, if Term SOFR as determined above would be less than 0%, then Term SOFR shall be deemed to be 0.001% for purposes of the Agreement.</w:t>
      </w:r>
    </w:p>
    <w:p>
      <w:pPr>
        <w:spacing w:after="0" w:line="189" w:lineRule="exact"/>
        <w:rPr>
          <w:sz w:val="20"/>
          <w:szCs w:val="20"/>
          <w:color w:val="auto"/>
        </w:rPr>
      </w:pPr>
    </w:p>
    <w:p>
      <w:pPr>
        <w:ind w:left="1292" w:hanging="644"/>
        <w:spacing w:after="0"/>
        <w:tabs>
          <w:tab w:leader="none" w:pos="12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“Credit Spread Adjustment” is deleted in its entirety.</w:t>
      </w:r>
    </w:p>
    <w:p>
      <w:pPr>
        <w:spacing w:after="0" w:line="215" w:lineRule="exact"/>
        <w:rPr>
          <w:rFonts w:ascii="Times New Roman" w:cs="Times New Roman" w:eastAsia="Times New Roman" w:hAnsi="Times New Roman"/>
          <w:sz w:val="22"/>
          <w:szCs w:val="22"/>
          <w:color w:val="auto"/>
        </w:rPr>
      </w:pPr>
    </w:p>
    <w:p>
      <w:pPr>
        <w:ind w:left="652" w:hanging="652"/>
        <w:spacing w:after="0" w:line="275" w:lineRule="auto"/>
        <w:tabs>
          <w:tab w:leader="none" w:pos="6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Schedule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1.2 to the Receivables Purchase Agreement is hereby amended and restated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in the form attached hereto and made a part hereof.</w:t>
      </w:r>
    </w:p>
    <w:p>
      <w:pPr>
        <w:spacing w:after="0" w:line="16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Exhibit K</w:t>
      </w:r>
      <w:r>
        <w:rPr>
          <w:rFonts w:ascii="Times New Roman" w:cs="Times New Roman" w:eastAsia="Times New Roman" w:hAnsi="Times New Roman"/>
          <w:sz w:val="22"/>
          <w:szCs w:val="22"/>
          <w:color w:val="auto"/>
        </w:rPr>
        <w:t>. Exhibit K to the Receivables Purchase Agreement is deleted in its entirety.</w:t>
      </w:r>
    </w:p>
    <w:p>
      <w:pPr>
        <w:spacing w:after="0" w:line="219" w:lineRule="exact"/>
        <w:rPr>
          <w:rFonts w:ascii="Times New Roman" w:cs="Times New Roman" w:eastAsia="Times New Roman" w:hAnsi="Times New Roman"/>
          <w:sz w:val="22"/>
          <w:szCs w:val="22"/>
          <w:color w:val="auto"/>
        </w:rPr>
      </w:pPr>
    </w:p>
    <w:p>
      <w:pPr>
        <w:jc w:val="both"/>
        <w:ind w:left="652" w:hanging="652"/>
        <w:spacing w:after="0" w:line="259" w:lineRule="auto"/>
        <w:tabs>
          <w:tab w:leader="none" w:pos="6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induce the Purchasers to enter into this Amending Agreement, the Guarantor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Sellers hereby jointly and severally make the following representations and warranties (provided that Celestica Romania shall only be responsible hereunder for its own representations and warranties):</w:t>
      </w:r>
    </w:p>
    <w:p>
      <w:pPr>
        <w:spacing w:after="0" w:line="170" w:lineRule="exact"/>
        <w:rPr>
          <w:rFonts w:ascii="Times New Roman" w:cs="Times New Roman" w:eastAsia="Times New Roman" w:hAnsi="Times New Roman"/>
          <w:sz w:val="22"/>
          <w:szCs w:val="22"/>
          <w:color w:val="auto"/>
        </w:rPr>
      </w:pPr>
    </w:p>
    <w:p>
      <w:pPr>
        <w:ind w:left="1292" w:hanging="644"/>
        <w:spacing w:after="0" w:line="284" w:lineRule="auto"/>
        <w:tabs>
          <w:tab w:leader="none" w:pos="128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and each of the Sellers hereby represent and warrant as of the date of this Amending Agreement that no Termination Event or Incipient Termination Event has occurred and is continuing.</w:t>
      </w:r>
    </w:p>
    <w:p>
      <w:pPr>
        <w:spacing w:after="0" w:line="143" w:lineRule="exact"/>
        <w:rPr>
          <w:rFonts w:ascii="Times New Roman" w:cs="Times New Roman" w:eastAsia="Times New Roman" w:hAnsi="Times New Roman"/>
          <w:sz w:val="22"/>
          <w:szCs w:val="22"/>
          <w:color w:val="auto"/>
        </w:rPr>
      </w:pPr>
    </w:p>
    <w:p>
      <w:pPr>
        <w:jc w:val="both"/>
        <w:ind w:left="1292" w:hanging="644"/>
        <w:spacing w:after="0" w:line="251" w:lineRule="auto"/>
        <w:tabs>
          <w:tab w:leader="none" w:pos="128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and each Seller, as of the date hereof, hereby represents and warrants that the execution, delivery and performance of this Amending Agreement and any and all other agreements, documents and instruments executed and/or delivered in connection herewith have been duly authorized by all requisite action on the part of the Servicer and the Sellers, constitute its legal, valid and binding obligation, enforceable against it in accordance with their terms and that this Amending Agreement has been duly executed and delivered on behalf of the Servicer and each Seller.</w:t>
      </w:r>
    </w:p>
    <w:p>
      <w:pPr>
        <w:spacing w:after="0" w:line="181" w:lineRule="exact"/>
        <w:rPr>
          <w:rFonts w:ascii="Times New Roman" w:cs="Times New Roman" w:eastAsia="Times New Roman" w:hAnsi="Times New Roman"/>
          <w:sz w:val="22"/>
          <w:szCs w:val="22"/>
          <w:color w:val="auto"/>
        </w:rPr>
      </w:pPr>
    </w:p>
    <w:p>
      <w:pPr>
        <w:ind w:left="1292" w:hanging="644"/>
        <w:spacing w:after="0" w:line="271" w:lineRule="auto"/>
        <w:tabs>
          <w:tab w:leader="none" w:pos="128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and each of the Sellers hereby represent and warrant as of the date of this Amending Agreement and as of the Effective Date (as defined below) that</w:t>
      </w:r>
    </w:p>
    <w:p>
      <w:pPr>
        <w:sectPr>
          <w:pgSz w:w="11900" w:h="16838" w:orient="portrait"/>
          <w:cols w:equalWidth="0" w:num="1">
            <w:col w:w="11232"/>
          </w:cols>
          <w:pgMar w:left="328" w:top="1422" w:right="339" w:bottom="1440" w:gutter="0" w:footer="0" w:header="0"/>
        </w:sectPr>
      </w:pPr>
    </w:p>
    <w:bookmarkStart w:id="58" w:name="page59"/>
    <w:bookmarkEnd w:id="58"/>
    <w:p>
      <w:pPr>
        <w:ind w:left="1300" w:right="20"/>
        <w:spacing w:after="0" w:line="271" w:lineRule="auto"/>
        <w:rPr>
          <w:sz w:val="20"/>
          <w:szCs w:val="20"/>
          <w:color w:val="auto"/>
        </w:rPr>
      </w:pPr>
      <w:r>
        <w:rPr>
          <w:rFonts w:ascii="Times New Roman" w:cs="Times New Roman" w:eastAsia="Times New Roman" w:hAnsi="Times New Roman"/>
          <w:sz w:val="22"/>
          <w:szCs w:val="22"/>
          <w:color w:val="auto"/>
        </w:rPr>
        <w:t>since the date of the most recent financial statements made available to the Purchasers there has been no change, development or event that has had or could reasonably be expected to have a Material Adverse Effect.</w:t>
      </w:r>
    </w:p>
    <w:p>
      <w:pPr>
        <w:spacing w:after="0" w:line="154" w:lineRule="exact"/>
        <w:rPr>
          <w:sz w:val="20"/>
          <w:szCs w:val="20"/>
          <w:color w:val="auto"/>
        </w:rPr>
      </w:pPr>
    </w:p>
    <w:p>
      <w:pPr>
        <w:jc w:val="both"/>
        <w:ind w:left="660" w:hanging="652"/>
        <w:spacing w:after="0" w:line="283" w:lineRule="auto"/>
        <w:tabs>
          <w:tab w:leader="none" w:pos="6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Ratification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for the specific changes and amendments to the Receivables Purchase Agreement contained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Receivables Purchase Agreement and all related documents are in all other respects ratified and confirmed and the Receivables Purchase Agreement as amended hereby shall be read, taken and construed as one and the same instrument.</w:t>
      </w:r>
    </w:p>
    <w:p>
      <w:pPr>
        <w:spacing w:after="0" w:line="144" w:lineRule="exact"/>
        <w:rPr>
          <w:rFonts w:ascii="Times New Roman" w:cs="Times New Roman" w:eastAsia="Times New Roman" w:hAnsi="Times New Roman"/>
          <w:sz w:val="21"/>
          <w:szCs w:val="21"/>
          <w:color w:val="auto"/>
        </w:rPr>
      </w:pPr>
    </w:p>
    <w:p>
      <w:pPr>
        <w:jc w:val="both"/>
        <w:ind w:left="660" w:hanging="652"/>
        <w:spacing w:after="0" w:line="258"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Amending Agreement may be executed by one or more of the parties to this Amending Agreement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number of separate counterparts, and all of said counterparts taken together shall be deemed to constitute one and the same instrument. A set of this Amending Agreement signed by all the parties shall be lodged with the Servicer and the Purchasers.</w:t>
      </w:r>
    </w:p>
    <w:p>
      <w:pPr>
        <w:spacing w:after="0" w:line="167" w:lineRule="exact"/>
        <w:rPr>
          <w:rFonts w:ascii="Times New Roman" w:cs="Times New Roman" w:eastAsia="Times New Roman" w:hAnsi="Times New Roman"/>
          <w:sz w:val="22"/>
          <w:szCs w:val="22"/>
          <w:color w:val="auto"/>
        </w:rPr>
      </w:pPr>
    </w:p>
    <w:p>
      <w:pPr>
        <w:jc w:val="both"/>
        <w:ind w:left="660" w:right="20" w:hanging="652"/>
        <w:spacing w:after="0" w:line="259"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Confirmation of Guarantee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Guarantor hereby confirms and agrees that (i) the Guarantee is and shall continue to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force and effect and is otherwise hereby ratified and confirmed in all respects; and (ii) the Guarantee is and shall continue to be an unconditional and irrevocable guarantee of all of the Obligations (as defined in the Guarantee).</w:t>
      </w:r>
    </w:p>
    <w:p>
      <w:pPr>
        <w:spacing w:after="0" w:line="166" w:lineRule="exact"/>
        <w:rPr>
          <w:rFonts w:ascii="Times New Roman" w:cs="Times New Roman" w:eastAsia="Times New Roman" w:hAnsi="Times New Roman"/>
          <w:sz w:val="22"/>
          <w:szCs w:val="22"/>
          <w:color w:val="auto"/>
        </w:rPr>
      </w:pPr>
    </w:p>
    <w:p>
      <w:pPr>
        <w:jc w:val="both"/>
        <w:ind w:left="660" w:hanging="652"/>
        <w:spacing w:after="0" w:line="265"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shall, and hereby agrees to, acknowledge and deliver or cause to be done,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and delivered, such further acts, deeds, mortgages, transfers and assurances as are reasonably required for the purpose of accomplishing and effecting the intention of this Amending Agreement.</w:t>
      </w:r>
    </w:p>
    <w:p>
      <w:pPr>
        <w:spacing w:after="0" w:line="161" w:lineRule="exact"/>
        <w:rPr>
          <w:rFonts w:ascii="Times New Roman" w:cs="Times New Roman" w:eastAsia="Times New Roman" w:hAnsi="Times New Roman"/>
          <w:sz w:val="22"/>
          <w:szCs w:val="22"/>
          <w:color w:val="auto"/>
        </w:rPr>
      </w:pPr>
    </w:p>
    <w:p>
      <w:pPr>
        <w:jc w:val="both"/>
        <w:ind w:left="660" w:hanging="652"/>
        <w:spacing w:after="0" w:line="259"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Amending Agreement shall become effective (such date being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receipt by the Purchasers of counterparts hereof, duly executed and delivered by each of the parties hereto. The Purchasers shall inform the Guarantor and the Sellers of the occurrence of the Effective Date.</w:t>
      </w:r>
    </w:p>
    <w:p>
      <w:pPr>
        <w:spacing w:after="0" w:line="166" w:lineRule="exact"/>
        <w:rPr>
          <w:rFonts w:ascii="Times New Roman" w:cs="Times New Roman" w:eastAsia="Times New Roman" w:hAnsi="Times New Roman"/>
          <w:sz w:val="22"/>
          <w:szCs w:val="22"/>
          <w:color w:val="auto"/>
        </w:rPr>
      </w:pPr>
    </w:p>
    <w:p>
      <w:pPr>
        <w:ind w:left="660" w:hanging="652"/>
        <w:spacing w:after="0" w:line="287" w:lineRule="auto"/>
        <w:tabs>
          <w:tab w:leader="none" w:pos="65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Amending Agreement shall be binding upon and inure to the benefit of the Sellers,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Servicer, the Purchasers, and their respective successors and permitted assigns.</w:t>
      </w:r>
    </w:p>
    <w:p>
      <w:pPr>
        <w:spacing w:after="0" w:line="137"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Amending Agreement shall be governed and construed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Province of Ontario.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this page intentionally left blank]</w:t>
      </w:r>
    </w:p>
    <w:p>
      <w:pPr>
        <w:sectPr>
          <w:pgSz w:w="11900" w:h="16838" w:orient="portrait"/>
          <w:cols w:equalWidth="0" w:num="1">
            <w:col w:w="11240"/>
          </w:cols>
          <w:pgMar w:left="320" w:top="1422" w:right="339" w:bottom="1440" w:gutter="0" w:footer="0" w:header="0"/>
        </w:sectPr>
      </w:pPr>
    </w:p>
    <w:bookmarkStart w:id="59" w:name="page60"/>
    <w:bookmarkEnd w:id="5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Amending Agreement to be duly executed and delivered by their proper and duly authorized officers as of the day and year first above written.</w:t>
      </w:r>
    </w:p>
    <w:p>
      <w:pPr>
        <w:spacing w:after="0" w:line="16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CELESTICA INC., as Servicer and as Guarantor</w:t>
      </w:r>
    </w:p>
    <w:p>
      <w:pPr>
        <w:spacing w:after="0" w:line="200" w:lineRule="exact"/>
        <w:rPr>
          <w:sz w:val="20"/>
          <w:szCs w:val="20"/>
          <w:color w:val="auto"/>
        </w:rPr>
      </w:pPr>
    </w:p>
    <w:p>
      <w:pPr>
        <w:spacing w:after="0" w:line="226" w:lineRule="exact"/>
        <w:rPr>
          <w:sz w:val="20"/>
          <w:szCs w:val="20"/>
          <w:color w:val="auto"/>
        </w:rPr>
      </w:pPr>
    </w:p>
    <w:p>
      <w:pPr>
        <w:ind w:left="3240"/>
        <w:spacing w:after="0"/>
        <w:tabs>
          <w:tab w:leader="none" w:pos="3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Corporate Treasurer</w:t>
      </w:r>
    </w:p>
    <w:p>
      <w:pPr>
        <w:spacing w:after="0" w:line="200" w:lineRule="exact"/>
        <w:rPr>
          <w:sz w:val="20"/>
          <w:szCs w:val="20"/>
          <w:color w:val="auto"/>
        </w:rPr>
      </w:pP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CELESTICA LLC</w:t>
      </w:r>
    </w:p>
    <w:p>
      <w:pPr>
        <w:spacing w:after="0" w:line="200" w:lineRule="exact"/>
        <w:rPr>
          <w:sz w:val="20"/>
          <w:szCs w:val="20"/>
          <w:color w:val="auto"/>
        </w:rPr>
      </w:pPr>
    </w:p>
    <w:p>
      <w:pPr>
        <w:spacing w:after="0" w:line="226"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CELESTICA HOLDINGS PTE LTD</w:t>
      </w:r>
    </w:p>
    <w:p>
      <w:pPr>
        <w:spacing w:after="0" w:line="200" w:lineRule="exact"/>
        <w:rPr>
          <w:sz w:val="20"/>
          <w:szCs w:val="20"/>
          <w:color w:val="auto"/>
        </w:rPr>
      </w:pPr>
    </w:p>
    <w:p>
      <w:pPr>
        <w:spacing w:after="0" w:line="226"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r>
        <w:rPr>
          <w:rFonts w:ascii="Times New Roman" w:cs="Times New Roman" w:eastAsia="Times New Roman" w:hAnsi="Times New Roman"/>
          <w:sz w:val="22"/>
          <w:szCs w:val="22"/>
          <w:color w:val="auto"/>
        </w:rPr>
        <w:t xml:space="preserve"> Name: Sabrina Beauchamp</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CELESTICA HONG KONG LIMITED</w:t>
      </w:r>
    </w:p>
    <w:p>
      <w:pPr>
        <w:spacing w:after="0" w:line="200" w:lineRule="exact"/>
        <w:rPr>
          <w:sz w:val="20"/>
          <w:szCs w:val="20"/>
          <w:color w:val="auto"/>
        </w:rPr>
      </w:pPr>
    </w:p>
    <w:p>
      <w:pPr>
        <w:spacing w:after="0" w:line="226"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CELESTICA (ROMANIA) S.R.L.</w:t>
      </w:r>
    </w:p>
    <w:p>
      <w:pPr>
        <w:spacing w:after="0" w:line="200" w:lineRule="exact"/>
        <w:rPr>
          <w:sz w:val="20"/>
          <w:szCs w:val="20"/>
          <w:color w:val="auto"/>
        </w:rPr>
      </w:pPr>
    </w:p>
    <w:p>
      <w:pPr>
        <w:spacing w:after="0" w:line="226"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Fourth Amendment to Revolving Trade Receivables Purchase Agreement</w:t>
      </w:r>
    </w:p>
    <w:p>
      <w:pPr>
        <w:sectPr>
          <w:pgSz w:w="11900" w:h="16838" w:orient="portrait"/>
          <w:cols w:equalWidth="0" w:num="1">
            <w:col w:w="11240"/>
          </w:cols>
          <w:pgMar w:left="320" w:top="1422" w:right="339" w:bottom="1440" w:gutter="0" w:footer="0" w:header="0"/>
        </w:sectPr>
      </w:pPr>
    </w:p>
    <w:bookmarkStart w:id="60" w:name="page61"/>
    <w:bookmarkEnd w:id="60"/>
    <w:p>
      <w:pPr>
        <w:ind w:left="2120"/>
        <w:spacing w:after="0"/>
        <w:rPr>
          <w:sz w:val="20"/>
          <w:szCs w:val="20"/>
          <w:color w:val="auto"/>
        </w:rPr>
      </w:pPr>
      <w:r>
        <w:rPr>
          <w:rFonts w:ascii="Times New Roman" w:cs="Times New Roman" w:eastAsia="Times New Roman" w:hAnsi="Times New Roman"/>
          <w:sz w:val="22"/>
          <w:szCs w:val="22"/>
          <w:b w:val="1"/>
          <w:bCs w:val="1"/>
          <w:color w:val="auto"/>
        </w:rPr>
        <w:t>CELESTICA JAPAN KK</w:t>
      </w:r>
    </w:p>
    <w:p>
      <w:pPr>
        <w:spacing w:after="0" w:line="200" w:lineRule="exact"/>
        <w:rPr>
          <w:sz w:val="20"/>
          <w:szCs w:val="20"/>
          <w:color w:val="auto"/>
        </w:rPr>
      </w:pPr>
    </w:p>
    <w:p>
      <w:pPr>
        <w:spacing w:after="0" w:line="240"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CELESTICA ELECTRONICS (M)</w:t>
      </w:r>
    </w:p>
    <w:p>
      <w:pPr>
        <w:spacing w:after="0" w:line="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SDN. BHD.</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4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CELESTICA OREGON LLC</w:t>
      </w:r>
    </w:p>
    <w:p>
      <w:pPr>
        <w:spacing w:after="0" w:line="3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Sabrina Beauchamp</w:t>
      </w:r>
    </w:p>
    <w:p>
      <w:pPr>
        <w:spacing w:after="0" w:line="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3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CELESTICA PRECISION MACHINING LTD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Title: Chief Financial Officer / Treasurer</w:t>
      </w:r>
    </w:p>
    <w:p>
      <w:pPr>
        <w:spacing w:after="0" w:line="219" w:lineRule="exact"/>
        <w:rPr>
          <w:sz w:val="20"/>
          <w:szCs w:val="20"/>
          <w:color w:val="auto"/>
        </w:rPr>
      </w:pPr>
    </w:p>
    <w:p>
      <w:pPr>
        <w:ind w:left="2120"/>
        <w:spacing w:after="0" w:line="275" w:lineRule="auto"/>
        <w:rPr>
          <w:sz w:val="20"/>
          <w:szCs w:val="20"/>
          <w:color w:val="auto"/>
        </w:rPr>
      </w:pPr>
      <w:r>
        <w:rPr>
          <w:rFonts w:ascii="Times New Roman" w:cs="Times New Roman" w:eastAsia="Times New Roman" w:hAnsi="Times New Roman"/>
          <w:sz w:val="22"/>
          <w:szCs w:val="22"/>
          <w:b w:val="1"/>
          <w:bCs w:val="1"/>
          <w:color w:val="auto"/>
        </w:rPr>
        <w:t>CELESTICA INTERNATIONAL LP, by its general partner, Celestica International GP Inc.</w:t>
      </w:r>
    </w:p>
    <w:p>
      <w:pPr>
        <w:spacing w:after="0" w:line="369" w:lineRule="exact"/>
        <w:rPr>
          <w:sz w:val="20"/>
          <w:szCs w:val="20"/>
          <w:color w:val="auto"/>
        </w:rPr>
      </w:pPr>
    </w:p>
    <w:p>
      <w:pPr>
        <w:jc w:val="both"/>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Sabrina Beauchamp</w:t>
      </w:r>
    </w:p>
    <w:p>
      <w:pPr>
        <w:spacing w:after="0" w:line="28" w:lineRule="exact"/>
        <w:rPr>
          <w:sz w:val="20"/>
          <w:szCs w:val="20"/>
          <w:color w:val="auto"/>
        </w:rPr>
      </w:pPr>
    </w:p>
    <w:p>
      <w:pPr>
        <w:jc w:val="right"/>
        <w:ind w:right="4740"/>
        <w:spacing w:after="0"/>
        <w:rPr>
          <w:sz w:val="20"/>
          <w:szCs w:val="20"/>
          <w:color w:val="auto"/>
        </w:rPr>
      </w:pPr>
      <w:r>
        <w:rPr>
          <w:rFonts w:ascii="Times New Roman" w:cs="Times New Roman" w:eastAsia="Times New Roman" w:hAnsi="Times New Roman"/>
          <w:sz w:val="22"/>
          <w:szCs w:val="22"/>
          <w:color w:val="auto"/>
        </w:rPr>
        <w:t>Name: Sabrina Beauchamp</w:t>
      </w:r>
    </w:p>
    <w:p>
      <w:pPr>
        <w:spacing w:after="0" w:line="4"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22"/>
          <w:szCs w:val="22"/>
          <w:color w:val="auto"/>
        </w:rPr>
        <w:t>Title: Corporate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Signature Page to Fourth Amendment to Revolving Trade Receivables Purchase Agreement</w:t>
      </w:r>
    </w:p>
    <w:p>
      <w:pPr>
        <w:sectPr>
          <w:pgSz w:w="11900" w:h="16838" w:orient="portrait"/>
          <w:cols w:equalWidth="0" w:num="1">
            <w:col w:w="9880"/>
          </w:cols>
          <w:pgMar w:left="1440" w:top="1418" w:right="579" w:bottom="1440" w:gutter="0" w:footer="0" w:header="0"/>
        </w:sectPr>
      </w:pPr>
    </w:p>
    <w:bookmarkStart w:id="61" w:name="page62"/>
    <w:bookmarkEnd w:id="61"/>
    <w:p>
      <w:pPr>
        <w:ind w:left="2120"/>
        <w:spacing w:after="0" w:line="275" w:lineRule="auto"/>
        <w:rPr>
          <w:sz w:val="20"/>
          <w:szCs w:val="20"/>
          <w:color w:val="auto"/>
        </w:rPr>
      </w:pPr>
      <w:r>
        <w:rPr>
          <w:rFonts w:ascii="Times New Roman" w:cs="Times New Roman" w:eastAsia="Times New Roman" w:hAnsi="Times New Roman"/>
          <w:sz w:val="22"/>
          <w:szCs w:val="22"/>
          <w:b w:val="1"/>
          <w:bCs w:val="1"/>
          <w:color w:val="auto"/>
        </w:rPr>
        <w:t>CREDIT AGRICOLE CORPORATE AND INVESTMENT BANK, NEW YORK BRANCH, as Purchaser</w:t>
      </w:r>
    </w:p>
    <w:p>
      <w:pPr>
        <w:spacing w:after="0" w:line="180"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Gustavo Rizzo</w:t>
      </w:r>
    </w:p>
    <w:p>
      <w:pPr>
        <w:spacing w:after="0" w:line="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 Gustavo Rizzo</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23"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Thibault Berger</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 Thibault Berger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32" w:lineRule="exact"/>
        <w:rPr>
          <w:sz w:val="20"/>
          <w:szCs w:val="20"/>
          <w:color w:val="auto"/>
        </w:rPr>
      </w:pPr>
    </w:p>
    <w:p>
      <w:pPr>
        <w:ind w:left="2120" w:right="260"/>
        <w:spacing w:after="0" w:line="275" w:lineRule="auto"/>
        <w:rPr>
          <w:sz w:val="20"/>
          <w:szCs w:val="20"/>
          <w:color w:val="auto"/>
        </w:rPr>
      </w:pPr>
      <w:r>
        <w:rPr>
          <w:rFonts w:ascii="Times New Roman" w:cs="Times New Roman" w:eastAsia="Times New Roman" w:hAnsi="Times New Roman"/>
          <w:sz w:val="22"/>
          <w:szCs w:val="22"/>
          <w:b w:val="1"/>
          <w:bCs w:val="1"/>
          <w:color w:val="auto"/>
        </w:rPr>
        <w:t>CREDIT AGRICOLE CORPORATE AND INVESTMENT BANK (CANADA BRANCH), as Purchaser</w:t>
      </w:r>
    </w:p>
    <w:p>
      <w:pPr>
        <w:spacing w:after="0" w:line="200" w:lineRule="exact"/>
        <w:rPr>
          <w:sz w:val="20"/>
          <w:szCs w:val="20"/>
          <w:color w:val="auto"/>
        </w:rPr>
      </w:pPr>
    </w:p>
    <w:p>
      <w:pPr>
        <w:spacing w:after="0" w:line="223"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Mona Ghazzaoui</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 Mona Ghazzaoui</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23" w:lineRule="exact"/>
        <w:rPr>
          <w:sz w:val="20"/>
          <w:szCs w:val="20"/>
          <w:color w:val="auto"/>
        </w:rPr>
      </w:pPr>
    </w:p>
    <w:p>
      <w:pPr>
        <w:ind w:left="2120"/>
        <w:spacing w:after="0"/>
        <w:tabs>
          <w:tab w:leader="none" w:pos="2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Ghislain Descamps</w:t>
      </w:r>
    </w:p>
    <w:p>
      <w:pPr>
        <w:spacing w:after="0" w:line="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 Ghislain Descamps</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Signature Page to Fourth Amendment to Revolving Trade Receivables Purchase Agreement</w:t>
      </w:r>
    </w:p>
    <w:p>
      <w:pPr>
        <w:sectPr>
          <w:pgSz w:w="11900" w:h="16838" w:orient="portrait"/>
          <w:cols w:equalWidth="0" w:num="1">
            <w:col w:w="9640"/>
          </w:cols>
          <w:pgMar w:left="1440" w:top="1418" w:right="819" w:bottom="1440" w:gutter="0" w:footer="0" w:header="0"/>
        </w:sectPr>
      </w:pPr>
    </w:p>
    <w:bookmarkStart w:id="62" w:name="page63"/>
    <w:bookmarkEnd w:id="6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ELIGIBLE BUYERS AND OBLIGOR LIMITS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 Commercially Sensitive]</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Mionis, certify that:</w:t>
      </w:r>
    </w:p>
    <w:p>
      <w:pPr>
        <w:spacing w:after="0" w:line="117"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Celestica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0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10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10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Ankenmann, certify that:</w:t>
      </w:r>
    </w:p>
    <w:p>
      <w:pPr>
        <w:spacing w:after="0" w:line="18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Celestica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3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Todd Ankenmann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70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Todd Ankenmann</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9"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Celestica Inc. (the “Company”) on Form 10-Q for the quarter ended September 30, 2026, as filed with the Securities and Exchange Commission on the date hereof (the “Report”), each of the undersigned officers of the Company certifies, pursuant to 18 U.S.C. § 1350, as adopted pursuant to § 906 of the Sarbanes-Oxley Act of 2002, that, to such officer’s knowledge:</w:t>
      </w:r>
    </w:p>
    <w:p>
      <w:pPr>
        <w:spacing w:after="0" w:line="135"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Todd Ankenmann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70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Todd Ankenmann</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Letter"/>
      <w:start w:val="4"/>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emdash "/>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decimal"/>
      <w:start w:val="1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2"/>
    </w:lvl>
  </w:abstractNum>
  <w:abstractNum w:abstractNumId="18">
    <w:nsid w:val="1E7FF521"/>
    <w:multiLevelType w:val="hybridMultilevel"/>
    <w:lvl w:ilvl="0">
      <w:lvlJc w:val="left"/>
      <w:lvlText w:val="(%1)"/>
      <w:numFmt w:val="lowerLetter"/>
      <w:start w:val="3"/>
    </w:lvl>
  </w:abstractNum>
  <w:abstractNum w:abstractNumId="19">
    <w:nsid w:val="7C3DBD3D"/>
    <w:multiLevelType w:val="hybridMultilevel"/>
    <w:lvl w:ilvl="0">
      <w:lvlJc w:val="left"/>
      <w:lvlText w:val="(%1)"/>
      <w:numFmt w:val="lowerLetter"/>
      <w:start w:val="4"/>
    </w:lvl>
  </w:abstractNum>
  <w:abstractNum w:abstractNumId="20">
    <w:nsid w:val="737B8DDC"/>
    <w:multiLevelType w:val="hybridMultilevel"/>
    <w:lvl w:ilvl="0">
      <w:lvlJc w:val="left"/>
      <w:lvlText w:val="%1."/>
      <w:numFmt w:val="decimal"/>
      <w:start w:val="15"/>
    </w:lvl>
  </w:abstractNum>
  <w:abstractNum w:abstractNumId="21">
    <w:nsid w:val="6CEAF087"/>
    <w:multiLevelType w:val="hybridMultilevel"/>
    <w:lvl w:ilvl="0">
      <w:lvlJc w:val="left"/>
      <w:lvlText w:val="(%1)"/>
      <w:numFmt w:val="lowerRoman"/>
      <w:start w:val="1"/>
    </w:lvl>
  </w:abstractNum>
  <w:abstractNum w:abstractNumId="22">
    <w:nsid w:val="22221A70"/>
    <w:multiLevelType w:val="hybridMultilevel"/>
    <w:lvl w:ilvl="0">
      <w:lvlJc w:val="left"/>
      <w:lvlText w:val="%1."/>
      <w:numFmt w:val="decimal"/>
      <w:start w:val="17"/>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2"/>
    </w:lvl>
  </w:abstractNum>
  <w:abstractNum w:abstractNumId="37">
    <w:nsid w:val="2D517796"/>
    <w:multiLevelType w:val="hybridMultilevel"/>
    <w:lvl w:ilvl="0">
      <w:lvlJc w:val="left"/>
      <w:lvlText w:val="%1."/>
      <w:numFmt w:val="decimal"/>
      <w:start w:val="3"/>
    </w:lvl>
    <w:lvl w:ilvl="1">
      <w:lvlJc w:val="left"/>
      <w:lvlText w:val="(%2)"/>
      <w:numFmt w:val="lowerLetter"/>
      <w:start w:val="1"/>
    </w:lvl>
  </w:abstractNum>
  <w:abstractNum w:abstractNumId="38">
    <w:nsid w:val="580BD78F"/>
    <w:multiLevelType w:val="hybridMultilevel"/>
    <w:lvl w:ilvl="0">
      <w:lvlJc w:val="left"/>
      <w:lvlText w:val="%1."/>
      <w:numFmt w:val="decimal"/>
      <w:start w:val="6"/>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79" Type="http://schemas.openxmlformats.org/officeDocument/2006/relationships/hyperlink" Target="https://www.sec.gov/Archives/edgar/data/1030894/000110465924051983/tm2411572d2_ex99-2.htm" TargetMode="External"/><Relationship Id="rId80" Type="http://schemas.openxmlformats.org/officeDocument/2006/relationships/hyperlink" Target="https://www.sec.gov/Archives/edgar/data/1030894/000110465924051983/tm2411572d2_ex99-1.htm" TargetMode="External"/><Relationship Id="rId81" Type="http://schemas.openxmlformats.org/officeDocument/2006/relationships/hyperlink" Target="https://www.sec.gov/Archives/edgar/data/1030894/000110465924028621/tm247401d1_ex99-3.htm" TargetMode="External"/><Relationship Id="rId82" Type="http://schemas.openxmlformats.org/officeDocument/2006/relationships/hyperlink" Target="https://www.sec.gov/Archives/edgar/data/1030894/000110465925007666/tm254558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2026-10-26T15:36:45Z</dcterms:created>
  <dcterms:modified xsi:type="dcterms:W3CDTF">2026-10-26T15:36:45Z</dcterms:modified>
</cp:coreProperties>
</file>