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3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9" w:lineRule="exact"/>
        <w:rPr>
          <w:sz w:val="24"/>
          <w:szCs w:val="24"/>
          <w:color w:val="auto"/>
        </w:rPr>
      </w:pPr>
    </w:p>
    <w:p>
      <w:pPr>
        <w:ind w:left="360" w:right="4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-227965</wp:posOffset>
            </wp:positionV>
            <wp:extent cx="123825" cy="1238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8" w:lineRule="exact"/>
        <w:rPr>
          <w:sz w:val="24"/>
          <w:szCs w:val="24"/>
          <w:color w:val="auto"/>
        </w:rPr>
      </w:pPr>
    </w:p>
    <w:p>
      <w:pPr>
        <w:ind w:left="36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-663575</wp:posOffset>
            </wp:positionV>
            <wp:extent cx="123825" cy="1238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6300" w:type="dxa"/>
            <w:vAlign w:val="bottom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6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5265420</wp:posOffset>
            </wp:positionH>
            <wp:positionV relativeFrom="paragraph">
              <wp:posOffset>-629920</wp:posOffset>
            </wp:positionV>
            <wp:extent cx="58420" cy="6432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3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3989070</wp:posOffset>
            </wp:positionH>
            <wp:positionV relativeFrom="paragraph">
              <wp:posOffset>-629920</wp:posOffset>
            </wp:positionV>
            <wp:extent cx="58420" cy="64325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3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-1635125</wp:posOffset>
            </wp:positionH>
            <wp:positionV relativeFrom="paragraph">
              <wp:posOffset>748665</wp:posOffset>
            </wp:positionV>
            <wp:extent cx="6992620" cy="7668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2620" cy="7668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9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00" w:space="260"/>
            <w:col w:w="8520"/>
          </w:cols>
          <w:pgMar w:left="460" w:top="216" w:right="359" w:bottom="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368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12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Wilson Michael Max</w:t>
              </w:r>
            </w:hyperlink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20" w:type="dxa"/>
            <w:vAlign w:val="bottom"/>
            <w:gridSpan w:val="3"/>
          </w:tcPr>
          <w:p>
            <w:pPr>
              <w:ind w:left="60"/>
              <w:spacing w:after="0" w:line="182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CELESTICA INC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CLS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1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20" w:type="dxa"/>
            <w:vAlign w:val="bottom"/>
            <w:tcBorders>
              <w:top w:val="single" w:sz="8" w:color="2C2C2C"/>
            </w:tcBorders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06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54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ind w:left="6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80" w:type="dxa"/>
            <w:vAlign w:val="bottom"/>
            <w:gridSpan w:val="3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05/19/2026</w:t>
            </w:r>
          </w:p>
        </w:tc>
        <w:tc>
          <w:tcPr>
            <w:tcW w:w="2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5140 YONGE STREET</w:t>
            </w: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1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SUITE 1900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3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ectPr>
          <w:pgSz w:w="11900" w:h="16838" w:orient="portrait"/>
          <w:cols w:equalWidth="0" w:num="1">
            <w:col w:w="11080"/>
          </w:cols>
          <w:pgMar w:left="460" w:top="216" w:right="359" w:bottom="0" w:gutter="0" w:footer="0" w:header="0"/>
          <w:type w:val="continuous"/>
        </w:sectPr>
      </w:pPr>
    </w:p>
    <w:p>
      <w:pPr>
        <w:spacing w:after="0" w:line="20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1"/>
        </w:trPr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TORONTO</w:t>
            </w:r>
          </w:p>
        </w:tc>
        <w:tc>
          <w:tcPr>
            <w:tcW w:w="10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A6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M2N 6L7</w:t>
            </w:r>
          </w:p>
        </w:tc>
      </w:tr>
      <w:tr>
        <w:trPr>
          <w:trHeight w:val="1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87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540" w:space="720"/>
            <w:col w:w="2820"/>
          </w:cols>
          <w:pgMar w:left="460" w:top="216" w:right="359" w:bottom="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9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5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Disposed Of (D) (Instr. 3, 4 and 5)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5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00" w:type="dxa"/>
            <w:vAlign w:val="bottom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9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jc w:val="center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Shares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05/19/2026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8,676</w:t>
            </w:r>
          </w:p>
        </w:tc>
        <w:tc>
          <w:tcPr>
            <w:tcW w:w="64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60" w:type="dxa"/>
            <w:vAlign w:val="bottom"/>
          </w:tcPr>
          <w:p>
            <w:pPr>
              <w:jc w:val="center"/>
              <w:ind w:right="4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28,886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Shares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05/19/2026</w:t>
            </w: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4,168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0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0"/>
              </w:rPr>
              <w:t>333.31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0"/>
                <w:vertAlign w:val="superscript"/>
              </w:rPr>
              <w:t>(2)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24,718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140" w:type="dxa"/>
            <w:vAlign w:val="bottom"/>
            <w:tcBorders>
              <w:top w:val="single" w:sz="8" w:color="2C2C2C"/>
            </w:tcBorders>
            <w:gridSpan w:val="11"/>
          </w:tcPr>
          <w:p>
            <w:pPr>
              <w:ind w:left="10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II - Derivative Securities Acquired, Disposed of, or Beneficially Owned</w:t>
            </w: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380" w:type="dxa"/>
            <w:vAlign w:val="bottom"/>
            <w:gridSpan w:val="8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Amount of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jc w:val="center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jc w:val="center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(3)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(4)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9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2,146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Share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vMerge w:val="restart"/>
          </w:tcPr>
          <w:p>
            <w:pPr>
              <w:jc w:val="center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05/19/2026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1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ind w:left="199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2,146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jc w:val="center"/>
              <w:ind w:right="1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4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  <w:w w:val="94"/>
              </w:rPr>
              <w:t>0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ind w:left="239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Shares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(3)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(5)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(5)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9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1,347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Share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vMerge w:val="restart"/>
          </w:tcPr>
          <w:p>
            <w:pPr>
              <w:jc w:val="center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05/19/2026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1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ind w:left="199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1,347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jc w:val="center"/>
              <w:ind w:right="1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4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  <w:w w:val="94"/>
              </w:rPr>
              <w:t>0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ind w:left="239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Shares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(3)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(6)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(6)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9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1,167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Share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vMerge w:val="restart"/>
          </w:tcPr>
          <w:p>
            <w:pPr>
              <w:jc w:val="center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05/19/2026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1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ind w:left="199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1,167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jc w:val="center"/>
              <w:ind w:right="1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4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  <w:w w:val="94"/>
              </w:rPr>
              <w:t>0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ind w:left="239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Shares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(3)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(7)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(7)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9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760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Share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vMerge w:val="restart"/>
          </w:tcPr>
          <w:p>
            <w:pPr>
              <w:jc w:val="center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05/19/2026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1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ind w:left="199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2"/>
              </w:rPr>
              <w:t>760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jc w:val="center"/>
              <w:ind w:right="1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4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  <w:w w:val="94"/>
              </w:rPr>
              <w:t>0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ind w:left="239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Shares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(3)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(8)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(8)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9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1,191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Share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vMerge w:val="restart"/>
          </w:tcPr>
          <w:p>
            <w:pPr>
              <w:jc w:val="center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05/19/2026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1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ind w:left="199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1,191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jc w:val="center"/>
              <w:ind w:right="1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4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  <w:w w:val="94"/>
              </w:rPr>
              <w:t>0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ind w:left="239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Shares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(3)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(9)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(9)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9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1,337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Share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vMerge w:val="restart"/>
          </w:tcPr>
          <w:p>
            <w:pPr>
              <w:jc w:val="center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05/19/2026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1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ind w:left="199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1,337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jc w:val="center"/>
              <w:ind w:right="1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4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  <w:w w:val="94"/>
              </w:rPr>
              <w:t>0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ind w:left="239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Shares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(3)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7"/>
              </w:rPr>
              <w:t>(10)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7"/>
              </w:rPr>
              <w:t>(10)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9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728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Share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vMerge w:val="restart"/>
          </w:tcPr>
          <w:p>
            <w:pPr>
              <w:jc w:val="center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05/19/2026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1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ind w:left="199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2"/>
              </w:rPr>
              <w:t>728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jc w:val="center"/>
              <w:ind w:right="1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4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  <w:w w:val="94"/>
              </w:rPr>
              <w:t>0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ind w:left="239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Shares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Director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7"/>
              </w:rPr>
              <w:t>(11)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7"/>
              </w:rPr>
              <w:t>(11)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7"/>
              </w:rPr>
              <w:t>(11)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9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157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Share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vMerge w:val="restart"/>
          </w:tcPr>
          <w:p>
            <w:pPr>
              <w:jc w:val="center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05/19/2026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1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157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jc w:val="center"/>
              <w:ind w:right="1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4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  <w:w w:val="94"/>
              </w:rPr>
              <w:t>0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ind w:left="239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5"/>
              </w:rPr>
              <w:t>1,984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Shares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-4582795</wp:posOffset>
            </wp:positionV>
            <wp:extent cx="29210" cy="458787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4587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Shares sold to satisfy tax withholding obligations arising out of the vesting of restricted share units ("RSUs").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price reported was converted from Canadian dollars to U.S. dollars using the Bank of Canada exchange rate on the transaction date.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Each RSU represents a contingent right to receive one common share or an equivalent value in cash at the holder's election.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460" w:firstLine="3"/>
        <w:spacing w:after="0" w:line="258" w:lineRule="auto"/>
        <w:tabs>
          <w:tab w:leader="none" w:pos="17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On June 30, 2023, the reporting person was granted 6,437 RSUs, 1/3 of which vest annually over 3 years on the anniversary of the grant date. The outstanding RSUs fully vested upon reporting person's retirement on May 19, 2026.</w:t>
      </w:r>
    </w:p>
    <w:p>
      <w:pPr>
        <w:spacing w:after="0" w:line="1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140" w:firstLine="3"/>
        <w:spacing w:after="0" w:line="258" w:lineRule="auto"/>
        <w:tabs>
          <w:tab w:leader="none" w:pos="17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On September 30, 2023, the reporting person was granted 4,042 RSUs, 1/3 of which vest annually over 3 years on the anniversary of the grant date. The outstanding RSUs fully vested upon reporting person's retirement on May 19, 2026.</w:t>
      </w:r>
    </w:p>
    <w:p>
      <w:pPr>
        <w:sectPr>
          <w:pgSz w:w="11900" w:h="16838" w:orient="portrait"/>
          <w:cols w:equalWidth="0" w:num="1">
            <w:col w:w="11080"/>
          </w:cols>
          <w:pgMar w:left="460" w:top="216" w:right="359" w:bottom="0" w:gutter="0" w:footer="0" w:header="0"/>
          <w:type w:val="continuous"/>
        </w:sectPr>
      </w:pPr>
    </w:p>
    <w:bookmarkStart w:id="1" w:name="page2"/>
    <w:bookmarkEnd w:id="1"/>
    <w:p>
      <w:pPr>
        <w:ind w:right="20" w:firstLine="3"/>
        <w:spacing w:after="0" w:line="258" w:lineRule="auto"/>
        <w:tabs>
          <w:tab w:leader="none" w:pos="13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On December 31, 2023, the reporting person was granted 3,500 RSUs, 1/3 of which vest annually over 3 years on the anniversary of the grant date. The outstanding RSUs fully vested upon reporting person's retirement on May 19, 2026.</w:t>
      </w:r>
    </w:p>
    <w:p>
      <w:pPr>
        <w:spacing w:after="0" w:line="1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right="220" w:firstLine="3"/>
        <w:spacing w:after="0" w:line="258" w:lineRule="auto"/>
        <w:tabs>
          <w:tab w:leader="none" w:pos="13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On March 31, 2024, the reporting person was granted 2,280 RSUs, 1/3 of which vest annually over 3 years on the anniversary of the grant date. The outstanding RSUs fully vested upon reporting person's retirement on May 19, 2026.</w:t>
      </w:r>
    </w:p>
    <w:p>
      <w:pPr>
        <w:spacing w:after="0" w:line="1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right="320" w:firstLine="3"/>
        <w:spacing w:after="0" w:line="258" w:lineRule="auto"/>
        <w:tabs>
          <w:tab w:leader="none" w:pos="13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On June 30, 2024, the reporting person was granted 1,787 RSUs, 1/3 of which vest annually over 3 years on the anniversary of the grant date. The outstanding RSUs fully vested upon reporting person's retirement on May 19, 2026.</w:t>
      </w:r>
    </w:p>
    <w:p>
      <w:pPr>
        <w:spacing w:after="0" w:line="1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firstLine="3"/>
        <w:spacing w:after="0" w:line="258" w:lineRule="auto"/>
        <w:tabs>
          <w:tab w:leader="none" w:pos="13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On September 30, 2024, the reporting person was granted 2,006 RSUs, 1/3 of which vest annually over 3 years on the anniversary of the grant date. The outstanding RSUs fully vested upon reporting person's retirement on May 19, 2026.</w:t>
      </w:r>
    </w:p>
    <w:p>
      <w:pPr>
        <w:spacing w:after="0" w:line="1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right="420" w:firstLine="3"/>
        <w:spacing w:after="0" w:line="258" w:lineRule="auto"/>
        <w:tabs>
          <w:tab w:leader="none" w:pos="195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On December 31, 2024, the reporting person was granted 1,092 RSUs, 1/3 of which vest annually over 3 years on the anniversary of the grant date. The outstanding RSUs fully vested upon reporting person's retirement on May 19, 2026.</w:t>
      </w:r>
    </w:p>
    <w:p>
      <w:pPr>
        <w:spacing w:after="0" w:line="1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right="300" w:firstLine="3"/>
        <w:spacing w:after="0" w:line="258" w:lineRule="auto"/>
        <w:tabs>
          <w:tab w:leader="none" w:pos="19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Each director share unit represents a contingent right to receive one common share or an equivalent value in cash at the Issuer's discretion when the holder ceases to serve the Issuer as any of a director, consultant or other service provider.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tbl>
      <w:tblPr>
        <w:tblLayout w:type="fixed"/>
        <w:tblInd w:w="65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Tracy Connelly McGilley,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05/20/2026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1960" w:type="dxa"/>
            <w:vAlign w:val="bottom"/>
            <w:tcBorders>
              <w:top w:val="single" w:sz="8" w:color="auto"/>
              <w:bottom w:val="single" w:sz="8" w:color="auto"/>
            </w:tcBorders>
            <w:gridSpan w:val="2"/>
            <w:vMerge w:val="restart"/>
          </w:tcPr>
          <w:p>
            <w:pPr>
              <w:spacing w:after="0" w:line="18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attorney-in-fact</w:t>
            </w:r>
          </w:p>
        </w:tc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19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0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jc w:val="both"/>
        <w:ind w:right="3420" w:firstLine="3"/>
        <w:spacing w:after="0" w:line="338" w:lineRule="auto"/>
        <w:tabs>
          <w:tab w:leader="none" w:pos="137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900"/>
      </w:cols>
      <w:pgMar w:left="500" w:top="127" w:right="49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6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2082884" TargetMode="External"/><Relationship Id="rId14" Type="http://schemas.openxmlformats.org/officeDocument/2006/relationships/hyperlink" Target="http://www.sec.gov/cgi-bin/browse-edgar?action=getcompany&amp;CIK=000103089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2026-05-20T18:28:22Z</dcterms:created>
  <dcterms:modified xsi:type="dcterms:W3CDTF">2026-05-20T18:28:22Z</dcterms:modified>
</cp:coreProperties>
</file>