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5"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___________________________________________________________________</w:t>
      </w:r>
    </w:p>
    <w:p>
      <w:pPr>
        <w:jc w:val="center"/>
        <w:spacing w:after="0" w:line="238" w:lineRule="auto"/>
        <w:rPr>
          <w:sz w:val="20"/>
          <w:szCs w:val="20"/>
          <w:color w:val="auto"/>
        </w:rPr>
      </w:pPr>
      <w:r>
        <w:rPr>
          <w:rFonts w:ascii="Times New Roman" w:cs="Times New Roman" w:eastAsia="Times New Roman" w:hAnsi="Times New Roman"/>
          <w:sz w:val="22"/>
          <w:szCs w:val="22"/>
          <w:b w:val="1"/>
          <w:bCs w:val="1"/>
          <w:color w:val="auto"/>
        </w:rPr>
        <w:t>FORM 10-K</w:t>
      </w:r>
    </w:p>
    <w:p>
      <w:pPr>
        <w:spacing w:after="0" w:line="1" w:lineRule="exact"/>
        <w:rPr>
          <w:sz w:val="24"/>
          <w:szCs w:val="24"/>
          <w:color w:val="auto"/>
        </w:rPr>
      </w:pPr>
    </w:p>
    <w:p>
      <w:pPr>
        <w:ind w:right="5060" w:firstLine="8"/>
        <w:spacing w:after="0" w:line="259" w:lineRule="auto"/>
        <w:tabs>
          <w:tab w:leader="none" w:pos="31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Annual report pursuant to Section 13 or 15(d) of the Securities Exchange Act of 1934 For the fiscal year ended December 31, 2024</w:t>
      </w:r>
    </w:p>
    <w:p>
      <w:pPr>
        <w:spacing w:after="0"/>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or</w:t>
      </w:r>
    </w:p>
    <w:p>
      <w:pPr>
        <w:spacing w:after="0" w:line="8" w:lineRule="exact"/>
        <w:rPr>
          <w:rFonts w:ascii="MS PGothic" w:cs="MS PGothic" w:eastAsia="MS PGothic" w:hAnsi="MS PGothic"/>
          <w:sz w:val="16"/>
          <w:szCs w:val="16"/>
          <w:color w:val="auto"/>
        </w:rPr>
      </w:pPr>
    </w:p>
    <w:p>
      <w:pPr>
        <w:spacing w:after="0" w:line="184" w:lineRule="exact"/>
        <w:rPr>
          <w:rFonts w:ascii="MS PGothic" w:cs="MS PGothic" w:eastAsia="MS PGothic" w:hAnsi="MS PGothic"/>
          <w:sz w:val="16"/>
          <w:szCs w:val="16"/>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b w:val="1"/>
          <w:bCs w:val="1"/>
          <w:color w:val="auto"/>
        </w:rPr>
        <w:t xml:space="preserve"> Transition report pursuant to Section 13 or 15(d) of the Securities Exchange Act of 1934</w:t>
      </w:r>
    </w:p>
    <w:p>
      <w:pPr>
        <w:spacing w:after="0" w:line="15" w:lineRule="exact"/>
        <w:rPr>
          <w:sz w:val="24"/>
          <w:szCs w:val="24"/>
          <w:color w:val="auto"/>
        </w:rPr>
      </w:pPr>
    </w:p>
    <w:p>
      <w:pPr>
        <w:spacing w:after="0"/>
        <w:tabs>
          <w:tab w:leader="none" w:pos="318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1360170</wp:posOffset>
            </wp:positionH>
            <wp:positionV relativeFrom="paragraph">
              <wp:posOffset>-15875</wp:posOffset>
            </wp:positionV>
            <wp:extent cx="14230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1-14832</w:t>
      </w:r>
    </w:p>
    <w:p>
      <w:pPr>
        <w:spacing w:after="0" w:line="30"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___________________________________________________________________</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CELESTICA INC.</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(Exact name of registrant as specified in its charter)</w:t>
      </w:r>
    </w:p>
    <w:p>
      <w:pPr>
        <w:spacing w:after="0" w:line="350" w:lineRule="exact"/>
        <w:rPr>
          <w:sz w:val="24"/>
          <w:szCs w:val="24"/>
          <w:color w:val="auto"/>
        </w:rPr>
      </w:pPr>
    </w:p>
    <w:tbl>
      <w:tblPr>
        <w:tblLayout w:type="fixed"/>
        <w:tblInd w:w="980" w:type="dxa"/>
        <w:tblCellMar>
          <w:top w:w="0" w:type="dxa"/>
          <w:left w:w="0" w:type="dxa"/>
          <w:bottom w:w="0" w:type="dxa"/>
          <w:right w:w="0" w:type="dxa"/>
        </w:tblCellMar>
      </w:tblPr>
      <w:tr>
        <w:trPr>
          <w:trHeight w:val="232"/>
        </w:trPr>
        <w:tc>
          <w:tcPr>
            <w:tcW w:w="5580" w:type="dxa"/>
            <w:vAlign w:val="bottom"/>
          </w:tcPr>
          <w:p>
            <w:pPr>
              <w:jc w:val="center"/>
              <w:ind w:right="1150"/>
              <w:spacing w:after="0"/>
              <w:rPr>
                <w:sz w:val="20"/>
                <w:szCs w:val="20"/>
                <w:color w:val="auto"/>
              </w:rPr>
            </w:pPr>
            <w:r>
              <w:rPr>
                <w:rFonts w:ascii="Times New Roman" w:cs="Times New Roman" w:eastAsia="Times New Roman" w:hAnsi="Times New Roman"/>
                <w:sz w:val="18"/>
                <w:szCs w:val="18"/>
                <w:b w:val="1"/>
                <w:bCs w:val="1"/>
                <w:color w:val="auto"/>
                <w:w w:val="99"/>
              </w:rPr>
              <w:t>Ontario, Canada</w:t>
            </w:r>
          </w:p>
        </w:tc>
        <w:tc>
          <w:tcPr>
            <w:tcW w:w="3800" w:type="dxa"/>
            <w:vAlign w:val="bottom"/>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98-0185558</w:t>
            </w:r>
          </w:p>
        </w:tc>
      </w:tr>
      <w:tr>
        <w:trPr>
          <w:trHeight w:val="236"/>
        </w:trPr>
        <w:tc>
          <w:tcPr>
            <w:tcW w:w="5580" w:type="dxa"/>
            <w:vAlign w:val="bottom"/>
          </w:tcPr>
          <w:p>
            <w:pPr>
              <w:jc w:val="center"/>
              <w:ind w:right="1130"/>
              <w:spacing w:after="0"/>
              <w:rPr>
                <w:sz w:val="20"/>
                <w:szCs w:val="20"/>
                <w:color w:val="auto"/>
              </w:rPr>
            </w:pPr>
            <w:r>
              <w:rPr>
                <w:rFonts w:ascii="Times New Roman" w:cs="Times New Roman" w:eastAsia="Times New Roman" w:hAnsi="Times New Roman"/>
                <w:sz w:val="18"/>
                <w:szCs w:val="18"/>
                <w:i w:val="1"/>
                <w:iCs w:val="1"/>
                <w:color w:val="auto"/>
                <w:w w:val="99"/>
              </w:rPr>
              <w:t>(State of other jurisdiction of incorporation or organization)</w:t>
            </w:r>
          </w:p>
        </w:tc>
        <w:tc>
          <w:tcPr>
            <w:tcW w:w="3800" w:type="dxa"/>
            <w:vAlign w:val="bottom"/>
          </w:tcPr>
          <w:p>
            <w:pPr>
              <w:jc w:val="center"/>
              <w:ind w:left="1130"/>
              <w:spacing w:after="0"/>
              <w:rPr>
                <w:sz w:val="20"/>
                <w:szCs w:val="20"/>
                <w:color w:val="auto"/>
              </w:rPr>
            </w:pPr>
            <w:r>
              <w:rPr>
                <w:rFonts w:ascii="Times New Roman" w:cs="Times New Roman" w:eastAsia="Times New Roman" w:hAnsi="Times New Roman"/>
                <w:sz w:val="18"/>
                <w:szCs w:val="18"/>
                <w:i w:val="1"/>
                <w:iCs w:val="1"/>
                <w:color w:val="auto"/>
              </w:rPr>
              <w:t>(I.R.S. Employer Identification No.)</w:t>
            </w:r>
          </w:p>
        </w:tc>
      </w:tr>
      <w:tr>
        <w:trPr>
          <w:trHeight w:val="383"/>
        </w:trPr>
        <w:tc>
          <w:tcPr>
            <w:tcW w:w="5580" w:type="dxa"/>
            <w:vAlign w:val="bottom"/>
          </w:tcPr>
          <w:p>
            <w:pPr>
              <w:jc w:val="center"/>
              <w:ind w:right="1150"/>
              <w:spacing w:after="0"/>
              <w:rPr>
                <w:sz w:val="20"/>
                <w:szCs w:val="20"/>
                <w:color w:val="auto"/>
              </w:rPr>
            </w:pPr>
            <w:r>
              <w:rPr>
                <w:rFonts w:ascii="Times New Roman" w:cs="Times New Roman" w:eastAsia="Times New Roman" w:hAnsi="Times New Roman"/>
                <w:sz w:val="18"/>
                <w:szCs w:val="18"/>
                <w:b w:val="1"/>
                <w:bCs w:val="1"/>
                <w:color w:val="auto"/>
                <w:w w:val="98"/>
              </w:rPr>
              <w:t>5140 Yonge Street, Suite 1900</w:t>
            </w:r>
          </w:p>
        </w:tc>
        <w:tc>
          <w:tcPr>
            <w:tcW w:w="3800" w:type="dxa"/>
            <w:vAlign w:val="bottom"/>
          </w:tcPr>
          <w:p>
            <w:pPr>
              <w:spacing w:after="0"/>
              <w:rPr>
                <w:sz w:val="24"/>
                <w:szCs w:val="24"/>
                <w:color w:val="auto"/>
              </w:rPr>
            </w:pPr>
          </w:p>
        </w:tc>
      </w:tr>
      <w:tr>
        <w:trPr>
          <w:trHeight w:val="232"/>
        </w:trPr>
        <w:tc>
          <w:tcPr>
            <w:tcW w:w="5580" w:type="dxa"/>
            <w:vAlign w:val="bottom"/>
          </w:tcPr>
          <w:p>
            <w:pPr>
              <w:jc w:val="center"/>
              <w:ind w:right="1130"/>
              <w:spacing w:after="0"/>
              <w:rPr>
                <w:sz w:val="20"/>
                <w:szCs w:val="20"/>
                <w:color w:val="auto"/>
              </w:rPr>
            </w:pPr>
            <w:r>
              <w:rPr>
                <w:rFonts w:ascii="Times New Roman" w:cs="Times New Roman" w:eastAsia="Times New Roman" w:hAnsi="Times New Roman"/>
                <w:sz w:val="18"/>
                <w:szCs w:val="18"/>
                <w:b w:val="1"/>
                <w:bCs w:val="1"/>
                <w:color w:val="auto"/>
                <w:w w:val="98"/>
              </w:rPr>
              <w:t>Toronto, Ontario, Canada</w:t>
            </w:r>
          </w:p>
        </w:tc>
        <w:tc>
          <w:tcPr>
            <w:tcW w:w="3800" w:type="dxa"/>
            <w:vAlign w:val="bottom"/>
          </w:tcPr>
          <w:p>
            <w:pPr>
              <w:jc w:val="center"/>
              <w:ind w:left="1130"/>
              <w:spacing w:after="0"/>
              <w:rPr>
                <w:sz w:val="20"/>
                <w:szCs w:val="20"/>
                <w:color w:val="auto"/>
              </w:rPr>
            </w:pPr>
            <w:r>
              <w:rPr>
                <w:rFonts w:ascii="Times New Roman" w:cs="Times New Roman" w:eastAsia="Times New Roman" w:hAnsi="Times New Roman"/>
                <w:sz w:val="18"/>
                <w:szCs w:val="18"/>
                <w:b w:val="1"/>
                <w:bCs w:val="1"/>
                <w:color w:val="auto"/>
              </w:rPr>
              <w:t>M2N 6L7</w:t>
            </w:r>
          </w:p>
        </w:tc>
      </w:tr>
      <w:tr>
        <w:trPr>
          <w:trHeight w:val="236"/>
        </w:trPr>
        <w:tc>
          <w:tcPr>
            <w:tcW w:w="5580" w:type="dxa"/>
            <w:vAlign w:val="bottom"/>
          </w:tcPr>
          <w:p>
            <w:pPr>
              <w:jc w:val="center"/>
              <w:ind w:right="1150"/>
              <w:spacing w:after="0"/>
              <w:rPr>
                <w:sz w:val="20"/>
                <w:szCs w:val="20"/>
                <w:color w:val="auto"/>
              </w:rPr>
            </w:pPr>
            <w:r>
              <w:rPr>
                <w:rFonts w:ascii="Times New Roman" w:cs="Times New Roman" w:eastAsia="Times New Roman" w:hAnsi="Times New Roman"/>
                <w:sz w:val="18"/>
                <w:szCs w:val="18"/>
                <w:i w:val="1"/>
                <w:iCs w:val="1"/>
                <w:color w:val="auto"/>
                <w:w w:val="99"/>
              </w:rPr>
              <w:t>(Address of principal executive offices)</w:t>
            </w:r>
          </w:p>
        </w:tc>
        <w:tc>
          <w:tcPr>
            <w:tcW w:w="3800" w:type="dxa"/>
            <w:vAlign w:val="bottom"/>
          </w:tcPr>
          <w:p>
            <w:pPr>
              <w:jc w:val="center"/>
              <w:ind w:left="1130"/>
              <w:spacing w:after="0"/>
              <w:rPr>
                <w:sz w:val="20"/>
                <w:szCs w:val="20"/>
                <w:color w:val="auto"/>
              </w:rPr>
            </w:pPr>
            <w:r>
              <w:rPr>
                <w:rFonts w:ascii="Times New Roman" w:cs="Times New Roman" w:eastAsia="Times New Roman" w:hAnsi="Times New Roman"/>
                <w:sz w:val="18"/>
                <w:szCs w:val="18"/>
                <w:i w:val="1"/>
                <w:iCs w:val="1"/>
                <w:color w:val="auto"/>
                <w:w w:val="99"/>
              </w:rPr>
              <w:t>(Zip Code)</w:t>
            </w:r>
          </w:p>
        </w:tc>
      </w:tr>
    </w:tbl>
    <w:p>
      <w:pPr>
        <w:spacing w:after="0" w:line="3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416-448-2211</w:t>
      </w:r>
    </w:p>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ectPr>
          <w:pgSz w:w="11900" w:h="16838" w:orient="portrait"/>
          <w:cols w:equalWidth="0" w:num="1">
            <w:col w:w="11240"/>
          </w:cols>
          <w:pgMar w:left="320" w:top="635" w:right="339" w:bottom="1440" w:gutter="0" w:footer="0" w:header="0"/>
        </w:sectPr>
      </w:pPr>
    </w:p>
    <w:p>
      <w:pPr>
        <w:spacing w:after="0" w:line="200" w:lineRule="exact"/>
        <w:rPr>
          <w:sz w:val="24"/>
          <w:szCs w:val="24"/>
          <w:color w:val="auto"/>
        </w:rPr>
      </w:pPr>
    </w:p>
    <w:p>
      <w:pPr>
        <w:spacing w:after="0" w:line="224" w:lineRule="exact"/>
        <w:rPr>
          <w:sz w:val="24"/>
          <w:szCs w:val="24"/>
          <w:color w:val="auto"/>
        </w:rPr>
      </w:pPr>
    </w:p>
    <w:p>
      <w:pPr>
        <w:ind w:left="1760"/>
        <w:spacing w:after="0"/>
        <w:rPr>
          <w:sz w:val="20"/>
          <w:szCs w:val="20"/>
          <w:color w:val="auto"/>
        </w:rPr>
      </w:pPr>
      <w:r>
        <w:rPr>
          <w:rFonts w:ascii="Times New Roman" w:cs="Times New Roman" w:eastAsia="Times New Roman" w:hAnsi="Times New Roman"/>
          <w:sz w:val="16"/>
          <w:szCs w:val="16"/>
          <w:i w:val="1"/>
          <w:iCs w:val="1"/>
          <w:color w:val="auto"/>
        </w:rPr>
        <w:t>Title of each class</w:t>
      </w:r>
    </w:p>
    <w:p>
      <w:pPr>
        <w:spacing w:after="0" w:line="34" w:lineRule="exact"/>
        <w:rPr>
          <w:sz w:val="24"/>
          <w:szCs w:val="24"/>
          <w:color w:val="auto"/>
        </w:rPr>
      </w:pPr>
    </w:p>
    <w:p>
      <w:pPr>
        <w:ind w:left="1820"/>
        <w:spacing w:after="0"/>
        <w:rPr>
          <w:sz w:val="20"/>
          <w:szCs w:val="20"/>
          <w:color w:val="auto"/>
        </w:rPr>
      </w:pPr>
      <w:r>
        <w:rPr>
          <w:rFonts w:ascii="Times New Roman" w:cs="Times New Roman" w:eastAsia="Times New Roman" w:hAnsi="Times New Roman"/>
          <w:sz w:val="16"/>
          <w:szCs w:val="16"/>
          <w:color w:val="auto"/>
        </w:rPr>
        <w:t>Common Shares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4"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5"/>
          <w:szCs w:val="15"/>
          <w:i w:val="1"/>
          <w:iCs w:val="1"/>
          <w:color w:val="auto"/>
        </w:rPr>
        <w:t>Trading Symbol</w:t>
      </w:r>
    </w:p>
    <w:p>
      <w:pPr>
        <w:spacing w:after="0" w:line="46"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6"/>
          <w:szCs w:val="16"/>
          <w:color w:val="auto"/>
        </w:rPr>
        <w:t>CLS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4" w:lineRule="exact"/>
        <w:rPr>
          <w:sz w:val="24"/>
          <w:szCs w:val="24"/>
          <w:color w:val="auto"/>
        </w:rPr>
      </w:pPr>
    </w:p>
    <w:p>
      <w:pPr>
        <w:jc w:val="center"/>
        <w:ind w:right="920"/>
        <w:spacing w:after="0"/>
        <w:rPr>
          <w:sz w:val="20"/>
          <w:szCs w:val="20"/>
          <w:color w:val="auto"/>
        </w:rPr>
      </w:pPr>
      <w:r>
        <w:rPr>
          <w:rFonts w:ascii="Times New Roman" w:cs="Times New Roman" w:eastAsia="Times New Roman" w:hAnsi="Times New Roman"/>
          <w:sz w:val="16"/>
          <w:szCs w:val="16"/>
          <w:i w:val="1"/>
          <w:iCs w:val="1"/>
          <w:color w:val="auto"/>
        </w:rPr>
        <w:t>Name of each exchange on which registered</w:t>
      </w:r>
    </w:p>
    <w:p>
      <w:pPr>
        <w:spacing w:after="0" w:line="34" w:lineRule="exact"/>
        <w:rPr>
          <w:sz w:val="24"/>
          <w:szCs w:val="24"/>
          <w:color w:val="auto"/>
        </w:rPr>
      </w:pPr>
    </w:p>
    <w:p>
      <w:pPr>
        <w:jc w:val="center"/>
        <w:ind w:right="920"/>
        <w:spacing w:after="0"/>
        <w:rPr>
          <w:sz w:val="20"/>
          <w:szCs w:val="20"/>
          <w:color w:val="auto"/>
        </w:rPr>
      </w:pPr>
      <w:r>
        <w:rPr>
          <w:rFonts w:ascii="Times New Roman" w:cs="Times New Roman" w:eastAsia="Times New Roman" w:hAnsi="Times New Roman"/>
          <w:sz w:val="16"/>
          <w:szCs w:val="16"/>
          <w:color w:val="auto"/>
        </w:rPr>
        <w:t>New York Stock Exchange</w:t>
      </w:r>
    </w:p>
    <w:p>
      <w:pPr>
        <w:spacing w:after="0" w:line="113" w:lineRule="exact"/>
        <w:rPr>
          <w:sz w:val="24"/>
          <w:szCs w:val="24"/>
          <w:color w:val="auto"/>
        </w:rPr>
      </w:pPr>
    </w:p>
    <w:p>
      <w:pPr>
        <w:sectPr>
          <w:pgSz w:w="11900" w:h="16838" w:orient="portrait"/>
          <w:cols w:equalWidth="0" w:num="3">
            <w:col w:w="4380" w:space="720"/>
            <w:col w:w="1640" w:space="720"/>
            <w:col w:w="3780"/>
          </w:cols>
          <w:pgMar w:left="320" w:top="635" w:right="339" w:bottom="1440" w:gutter="0" w:footer="0" w:header="0"/>
          <w:type w:val="continuous"/>
        </w:sectPr>
      </w:pPr>
    </w:p>
    <w:p>
      <w:pPr>
        <w:ind w:left="360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___________________________________________________________________________</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12(g) of the Act:</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N/A</w:t>
      </w:r>
    </w:p>
    <w:p>
      <w:pPr>
        <w:spacing w:after="0" w:line="254"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57"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not required to file reports pursuant to Section 13 or 15(d) of the Securities Exchange Act of 1934.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0" w:lineRule="exact"/>
        <w:rPr>
          <w:sz w:val="24"/>
          <w:szCs w:val="24"/>
          <w:color w:val="auto"/>
        </w:rPr>
      </w:pPr>
    </w:p>
    <w:p>
      <w:pPr>
        <w:ind w:right="20"/>
        <w:spacing w:after="0" w:line="169"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237"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p>
      <w:pPr>
        <w:ind w:left="40"/>
        <w:spacing w:after="0" w:line="161" w:lineRule="exact"/>
        <w:tabs>
          <w:tab w:leader="none" w:pos="2960" w:val="left"/>
        </w:tabs>
        <w:rPr>
          <w:sz w:val="20"/>
          <w:szCs w:val="20"/>
          <w:color w:val="auto"/>
        </w:rPr>
      </w:pPr>
      <w:r>
        <w:rPr>
          <w:rFonts w:ascii="Times New Roman" w:cs="Times New Roman" w:eastAsia="Times New Roman" w:hAnsi="Times New Roman"/>
          <w:sz w:val="14"/>
          <w:szCs w:val="14"/>
          <w:color w:val="auto"/>
        </w:rPr>
        <w:t xml:space="preserve">Large accelerated filer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 xml:space="preserve">Accelerated filer </w:t>
      </w:r>
      <w:r>
        <w:rPr>
          <w:rFonts w:ascii="MS PGothic" w:cs="MS PGothic" w:eastAsia="MS PGothic" w:hAnsi="MS PGothic"/>
          <w:sz w:val="14"/>
          <w:szCs w:val="14"/>
          <w:color w:val="auto"/>
        </w:rPr>
        <w:t>☐</w:t>
      </w:r>
    </w:p>
    <w:p>
      <w:pPr>
        <w:spacing w:after="0" w:line="2" w:lineRule="exact"/>
        <w:rPr>
          <w:sz w:val="24"/>
          <w:szCs w:val="24"/>
          <w:color w:val="auto"/>
        </w:rPr>
      </w:pPr>
    </w:p>
    <w:p>
      <w:pPr>
        <w:spacing w:after="0" w:line="161" w:lineRule="exact"/>
        <w:tabs>
          <w:tab w:leader="none" w:pos="2460" w:val="left"/>
        </w:tabs>
        <w:rPr>
          <w:sz w:val="20"/>
          <w:szCs w:val="20"/>
          <w:color w:val="auto"/>
        </w:rPr>
      </w:pPr>
      <w:r>
        <w:rPr>
          <w:rFonts w:ascii="Times New Roman" w:cs="Times New Roman" w:eastAsia="Times New Roman" w:hAnsi="Times New Roman"/>
          <w:sz w:val="14"/>
          <w:szCs w:val="14"/>
          <w:color w:val="auto"/>
        </w:rPr>
        <w:t xml:space="preserve">Non-accelerated filer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 xml:space="preserve">Smaller reporting company </w:t>
      </w:r>
      <w:r>
        <w:rPr>
          <w:rFonts w:ascii="MS PGothic" w:cs="MS PGothic" w:eastAsia="MS PGothic" w:hAnsi="MS PGothic"/>
          <w:sz w:val="14"/>
          <w:szCs w:val="14"/>
          <w:color w:val="auto"/>
        </w:rPr>
        <w:t>☐</w:t>
      </w:r>
    </w:p>
    <w:p>
      <w:pPr>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6" w:lineRule="exact"/>
        <w:rPr>
          <w:sz w:val="24"/>
          <w:szCs w:val="24"/>
          <w:color w:val="auto"/>
        </w:rPr>
      </w:pPr>
    </w:p>
    <w:p>
      <w:pPr>
        <w:spacing w:after="0" w:line="169"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ind w:right="20"/>
        <w:spacing w:after="0" w:line="169"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69"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73"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0" w:lineRule="exact"/>
        <w:rPr>
          <w:sz w:val="24"/>
          <w:szCs w:val="24"/>
          <w:color w:val="auto"/>
        </w:rPr>
      </w:pPr>
    </w:p>
    <w:p>
      <w:pPr>
        <w:spacing w:after="0" w:line="251" w:lineRule="auto"/>
        <w:rPr>
          <w:sz w:val="20"/>
          <w:szCs w:val="20"/>
          <w:color w:val="auto"/>
        </w:rPr>
      </w:pPr>
      <w:r>
        <w:rPr>
          <w:rFonts w:ascii="Times New Roman" w:cs="Times New Roman" w:eastAsia="Times New Roman" w:hAnsi="Times New Roman"/>
          <w:sz w:val="14"/>
          <w:szCs w:val="14"/>
          <w:color w:val="auto"/>
        </w:rPr>
        <w:t>The aggregate market value of the voting common equity held by non-affiliates of the registrant based on the closing sale price of the Common Shares as reported on the New York Stock Exchange on June 28, 2024, was approximately $6.7 billion. For purposes of this calculation, the registrant has assumed that its directors and executive officers are affiliates.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The number of the registrant's Common Shares outstanding as of the close of business on February 20, 2025 was 115,959,118. The registrant does not have any non-voting stock outstanding.</w:t>
      </w:r>
    </w:p>
    <w:p>
      <w:pPr>
        <w:spacing w:after="0" w:line="240"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29" w:lineRule="exact"/>
        <w:rPr>
          <w:sz w:val="24"/>
          <w:szCs w:val="24"/>
          <w:color w:val="auto"/>
        </w:rPr>
      </w:pPr>
    </w:p>
    <w:p>
      <w:pPr>
        <w:spacing w:after="0" w:line="283" w:lineRule="auto"/>
        <w:rPr>
          <w:sz w:val="20"/>
          <w:szCs w:val="20"/>
          <w:color w:val="auto"/>
        </w:rPr>
      </w:pPr>
      <w:r>
        <w:rPr>
          <w:rFonts w:ascii="Times New Roman" w:cs="Times New Roman" w:eastAsia="Times New Roman" w:hAnsi="Times New Roman"/>
          <w:sz w:val="14"/>
          <w:szCs w:val="14"/>
          <w:color w:val="auto"/>
        </w:rPr>
        <w:t>Certain information called for by Part III is incorporated herein by reference to the definitive Proxy Statement for the Company's 2025 Annual and Special Meeting of Shareholders (the "2025 Proxy Statement") where indicated, which will be filed not later than 120 days after the end of the fiscal period covered by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300990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5"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20" w:type="dxa"/>
            <w:vAlign w:val="bottom"/>
            <w:gridSpan w:val="16"/>
          </w:tcPr>
          <w:p>
            <w:pPr>
              <w:ind w:left="1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4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0000FF"/>
                <w:w w:val="99"/>
              </w:rPr>
              <w:t>Part I.</w:t>
            </w:r>
          </w:p>
        </w:tc>
        <w:tc>
          <w:tcPr>
            <w:tcW w:w="4940" w:type="dxa"/>
            <w:vAlign w:val="bottom"/>
            <w:gridSpan w:val="11"/>
            <w:vMerge w:val="restart"/>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820" w:type="dxa"/>
            <w:vAlign w:val="bottom"/>
            <w:vMerge w:val="restart"/>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480" w:type="dxa"/>
            <w:vAlign w:val="bottom"/>
            <w:vMerge w:val="continue"/>
          </w:tcPr>
          <w:p>
            <w:pPr>
              <w:spacing w:after="0" w:line="20" w:lineRule="exact"/>
              <w:rPr>
                <w:sz w:val="1"/>
                <w:szCs w:val="1"/>
                <w:color w:val="auto"/>
              </w:rPr>
            </w:pPr>
          </w:p>
        </w:tc>
        <w:tc>
          <w:tcPr>
            <w:tcW w:w="4940" w:type="dxa"/>
            <w:vAlign w:val="bottom"/>
            <w:gridSpan w:val="11"/>
            <w:vMerge w:val="continue"/>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4"/>
        </w:trPr>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480" w:type="dxa"/>
            <w:vAlign w:val="bottom"/>
            <w:tcBorders>
              <w:bottom w:val="single" w:sz="8" w:color="0000FF"/>
            </w:tcBorders>
            <w:vMerge w:val="continue"/>
          </w:tcPr>
          <w:p>
            <w:pPr>
              <w:spacing w:after="0"/>
              <w:rPr>
                <w:sz w:val="14"/>
                <w:szCs w:val="14"/>
                <w:color w:val="auto"/>
              </w:rPr>
            </w:pPr>
          </w:p>
        </w:tc>
        <w:tc>
          <w:tcPr>
            <w:tcW w:w="4940" w:type="dxa"/>
            <w:vAlign w:val="bottom"/>
            <w:gridSpan w:val="11"/>
            <w:vMerge w:val="continue"/>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1.</w:t>
            </w:r>
          </w:p>
        </w:tc>
        <w:tc>
          <w:tcPr>
            <w:tcW w:w="720" w:type="dxa"/>
            <w:vAlign w:val="bottom"/>
            <w:gridSpan w:val="3"/>
          </w:tcPr>
          <w:p>
            <w:pPr>
              <w:spacing w:after="0"/>
              <w:rPr>
                <w:sz w:val="18"/>
                <w:szCs w:val="18"/>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8"/>
                <w:szCs w:val="18"/>
                <w:color w:val="0000FF"/>
                <w:w w:val="96"/>
              </w:rPr>
              <w:t>Business</w:t>
            </w:r>
          </w:p>
        </w:tc>
        <w:tc>
          <w:tcPr>
            <w:tcW w:w="8340" w:type="dxa"/>
            <w:vAlign w:val="bottom"/>
            <w:gridSpan w:val="28"/>
          </w:tcPr>
          <w:p>
            <w:pPr>
              <w:spacing w:after="0"/>
              <w:rPr>
                <w:sz w:val="18"/>
                <w:szCs w:val="18"/>
                <w:color w:val="auto"/>
              </w:rPr>
            </w:pPr>
          </w:p>
        </w:tc>
        <w:tc>
          <w:tcPr>
            <w:tcW w:w="540" w:type="dxa"/>
            <w:vAlign w:val="bottom"/>
            <w:gridSpan w:val="4"/>
          </w:tcPr>
          <w:p>
            <w:pPr>
              <w:jc w:val="center"/>
              <w:ind w:left="250"/>
              <w:spacing w:after="0"/>
              <w:rPr>
                <w:sz w:val="20"/>
                <w:szCs w:val="20"/>
                <w:color w:val="auto"/>
              </w:rPr>
            </w:pPr>
            <w:r>
              <w:rPr>
                <w:rFonts w:ascii="Times New Roman" w:cs="Times New Roman" w:eastAsia="Times New Roman" w:hAnsi="Times New Roman"/>
                <w:sz w:val="18"/>
                <w:szCs w:val="18"/>
                <w:color w:val="0000FF"/>
                <w:w w:val="88"/>
              </w:rPr>
              <w:t>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8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1A.</w:t>
            </w:r>
          </w:p>
        </w:tc>
        <w:tc>
          <w:tcPr>
            <w:tcW w:w="560" w:type="dxa"/>
            <w:vAlign w:val="bottom"/>
          </w:tcPr>
          <w:p>
            <w:pPr>
              <w:spacing w:after="0"/>
              <w:rPr>
                <w:sz w:val="18"/>
                <w:szCs w:val="18"/>
                <w:color w:val="auto"/>
              </w:rPr>
            </w:pPr>
          </w:p>
        </w:tc>
        <w:tc>
          <w:tcPr>
            <w:tcW w:w="898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540" w:type="dxa"/>
            <w:vAlign w:val="bottom"/>
            <w:gridSpan w:val="4"/>
          </w:tcPr>
          <w:p>
            <w:pPr>
              <w:jc w:val="center"/>
              <w:ind w:left="270"/>
              <w:spacing w:after="0"/>
              <w:rPr>
                <w:sz w:val="20"/>
                <w:szCs w:val="20"/>
                <w:color w:val="auto"/>
              </w:rPr>
            </w:pPr>
            <w:r>
              <w:rPr>
                <w:rFonts w:ascii="Times New Roman" w:cs="Times New Roman" w:eastAsia="Times New Roman" w:hAnsi="Times New Roman"/>
                <w:sz w:val="18"/>
                <w:szCs w:val="18"/>
                <w:color w:val="0000FF"/>
                <w:w w:val="99"/>
              </w:rPr>
              <w:t>19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0" w:type="dxa"/>
            <w:vAlign w:val="bottom"/>
            <w:tcBorders>
              <w:right w:val="single" w:sz="8" w:color="0000FF"/>
            </w:tcBorders>
            <w:gridSpan w:val="2"/>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8"/>
              </w:rPr>
              <w:t>Item 1B.</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98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540" w:type="dxa"/>
            <w:vAlign w:val="bottom"/>
            <w:gridSpan w:val="4"/>
          </w:tcPr>
          <w:p>
            <w:pPr>
              <w:jc w:val="center"/>
              <w:ind w:left="270"/>
              <w:spacing w:after="0"/>
              <w:rPr>
                <w:sz w:val="20"/>
                <w:szCs w:val="20"/>
                <w:color w:val="auto"/>
              </w:rPr>
            </w:pPr>
            <w:r>
              <w:rPr>
                <w:rFonts w:ascii="Times New Roman" w:cs="Times New Roman" w:eastAsia="Times New Roman" w:hAnsi="Times New Roman"/>
                <w:sz w:val="18"/>
                <w:szCs w:val="18"/>
                <w:color w:val="0000FF"/>
                <w:w w:val="99"/>
              </w:rPr>
              <w:t>44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FF"/>
          </w:tcPr>
          <w:p>
            <w:pPr>
              <w:spacing w:after="0" w:line="20" w:lineRule="exact"/>
              <w:rPr>
                <w:sz w:val="1"/>
                <w:szCs w:val="1"/>
                <w:color w:val="auto"/>
              </w:rPr>
            </w:pPr>
          </w:p>
        </w:tc>
        <w:tc>
          <w:tcPr>
            <w:tcW w:w="640" w:type="dxa"/>
            <w:vAlign w:val="bottom"/>
            <w:tcBorders>
              <w:left w:val="single" w:sz="8" w:color="0000FF"/>
            </w:tcBorders>
            <w:gridSpan w:val="2"/>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0" w:type="dxa"/>
            <w:vAlign w:val="bottom"/>
            <w:tcBorders>
              <w:right w:val="single" w:sz="8" w:color="0000FF"/>
            </w:tcBorders>
            <w:gridSpan w:val="2"/>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8"/>
              </w:rPr>
              <w:t>Item 1C.</w:t>
            </w:r>
          </w:p>
        </w:tc>
        <w:tc>
          <w:tcPr>
            <w:tcW w:w="640" w:type="dxa"/>
            <w:vAlign w:val="bottom"/>
            <w:gridSpan w:val="2"/>
          </w:tcPr>
          <w:p>
            <w:pPr>
              <w:spacing w:after="0"/>
              <w:rPr>
                <w:sz w:val="18"/>
                <w:szCs w:val="18"/>
                <w:color w:val="auto"/>
              </w:rPr>
            </w:pPr>
          </w:p>
        </w:tc>
        <w:tc>
          <w:tcPr>
            <w:tcW w:w="204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Cybersecurity</w:t>
            </w:r>
          </w:p>
        </w:tc>
        <w:tc>
          <w:tcPr>
            <w:tcW w:w="6940" w:type="dxa"/>
            <w:vAlign w:val="bottom"/>
            <w:gridSpan w:val="18"/>
          </w:tcPr>
          <w:p>
            <w:pPr>
              <w:spacing w:after="0"/>
              <w:rPr>
                <w:sz w:val="18"/>
                <w:szCs w:val="18"/>
                <w:color w:val="auto"/>
              </w:rPr>
            </w:pPr>
          </w:p>
        </w:tc>
        <w:tc>
          <w:tcPr>
            <w:tcW w:w="540" w:type="dxa"/>
            <w:vAlign w:val="bottom"/>
            <w:gridSpan w:val="4"/>
          </w:tcPr>
          <w:p>
            <w:pPr>
              <w:jc w:val="center"/>
              <w:ind w:left="270"/>
              <w:spacing w:after="0"/>
              <w:rPr>
                <w:sz w:val="20"/>
                <w:szCs w:val="20"/>
                <w:color w:val="auto"/>
              </w:rPr>
            </w:pPr>
            <w:r>
              <w:rPr>
                <w:rFonts w:ascii="Times New Roman" w:cs="Times New Roman" w:eastAsia="Times New Roman" w:hAnsi="Times New Roman"/>
                <w:sz w:val="18"/>
                <w:szCs w:val="18"/>
                <w:color w:val="0000FF"/>
                <w:w w:val="99"/>
              </w:rPr>
              <w:t>44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0" w:type="dxa"/>
            <w:vAlign w:val="bottom"/>
            <w:tcBorders>
              <w:right w:val="single" w:sz="8" w:color="0000FF"/>
            </w:tcBorders>
            <w:gridSpan w:val="2"/>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2.</w:t>
            </w:r>
          </w:p>
        </w:tc>
        <w:tc>
          <w:tcPr>
            <w:tcW w:w="80" w:type="dxa"/>
            <w:vAlign w:val="bottom"/>
          </w:tcPr>
          <w:p>
            <w:pPr>
              <w:spacing w:after="0"/>
              <w:rPr>
                <w:sz w:val="18"/>
                <w:szCs w:val="18"/>
                <w:color w:val="auto"/>
              </w:rPr>
            </w:pPr>
          </w:p>
        </w:tc>
        <w:tc>
          <w:tcPr>
            <w:tcW w:w="640" w:type="dxa"/>
            <w:vAlign w:val="bottom"/>
            <w:gridSpan w:val="2"/>
          </w:tcPr>
          <w:p>
            <w:pPr>
              <w:spacing w:after="0"/>
              <w:rPr>
                <w:sz w:val="18"/>
                <w:szCs w:val="18"/>
                <w:color w:val="auto"/>
              </w:rPr>
            </w:pPr>
          </w:p>
        </w:tc>
        <w:tc>
          <w:tcPr>
            <w:tcW w:w="10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Properties</w:t>
            </w:r>
          </w:p>
        </w:tc>
        <w:tc>
          <w:tcPr>
            <w:tcW w:w="7980" w:type="dxa"/>
            <w:vAlign w:val="bottom"/>
            <w:gridSpan w:val="24"/>
          </w:tcPr>
          <w:p>
            <w:pPr>
              <w:spacing w:after="0"/>
              <w:rPr>
                <w:sz w:val="18"/>
                <w:szCs w:val="18"/>
                <w:color w:val="auto"/>
              </w:rPr>
            </w:pPr>
          </w:p>
        </w:tc>
        <w:tc>
          <w:tcPr>
            <w:tcW w:w="540" w:type="dxa"/>
            <w:vAlign w:val="bottom"/>
            <w:gridSpan w:val="4"/>
          </w:tcPr>
          <w:p>
            <w:pPr>
              <w:jc w:val="center"/>
              <w:ind w:left="270"/>
              <w:spacing w:after="0"/>
              <w:rPr>
                <w:sz w:val="20"/>
                <w:szCs w:val="20"/>
                <w:color w:val="auto"/>
              </w:rPr>
            </w:pPr>
            <w:r>
              <w:rPr>
                <w:rFonts w:ascii="Times New Roman" w:cs="Times New Roman" w:eastAsia="Times New Roman" w:hAnsi="Times New Roman"/>
                <w:sz w:val="18"/>
                <w:szCs w:val="18"/>
                <w:color w:val="0000FF"/>
                <w:w w:val="99"/>
              </w:rPr>
              <w:t>48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0" w:type="dxa"/>
            <w:vAlign w:val="bottom"/>
            <w:tcBorders>
              <w:right w:val="single" w:sz="8" w:color="0000FF"/>
            </w:tcBorders>
            <w:gridSpan w:val="2"/>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3.</w:t>
            </w:r>
          </w:p>
        </w:tc>
        <w:tc>
          <w:tcPr>
            <w:tcW w:w="720" w:type="dxa"/>
            <w:vAlign w:val="bottom"/>
            <w:gridSpan w:val="3"/>
          </w:tcPr>
          <w:p>
            <w:pPr>
              <w:spacing w:after="0"/>
              <w:rPr>
                <w:sz w:val="18"/>
                <w:szCs w:val="18"/>
                <w:color w:val="auto"/>
              </w:rPr>
            </w:pPr>
          </w:p>
        </w:tc>
        <w:tc>
          <w:tcPr>
            <w:tcW w:w="898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540" w:type="dxa"/>
            <w:vAlign w:val="bottom"/>
            <w:gridSpan w:val="4"/>
          </w:tcPr>
          <w:p>
            <w:pPr>
              <w:jc w:val="center"/>
              <w:ind w:left="270"/>
              <w:spacing w:after="0"/>
              <w:rPr>
                <w:sz w:val="20"/>
                <w:szCs w:val="20"/>
                <w:color w:val="auto"/>
              </w:rPr>
            </w:pPr>
            <w:r>
              <w:rPr>
                <w:rFonts w:ascii="Times New Roman" w:cs="Times New Roman" w:eastAsia="Times New Roman" w:hAnsi="Times New Roman"/>
                <w:sz w:val="18"/>
                <w:szCs w:val="18"/>
                <w:color w:val="0000FF"/>
                <w:w w:val="99"/>
              </w:rPr>
              <w:t>49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0" w:type="dxa"/>
            <w:vAlign w:val="bottom"/>
            <w:tcBorders>
              <w:right w:val="single" w:sz="8" w:color="0000FF"/>
            </w:tcBorders>
            <w:gridSpan w:val="2"/>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4.</w:t>
            </w:r>
          </w:p>
        </w:tc>
        <w:tc>
          <w:tcPr>
            <w:tcW w:w="720" w:type="dxa"/>
            <w:vAlign w:val="bottom"/>
            <w:gridSpan w:val="3"/>
          </w:tcPr>
          <w:p>
            <w:pPr>
              <w:spacing w:after="0"/>
              <w:rPr>
                <w:sz w:val="18"/>
                <w:szCs w:val="18"/>
                <w:color w:val="auto"/>
              </w:rPr>
            </w:pPr>
          </w:p>
        </w:tc>
        <w:tc>
          <w:tcPr>
            <w:tcW w:w="898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Mine Safety Disclosure</w:t>
            </w:r>
          </w:p>
        </w:tc>
        <w:tc>
          <w:tcPr>
            <w:tcW w:w="540" w:type="dxa"/>
            <w:vAlign w:val="bottom"/>
            <w:gridSpan w:val="4"/>
          </w:tcPr>
          <w:p>
            <w:pPr>
              <w:jc w:val="center"/>
              <w:ind w:left="270"/>
              <w:spacing w:after="0"/>
              <w:rPr>
                <w:sz w:val="20"/>
                <w:szCs w:val="20"/>
                <w:color w:val="auto"/>
              </w:rPr>
            </w:pPr>
            <w:r>
              <w:rPr>
                <w:rFonts w:ascii="Times New Roman" w:cs="Times New Roman" w:eastAsia="Times New Roman" w:hAnsi="Times New Roman"/>
                <w:sz w:val="18"/>
                <w:szCs w:val="18"/>
                <w:color w:val="0000FF"/>
                <w:w w:val="99"/>
              </w:rPr>
              <w:t>49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Borders>
              <w:bottom w:val="single" w:sz="8" w:color="0000FF"/>
            </w:tcBorders>
            <w:gridSpan w:val="3"/>
          </w:tcPr>
          <w:p>
            <w:pPr>
              <w:jc w:val="center"/>
              <w:ind w:right="40"/>
              <w:spacing w:after="0"/>
              <w:rPr>
                <w:sz w:val="20"/>
                <w:szCs w:val="20"/>
                <w:color w:val="auto"/>
              </w:rPr>
            </w:pPr>
            <w:r>
              <w:rPr>
                <w:rFonts w:ascii="Times New Roman" w:cs="Times New Roman" w:eastAsia="Times New Roman" w:hAnsi="Times New Roman"/>
                <w:sz w:val="18"/>
                <w:szCs w:val="18"/>
                <w:color w:val="0000FF"/>
                <w:w w:val="99"/>
              </w:rPr>
              <w:t>Part II.</w:t>
            </w:r>
          </w:p>
        </w:tc>
        <w:tc>
          <w:tcPr>
            <w:tcW w:w="4900" w:type="dxa"/>
            <w:vAlign w:val="bottom"/>
            <w:gridSpan w:val="10"/>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5.</w:t>
            </w:r>
          </w:p>
        </w:tc>
        <w:tc>
          <w:tcPr>
            <w:tcW w:w="720" w:type="dxa"/>
            <w:vAlign w:val="bottom"/>
            <w:gridSpan w:val="3"/>
          </w:tcPr>
          <w:p>
            <w:pPr>
              <w:spacing w:after="0"/>
              <w:rPr>
                <w:sz w:val="18"/>
                <w:szCs w:val="18"/>
                <w:color w:val="auto"/>
              </w:rPr>
            </w:pPr>
          </w:p>
        </w:tc>
        <w:tc>
          <w:tcPr>
            <w:tcW w:w="806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w w:val="99"/>
              </w:rPr>
              <w:t>Market for Registrant's Common Equity, Related Stockholder Matters and Issuer Purchases of Equity Securities</w:t>
            </w:r>
          </w:p>
        </w:tc>
        <w:tc>
          <w:tcPr>
            <w:tcW w:w="920" w:type="dxa"/>
            <w:vAlign w:val="bottom"/>
          </w:tcPr>
          <w:p>
            <w:pPr>
              <w:spacing w:after="0"/>
              <w:rPr>
                <w:sz w:val="18"/>
                <w:szCs w:val="18"/>
                <w:color w:val="auto"/>
              </w:rPr>
            </w:pPr>
          </w:p>
        </w:tc>
        <w:tc>
          <w:tcPr>
            <w:tcW w:w="540" w:type="dxa"/>
            <w:vAlign w:val="bottom"/>
            <w:gridSpan w:val="4"/>
          </w:tcPr>
          <w:p>
            <w:pPr>
              <w:jc w:val="center"/>
              <w:ind w:left="270"/>
              <w:spacing w:after="0"/>
              <w:rPr>
                <w:sz w:val="20"/>
                <w:szCs w:val="20"/>
                <w:color w:val="auto"/>
              </w:rPr>
            </w:pPr>
            <w:r>
              <w:rPr>
                <w:rFonts w:ascii="Times New Roman" w:cs="Times New Roman" w:eastAsia="Times New Roman" w:hAnsi="Times New Roman"/>
                <w:sz w:val="18"/>
                <w:szCs w:val="18"/>
                <w:color w:val="0000FF"/>
                <w:w w:val="99"/>
              </w:rPr>
              <w:t>49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0" w:type="dxa"/>
            <w:vAlign w:val="bottom"/>
            <w:tcBorders>
              <w:right w:val="single" w:sz="8" w:color="0000FF"/>
            </w:tcBorders>
            <w:gridSpan w:val="2"/>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6.</w:t>
            </w:r>
          </w:p>
        </w:tc>
        <w:tc>
          <w:tcPr>
            <w:tcW w:w="720" w:type="dxa"/>
            <w:vAlign w:val="bottom"/>
            <w:gridSpan w:val="3"/>
          </w:tcPr>
          <w:p>
            <w:pPr>
              <w:spacing w:after="0"/>
              <w:rPr>
                <w:sz w:val="18"/>
                <w:szCs w:val="18"/>
                <w:color w:val="auto"/>
              </w:rPr>
            </w:pPr>
          </w:p>
        </w:tc>
        <w:tc>
          <w:tcPr>
            <w:tcW w:w="806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[Reserved]</w:t>
            </w:r>
          </w:p>
        </w:tc>
        <w:tc>
          <w:tcPr>
            <w:tcW w:w="920" w:type="dxa"/>
            <w:vAlign w:val="bottom"/>
          </w:tcPr>
          <w:p>
            <w:pPr>
              <w:spacing w:after="0"/>
              <w:rPr>
                <w:sz w:val="18"/>
                <w:szCs w:val="18"/>
                <w:color w:val="auto"/>
              </w:rPr>
            </w:pPr>
          </w:p>
        </w:tc>
        <w:tc>
          <w:tcPr>
            <w:tcW w:w="540" w:type="dxa"/>
            <w:vAlign w:val="bottom"/>
            <w:gridSpan w:val="4"/>
          </w:tcPr>
          <w:p>
            <w:pPr>
              <w:jc w:val="center"/>
              <w:ind w:left="270"/>
              <w:spacing w:after="0"/>
              <w:rPr>
                <w:sz w:val="20"/>
                <w:szCs w:val="20"/>
                <w:color w:val="auto"/>
              </w:rPr>
            </w:pPr>
            <w:r>
              <w:rPr>
                <w:rFonts w:ascii="Times New Roman" w:cs="Times New Roman" w:eastAsia="Times New Roman" w:hAnsi="Times New Roman"/>
                <w:sz w:val="18"/>
                <w:szCs w:val="18"/>
                <w:color w:val="0000FF"/>
                <w:w w:val="99"/>
              </w:rPr>
              <w:t>51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400" w:type="dxa"/>
            <w:vAlign w:val="bottom"/>
            <w:tcBorders>
              <w:right w:val="single" w:sz="8" w:color="0000FF"/>
            </w:tcBorders>
            <w:gridSpan w:val="2"/>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7.</w:t>
            </w:r>
          </w:p>
        </w:tc>
        <w:tc>
          <w:tcPr>
            <w:tcW w:w="720" w:type="dxa"/>
            <w:vAlign w:val="bottom"/>
            <w:gridSpan w:val="3"/>
          </w:tcPr>
          <w:p>
            <w:pPr>
              <w:spacing w:after="0"/>
              <w:rPr>
                <w:sz w:val="18"/>
                <w:szCs w:val="18"/>
                <w:color w:val="auto"/>
              </w:rPr>
            </w:pPr>
          </w:p>
        </w:tc>
        <w:tc>
          <w:tcPr>
            <w:tcW w:w="644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540" w:type="dxa"/>
            <w:vAlign w:val="bottom"/>
            <w:gridSpan w:val="4"/>
          </w:tcPr>
          <w:p>
            <w:pPr>
              <w:spacing w:after="0"/>
              <w:rPr>
                <w:sz w:val="18"/>
                <w:szCs w:val="18"/>
                <w:color w:val="auto"/>
              </w:rPr>
            </w:pPr>
          </w:p>
        </w:tc>
        <w:tc>
          <w:tcPr>
            <w:tcW w:w="540" w:type="dxa"/>
            <w:vAlign w:val="bottom"/>
            <w:gridSpan w:val="4"/>
          </w:tcPr>
          <w:p>
            <w:pPr>
              <w:jc w:val="center"/>
              <w:ind w:left="270"/>
              <w:spacing w:after="0"/>
              <w:rPr>
                <w:sz w:val="20"/>
                <w:szCs w:val="20"/>
                <w:color w:val="auto"/>
              </w:rPr>
            </w:pPr>
            <w:r>
              <w:rPr>
                <w:rFonts w:ascii="Times New Roman" w:cs="Times New Roman" w:eastAsia="Times New Roman" w:hAnsi="Times New Roman"/>
                <w:sz w:val="18"/>
                <w:szCs w:val="18"/>
                <w:color w:val="0000FF"/>
                <w:w w:val="99"/>
              </w:rPr>
              <w:t>52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300" w:type="dxa"/>
            <w:vAlign w:val="bottom"/>
            <w:gridSpan w:val="6"/>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400" w:type="dxa"/>
            <w:vAlign w:val="bottom"/>
            <w:tcBorders>
              <w:right w:val="single" w:sz="8" w:color="0000FF"/>
            </w:tcBorders>
            <w:gridSpan w:val="2"/>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4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Item 7A.</w:t>
            </w:r>
          </w:p>
        </w:tc>
        <w:tc>
          <w:tcPr>
            <w:tcW w:w="4360" w:type="dxa"/>
            <w:vAlign w:val="bottom"/>
            <w:tcBorders>
              <w:bottom w:val="single" w:sz="8" w:color="0000FF"/>
            </w:tcBorders>
            <w:gridSpan w:val="22"/>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4620" w:type="dxa"/>
            <w:vAlign w:val="bottom"/>
            <w:gridSpan w:val="7"/>
          </w:tcPr>
          <w:p>
            <w:pPr>
              <w:spacing w:after="0"/>
              <w:rPr>
                <w:sz w:val="18"/>
                <w:szCs w:val="18"/>
                <w:color w:val="auto"/>
              </w:rPr>
            </w:pPr>
          </w:p>
        </w:tc>
        <w:tc>
          <w:tcPr>
            <w:tcW w:w="540" w:type="dxa"/>
            <w:vAlign w:val="bottom"/>
            <w:gridSpan w:val="4"/>
          </w:tcPr>
          <w:p>
            <w:pPr>
              <w:jc w:val="center"/>
              <w:ind w:left="270"/>
              <w:spacing w:after="0"/>
              <w:rPr>
                <w:sz w:val="20"/>
                <w:szCs w:val="20"/>
                <w:color w:val="auto"/>
              </w:rPr>
            </w:pPr>
            <w:r>
              <w:rPr>
                <w:rFonts w:ascii="Times New Roman" w:cs="Times New Roman" w:eastAsia="Times New Roman" w:hAnsi="Times New Roman"/>
                <w:sz w:val="18"/>
                <w:szCs w:val="18"/>
                <w:color w:val="0000FF"/>
                <w:w w:val="99"/>
              </w:rPr>
              <w:t>94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8.</w:t>
            </w:r>
          </w:p>
        </w:tc>
        <w:tc>
          <w:tcPr>
            <w:tcW w:w="640" w:type="dxa"/>
            <w:vAlign w:val="bottom"/>
            <w:gridSpan w:val="2"/>
          </w:tcPr>
          <w:p>
            <w:pPr>
              <w:spacing w:after="0"/>
              <w:rPr>
                <w:sz w:val="18"/>
                <w:szCs w:val="18"/>
                <w:color w:val="auto"/>
              </w:rPr>
            </w:pPr>
          </w:p>
        </w:tc>
        <w:tc>
          <w:tcPr>
            <w:tcW w:w="898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540" w:type="dxa"/>
            <w:vAlign w:val="bottom"/>
            <w:gridSpan w:val="4"/>
          </w:tcPr>
          <w:p>
            <w:pPr>
              <w:jc w:val="center"/>
              <w:ind w:left="270"/>
              <w:spacing w:after="0"/>
              <w:rPr>
                <w:sz w:val="20"/>
                <w:szCs w:val="20"/>
                <w:color w:val="auto"/>
              </w:rPr>
            </w:pPr>
            <w:r>
              <w:rPr>
                <w:rFonts w:ascii="Times New Roman" w:cs="Times New Roman" w:eastAsia="Times New Roman" w:hAnsi="Times New Roman"/>
                <w:sz w:val="18"/>
                <w:szCs w:val="18"/>
                <w:color w:val="0000FF"/>
                <w:w w:val="99"/>
              </w:rPr>
              <w:t>97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300" w:type="dxa"/>
            <w:vAlign w:val="bottom"/>
            <w:gridSpan w:val="6"/>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400" w:type="dxa"/>
            <w:vAlign w:val="bottom"/>
            <w:tcBorders>
              <w:right w:val="single" w:sz="8" w:color="0000FF"/>
            </w:tcBorders>
            <w:gridSpan w:val="2"/>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9.</w:t>
            </w:r>
          </w:p>
        </w:tc>
        <w:tc>
          <w:tcPr>
            <w:tcW w:w="80" w:type="dxa"/>
            <w:vAlign w:val="bottom"/>
          </w:tcPr>
          <w:p>
            <w:pPr>
              <w:spacing w:after="0"/>
              <w:rPr>
                <w:sz w:val="18"/>
                <w:szCs w:val="18"/>
                <w:color w:val="auto"/>
              </w:rPr>
            </w:pPr>
          </w:p>
        </w:tc>
        <w:tc>
          <w:tcPr>
            <w:tcW w:w="640" w:type="dxa"/>
            <w:vAlign w:val="bottom"/>
            <w:gridSpan w:val="2"/>
          </w:tcPr>
          <w:p>
            <w:pPr>
              <w:spacing w:after="0"/>
              <w:rPr>
                <w:sz w:val="18"/>
                <w:szCs w:val="18"/>
                <w:color w:val="auto"/>
              </w:rPr>
            </w:pPr>
          </w:p>
        </w:tc>
        <w:tc>
          <w:tcPr>
            <w:tcW w:w="898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540" w:type="dxa"/>
            <w:vAlign w:val="bottom"/>
            <w:gridSpan w:val="4"/>
          </w:tcPr>
          <w:p>
            <w:pPr>
              <w:jc w:val="center"/>
              <w:ind w:left="270"/>
              <w:spacing w:after="0"/>
              <w:rPr>
                <w:sz w:val="20"/>
                <w:szCs w:val="20"/>
                <w:color w:val="auto"/>
              </w:rPr>
            </w:pPr>
            <w:r>
              <w:rPr>
                <w:rFonts w:ascii="Times New Roman" w:cs="Times New Roman" w:eastAsia="Times New Roman" w:hAnsi="Times New Roman"/>
                <w:sz w:val="18"/>
                <w:szCs w:val="18"/>
                <w:color w:val="0000FF"/>
                <w:w w:val="99"/>
              </w:rPr>
              <w:t>97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300" w:type="dxa"/>
            <w:vAlign w:val="bottom"/>
            <w:gridSpan w:val="6"/>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400" w:type="dxa"/>
            <w:vAlign w:val="bottom"/>
            <w:tcBorders>
              <w:right w:val="single" w:sz="8" w:color="0000FF"/>
            </w:tcBorders>
            <w:gridSpan w:val="2"/>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9A.</w:t>
            </w:r>
          </w:p>
        </w:tc>
        <w:tc>
          <w:tcPr>
            <w:tcW w:w="560" w:type="dxa"/>
            <w:vAlign w:val="bottom"/>
          </w:tcPr>
          <w:p>
            <w:pPr>
              <w:spacing w:after="0"/>
              <w:rPr>
                <w:sz w:val="18"/>
                <w:szCs w:val="18"/>
                <w:color w:val="auto"/>
              </w:rPr>
            </w:pPr>
          </w:p>
        </w:tc>
        <w:tc>
          <w:tcPr>
            <w:tcW w:w="898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540" w:type="dxa"/>
            <w:vAlign w:val="bottom"/>
            <w:gridSpan w:val="4"/>
          </w:tcPr>
          <w:p>
            <w:pPr>
              <w:jc w:val="center"/>
              <w:ind w:left="270"/>
              <w:spacing w:after="0"/>
              <w:rPr>
                <w:sz w:val="20"/>
                <w:szCs w:val="20"/>
                <w:color w:val="auto"/>
              </w:rPr>
            </w:pPr>
            <w:r>
              <w:rPr>
                <w:rFonts w:ascii="Times New Roman" w:cs="Times New Roman" w:eastAsia="Times New Roman" w:hAnsi="Times New Roman"/>
                <w:sz w:val="18"/>
                <w:szCs w:val="18"/>
                <w:color w:val="0000FF"/>
                <w:w w:val="99"/>
              </w:rPr>
              <w:t>97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00" w:type="dxa"/>
            <w:vAlign w:val="bottom"/>
            <w:gridSpan w:val="6"/>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400" w:type="dxa"/>
            <w:vAlign w:val="bottom"/>
            <w:tcBorders>
              <w:right w:val="single" w:sz="8" w:color="0000FF"/>
            </w:tcBorders>
            <w:gridSpan w:val="2"/>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8"/>
              </w:rPr>
              <w:t>Item 9B.</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6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220" w:type="dxa"/>
            <w:vAlign w:val="bottom"/>
            <w:gridSpan w:val="20"/>
          </w:tcPr>
          <w:p>
            <w:pPr>
              <w:spacing w:after="0"/>
              <w:rPr>
                <w:sz w:val="18"/>
                <w:szCs w:val="18"/>
                <w:color w:val="auto"/>
              </w:rPr>
            </w:pPr>
          </w:p>
        </w:tc>
        <w:tc>
          <w:tcPr>
            <w:tcW w:w="540" w:type="dxa"/>
            <w:vAlign w:val="bottom"/>
            <w:gridSpan w:val="4"/>
          </w:tcPr>
          <w:p>
            <w:pPr>
              <w:jc w:val="center"/>
              <w:ind w:left="270"/>
              <w:spacing w:after="0"/>
              <w:rPr>
                <w:sz w:val="20"/>
                <w:szCs w:val="20"/>
                <w:color w:val="auto"/>
              </w:rPr>
            </w:pPr>
            <w:r>
              <w:rPr>
                <w:rFonts w:ascii="Times New Roman" w:cs="Times New Roman" w:eastAsia="Times New Roman" w:hAnsi="Times New Roman"/>
                <w:sz w:val="18"/>
                <w:szCs w:val="18"/>
                <w:color w:val="0000FF"/>
                <w:w w:val="99"/>
              </w:rPr>
              <w:t>98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FF"/>
          </w:tcPr>
          <w:p>
            <w:pPr>
              <w:spacing w:after="0" w:line="20" w:lineRule="exact"/>
              <w:rPr>
                <w:sz w:val="1"/>
                <w:szCs w:val="1"/>
                <w:color w:val="auto"/>
              </w:rPr>
            </w:pPr>
          </w:p>
        </w:tc>
        <w:tc>
          <w:tcPr>
            <w:tcW w:w="640" w:type="dxa"/>
            <w:vAlign w:val="bottom"/>
            <w:tcBorders>
              <w:left w:val="single" w:sz="8" w:color="0000FF"/>
            </w:tcBorders>
            <w:gridSpan w:val="2"/>
          </w:tcPr>
          <w:p>
            <w:pPr>
              <w:spacing w:after="0" w:line="20" w:lineRule="exact"/>
              <w:rPr>
                <w:sz w:val="1"/>
                <w:szCs w:val="1"/>
                <w:color w:val="auto"/>
              </w:rPr>
            </w:pPr>
          </w:p>
        </w:tc>
        <w:tc>
          <w:tcPr>
            <w:tcW w:w="1300" w:type="dxa"/>
            <w:vAlign w:val="bottom"/>
            <w:gridSpan w:val="6"/>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400" w:type="dxa"/>
            <w:vAlign w:val="bottom"/>
            <w:tcBorders>
              <w:right w:val="single" w:sz="8" w:color="0000FF"/>
            </w:tcBorders>
            <w:gridSpan w:val="2"/>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8"/>
              </w:rPr>
              <w:t>Item 9C.</w:t>
            </w:r>
          </w:p>
        </w:tc>
        <w:tc>
          <w:tcPr>
            <w:tcW w:w="640" w:type="dxa"/>
            <w:vAlign w:val="bottom"/>
            <w:gridSpan w:val="2"/>
          </w:tcPr>
          <w:p>
            <w:pPr>
              <w:spacing w:after="0"/>
              <w:rPr>
                <w:sz w:val="18"/>
                <w:szCs w:val="18"/>
                <w:color w:val="auto"/>
              </w:rPr>
            </w:pPr>
          </w:p>
        </w:tc>
        <w:tc>
          <w:tcPr>
            <w:tcW w:w="490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w w:val="99"/>
              </w:rPr>
              <w:t>Disclosure Regarding Foreign Jurisdictions that Prevent Inspections</w:t>
            </w:r>
          </w:p>
        </w:tc>
        <w:tc>
          <w:tcPr>
            <w:tcW w:w="4080" w:type="dxa"/>
            <w:vAlign w:val="bottom"/>
            <w:gridSpan w:val="6"/>
          </w:tcPr>
          <w:p>
            <w:pPr>
              <w:spacing w:after="0"/>
              <w:rPr>
                <w:sz w:val="18"/>
                <w:szCs w:val="18"/>
                <w:color w:val="auto"/>
              </w:rPr>
            </w:pPr>
          </w:p>
        </w:tc>
        <w:tc>
          <w:tcPr>
            <w:tcW w:w="540" w:type="dxa"/>
            <w:vAlign w:val="bottom"/>
            <w:gridSpan w:val="4"/>
          </w:tcPr>
          <w:p>
            <w:pPr>
              <w:jc w:val="center"/>
              <w:ind w:left="270"/>
              <w:spacing w:after="0"/>
              <w:rPr>
                <w:sz w:val="20"/>
                <w:szCs w:val="20"/>
                <w:color w:val="auto"/>
              </w:rPr>
            </w:pPr>
            <w:r>
              <w:rPr>
                <w:rFonts w:ascii="Times New Roman" w:cs="Times New Roman" w:eastAsia="Times New Roman" w:hAnsi="Times New Roman"/>
                <w:sz w:val="18"/>
                <w:szCs w:val="18"/>
                <w:color w:val="0000FF"/>
                <w:w w:val="99"/>
              </w:rPr>
              <w:t>98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82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600" w:type="dxa"/>
            <w:vAlign w:val="bottom"/>
            <w:tcBorders>
              <w:top w:val="single" w:sz="8" w:color="0000FF"/>
              <w:bottom w:val="single" w:sz="8" w:color="0000FF"/>
            </w:tcBorders>
            <w:gridSpan w:val="5"/>
          </w:tcPr>
          <w:p>
            <w:pPr>
              <w:jc w:val="center"/>
              <w:ind w:right="40"/>
              <w:spacing w:after="0"/>
              <w:rPr>
                <w:sz w:val="20"/>
                <w:szCs w:val="20"/>
                <w:color w:val="auto"/>
              </w:rPr>
            </w:pPr>
            <w:r>
              <w:rPr>
                <w:rFonts w:ascii="Times New Roman" w:cs="Times New Roman" w:eastAsia="Times New Roman" w:hAnsi="Times New Roman"/>
                <w:sz w:val="18"/>
                <w:szCs w:val="18"/>
                <w:color w:val="0000FF"/>
                <w:w w:val="99"/>
              </w:rPr>
              <w:t>Part III.</w:t>
            </w:r>
          </w:p>
        </w:tc>
        <w:tc>
          <w:tcPr>
            <w:tcW w:w="800" w:type="dxa"/>
            <w:vAlign w:val="bottom"/>
            <w:tcBorders>
              <w:top w:val="single" w:sz="8" w:color="0000FF"/>
            </w:tcBorders>
            <w:gridSpan w:val="3"/>
          </w:tcPr>
          <w:p>
            <w:pPr>
              <w:spacing w:after="0"/>
              <w:rPr>
                <w:sz w:val="18"/>
                <w:szCs w:val="18"/>
                <w:color w:val="auto"/>
              </w:rPr>
            </w:pPr>
          </w:p>
        </w:tc>
        <w:tc>
          <w:tcPr>
            <w:tcW w:w="4080" w:type="dxa"/>
            <w:vAlign w:val="bottom"/>
            <w:gridSpan w:val="6"/>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10.</w:t>
            </w:r>
          </w:p>
        </w:tc>
        <w:tc>
          <w:tcPr>
            <w:tcW w:w="898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540" w:type="dxa"/>
            <w:vAlign w:val="bottom"/>
            <w:gridSpan w:val="4"/>
          </w:tcPr>
          <w:p>
            <w:pPr>
              <w:jc w:val="center"/>
              <w:ind w:left="270"/>
              <w:spacing w:after="0"/>
              <w:rPr>
                <w:sz w:val="20"/>
                <w:szCs w:val="20"/>
                <w:color w:val="auto"/>
              </w:rPr>
            </w:pPr>
            <w:r>
              <w:rPr>
                <w:rFonts w:ascii="Times New Roman" w:cs="Times New Roman" w:eastAsia="Times New Roman" w:hAnsi="Times New Roman"/>
                <w:sz w:val="18"/>
                <w:szCs w:val="18"/>
                <w:color w:val="0000FF"/>
                <w:w w:val="99"/>
              </w:rPr>
              <w:t>98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540" w:type="dxa"/>
            <w:vAlign w:val="bottom"/>
            <w:gridSpan w:val="7"/>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400" w:type="dxa"/>
            <w:vAlign w:val="bottom"/>
            <w:tcBorders>
              <w:right w:val="single" w:sz="8" w:color="0000FF"/>
            </w:tcBorders>
            <w:gridSpan w:val="2"/>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11.</w:t>
            </w:r>
          </w:p>
        </w:tc>
        <w:tc>
          <w:tcPr>
            <w:tcW w:w="898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540" w:type="dxa"/>
            <w:vAlign w:val="bottom"/>
            <w:gridSpan w:val="4"/>
          </w:tcPr>
          <w:p>
            <w:pPr>
              <w:jc w:val="center"/>
              <w:ind w:left="270"/>
              <w:spacing w:after="0"/>
              <w:rPr>
                <w:sz w:val="20"/>
                <w:szCs w:val="20"/>
                <w:color w:val="auto"/>
              </w:rPr>
            </w:pPr>
            <w:r>
              <w:rPr>
                <w:rFonts w:ascii="Times New Roman" w:cs="Times New Roman" w:eastAsia="Times New Roman" w:hAnsi="Times New Roman"/>
                <w:sz w:val="18"/>
                <w:szCs w:val="18"/>
                <w:color w:val="0000FF"/>
                <w:w w:val="99"/>
              </w:rPr>
              <w:t>99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540" w:type="dxa"/>
            <w:vAlign w:val="bottom"/>
            <w:gridSpan w:val="7"/>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36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400" w:type="dxa"/>
            <w:vAlign w:val="bottom"/>
            <w:tcBorders>
              <w:right w:val="single" w:sz="8" w:color="0000FF"/>
            </w:tcBorders>
            <w:gridSpan w:val="2"/>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12.</w:t>
            </w:r>
          </w:p>
        </w:tc>
        <w:tc>
          <w:tcPr>
            <w:tcW w:w="898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540" w:type="dxa"/>
            <w:vAlign w:val="bottom"/>
            <w:gridSpan w:val="4"/>
          </w:tcPr>
          <w:p>
            <w:pPr>
              <w:jc w:val="center"/>
              <w:ind w:left="270"/>
              <w:spacing w:after="0"/>
              <w:rPr>
                <w:sz w:val="20"/>
                <w:szCs w:val="20"/>
                <w:color w:val="auto"/>
              </w:rPr>
            </w:pPr>
            <w:r>
              <w:rPr>
                <w:rFonts w:ascii="Times New Roman" w:cs="Times New Roman" w:eastAsia="Times New Roman" w:hAnsi="Times New Roman"/>
                <w:sz w:val="18"/>
                <w:szCs w:val="18"/>
                <w:color w:val="0000FF"/>
                <w:w w:val="99"/>
              </w:rPr>
              <w:t>99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4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Item 13.</w:t>
            </w:r>
          </w:p>
        </w:tc>
        <w:tc>
          <w:tcPr>
            <w:tcW w:w="7280" w:type="dxa"/>
            <w:vAlign w:val="bottom"/>
            <w:tcBorders>
              <w:top w:val="single" w:sz="8" w:color="0000FF"/>
            </w:tcBorders>
            <w:gridSpan w:val="27"/>
          </w:tcPr>
          <w:p>
            <w:pPr>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1700" w:type="dxa"/>
            <w:vAlign w:val="bottom"/>
            <w:gridSpan w:val="2"/>
          </w:tcPr>
          <w:p>
            <w:pPr>
              <w:spacing w:after="0"/>
              <w:rPr>
                <w:sz w:val="18"/>
                <w:szCs w:val="18"/>
                <w:color w:val="auto"/>
              </w:rPr>
            </w:pPr>
          </w:p>
        </w:tc>
        <w:tc>
          <w:tcPr>
            <w:tcW w:w="540" w:type="dxa"/>
            <w:vAlign w:val="bottom"/>
            <w:gridSpan w:val="4"/>
          </w:tcPr>
          <w:p>
            <w:pPr>
              <w:jc w:val="center"/>
              <w:ind w:left="270"/>
              <w:spacing w:after="0"/>
              <w:rPr>
                <w:sz w:val="20"/>
                <w:szCs w:val="20"/>
                <w:color w:val="auto"/>
              </w:rPr>
            </w:pPr>
            <w:r>
              <w:rPr>
                <w:rFonts w:ascii="Times New Roman" w:cs="Times New Roman" w:eastAsia="Times New Roman" w:hAnsi="Times New Roman"/>
                <w:sz w:val="18"/>
                <w:szCs w:val="18"/>
                <w:color w:val="0000FF"/>
                <w:w w:val="99"/>
              </w:rPr>
              <w:t>99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540" w:type="dxa"/>
            <w:vAlign w:val="bottom"/>
            <w:gridSpan w:val="7"/>
            <w:shd w:val="clear" w:color="auto" w:fill="0000FF"/>
          </w:tcPr>
          <w:p>
            <w:pPr>
              <w:spacing w:after="0" w:line="20" w:lineRule="exact"/>
              <w:rPr>
                <w:sz w:val="1"/>
                <w:szCs w:val="1"/>
                <w:color w:val="auto"/>
              </w:rPr>
            </w:pPr>
          </w:p>
        </w:tc>
        <w:tc>
          <w:tcPr>
            <w:tcW w:w="1320" w:type="dxa"/>
            <w:vAlign w:val="bottom"/>
            <w:gridSpan w:val="5"/>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1360" w:type="dxa"/>
            <w:vAlign w:val="bottom"/>
            <w:gridSpan w:val="5"/>
            <w:shd w:val="clear" w:color="auto" w:fill="0000FF"/>
          </w:tcPr>
          <w:p>
            <w:pPr>
              <w:spacing w:after="0" w:line="20" w:lineRule="exact"/>
              <w:rPr>
                <w:sz w:val="1"/>
                <w:szCs w:val="1"/>
                <w:color w:val="auto"/>
              </w:rPr>
            </w:pPr>
          </w:p>
        </w:tc>
        <w:tc>
          <w:tcPr>
            <w:tcW w:w="3540" w:type="dxa"/>
            <w:vAlign w:val="bottom"/>
            <w:gridSpan w:val="5"/>
          </w:tcPr>
          <w:p>
            <w:pPr>
              <w:spacing w:after="0" w:line="20" w:lineRule="exact"/>
              <w:rPr>
                <w:sz w:val="1"/>
                <w:szCs w:val="1"/>
                <w:color w:val="auto"/>
              </w:rPr>
            </w:pPr>
          </w:p>
        </w:tc>
        <w:tc>
          <w:tcPr>
            <w:tcW w:w="400" w:type="dxa"/>
            <w:vAlign w:val="bottom"/>
            <w:tcBorders>
              <w:right w:val="single" w:sz="8" w:color="0000FF"/>
            </w:tcBorders>
            <w:gridSpan w:val="2"/>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14.</w:t>
            </w:r>
          </w:p>
        </w:tc>
        <w:tc>
          <w:tcPr>
            <w:tcW w:w="898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Principal Accountant Fees and Services</w:t>
            </w:r>
          </w:p>
        </w:tc>
        <w:tc>
          <w:tcPr>
            <w:tcW w:w="540" w:type="dxa"/>
            <w:vAlign w:val="bottom"/>
            <w:gridSpan w:val="4"/>
          </w:tcPr>
          <w:p>
            <w:pPr>
              <w:jc w:val="center"/>
              <w:ind w:left="270"/>
              <w:spacing w:after="0"/>
              <w:rPr>
                <w:sz w:val="20"/>
                <w:szCs w:val="20"/>
                <w:color w:val="auto"/>
              </w:rPr>
            </w:pPr>
            <w:r>
              <w:rPr>
                <w:rFonts w:ascii="Times New Roman" w:cs="Times New Roman" w:eastAsia="Times New Roman" w:hAnsi="Times New Roman"/>
                <w:sz w:val="18"/>
                <w:szCs w:val="18"/>
                <w:color w:val="0000FF"/>
                <w:w w:val="99"/>
              </w:rPr>
              <w:t>99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820" w:type="dxa"/>
            <w:vAlign w:val="bottom"/>
            <w:tcBorders>
              <w:top w:val="single" w:sz="8" w:color="0000FF"/>
            </w:tcBorders>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80" w:type="dxa"/>
            <w:vAlign w:val="bottom"/>
            <w:gridSpan w:val="14"/>
          </w:tcPr>
          <w:p>
            <w:pPr>
              <w:ind w:left="40"/>
              <w:spacing w:after="0"/>
              <w:rPr>
                <w:sz w:val="20"/>
                <w:szCs w:val="20"/>
                <w:color w:val="auto"/>
              </w:rPr>
            </w:pPr>
            <w:r>
              <w:rPr>
                <w:rFonts w:ascii="Times New Roman" w:cs="Times New Roman" w:eastAsia="Times New Roman" w:hAnsi="Times New Roman"/>
                <w:sz w:val="18"/>
                <w:szCs w:val="18"/>
                <w:color w:val="0000FF"/>
              </w:rPr>
              <w:t>Part IV.</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12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15.</w:t>
            </w:r>
          </w:p>
        </w:tc>
        <w:tc>
          <w:tcPr>
            <w:tcW w:w="35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Exhibits and Financial Statement Schedules</w:t>
            </w:r>
          </w:p>
        </w:tc>
        <w:tc>
          <w:tcPr>
            <w:tcW w:w="540" w:type="dxa"/>
            <w:vAlign w:val="bottom"/>
            <w:tcBorders>
              <w:top w:val="single" w:sz="8" w:color="0000FF"/>
            </w:tcBorders>
            <w:gridSpan w:val="3"/>
          </w:tcPr>
          <w:p>
            <w:pPr>
              <w:spacing w:after="0"/>
              <w:rPr>
                <w:sz w:val="24"/>
                <w:szCs w:val="24"/>
                <w:color w:val="auto"/>
              </w:rPr>
            </w:pPr>
          </w:p>
        </w:tc>
        <w:tc>
          <w:tcPr>
            <w:tcW w:w="4900" w:type="dxa"/>
            <w:vAlign w:val="bottom"/>
            <w:gridSpan w:val="10"/>
          </w:tcPr>
          <w:p>
            <w:pPr>
              <w:spacing w:after="0"/>
              <w:rPr>
                <w:sz w:val="24"/>
                <w:szCs w:val="24"/>
                <w:color w:val="auto"/>
              </w:rPr>
            </w:pPr>
          </w:p>
        </w:tc>
        <w:tc>
          <w:tcPr>
            <w:tcW w:w="540" w:type="dxa"/>
            <w:vAlign w:val="bottom"/>
            <w:gridSpan w:val="4"/>
          </w:tcPr>
          <w:p>
            <w:pPr>
              <w:jc w:val="center"/>
              <w:ind w:left="270"/>
              <w:spacing w:after="0"/>
              <w:rPr>
                <w:sz w:val="20"/>
                <w:szCs w:val="20"/>
                <w:color w:val="auto"/>
              </w:rPr>
            </w:pPr>
            <w:r>
              <w:rPr>
                <w:rFonts w:ascii="Times New Roman" w:cs="Times New Roman" w:eastAsia="Times New Roman" w:hAnsi="Times New Roman"/>
                <w:sz w:val="18"/>
                <w:szCs w:val="18"/>
                <w:color w:val="0000FF"/>
                <w:w w:val="99"/>
              </w:rPr>
              <w:t>99</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540" w:type="dxa"/>
            <w:vAlign w:val="bottom"/>
            <w:gridSpan w:val="7"/>
            <w:shd w:val="clear" w:color="auto" w:fill="0000FF"/>
          </w:tcPr>
          <w:p>
            <w:pPr>
              <w:spacing w:after="0" w:line="20" w:lineRule="exact"/>
              <w:rPr>
                <w:sz w:val="1"/>
                <w:szCs w:val="1"/>
                <w:color w:val="auto"/>
              </w:rPr>
            </w:pPr>
          </w:p>
        </w:tc>
        <w:tc>
          <w:tcPr>
            <w:tcW w:w="1620" w:type="dxa"/>
            <w:vAlign w:val="bottom"/>
            <w:gridSpan w:val="6"/>
            <w:shd w:val="clear" w:color="auto" w:fill="0000FF"/>
          </w:tcPr>
          <w:p>
            <w:pPr>
              <w:spacing w:after="0" w:line="20" w:lineRule="exact"/>
              <w:rPr>
                <w:sz w:val="1"/>
                <w:szCs w:val="1"/>
                <w:color w:val="auto"/>
              </w:rPr>
            </w:pPr>
          </w:p>
        </w:tc>
        <w:tc>
          <w:tcPr>
            <w:tcW w:w="5820" w:type="dxa"/>
            <w:vAlign w:val="bottom"/>
            <w:gridSpan w:val="16"/>
          </w:tcPr>
          <w:p>
            <w:pPr>
              <w:spacing w:after="0" w:line="20" w:lineRule="exact"/>
              <w:rPr>
                <w:sz w:val="1"/>
                <w:szCs w:val="1"/>
                <w:color w:val="auto"/>
              </w:rPr>
            </w:pPr>
          </w:p>
        </w:tc>
        <w:tc>
          <w:tcPr>
            <w:tcW w:w="400" w:type="dxa"/>
            <w:vAlign w:val="bottom"/>
            <w:tcBorders>
              <w:right w:val="single" w:sz="8" w:color="0000FF"/>
            </w:tcBorders>
            <w:gridSpan w:val="2"/>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12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16.</w:t>
            </w:r>
          </w:p>
        </w:tc>
        <w:tc>
          <w:tcPr>
            <w:tcW w:w="898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Form 10-K Summary</w:t>
            </w:r>
          </w:p>
        </w:tc>
        <w:tc>
          <w:tcPr>
            <w:tcW w:w="620" w:type="dxa"/>
            <w:vAlign w:val="bottom"/>
            <w:gridSpan w:val="5"/>
          </w:tcPr>
          <w:p>
            <w:pPr>
              <w:jc w:val="center"/>
              <w:ind w:left="170"/>
              <w:spacing w:after="0"/>
              <w:rPr>
                <w:sz w:val="20"/>
                <w:szCs w:val="20"/>
                <w:color w:val="auto"/>
              </w:rPr>
            </w:pPr>
            <w:r>
              <w:rPr>
                <w:rFonts w:ascii="Times New Roman" w:cs="Times New Roman" w:eastAsia="Times New Roman" w:hAnsi="Times New Roman"/>
                <w:sz w:val="18"/>
                <w:szCs w:val="18"/>
                <w:color w:val="0000FF"/>
              </w:rPr>
              <w:t>104</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73025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460" w:top="1076"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7" w:lineRule="exact"/>
        <w:rPr>
          <w:sz w:val="20"/>
          <w:szCs w:val="20"/>
          <w:color w:val="auto"/>
        </w:rPr>
      </w:pPr>
    </w:p>
    <w:p>
      <w:pPr>
        <w:jc w:val="both"/>
        <w:ind w:firstLine="225"/>
        <w:spacing w:after="0" w:line="284" w:lineRule="auto"/>
        <w:rPr>
          <w:sz w:val="20"/>
          <w:szCs w:val="20"/>
          <w:color w:val="auto"/>
        </w:rPr>
      </w:pPr>
      <w:r>
        <w:rPr>
          <w:rFonts w:ascii="Times New Roman" w:cs="Times New Roman" w:eastAsia="Times New Roman" w:hAnsi="Times New Roman"/>
          <w:sz w:val="18"/>
          <w:szCs w:val="18"/>
          <w:i w:val="1"/>
          <w:iCs w:val="1"/>
          <w:color w:val="auto"/>
        </w:rPr>
        <w:t>In this Annual Report on Form 10-K for the year ended December 31, 2024 (referred to herein as "this Annual Report"), "Celestica," the "Corporation," the "Company," "we," "us" and "our" refer to Celestica Inc. and its subsidiaries.</w:t>
      </w:r>
    </w:p>
    <w:p>
      <w:pPr>
        <w:spacing w:after="0" w:line="15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In this Annual Report, the United States is referred to as the "U.S." Unless we indicate otherwise: (i) all dollar amounts are expressed in U.S. dollars; (ii) all references to "U.S.$" or "$" are to U.S. dollars and all references to "C$" are to Canadian dollars; and (iii) any references to a conversion between U.S.$ and C$ is a conversion at the average of the exchange rates in effect for the year ended December 31, 2024. During that period, based on the relevant noon buying rates in New York City for cable transfers in Canadian dollars, as certified for customs purposes by the Board of Governors of the U.S. Federal Reserve System, the average daily exchange rate was U.S.$1.00 = C$1.3699. Note that use of the word "including" in this Annual Report means "including, without limitation."</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Unless we indicate otherwise, all information in this Annual Report is stated as of February 28, 2025.</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 and Risk Factor Summary</w:t>
      </w:r>
    </w:p>
    <w:p>
      <w:pPr>
        <w:spacing w:after="0" w:line="22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This Annual Report contains "forward-looking statements" within the meaning of Section 27A of the U.S. Securities Act of 1933, as amended (U.S. Securities Act) and Section 21E of the U.S. Securities Exchange Act of 1934, as amended (U.S. Exchange Act), and "forward-looking information" within the meaning of applicable Canadian securities laws (collectively, forward-looking statements), including, without limitation, statements related to: our priorities, intended areas of focus, targets, objectives and goals; trends in the electronics manufacturing services (EMS) industry and our segments (and/or their constituent businesses) and their anticipated impact; the anticipated impact of current market conditions and customer-specific factors on each of our segments (and/or their constituent businesses) and near term expectations; potential restructuring and divestiture actions; our anticipated financial and/or operating results and outlook, including expected revenue increases and decreases (or remaining flat), as well as growth in certain businesses and end markets; our strategies; our credit risk; the potential impact of acquisitions, or program wins, transfers, losses or disengagements; materials, component and supply chain constraints; anticipated expenses, capital expenditures and other working capital requirements and contractual obligations (and intended methods of funding such items); the potential impact of trade policies between countries in which we conduct business (including the potential tariffs implemented by U.S. government); the impact of our price reductions and longer payment terms; our intended repatriation of certain undistributed earnings from non-Canadian subsidiaries (and amounts we do not intend to repatriate in the foreseeable future); the potential impact of tax and litigation outcomes; investor dissatisfaction with inclusion, employee engagement, and other environmental, social and governance (ESG) matters; our intention to settle employee share unit awards in common shares (Common Shares); our ability to use certain tax losses; intended investments in our business; the potential impact of the pace of technological changes, customer outsourcing, program transfers, and the global economic environment; the intended method of funding Common Share repurchases; the impact of our outstanding indebtedness; liquidity and the sufficiency of our capital resources; our intention to settle outstanding equity awards with Common Shares; our financial statement estimates and assumptions; recently-issued accounting pronouncements and amendments; the potential adverse impacts of events outside of our control (including those described under "External Factors that May Impact our Business" in Item 7, Management's Discussion and Analysis of Financial Condition and Results of Operations (MD&amp;A) (External Events)); mandatory prepayments under our credit facility; pension plan funding requirements and obligations, and the impact of annuity purchases; our compliance with covenants under our credit facility; refinancing debt at maturity; interest rates and expense; income tax incentives; accounts payable cash flow levels; accounts receivable sales; expectations with respect to reporting units with goodwill; our future warranty obligations; cybersecurity threats and incidents; our intentions with respect to environmental assessments for newly-leased or acquired properties; our expectations with respect to expiring leases; our intention to retain earnings for general corporate purposes; costs in connection with our pursuit of acquisitions and strategic transactions; and expectations regarding the acceptance of offers to sell accounts receivable (A/R) under our A/R sales programs and supplier financing programs.</w:t>
      </w:r>
    </w:p>
    <w:p>
      <w:pPr>
        <w:spacing w:after="0" w:line="20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Forward-looking statements appear throughout this Annual Report, including, without limitation, in the following sections: Part I, Item 1, "Business," Part I, Item 1A, "Risk Factors," and Part II, Item 7, MD&amp;A. Such forward-looking statements may, without limitation, be preceded by, followed by, or include words such as "believes," "expects," "anticipates," "estimates," "intends," "plans," "continues," "project," "target," "objective," "goal," "potential," "possible," "contemplate," "seek," or similar expressions, or may employ such future or conditional verbs as "may," "might," "will," "could," "should" or "would," or may otherwise be indicated as forward-looking statements by grammatical construction, phrasing or context.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3" w:name="page4"/>
    <w:bookmarkEnd w:id="3"/>
    <w:p>
      <w:pPr>
        <w:jc w:val="both"/>
        <w:spacing w:after="0" w:line="282" w:lineRule="auto"/>
        <w:rPr>
          <w:sz w:val="20"/>
          <w:szCs w:val="20"/>
          <w:color w:val="auto"/>
        </w:rPr>
      </w:pPr>
      <w:r>
        <w:rPr>
          <w:rFonts w:ascii="Times New Roman" w:cs="Times New Roman" w:eastAsia="Times New Roman" w:hAnsi="Times New Roman"/>
          <w:sz w:val="18"/>
          <w:szCs w:val="18"/>
          <w:color w:val="auto"/>
        </w:rPr>
        <w:t>those statements, we claim the protection of the safe harbor for forward-looking statements contained in the U.S. Private Securities Litigation Reform Act of 1995, where applicable, and applicable Canadian securities laws.</w:t>
      </w:r>
    </w:p>
    <w:p>
      <w:pPr>
        <w:spacing w:after="0" w:line="16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Forward-looking statements contained in this Annual Report are based on various assumptions, many of which involve factors that are beyond our control. Our material assumptions include: growth in manufacturing outsourcing from customers in diversified markets; our ability to retain programs and customers, including no unexpected customer or program transfers, losses or disengagements; no unforeseen adverse changes in our mix of businesses; no undue negative impact on our customers' ability to compete and succeed using products we manufacture and services we provide; continued growth in our end markets; our ability to successfully diversify our customer base and develop new capabilities; anticipated demand levels across our businesses; continued growth in the advancement and commercialization of artificial intelligence (AI) technologies and cloud computing; supporting sustained high levels of capital expenditure investments by leading hyperscaler, AI and data center customers; no significant unforeseen negative impacts to our operations; no unforeseen materials price increases, margin pressures, or other competitive factors affecting the EMS or original design manufacturer (ODM) industries in general or our segments in particular; compliance by third parties with their contractual obligations; that our customers will retain liability for product/component tariffs and countermeasures; our ability to keep pace with rapidly changing technological developments; the successful resolution of quality issues that arise from time to time; fluctuation of production schedules from our customers in terms of volume and mix of products or services; the timing and execution of, and investments associated with, ramping new business; supplier performance and quality, pricing and terms; the costs and availability of components, materials, services, equipment, labor, energy and transportation; no significant decline in the global economy or in economic activity in our end markets due to a major recession or otherwise; no unforeseen disruptions due to geopolitical factors (including war) causing significant negative impacts to economic activity, global or regional supply chains or normal business operations; that global inflation will not have a material impact on our revenues or expenses; the impact of anticipated market conditions on our businesses; the stability of currency exchange rates; the availability of capital resources for, and the permissibility under our credit facility of, repurchases of outstanding Common Shares under our current normal course issuer bid (NCIB), and compliance with applicable laws and regulations pertaining to NCIBs; compliance with applicable credit facility covenants and the components of our leverage ratios (as defined in our credit facility); our maintenance of sufficient financial resources to fund currently anticipated financial actions and obligations and to pursue desirable business opportunities; global tax legislation changes; the timing, execution and effect of restructuring actions; and no unforeseen adverse changes in the regulatory environment.</w:t>
      </w:r>
    </w:p>
    <w:p>
      <w:pPr>
        <w:spacing w:after="0" w:line="1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Forward-looking statements are not guarantees of future performance and the Company’s actual results may differ significantly from the results discussed in the forward-looking statements. Achievement of anticipated results is subject to substantial risks, uncertainties and inaccurate assumptions. Should known or unknown risks or uncertainties materialize, or should underlying assumptions prove inaccurate, actual results could vary materially from past results and those anticipated, estimated or projected. You should bear this in mind as you consider forward-looking statements, and you are cautioned not to put undue reliance on forward-looking statements. Forward-looking statements speak only as of the date on which they are made, and we undertake no obligation to publicly update forward-looking statements, whether as a result of new information, future events or otherwise, except as required by law or by the rules and regulations of the U.S. Securities and Exchange Commission (SEC). You are advised, however, to consult any further disclosures we make on related subjects. Factors that might cause such differences include, but are not limited to, those discussed in the Risk Factor Summary below and in Part I, Item 1A of this Annual Report under the heading “Risk Factors,” which are incorporated herein by reference, and subsequent Quarterly Reports on Form 10-Q and other documents filed with the SEC, and as applicable, the Canadian Securities Administrators.</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Risk Factor Summary</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Forward-looking statements are provided to assist readers in understanding management's current expectations and plans relating to the future. Readers are cautioned that such information may not be appropriate for other purposes. Forward-looking statements are not guarantees of future performance and are subject to risks that could cause actual results to differ materially from those expressed or implied in such forward-looking statements, including, among others, as is described in more detail in Item 1A, “Risk Factors” and elsewhere in this Annual Report: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Risks Related to Our Business and Operations</w:t>
      </w:r>
    </w:p>
    <w:p>
      <w:pPr>
        <w:spacing w:after="0" w:line="52" w:lineRule="exact"/>
        <w:rPr>
          <w:sz w:val="20"/>
          <w:szCs w:val="20"/>
          <w:color w:val="auto"/>
        </w:rPr>
      </w:pPr>
    </w:p>
    <w:p>
      <w:pPr>
        <w:ind w:left="1300" w:hanging="644"/>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a limited number of customers and end markets;</w:t>
      </w:r>
    </w:p>
    <w:p>
      <w:pPr>
        <w:spacing w:after="0" w:line="36"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managing changes in customer demand;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4" w:name="page5"/>
    <w:bookmarkEnd w:id="4"/>
    <w:p>
      <w:pPr>
        <w:ind w:left="960" w:hanging="644"/>
        <w:spacing w:after="0"/>
        <w:tabs>
          <w:tab w:leader="none" w:pos="9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dependence on our customers' ability to compete and succeed in the marketplace using products we manufacture and services we provide;</w:t>
      </w:r>
    </w:p>
    <w:p>
      <w:pPr>
        <w:spacing w:after="0" w:line="47" w:lineRule="exact"/>
        <w:rPr>
          <w:rFonts w:ascii="Times New Roman" w:cs="Times New Roman" w:eastAsia="Times New Roman" w:hAnsi="Times New Roman"/>
          <w:sz w:val="17"/>
          <w:szCs w:val="17"/>
          <w:color w:val="auto"/>
        </w:rPr>
      </w:pPr>
    </w:p>
    <w:p>
      <w:pPr>
        <w:ind w:left="960" w:hanging="64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third parties to supply certain materials;</w:t>
      </w:r>
    </w:p>
    <w:p>
      <w:pPr>
        <w:spacing w:after="0" w:line="49" w:lineRule="exact"/>
        <w:rPr>
          <w:rFonts w:ascii="Times New Roman" w:cs="Times New Roman" w:eastAsia="Times New Roman" w:hAnsi="Times New Roman"/>
          <w:sz w:val="18"/>
          <w:szCs w:val="18"/>
          <w:color w:val="auto"/>
        </w:rPr>
      </w:pPr>
    </w:p>
    <w:p>
      <w:pPr>
        <w:ind w:left="960" w:hanging="64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products and services involve inventory risk;</w:t>
      </w:r>
    </w:p>
    <w:p>
      <w:pPr>
        <w:spacing w:after="0" w:line="49" w:lineRule="exact"/>
        <w:rPr>
          <w:rFonts w:ascii="Times New Roman" w:cs="Times New Roman" w:eastAsia="Times New Roman" w:hAnsi="Times New Roman"/>
          <w:sz w:val="18"/>
          <w:szCs w:val="18"/>
          <w:color w:val="auto"/>
        </w:rPr>
      </w:pPr>
    </w:p>
    <w:p>
      <w:pPr>
        <w:ind w:left="960" w:hanging="64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the mix of customers and/or the types of products or services we provide;</w:t>
      </w:r>
    </w:p>
    <w:p>
      <w:pPr>
        <w:spacing w:after="0" w:line="36" w:lineRule="exact"/>
        <w:rPr>
          <w:rFonts w:ascii="Times New Roman" w:cs="Times New Roman" w:eastAsia="Times New Roman" w:hAnsi="Times New Roman"/>
          <w:sz w:val="18"/>
          <w:szCs w:val="18"/>
          <w:color w:val="auto"/>
        </w:rPr>
      </w:pPr>
    </w:p>
    <w:p>
      <w:pPr>
        <w:ind w:left="960" w:hanging="64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associated with new customers or programs, or the provision of new services;</w:t>
      </w:r>
    </w:p>
    <w:p>
      <w:pPr>
        <w:spacing w:after="0" w:line="49" w:lineRule="exact"/>
        <w:rPr>
          <w:rFonts w:ascii="Times New Roman" w:cs="Times New Roman" w:eastAsia="Times New Roman" w:hAnsi="Times New Roman"/>
          <w:sz w:val="18"/>
          <w:szCs w:val="18"/>
          <w:color w:val="auto"/>
        </w:rPr>
      </w:pPr>
    </w:p>
    <w:p>
      <w:pPr>
        <w:ind w:left="960" w:hanging="64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relationships with emerging companies;</w:t>
      </w:r>
    </w:p>
    <w:p>
      <w:pPr>
        <w:spacing w:after="0" w:line="49" w:lineRule="exact"/>
        <w:rPr>
          <w:rFonts w:ascii="Times New Roman" w:cs="Times New Roman" w:eastAsia="Times New Roman" w:hAnsi="Times New Roman"/>
          <w:sz w:val="18"/>
          <w:szCs w:val="18"/>
          <w:color w:val="auto"/>
        </w:rPr>
      </w:pPr>
    </w:p>
    <w:p>
      <w:pPr>
        <w:ind w:left="960" w:hanging="64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recruitment and retention of skilled talent;</w:t>
      </w:r>
    </w:p>
    <w:p>
      <w:pPr>
        <w:spacing w:after="0" w:line="36" w:lineRule="exact"/>
        <w:rPr>
          <w:rFonts w:ascii="Times New Roman" w:cs="Times New Roman" w:eastAsia="Times New Roman" w:hAnsi="Times New Roman"/>
          <w:sz w:val="18"/>
          <w:szCs w:val="18"/>
          <w:color w:val="auto"/>
        </w:rPr>
      </w:pPr>
    </w:p>
    <w:p>
      <w:pPr>
        <w:ind w:left="960" w:hanging="64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variability of revenue and operating results;</w:t>
      </w:r>
    </w:p>
    <w:p>
      <w:pPr>
        <w:spacing w:after="0" w:line="49" w:lineRule="exact"/>
        <w:rPr>
          <w:rFonts w:ascii="Times New Roman" w:cs="Times New Roman" w:eastAsia="Times New Roman" w:hAnsi="Times New Roman"/>
          <w:sz w:val="18"/>
          <w:szCs w:val="18"/>
          <w:color w:val="auto"/>
        </w:rPr>
      </w:pPr>
    </w:p>
    <w:p>
      <w:pPr>
        <w:ind w:left="960" w:hanging="64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expanding or consolidating our operations or introducing new competencies or new offerings;</w:t>
      </w:r>
    </w:p>
    <w:p>
      <w:pPr>
        <w:spacing w:after="0" w:line="49" w:lineRule="exact"/>
        <w:rPr>
          <w:rFonts w:ascii="Times New Roman" w:cs="Times New Roman" w:eastAsia="Times New Roman" w:hAnsi="Times New Roman"/>
          <w:sz w:val="18"/>
          <w:szCs w:val="18"/>
          <w:color w:val="auto"/>
        </w:rPr>
      </w:pPr>
    </w:p>
    <w:p>
      <w:pPr>
        <w:ind w:left="960" w:hanging="64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integration and other challenges with respect to our acquisitions and strategic transactions;</w:t>
      </w:r>
    </w:p>
    <w:p>
      <w:pPr>
        <w:spacing w:after="0" w:line="36" w:lineRule="exact"/>
        <w:rPr>
          <w:rFonts w:ascii="Times New Roman" w:cs="Times New Roman" w:eastAsia="Times New Roman" w:hAnsi="Times New Roman"/>
          <w:sz w:val="18"/>
          <w:szCs w:val="18"/>
          <w:color w:val="auto"/>
        </w:rPr>
      </w:pPr>
    </w:p>
    <w:p>
      <w:pPr>
        <w:ind w:left="960" w:hanging="64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and execution issues;</w:t>
      </w:r>
    </w:p>
    <w:p>
      <w:pPr>
        <w:spacing w:after="0" w:line="49" w:lineRule="exact"/>
        <w:rPr>
          <w:rFonts w:ascii="Times New Roman" w:cs="Times New Roman" w:eastAsia="Times New Roman" w:hAnsi="Times New Roman"/>
          <w:sz w:val="18"/>
          <w:szCs w:val="18"/>
          <w:color w:val="auto"/>
        </w:rPr>
      </w:pPr>
    </w:p>
    <w:p>
      <w:pPr>
        <w:ind w:left="960" w:hanging="64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to operations by events outside our control;</w:t>
      </w:r>
    </w:p>
    <w:p>
      <w:pPr>
        <w:spacing w:after="0" w:line="49" w:lineRule="exact"/>
        <w:rPr>
          <w:rFonts w:ascii="Times New Roman" w:cs="Times New Roman" w:eastAsia="Times New Roman" w:hAnsi="Times New Roman"/>
          <w:sz w:val="18"/>
          <w:szCs w:val="18"/>
          <w:color w:val="auto"/>
        </w:rPr>
      </w:pPr>
    </w:p>
    <w:p>
      <w:pPr>
        <w:ind w:left="960" w:hanging="64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to our information technology (IT) systems and IT infrastructure;</w:t>
      </w:r>
    </w:p>
    <w:p>
      <w:pPr>
        <w:spacing w:after="0" w:line="36" w:lineRule="exact"/>
        <w:rPr>
          <w:rFonts w:ascii="Times New Roman" w:cs="Times New Roman" w:eastAsia="Times New Roman" w:hAnsi="Times New Roman"/>
          <w:sz w:val="18"/>
          <w:szCs w:val="18"/>
          <w:color w:val="auto"/>
        </w:rPr>
      </w:pPr>
    </w:p>
    <w:p>
      <w:pPr>
        <w:ind w:left="960" w:hanging="64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winning competitive bid selection processes;</w:t>
      </w:r>
    </w:p>
    <w:p>
      <w:pPr>
        <w:spacing w:after="0" w:line="49" w:lineRule="exact"/>
        <w:rPr>
          <w:rFonts w:ascii="Times New Roman" w:cs="Times New Roman" w:eastAsia="Times New Roman" w:hAnsi="Times New Roman"/>
          <w:sz w:val="18"/>
          <w:szCs w:val="18"/>
          <w:color w:val="auto"/>
        </w:rPr>
      </w:pPr>
    </w:p>
    <w:p>
      <w:pPr>
        <w:ind w:left="960" w:hanging="64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our operating model;</w:t>
      </w:r>
    </w:p>
    <w:p>
      <w:pPr>
        <w:spacing w:after="0" w:line="49" w:lineRule="exact"/>
        <w:rPr>
          <w:rFonts w:ascii="Times New Roman" w:cs="Times New Roman" w:eastAsia="Times New Roman" w:hAnsi="Times New Roman"/>
          <w:sz w:val="18"/>
          <w:szCs w:val="18"/>
          <w:color w:val="auto"/>
        </w:rPr>
      </w:pPr>
    </w:p>
    <w:p>
      <w:pPr>
        <w:ind w:left="960" w:hanging="64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issues in the development and use of AI;</w:t>
      </w:r>
    </w:p>
    <w:p>
      <w:pPr>
        <w:spacing w:after="0" w:line="36" w:lineRule="exact"/>
        <w:rPr>
          <w:rFonts w:ascii="Times New Roman" w:cs="Times New Roman" w:eastAsia="Times New Roman" w:hAnsi="Times New Roman"/>
          <w:sz w:val="18"/>
          <w:szCs w:val="18"/>
          <w:color w:val="auto"/>
        </w:rPr>
      </w:pPr>
    </w:p>
    <w:p>
      <w:pPr>
        <w:ind w:left="960" w:hanging="64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by activist shareholders;</w:t>
      </w:r>
    </w:p>
    <w:p>
      <w:pPr>
        <w:spacing w:after="0" w:line="49" w:lineRule="exact"/>
        <w:rPr>
          <w:rFonts w:ascii="Times New Roman" w:cs="Times New Roman" w:eastAsia="Times New Roman" w:hAnsi="Times New Roman"/>
          <w:sz w:val="18"/>
          <w:szCs w:val="18"/>
          <w:color w:val="auto"/>
        </w:rPr>
      </w:pPr>
    </w:p>
    <w:p>
      <w:pPr>
        <w:ind w:left="960" w:hanging="64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of climate change;</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Risk Related to Our Industry</w:t>
      </w:r>
    </w:p>
    <w:p>
      <w:pPr>
        <w:spacing w:after="0" w:line="52" w:lineRule="exact"/>
        <w:rPr>
          <w:sz w:val="20"/>
          <w:szCs w:val="20"/>
          <w:color w:val="auto"/>
        </w:rPr>
      </w:pPr>
    </w:p>
    <w:p>
      <w:pPr>
        <w:ind w:left="960" w:hanging="644"/>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cyclical and volatile semiconductor industry;</w:t>
      </w:r>
    </w:p>
    <w:p>
      <w:pPr>
        <w:spacing w:after="0" w:line="36" w:lineRule="exact"/>
        <w:rPr>
          <w:rFonts w:ascii="Times New Roman" w:cs="Times New Roman" w:eastAsia="Times New Roman" w:hAnsi="Times New Roman"/>
          <w:sz w:val="18"/>
          <w:szCs w:val="18"/>
          <w:color w:val="auto"/>
        </w:rPr>
      </w:pPr>
    </w:p>
    <w:p>
      <w:pPr>
        <w:ind w:left="960" w:hanging="644"/>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industry and aggressive pricing dynamics;</w:t>
      </w:r>
    </w:p>
    <w:p>
      <w:pPr>
        <w:spacing w:after="0" w:line="49" w:lineRule="exact"/>
        <w:rPr>
          <w:rFonts w:ascii="Times New Roman" w:cs="Times New Roman" w:eastAsia="Times New Roman" w:hAnsi="Times New Roman"/>
          <w:sz w:val="18"/>
          <w:szCs w:val="18"/>
          <w:color w:val="auto"/>
        </w:rPr>
      </w:pPr>
    </w:p>
    <w:p>
      <w:pPr>
        <w:ind w:left="960" w:hanging="644"/>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rapidly evolving technology;</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Risks Related to the International Nature of our Business</w:t>
      </w:r>
    </w:p>
    <w:p>
      <w:pPr>
        <w:spacing w:after="0" w:line="52" w:lineRule="exact"/>
        <w:rPr>
          <w:sz w:val="20"/>
          <w:szCs w:val="20"/>
          <w:color w:val="auto"/>
        </w:rPr>
      </w:pPr>
    </w:p>
    <w:p>
      <w:pPr>
        <w:ind w:left="960" w:hanging="644"/>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economic and political uncertainty;</w:t>
      </w:r>
    </w:p>
    <w:p>
      <w:pPr>
        <w:spacing w:after="0" w:line="49" w:lineRule="exact"/>
        <w:rPr>
          <w:rFonts w:ascii="Times New Roman" w:cs="Times New Roman" w:eastAsia="Times New Roman" w:hAnsi="Times New Roman"/>
          <w:sz w:val="18"/>
          <w:szCs w:val="18"/>
          <w:color w:val="auto"/>
        </w:rPr>
      </w:pPr>
    </w:p>
    <w:p>
      <w:pPr>
        <w:ind w:left="960" w:hanging="644"/>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the U.S. and other government budgets, changes in spending or budgetary priorities, or delays in contract awards;</w:t>
      </w:r>
    </w:p>
    <w:p>
      <w:pPr>
        <w:spacing w:after="0" w:line="36" w:lineRule="exact"/>
        <w:rPr>
          <w:rFonts w:ascii="Times New Roman" w:cs="Times New Roman" w:eastAsia="Times New Roman" w:hAnsi="Times New Roman"/>
          <w:sz w:val="18"/>
          <w:szCs w:val="18"/>
          <w:color w:val="auto"/>
        </w:rPr>
      </w:pPr>
    </w:p>
    <w:p>
      <w:pPr>
        <w:ind w:left="960" w:hanging="644"/>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geopolitical uncertainty;</w:t>
      </w:r>
    </w:p>
    <w:p>
      <w:pPr>
        <w:spacing w:after="0" w:line="49" w:lineRule="exact"/>
        <w:rPr>
          <w:rFonts w:ascii="Times New Roman" w:cs="Times New Roman" w:eastAsia="Times New Roman" w:hAnsi="Times New Roman"/>
          <w:sz w:val="18"/>
          <w:szCs w:val="18"/>
          <w:color w:val="auto"/>
        </w:rPr>
      </w:pPr>
    </w:p>
    <w:p>
      <w:pPr>
        <w:ind w:left="960" w:hanging="644"/>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exchange rate fluctuations;</w:t>
      </w:r>
    </w:p>
    <w:p>
      <w:pPr>
        <w:spacing w:after="0" w:line="49" w:lineRule="exact"/>
        <w:rPr>
          <w:rFonts w:ascii="Times New Roman" w:cs="Times New Roman" w:eastAsia="Times New Roman" w:hAnsi="Times New Roman"/>
          <w:sz w:val="18"/>
          <w:szCs w:val="18"/>
          <w:color w:val="auto"/>
        </w:rPr>
      </w:pPr>
    </w:p>
    <w:p>
      <w:pPr>
        <w:ind w:left="960" w:hanging="644"/>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operations and supply chain risks;</w:t>
      </w:r>
    </w:p>
    <w:p>
      <w:pPr>
        <w:spacing w:after="0" w:line="36" w:lineRule="exact"/>
        <w:rPr>
          <w:rFonts w:ascii="Times New Roman" w:cs="Times New Roman" w:eastAsia="Times New Roman" w:hAnsi="Times New Roman"/>
          <w:sz w:val="18"/>
          <w:szCs w:val="18"/>
          <w:color w:val="auto"/>
        </w:rPr>
      </w:pPr>
    </w:p>
    <w:p>
      <w:pPr>
        <w:ind w:left="960" w:hanging="644"/>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 of AI/Machine Learning (AI/ML) technology;</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Financial Risks</w:t>
      </w:r>
    </w:p>
    <w:p>
      <w:pPr>
        <w:spacing w:after="0" w:line="38" w:lineRule="exact"/>
        <w:rPr>
          <w:sz w:val="20"/>
          <w:szCs w:val="20"/>
          <w:color w:val="auto"/>
        </w:rPr>
      </w:pPr>
    </w:p>
    <w:p>
      <w:pPr>
        <w:ind w:left="960" w:hanging="644"/>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 fluctuations;</w:t>
      </w:r>
    </w:p>
    <w:p>
      <w:pPr>
        <w:spacing w:after="0" w:line="49" w:lineRule="exact"/>
        <w:rPr>
          <w:rFonts w:ascii="Times New Roman" w:cs="Times New Roman" w:eastAsia="Times New Roman" w:hAnsi="Times New Roman"/>
          <w:sz w:val="18"/>
          <w:szCs w:val="18"/>
          <w:color w:val="auto"/>
        </w:rPr>
      </w:pPr>
    </w:p>
    <w:p>
      <w:pPr>
        <w:ind w:left="960" w:hanging="644"/>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commodity prices;</w:t>
      </w:r>
    </w:p>
    <w:p>
      <w:pPr>
        <w:spacing w:after="0" w:line="49" w:lineRule="exact"/>
        <w:rPr>
          <w:rFonts w:ascii="Times New Roman" w:cs="Times New Roman" w:eastAsia="Times New Roman" w:hAnsi="Times New Roman"/>
          <w:sz w:val="18"/>
          <w:szCs w:val="18"/>
          <w:color w:val="auto"/>
        </w:rPr>
      </w:pPr>
    </w:p>
    <w:p>
      <w:pPr>
        <w:ind w:left="960" w:hanging="644"/>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rising labor costs;</w:t>
      </w:r>
    </w:p>
    <w:p>
      <w:pPr>
        <w:spacing w:after="0" w:line="36" w:lineRule="exact"/>
        <w:rPr>
          <w:rFonts w:ascii="Times New Roman" w:cs="Times New Roman" w:eastAsia="Times New Roman" w:hAnsi="Times New Roman"/>
          <w:sz w:val="18"/>
          <w:szCs w:val="18"/>
          <w:color w:val="auto"/>
        </w:rPr>
      </w:pPr>
    </w:p>
    <w:p>
      <w:pPr>
        <w:ind w:left="960" w:hanging="644"/>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deterioration in financial markets or the macro-economic environment;</w:t>
      </w:r>
    </w:p>
    <w:p>
      <w:pPr>
        <w:spacing w:after="0" w:line="49" w:lineRule="exact"/>
        <w:rPr>
          <w:rFonts w:ascii="Times New Roman" w:cs="Times New Roman" w:eastAsia="Times New Roman" w:hAnsi="Times New Roman"/>
          <w:sz w:val="18"/>
          <w:szCs w:val="18"/>
          <w:color w:val="auto"/>
        </w:rPr>
      </w:pPr>
    </w:p>
    <w:p>
      <w:pPr>
        <w:ind w:left="960" w:hanging="644"/>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non-performance by counterparties;</w:t>
      </w:r>
    </w:p>
    <w:p>
      <w:pPr>
        <w:spacing w:after="0" w:line="49" w:lineRule="exact"/>
        <w:rPr>
          <w:rFonts w:ascii="Times New Roman" w:cs="Times New Roman" w:eastAsia="Times New Roman" w:hAnsi="Times New Roman"/>
          <w:sz w:val="18"/>
          <w:szCs w:val="18"/>
          <w:color w:val="auto"/>
        </w:rPr>
      </w:pPr>
    </w:p>
    <w:p>
      <w:pPr>
        <w:ind w:left="960" w:hanging="644"/>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and equity financing;</w:t>
      </w:r>
    </w:p>
    <w:p>
      <w:pPr>
        <w:spacing w:after="0" w:line="36" w:lineRule="exact"/>
        <w:rPr>
          <w:rFonts w:ascii="Times New Roman" w:cs="Times New Roman" w:eastAsia="Times New Roman" w:hAnsi="Times New Roman"/>
          <w:sz w:val="18"/>
          <w:szCs w:val="18"/>
          <w:color w:val="auto"/>
        </w:rPr>
      </w:pPr>
    </w:p>
    <w:p>
      <w:pPr>
        <w:ind w:left="960" w:hanging="644"/>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third-party debt to fund acquisitions;</w:t>
      </w:r>
    </w:p>
    <w:p>
      <w:pPr>
        <w:spacing w:after="0" w:line="49" w:lineRule="exact"/>
        <w:rPr>
          <w:rFonts w:ascii="Times New Roman" w:cs="Times New Roman" w:eastAsia="Times New Roman" w:hAnsi="Times New Roman"/>
          <w:sz w:val="18"/>
          <w:szCs w:val="18"/>
          <w:color w:val="auto"/>
        </w:rPr>
      </w:pPr>
    </w:p>
    <w:p>
      <w:pPr>
        <w:ind w:left="960" w:hanging="644"/>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risks;</w:t>
      </w:r>
    </w:p>
    <w:p>
      <w:pPr>
        <w:spacing w:after="0" w:line="49" w:lineRule="exact"/>
        <w:rPr>
          <w:rFonts w:ascii="Times New Roman" w:cs="Times New Roman" w:eastAsia="Times New Roman" w:hAnsi="Times New Roman"/>
          <w:sz w:val="18"/>
          <w:szCs w:val="18"/>
          <w:color w:val="auto"/>
        </w:rPr>
      </w:pPr>
    </w:p>
    <w:p>
      <w:pPr>
        <w:ind w:left="960" w:hanging="644"/>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restructuring charges;</w:t>
      </w:r>
    </w:p>
    <w:p>
      <w:pPr>
        <w:spacing w:after="0" w:line="36" w:lineRule="exact"/>
        <w:rPr>
          <w:rFonts w:ascii="Times New Roman" w:cs="Times New Roman" w:eastAsia="Times New Roman" w:hAnsi="Times New Roman"/>
          <w:sz w:val="18"/>
          <w:szCs w:val="18"/>
          <w:color w:val="auto"/>
        </w:rPr>
      </w:pPr>
    </w:p>
    <w:p>
      <w:pPr>
        <w:ind w:left="960" w:hanging="644"/>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charges and operating losses;</w:t>
      </w:r>
    </w:p>
    <w:p>
      <w:pPr>
        <w:spacing w:after="0" w:line="49" w:lineRule="exact"/>
        <w:rPr>
          <w:rFonts w:ascii="Times New Roman" w:cs="Times New Roman" w:eastAsia="Times New Roman" w:hAnsi="Times New Roman"/>
          <w:sz w:val="18"/>
          <w:szCs w:val="18"/>
          <w:color w:val="auto"/>
        </w:rPr>
      </w:pPr>
    </w:p>
    <w:p>
      <w:pPr>
        <w:ind w:left="960" w:hanging="644"/>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prevent or detect all errors or fraud;</w:t>
      </w:r>
    </w:p>
    <w:p>
      <w:pPr>
        <w:spacing w:after="0" w:line="49" w:lineRule="exact"/>
        <w:rPr>
          <w:rFonts w:ascii="Times New Roman" w:cs="Times New Roman" w:eastAsia="Times New Roman" w:hAnsi="Times New Roman"/>
          <w:sz w:val="18"/>
          <w:szCs w:val="18"/>
          <w:color w:val="auto"/>
        </w:rPr>
      </w:pPr>
    </w:p>
    <w:p>
      <w:pPr>
        <w:ind w:left="960" w:hanging="644"/>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pensions and other benefit plan contributions;</w:t>
      </w:r>
    </w:p>
    <w:p>
      <w:pPr>
        <w:spacing w:after="0" w:line="36" w:lineRule="exact"/>
        <w:rPr>
          <w:rFonts w:ascii="Times New Roman" w:cs="Times New Roman" w:eastAsia="Times New Roman" w:hAnsi="Times New Roman"/>
          <w:sz w:val="18"/>
          <w:szCs w:val="18"/>
          <w:color w:val="auto"/>
        </w:rPr>
      </w:pPr>
    </w:p>
    <w:p>
      <w:pPr>
        <w:ind w:left="960" w:hanging="644"/>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judgments, estimates and assumptions;</w:t>
      </w:r>
    </w:p>
    <w:p>
      <w:pPr>
        <w:sectPr>
          <w:pgSz w:w="11900" w:h="16838" w:orient="portrait"/>
          <w:cols w:equalWidth="0" w:num="1">
            <w:col w:w="10880"/>
          </w:cols>
          <w:pgMar w:left="660" w:top="97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241935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660" w:top="972" w:right="359" w:bottom="1440" w:gutter="0" w:footer="0" w:header="0"/>
          <w:type w:val="continuous"/>
        </w:sectPr>
      </w:pPr>
    </w:p>
    <w:bookmarkStart w:id="5" w:name="page6"/>
    <w:bookmarkEnd w:id="5"/>
    <w:p>
      <w:pPr>
        <w:ind w:left="1300" w:hanging="644"/>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credit facility covenants;</w:t>
      </w:r>
    </w:p>
    <w:p>
      <w:pPr>
        <w:spacing w:after="0" w:line="36"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return swap agreement (TRS Agreement);</w:t>
      </w:r>
    </w:p>
    <w:p>
      <w:pPr>
        <w:spacing w:after="0" w:line="4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refinancing risks;</w:t>
      </w:r>
    </w:p>
    <w:p>
      <w:pPr>
        <w:spacing w:after="0" w:line="4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rating;</w:t>
      </w:r>
    </w:p>
    <w:p>
      <w:pPr>
        <w:spacing w:after="0" w:line="3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u w:val="single" w:color="auto"/>
          <w:color w:val="auto"/>
        </w:rPr>
        <w:t>Legal/Regulatory Risks</w:t>
      </w:r>
    </w:p>
    <w:p>
      <w:pPr>
        <w:spacing w:after="0" w:line="52" w:lineRule="exact"/>
        <w:rPr>
          <w:sz w:val="20"/>
          <w:szCs w:val="20"/>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protection of intellectual property (IP);</w:t>
      </w:r>
    </w:p>
    <w:p>
      <w:pPr>
        <w:spacing w:after="0" w:line="36"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policies or legislation;</w:t>
      </w:r>
    </w:p>
    <w:p>
      <w:pPr>
        <w:spacing w:after="0" w:line="4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liability/warranty claims;</w:t>
      </w:r>
    </w:p>
    <w:p>
      <w:pPr>
        <w:spacing w:after="0" w:line="4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customer-driven policies and standards, and third-party certification requirements;</w:t>
      </w:r>
    </w:p>
    <w:p>
      <w:pPr>
        <w:spacing w:after="0" w:line="36"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governmental laws, regulations, and obligations;</w:t>
      </w:r>
    </w:p>
    <w:p>
      <w:pPr>
        <w:spacing w:after="0" w:line="4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employment laws and regulations;</w:t>
      </w:r>
    </w:p>
    <w:p>
      <w:pPr>
        <w:spacing w:after="0" w:line="4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and proceedings;</w:t>
      </w:r>
    </w:p>
    <w:p>
      <w:pPr>
        <w:spacing w:after="0" w:line="36"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standards;</w:t>
      </w:r>
    </w:p>
    <w:p>
      <w:pPr>
        <w:spacing w:after="0" w:line="4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unenforceability of judgments;</w:t>
      </w:r>
    </w:p>
    <w:p>
      <w:pPr>
        <w:spacing w:after="0" w:line="4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ESG initiatives;</w:t>
      </w:r>
    </w:p>
    <w:p>
      <w:pPr>
        <w:spacing w:after="0" w:line="36"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reporting requirements applicable to U.S. domestic issuers;</w:t>
      </w:r>
    </w:p>
    <w:p>
      <w:pPr>
        <w:spacing w:after="0" w:line="3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u w:val="single" w:color="auto"/>
          <w:color w:val="auto"/>
        </w:rPr>
        <w:t>Risks Related to our Common Shares</w:t>
      </w:r>
    </w:p>
    <w:p>
      <w:pPr>
        <w:spacing w:after="0" w:line="52" w:lineRule="exact"/>
        <w:rPr>
          <w:sz w:val="20"/>
          <w:szCs w:val="20"/>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market price;</w:t>
      </w:r>
    </w:p>
    <w:p>
      <w:pPr>
        <w:spacing w:after="0" w:line="4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not to repurchase Common Shares for cancellation;</w:t>
      </w:r>
    </w:p>
    <w:p>
      <w:pPr>
        <w:spacing w:after="0" w:line="36"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vulnerability to take-over or tender offer; and</w:t>
      </w:r>
    </w:p>
    <w:p>
      <w:pPr>
        <w:spacing w:after="0" w:line="3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u w:val="single" w:color="auto"/>
          <w:color w:val="auto"/>
        </w:rPr>
        <w:t>General Risk Factors</w:t>
      </w:r>
    </w:p>
    <w:p>
      <w:pPr>
        <w:spacing w:after="0" w:line="38" w:lineRule="exact"/>
        <w:rPr>
          <w:sz w:val="20"/>
          <w:szCs w:val="20"/>
          <w:color w:val="auto"/>
        </w:rPr>
      </w:pPr>
    </w:p>
    <w:p>
      <w:pPr>
        <w:ind w:left="1300" w:hanging="644"/>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publicity.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forward-looking statements attributable to us are expressly qualified by the cautionary statements included in this Annual Report.</w:t>
      </w:r>
    </w:p>
    <w:p>
      <w:pPr>
        <w:spacing w:after="0" w:line="22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We were incorporated in Ontario, Canada on September 27, 1996. We are a corporation domiciled in the Province of Ontario, Canada and operate under the </w:t>
      </w:r>
      <w:r>
        <w:rPr>
          <w:rFonts w:ascii="Times New Roman" w:cs="Times New Roman" w:eastAsia="Times New Roman" w:hAnsi="Times New Roman"/>
          <w:sz w:val="18"/>
          <w:szCs w:val="18"/>
          <w:i w:val="1"/>
          <w:iCs w:val="1"/>
          <w:color w:val="auto"/>
        </w:rPr>
        <w:t>Business Corporations Act</w:t>
      </w:r>
      <w:r>
        <w:rPr>
          <w:rFonts w:ascii="Times New Roman" w:cs="Times New Roman" w:eastAsia="Times New Roman" w:hAnsi="Times New Roman"/>
          <w:sz w:val="18"/>
          <w:szCs w:val="18"/>
          <w:color w:val="auto"/>
        </w:rPr>
        <w:t xml:space="preserve"> (Ontario) (OBCA). Our principal executive offices are located at 5140 Yonge Street, Suite 1900, Toronto, Ontario, Canada M2N 6L7. Our telephone number is (416) 448-5800, and our internet address is www.celestica.com. Information on our website is not incorporated by reference into this Annual Report.</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Prior to our incorporation, we were an IBM manufacturing unit that provided manufacturing services to IBM for more than 75 years. In 1993, we began providing electronics manufacturing services to non-IBM customers. In October 1996, we were purchased from IBM by an investor group led by Onex Corporation (Onex), and in 1998, we completed our initial public offering. In June 2023 and August 2023, Onex (our then-controlling shareholder), completed underwritten secondary public offerings of an aggregate of approximately 18.8 million of our Subordinate Voting Shares (now designated Common Shares). In connection with such offerings, we converted all of our outstanding multiple voting shares (MVS) into Subordinate Voting Shares (now designated Common Shares). Subsequent to the August 2023 secondary offering, we have no MVS outstanding and Onex is no longer our controlling shareholder.</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See "Overview — </w:t>
      </w:r>
      <w:r>
        <w:rPr>
          <w:rFonts w:ascii="Times New Roman" w:cs="Times New Roman" w:eastAsia="Times New Roman" w:hAnsi="Times New Roman"/>
          <w:sz w:val="18"/>
          <w:szCs w:val="18"/>
          <w:i w:val="1"/>
          <w:iCs w:val="1"/>
          <w:color w:val="auto"/>
        </w:rPr>
        <w:t>Celestica's business</w:t>
      </w:r>
      <w:r>
        <w:rPr>
          <w:rFonts w:ascii="Times New Roman" w:cs="Times New Roman" w:eastAsia="Times New Roman" w:hAnsi="Times New Roman"/>
          <w:sz w:val="18"/>
          <w:szCs w:val="18"/>
          <w:color w:val="auto"/>
        </w:rPr>
        <w:t>" and "Recent Developments" in Item 7, MD&amp;A for a discussion of recent trends impacting our businesses.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deliver innovative supply chain solutions globally to customers in two operating and reporting segments: Advanced Technology Solutions (ATS) and Connectivity and Cloud Solutions (CCS).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ATS segment consists of our ATS end market, and is comprised of our aerospace and defense (A&amp;D), Industrial, HealthTech, and Capital Equipment businesses. Our Capital Equipment business is comprised of our semiconductor and display businesses. Our CCS segment consists of our Communications and Enterprise end markets. Our Enterprise end market is comprised of our servers and storage businesses. All period percentages and financial information in this Annual Report reflect the current presentation. See note 22 to the 2024 consolidated annual financial statements (2024 AFS) included herein.</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customers include original equipment manufacturers (OEMs), cloud-based and other service providers, including hyperscalers, and other companies in a wide range of industries. Our global headquarters is located in Toronto, Ontario, Canada. We operate a network of sites and centers of excellence (discussed below) strategically located in North America, Europe and Asia, with specialized end-to-end supply chain capabilities tailored to meet specific market and customer product lifecycle requirements.</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offer a comprehensive range of product manufacturing and related supply chain services to customers in both of our segments, including design and development, new product introduction, engineering services, component sourcing, electronics manufacturing and assembly, testing, complex mechanical assembly, systems integration, precision machining, order fulfillment, logistics, product licensing, and after-market repair and return and IT asset management and disposition (ITAM/ITAD) services. Our Hardware Platform Solutions (HPS) offering, within our CCS segment, includes the development of infrastructure platforms, hardware and software design solutions, including open-source software that complements our hardware offerings, and services that can be used as-is, or customized for specific applications in collaboration with our customers, and management of program design and aspects of the supply chain, manufacturing, and after-market support, including ITAM/ITAD.</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believe our services and solutions create value for our customers by enabling their strategies, while accelerating their time-to-market, and by providing higher quality, lower cost, and reduced cycle times (as compared to insourcing) in our customers' supply chains. We believe this results in lower total cost of ownership, greater flexibility, higher returns on invested capital and improved competitive advantage for our customers in their respective markets.</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depend on a small number of customers for a substantial portion of our revenue. In the aggregate, our top 10 customers represented 73% of total revenue for 2024, 64% for 2023 and 66% for 2022. In 2024, two customers (each in our CCS segment) individually represented 10% or more of total revenue in 2024 (28% and 11%, respectively). In 2023, one customer (in our CCS segment) individually represented 10% or more of total revenue (22%). In 2022, two customers (each in our CCS segment) individually represented 10% or more of total revenue (11% for each customer). Significant reductions in, or the loss of, revenue from these or any of our major customers may have a material adverse effect on us. See Item 1A, Risk Factors — "</w:t>
      </w:r>
      <w:r>
        <w:rPr>
          <w:rFonts w:ascii="Times New Roman" w:cs="Times New Roman" w:eastAsia="Times New Roman" w:hAnsi="Times New Roman"/>
          <w:sz w:val="18"/>
          <w:szCs w:val="18"/>
          <w:b w:val="1"/>
          <w:bCs w:val="1"/>
          <w:i w:val="1"/>
          <w:iCs w:val="1"/>
          <w:color w:val="auto"/>
        </w:rPr>
        <w:t>We 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dependent on a limited number of customers and end markets. A decline in revenue from, or the loss of, any significant customer, could have a material adverse effect on our operating results, financial position and cash flows.</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Products and services in our ATS segment are extensive and are often more regulated than in our CCS segment, and can include the following: government-certified and highly-specialized manufacturing, electronic and enclosure-related services for A&amp;D customers; high-precision semiconductor and display equipment and integrated subsystems; a wide range of industrial automation, controls, test and measurement devices; engineering-focused engagements, including in the areas of telematics, human machine interface, Internet-of-Things and embedded systems; advanced solutions for surgical instruments, diagnostic imaging and patient monitoring; and efficiency products to help manage and monitor the energy and power industries. Products and services in our CCS segment consist predominantly of enterprise-level data communications and information processing infrastructure products and systems, and can include routers, switches, data center interconnects, edge solutions, servers and storage-related products used by a wide range of businesses and cloud-based and other service providers to manage digital connectivity, commerce and social media applications. Our ATS segment businesses typically have higher margin profiles and margin volatility, higher working capital requirements, lower volumes and longer product lifecycles than the traditional businesses in our CCS segment. Within our CCS segment, however, our HPS business (which includes firmware/software enablement across all primary IT infrastructure data center technologies, open-source software offerings that complement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7" w:name="page8"/>
    <w:bookmarkEnd w:id="7"/>
    <w:p>
      <w:pPr>
        <w:jc w:val="both"/>
        <w:spacing w:after="0" w:line="256" w:lineRule="auto"/>
        <w:rPr>
          <w:sz w:val="20"/>
          <w:szCs w:val="20"/>
          <w:color w:val="auto"/>
        </w:rPr>
      </w:pPr>
      <w:r>
        <w:rPr>
          <w:rFonts w:ascii="Times New Roman" w:cs="Times New Roman" w:eastAsia="Times New Roman" w:hAnsi="Times New Roman"/>
          <w:sz w:val="18"/>
          <w:szCs w:val="18"/>
          <w:color w:val="auto"/>
        </w:rPr>
        <w:t>hardware platforms, and after-market services, including ITAM/ITAD) typically has a higher margin profile than our traditional CCS businesses, but also requires specific investments (including research and development (R&amp;D)) and higher working capital. Our CCS segment generally experiences a high degree of volatility in terms of revenue and product/service mix, and as a result, our CCS segment margin can fluctuate from period to period. In recent periods, we have experienced an increasing shift in the mix of our programs towards cloud-based and other service providers, which are cyclically different from our traditional OEM customers, creating more volatility and unpredictability in our revenue patterns, and additional challenges with respect to the management of our supply chain and working capital requirements.</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remain committed to making the investments we deem necessary to support our long-term growth strategy, strengthen our competitive position, enhance customer satisfaction, and increase long-term shareholder value. Within both of our segments, we are focused on: increased penetration in our end markets; diversifying our customer mix and product portfolios, including increasing design and development, engineering, and after-market services (higher value-added services); and diversifying our capabilities and supply chain. We intend to continue to expand our business by growing our CCS segment, focusing on our HPS business, high-value EMS programs (including with hyperscalers) and services, and by continuing to pursue new customers and acquisition opportunities in both of our segments. See "Celestica's Strategy" below for a discussion of our strategy, and Item 7, MD&amp;A for a discussion of our current priorities.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EMS Industry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Leading EMS companies manage global networks that are capable of delivering customized supply chain solutions. They offer end-to-end services for the entire product lifecycle, including design and engineering services, manufacturing, assembly, testing, systems integration, fulfillment and after-market services. Our customers, which include OEMs, cloud-based and other service providers (including hyperscalers), and other companies in a wide range of industries, outsource these services to address challenges related to cost, asset utilization, quality, time-to-market, demand volatility, customer support, and rapidly changing technologies. In particular, service providers have utilized our services to expand and optimize their data centers to enable their strategies.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believe outsourcing by these companies will continue across a number of industries as a means to:</w:t>
      </w:r>
    </w:p>
    <w:p>
      <w:pPr>
        <w:spacing w:after="0" w:line="22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Reduce Operating Costs and Invested Capital. </w:t>
      </w:r>
      <w:r>
        <w:rPr>
          <w:rFonts w:ascii="Times New Roman" w:cs="Times New Roman" w:eastAsia="Times New Roman" w:hAnsi="Times New Roman"/>
          <w:sz w:val="18"/>
          <w:szCs w:val="18"/>
          <w:color w:val="auto"/>
        </w:rPr>
        <w:t>Global EMS companies can provide access to a network of manufacturing sites with supply chain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 expertise, advanced engineering capabilities, flexible capacity and economies of scale. As a result, outsourcing to such companies can reduce customers' overall product lifecycle and operating costs, working capital, and property, plant and equipment investment requirements.</w:t>
      </w:r>
    </w:p>
    <w:p>
      <w:pPr>
        <w:spacing w:after="0" w:line="173"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Focus Resources on Core Competencies. </w:t>
      </w:r>
      <w:r>
        <w:rPr>
          <w:rFonts w:ascii="Times New Roman" w:cs="Times New Roman" w:eastAsia="Times New Roman" w:hAnsi="Times New Roman"/>
          <w:sz w:val="18"/>
          <w:szCs w:val="18"/>
          <w:color w:val="auto"/>
        </w:rPr>
        <w:t>EMS customers are able to prioritize their resources on product development, sales, marketing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 service by outsourcing design, engineering, manufacturing, supply chain, product lifecycle management, and other product support requirements.</w:t>
      </w:r>
    </w:p>
    <w:p>
      <w:pPr>
        <w:spacing w:after="0" w:line="15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Improve Time-to-Market. </w:t>
      </w:r>
      <w:r>
        <w:rPr>
          <w:rFonts w:ascii="Times New Roman" w:cs="Times New Roman" w:eastAsia="Times New Roman" w:hAnsi="Times New Roman"/>
          <w:sz w:val="18"/>
          <w:szCs w:val="18"/>
          <w:color w:val="auto"/>
        </w:rPr>
        <w:t>We believe that companies can significantly improve their product development cycles and enhance time-to-market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benefiting from the expertise and infrastructure of EMS providers, including their capabilities relating to design and engineering services, prototyping and the rapid ramp-up of new products to high-volume production, all with the critical support of global supply chain management and manufacturing networks.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Utilize EMS Companies' Procurement, Inventory Management and Logistics Expertise. </w:t>
      </w:r>
      <w:r>
        <w:rPr>
          <w:rFonts w:ascii="Times New Roman" w:cs="Times New Roman" w:eastAsia="Times New Roman" w:hAnsi="Times New Roman"/>
          <w:sz w:val="18"/>
          <w:szCs w:val="18"/>
          <w:color w:val="auto"/>
        </w:rPr>
        <w:t>We believe that the successful manufacturing of electronic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products requires significant resources to manage the complexities in planning, procurement and inventory management, frequent design changes, short product lifecycles and product demand fluctuations. Companies can help manage these complexities by outsourcing to those EMS providers that (i) possess sophisticated IT systems and global supply chain management capabilities and (ii) can leverage significant component procurement advantages to lower product costs.</w:t>
      </w:r>
    </w:p>
    <w:p>
      <w:pPr>
        <w:spacing w:after="0" w:line="18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Access Leading Engineering Capabilities and Technologies. </w:t>
      </w:r>
      <w:r>
        <w:rPr>
          <w:rFonts w:ascii="Times New Roman" w:cs="Times New Roman" w:eastAsia="Times New Roman" w:hAnsi="Times New Roman"/>
          <w:sz w:val="18"/>
          <w:szCs w:val="18"/>
          <w:color w:val="auto"/>
        </w:rPr>
        <w:t>EMS providers can assist companies in the development of new product concepts,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re-design of existing products, and improvements with respect to the performance, cost and time required to bring products to market. In addition, companies can gain access to high-quality manufacturing expertise and capabilities in the areas of advanced process, interconnect and test technologies.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8" w:name="page9"/>
    <w:bookmarkEnd w:id="8"/>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Improve Access to Global Markets. </w:t>
      </w:r>
      <w:r>
        <w:rPr>
          <w:rFonts w:ascii="Times New Roman" w:cs="Times New Roman" w:eastAsia="Times New Roman" w:hAnsi="Times New Roman"/>
          <w:sz w:val="18"/>
          <w:szCs w:val="18"/>
          <w:color w:val="auto"/>
        </w:rPr>
        <w:t>EMS companies with global infrastructure and support capabilities help to provide customers with efficient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world-wide manufacturing solutions, distribution capabilities and after-market services.</w:t>
      </w:r>
    </w:p>
    <w:p>
      <w:pPr>
        <w:spacing w:after="0" w:line="15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Access Value-Added Service Offerings. </w:t>
      </w:r>
      <w:r>
        <w:rPr>
          <w:rFonts w:ascii="Times New Roman" w:cs="Times New Roman" w:eastAsia="Times New Roman" w:hAnsi="Times New Roman"/>
          <w:sz w:val="18"/>
          <w:szCs w:val="18"/>
          <w:color w:val="auto"/>
        </w:rPr>
        <w:t>EMS providers strive to expand their offerings to include services such as testing, fulfillment and after-market services, including repair and recycling, to encourage companies to outsource more of their cost of goods sold.</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Original Design Manufacturer Industry</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Celestica is increasingly engaged as an ODM by our customers. As part of Celestica's ODM offerings, we design and manufacture products, either as customized solutions, white box solutions or under Joint Design and Manufacturing (JDM) engagements in collaboration with our customers. This business is primarily within our HPS business.</w:t>
      </w:r>
    </w:p>
    <w:p>
      <w:pPr>
        <w:spacing w:after="0" w:line="20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part of our value-added services offerings, Celestica is involved in product design and R&amp;D activities, particularly related to IT hardware offerings including networking switches and compute and storage products. In recent years, Celestica has become more regularly viewed by customers, competitors and industry analysts as an ODM within these markets. Our customers utilize Celestica's services in our capacity as an ODM for benefits such as manufacturing at scale, supply chain management and other value propositions offered by EMS providers discussed above.</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believe the primary differences in the value proposition of an ODM when compared to the EMS business include:</w:t>
      </w:r>
    </w:p>
    <w:p>
      <w:pPr>
        <w:spacing w:after="0" w:line="252" w:lineRule="exact"/>
        <w:rPr>
          <w:sz w:val="20"/>
          <w:szCs w:val="20"/>
          <w:color w:val="auto"/>
        </w:rPr>
      </w:pPr>
    </w:p>
    <w:p>
      <w:pPr>
        <w:jc w:val="both"/>
        <w:ind w:firstLine="656"/>
        <w:spacing w:after="0" w:line="258" w:lineRule="auto"/>
        <w:tabs>
          <w:tab w:leader="none" w:pos="91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 engineering services. ODM providers have a more significant level of involvement in the design of the manufactured products than EMS providers, whether fully designed by the ODM’s engineering teams (often marketed as a white box solution) or in collaboration with the customer known as JDM. (2) R&amp;D. An ODM provider may engage in R&amp;D activities related to new product design, optimization and other innovations, which often results in the creation of IP. Customers are able to leverage the ODM’s IP portfolio and R&amp;D capabilities to lower the cost and timeframe of product design, development and launch.</w:t>
      </w:r>
    </w:p>
    <w:p>
      <w:pPr>
        <w:spacing w:after="0" w:line="21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customer may elect to use an ODM provider as it allows them to customize the features and design of the solution, which may be optimized for performance or cost, to better serve the customer’s requirements. This is in contrast to using an OEM product, which is often a fully-designed or “off-the-shelf” solution, which may have minimal, or no ability, to be customized by the customer.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Celestica's Strategy</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constantly seek to advance our quality, engineering, manufacturing, design, and supply chain capabilities. We will continue to focus on our pursuit of the following, intended to strengthen our competitive position and enhance customer satisfaction and shareholder value:</w:t>
      </w:r>
    </w:p>
    <w:p>
      <w:pPr>
        <w:spacing w:after="0" w:line="16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Increase Penetration in our End Markets/Offerings. </w:t>
      </w:r>
      <w:r>
        <w:rPr>
          <w:rFonts w:ascii="Times New Roman" w:cs="Times New Roman" w:eastAsia="Times New Roman" w:hAnsi="Times New Roman"/>
          <w:sz w:val="18"/>
          <w:szCs w:val="18"/>
          <w:color w:val="auto"/>
        </w:rPr>
        <w:t>We continually strive to further diversify our portfolio. Our goal is to increase our presence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across our high-value markets, with particular emphasis on expanding our ATS segment, HPS business and high-value EMS programs (including with hyperscaler customers). Although our ATS segment revenue in 2024 decreased 5% compared to 2023, we continue to target an average annual revenue growth rate of 10% over the long-term. Within our CCS segment revenue, our HPS business saw revenue growth of 63% in 2024 compared to 2023. In 2024, HPS revenue accounts for 29% of total revenue (2023 — 21%, 2022 — 25%).</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end market revenue as a percentage of total revenue is as follows:</w:t>
      </w:r>
    </w:p>
    <w:p>
      <w:pPr>
        <w:spacing w:after="0" w:line="52"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81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32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2023</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24"/>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ATS</w:t>
            </w:r>
          </w:p>
        </w:tc>
        <w:tc>
          <w:tcPr>
            <w:tcW w:w="8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10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100" w:type="dxa"/>
            <w:vAlign w:val="bottom"/>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41 %</w:t>
            </w:r>
          </w:p>
        </w:tc>
      </w:tr>
      <w:tr>
        <w:trPr>
          <w:trHeight w:val="230"/>
        </w:trPr>
        <w:tc>
          <w:tcPr>
            <w:tcW w:w="8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Communications</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40 %</w:t>
            </w:r>
          </w:p>
        </w:tc>
      </w:tr>
      <w:tr>
        <w:trPr>
          <w:trHeight w:val="234"/>
        </w:trPr>
        <w:tc>
          <w:tcPr>
            <w:tcW w:w="8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Enterprise</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5" w:right="339" w:bottom="1440" w:gutter="0" w:footer="0" w:header="0"/>
        </w:sectPr>
      </w:pPr>
    </w:p>
    <w:bookmarkStart w:id="9" w:name="page10"/>
    <w:bookmarkEnd w:id="9"/>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Selectively Pursue Acquisitions and Strategic Transactions. </w:t>
      </w:r>
      <w:r>
        <w:rPr>
          <w:rFonts w:ascii="Times New Roman" w:cs="Times New Roman" w:eastAsia="Times New Roman" w:hAnsi="Times New Roman"/>
          <w:sz w:val="18"/>
          <w:szCs w:val="18"/>
          <w:color w:val="auto"/>
        </w:rPr>
        <w:t>We will continue to selectively seek acquisition opportunities and strategic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transactions in order to (i) profitably grow our revenue, (ii) further develop strategic relationships with customers in our end markets; (iii) enhance the scope of our capabilities and service offerings, (iv) enhance our IP portfolio, and (v) expand our capabilities and offerings to include further after-market services and product licensing opportunities.</w:t>
      </w:r>
    </w:p>
    <w:p>
      <w:pPr>
        <w:spacing w:after="0" w:line="180"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17"/>
          <w:szCs w:val="17"/>
          <w:i w:val="1"/>
          <w:iCs w:val="1"/>
          <w:color w:val="auto"/>
        </w:rPr>
        <w:t xml:space="preserve">Continuously Improve Operational Performance. </w:t>
      </w:r>
      <w:r>
        <w:rPr>
          <w:rFonts w:ascii="Times New Roman" w:cs="Times New Roman" w:eastAsia="Times New Roman" w:hAnsi="Times New Roman"/>
          <w:sz w:val="17"/>
          <w:szCs w:val="17"/>
          <w:color w:val="auto"/>
        </w:rPr>
        <w:t>We will continue to focus on: (i) managing our mix and volume of business and service offerings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to improve our overall margins, (ii) leveraging our supply chain practices globally to lower materials costs, minimize lead times and improve our planning cycle to better meet volatility in customer demand and improve asset utilization and inventory levels, (iii) successfully ramping new programs, and</w:t>
      </w:r>
    </w:p>
    <w:p>
      <w:pPr>
        <w:spacing w:after="0" w:line="1" w:lineRule="exact"/>
        <w:rPr>
          <w:sz w:val="20"/>
          <w:szCs w:val="20"/>
          <w:color w:val="auto"/>
        </w:rPr>
      </w:pPr>
    </w:p>
    <w:p>
      <w:pPr>
        <w:jc w:val="both"/>
        <w:ind w:firstLine="8"/>
        <w:spacing w:after="0" w:line="253" w:lineRule="auto"/>
        <w:tabs>
          <w:tab w:leader="none" w:pos="30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improving operating efficiencies to reduce costs and improve margins. In order to help us streamline our processes, we continue to invest in our "digital factory," which automates and connects our equipment, people and systems throughout our global network, including our customers and suppliers. Our mix of programs, and operating leverage across several of our businesses had a favorable impact on our gross margin in 2024. In addition, our ongoing cost reductions initiatives, which are intended to further streamline our business, increase operational efficiencies and improve our productivity, have had a favorable impact on our profitability.</w:t>
      </w:r>
    </w:p>
    <w:p>
      <w:pPr>
        <w:spacing w:after="0" w:line="18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Develop and Grow Trusted Relationships with Leading Customers. </w:t>
      </w:r>
      <w:r>
        <w:rPr>
          <w:rFonts w:ascii="Times New Roman" w:cs="Times New Roman" w:eastAsia="Times New Roman" w:hAnsi="Times New Roman"/>
          <w:sz w:val="18"/>
          <w:szCs w:val="18"/>
          <w:color w:val="auto"/>
        </w:rPr>
        <w:t>We continue to pursue profitable, strategic relationships with industry leaders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we believe can benefit from our services and solutions. We strive to respond to our customers' needs with speed, flexibility and predictability. We have established and maintain strong relationships with a diverse mix of leading OEMs, cloud-based and other service providers and other companies across our end markets. We believe that our customer base is a strong potential source of growth for us as we seek to strengthen these relationships through the delivery of additional services.</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Expand Range of Service Offerings and Continue to Invest in Engineering and Supply Chain Solutions and Services. </w:t>
      </w:r>
      <w:r>
        <w:rPr>
          <w:rFonts w:ascii="Times New Roman" w:cs="Times New Roman" w:eastAsia="Times New Roman" w:hAnsi="Times New Roman"/>
          <w:sz w:val="18"/>
          <w:szCs w:val="18"/>
          <w:color w:val="auto"/>
        </w:rPr>
        <w:t>We continually seek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expand the services we offer to our customers, and we are committed to meeting our customers' needs in the areas of technology, engineering, quality, product lifecycle management and supply chain management. We believe our expertise in these areas enables us to meet the rigorous demands of our customers, allows us to produce a variety of electronic products ranging from high-volume electronics to highly complex technology infrastructure products used in a broad array of industries, and allows us to deliver consistently reliable products to our customers. We also believe the systems and collaborative processes associated with our expertise in supply chain management help us to adjust our operations to meet customer lead time requirements, and quickly and effectively deliver products directly to end customers. We collaborate with our suppliers to influence component design for the benefit of our customers. As a result of the successes that we have had in these areas, we have been recognized with numerous customer and industry achievement awards.</w:t>
      </w:r>
    </w:p>
    <w:p>
      <w:pPr>
        <w:spacing w:after="0" w:line="18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Enhance our Capabilities in R&amp;D, New Technology Development, Quality Products and Design to support our HPS Business. </w:t>
      </w:r>
      <w:r>
        <w:rPr>
          <w:rFonts w:ascii="Times New Roman" w:cs="Times New Roman" w:eastAsia="Times New Roman" w:hAnsi="Times New Roman"/>
          <w:sz w:val="18"/>
          <w:szCs w:val="18"/>
          <w:color w:val="auto"/>
        </w:rPr>
        <w:t>We continually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 in our internal R&amp;D capabilities to support the development of new technologies, products and IP, which support the offering within our HPS business. As an ODM, we believe it is critical for our competitive positioning to be competent in working with leading edge technologies for IT hardware products across networking, server and storage categories. Investment in our design and engineering capabilities and products roadmaps is required in order to maintain our technology leadership throughout upgrade cycles and to support our customers in their deployments of their critical IT products and infrastructure. We also invest in software engineering capabilities in order to support our customers on enablement of open-sourced solutions.</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Item 7, MD&amp;A — "Operating Goals and Priorities" for a discussion of our current priorities and areas of focus.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Celestica's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Innovative Supply Chain Solutions and Services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are a global provider of innovative supply chain solutions. We offer a range of services including design and development, engineering services, supply chain management, new product introduction, component sourcing, electronics manufacturing, assembly, testing, complex mechanical assembly, systems integration, precision machining, order fulfillment, logistics, product licensing, and after-market repair and return and ITAM/ITAD services. Our design and development services include our HPS offering, which consists of developing infrastructure platforms, hardware and software design solutions, including open-source software that complements our hardware offerings, and services in collaboration primarily with CCS segment customers, as well as managing aspects of the supply chain and manufacturing, including firmware/software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5" w:right="339" w:bottom="1440" w:gutter="0" w:footer="0" w:header="0"/>
        </w:sectPr>
      </w:pPr>
    </w:p>
    <w:bookmarkStart w:id="10" w:name="page11"/>
    <w:bookmarkEnd w:id="10"/>
    <w:p>
      <w:pPr>
        <w:jc w:val="both"/>
        <w:spacing w:after="0" w:line="256" w:lineRule="auto"/>
        <w:rPr>
          <w:sz w:val="20"/>
          <w:szCs w:val="20"/>
          <w:color w:val="auto"/>
        </w:rPr>
      </w:pPr>
      <w:r>
        <w:rPr>
          <w:rFonts w:ascii="Times New Roman" w:cs="Times New Roman" w:eastAsia="Times New Roman" w:hAnsi="Times New Roman"/>
          <w:sz w:val="18"/>
          <w:szCs w:val="18"/>
          <w:color w:val="auto"/>
        </w:rPr>
        <w:t>enablement across all primary IT infrastructure data center technologies, and after-market support, including ITAM/ITAD. We believe that our HPS offering helps to differentiate us from other EMS providers, by encompassing advanced technology design solutions that customers can tailor to their specific platform applications. We execute our business in our global network of sites, including our designated centers of excellence, strategically located in North America, Europe and Asia. We leverage these sites and centers of excellence, IT, and our supply chain expertise using collaborative processes and a team of highly skilled, customer-focused employees. We believe that our ability to deliver a range of supply chain and hardware solutions to our customers provides them with a competitive lead time, and advantages in quality, flexibility and total cost of ownership.</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objective of our centers of excellence program is to help ensure that our operations reflect a solid understanding of the markets we serve, have current capabilities and standardized practices, and are positioned to provide efficiency, consistency, and value to our customers around the globe. To obtain "center of excellence" status, our sites must meet our defined criteria pertaining to quality, supply chain capabilities, Lean and Six Sigma, market specific certifications (to the extent applicable), and other matters regarding their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Quality, Lean and Six Sigma Culture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believe one of our key strengths, compared to our competitors, is our ability to consistently deliver high quality services and products. We maintain a robust quality management system focusing on continuous process improvements and ensuring high levels of customer satisfaction. In order to be successful, we employ advanced statistical engineering techniques and other tools designed to enhance production and service quality. Our principal sites are ISO 9001 and ISO 14001 certified, adhering to international quality management standards and equipped with necessary industry specific certifications.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Celestica Operating System (COS) consists of the application of global standard processes to all critical aspects of our operations, including quality, supply and operations planning, new product introduction, daily visual performance management, and continuous operational improvement through a "Plan Do Check Adjust" cycle. The COS is intended to improve cost productivity, create accountable teams, and assure consistent performance.</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to these standards, we deploy Lean initiatives to help drive manufacturing efficiencies, cycle times velocities and improved product quality, and use Six Sigma extensively in an effort to reduce process variation and to drive root cause problem-solving. Lean and Six Sigma methods are also used in non-production areas to streamline our processes and eliminate waste. We apply the knowledge we gain in our after-market services to help improve the quality and reliability of next-generation products. We believe that success in these areas helps our customers to lower their costs, positioning them more competitively in their respective markets.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Design and Engineering Services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global design teams are focused on delivering flexible solutions and expertise, intended to help customers reduce overall product costs, improve time-to-market, introduce competitively differentiated products, and drive hardware innovations. For customer-owned designs, we augment their design teams, and utilize our proprietary design analysis tools to minimize design revisions and to achieve improved manufacturing yields. Our HPS offering includes the development of infrastructure platforms and hardware and software design solutions in collaboration with customers, managing aspects of the supply chain, manufacturing their products and providing ITAM/ITAD services. Our HPS offering is an engineering-led, IP-based offering that allows us to drive hardware innovation and solutions for our customers and further broaden our value proposition by leveraging our ecosystem partners and broad range of capabilities across the product lifecycle. We continue to invest in leading-edge product roadmaps and design capabilities aligned with both market standards and emerging technologies in support of our HPS offering. We deliver both partially customized HPS products, and complete hardware platform solutions to customers in the storage, servers, and communications markets. These products and solutions are intended to help our customers reach their markets faster and enable their strategies, while reducing total costs, increasing supply chain resilience and building valuable IP for their product portfolios and/or data centers. Through our collective experience with common technologies across multiple industries and product groups, we believe we provide quality and cost-focused solutions for a wide range of our customers' design needs and strategies.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11" w:name="page12"/>
    <w:bookmarkEnd w:id="11"/>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collaborate with some of our core customers' product designers in the early stages of product development, using advanced tools to enable new product ideas to progress from electrical and application-specific integrated circuit design, to simulation, physical layout and design review, all intended to ensure readiness for manufacturing. We use our design expertise to create innovative technologies and hardware product solutions, and leverage key ecosystem partners to drive both innovation and supply chain leverage. Our HPS offering encompasses advanced technology infrastructure platforms, and hardware and software design solutions that customers can tailor to their specific applications. We believe that collaboration between our customers' teams, key ecosystem partners, and our design and manufacturing groups helps to ensure that new designs are released rapidly, smoothly and cohesively into production.</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engineering services team works with our customers throughout the product lifecycle. We believe our engineering expertise and experience in product and process design, design review, product test solutions, assembly technology, automation, and quality and reliability, position us to deliver the services required to address the challenges facing our customers. We maintain ties with key industry associations and engineering firms to help us stay apprised of advances in technical knowledge.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R&amp;D and IT Hardware for the Data Center Customers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provide a comprehensive suite of products and services for our data center customers, including hyperscalers, cloud and AI service providers and enterprise, as well as IT OEMs. We engage with these customers in a capacity as both an EMS and ODM provider, and provide a range of services including R&amp;D, design (including JDM), fully designed white box solutions, manufacturing, engineering and testing. Our capabilities span across various categories of IT hardware including networking (including optical modules and Ethernet switches, amongst other products), servers (including AI/ML compute), storage, and data center racks. The products we manufacture and assemble may be used directly by our customers in their own data centers, as in the case of hyperscalers or enterprise customers, or may be re-sold to end users by our OEM customers.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Prototyping and New Product Introduction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Prototyping is a critical early-stage process in the development of new products. Our engineers collaborate with our customers' engineers to provide quick responses in the early stages of the product development lifecycle.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Supply Chain Management and Services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use advanced planning, analytics, enterprise resource planning, and supply chain management systems to optimize materials management from suppliers to our customers' customers. We believe that the effective management of the supply chain is critical to our customers' success, as it directly impacts the time and cost required to deliver products to market and the capital requirements associated with carrying inventory.</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strive to reduce our customers' total cost of ownership by providing lower costs and reduced cycle times in their supply chain, and by delivering higher quality products. We also strive to align our preferred suppliers in close proximity to our centers of excellence to increase the speed and flexibility of our supply chain, to deliver higher quality products and to reduce time-to-market.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Through our global supply chain management processes and integrated IT tools, we endeavor to provide our customers with enhanced visibility to balance their global demand and supply requirements, including inventory and order management.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 Services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Printed Circuit Board Assembly</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Printed circuit board (PCB) assembly includes the attachment of electronic components, such as capacitors, microprocessors, resistors and memory modules, to PCBs. Our global network of engineers helps us to provide our customers with full PCB assembly technology capabilities. These capabilities include design for manufacturing, PCB layout, packaging, assembly (circuit card assembly (CCA)), lead-free soldering, test development, and data analytics for complex flexible and rigid-flex circuits and hybrid PCBs.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i w:val="1"/>
          <w:iCs w:val="1"/>
          <w:color w:val="auto"/>
        </w:rPr>
        <w:t>Complex Mechanical Assembly</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provide systems integration and precision machined components to our Capital Equipment customers. Complex mechanical systems integration consists of multiple interconnected subsystems that interact with various materials, e.g., fluids, solids, particles and rigid bodies. Such systems are often used in advanced manufacturing applications such as semiconductor manufacturing, display manufacturing (including LCD, OLED, QLED and other displays), medical applications using robotics, and other applications where precise standards are required. We also provide complex mechanical assembly primarily to our aerospace customers, including wire harness assembly, systems integration, sheet metal fabrication, welding and machining.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Precision Machining</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utilize specialized computer-controlled machines to manufacture high quality components to tight tolerance requirements. Such components are often used in applications similar to those noted above for complex mechanical assembly.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Energy Services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provide integrated solutions and services to our renewable energy customers in the areas of power generation, conversion and monitoring. Our energy portfolio includes power inverters, energy storage products, smart meters and other electronic componentry, and encompasses complete product lifecycle solutions, including design, manufacturing and reliability services.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Systems Assembly and Testing</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use sophisticated technologies in the assembly and testing of our products. We continue to make investments in the development of automated solutions, as well as new assembly and test process techniques intended to enhance product quality, reduce cost and improve delivery time to customers. We work independently and also collaborate with customers and suppliers to develop assembly and test technologies. Systems assembly and testing require sophisticated logistics capabilities to rapidly procure components, assemble products, perform complex testing and distribute products to customers around the world. Our full systems assembly services involve combining and testing a wide range of sub-assemblies and components before shipping them to their final destination. Some customers require custom build-to-order system solutions (including data-center rack integration) with very short lead times, and we are focused on using our advanced supply chain management capabilities to respond to our customers' needs.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Quality and Product Assurance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offer comprehensive reliability testing, inspection and qualification services to support our customers throughout the entire product lifecycle. Our quality and product assurance teams conduct rigorous testing to ensure designs meet or exceed required specifications. With expertise in testing to various industry standards, we collaborate closely with our customers to implement customized test protocols. This proactive approach helps identify certification risks early in the product development process, ultimately reducing costs and accelerating time to market.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Analysis and After-Market Services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extensive failure analysis capabilities concentrate on identifying the root cause of product failures and determining corrective actions. Products are subjected to various environmental extremes, including temperature, humidity, vibration, voltage and contamination. Field conditions are simulated in failure analysis laboratories which employ electron microscopes, spectrometers and other advanced equipment. Our engineers work proactively in partnership with suppliers and customers in an effort to discover product failures before products are shipped, and to develop and implement solutions if required.</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also seek to provide value to our customers through our after-market services offerings which include repair, fulfillment, reverse logistics, ITAM/ITAD, reclamation and returns processing and prevention. Our fulfillment offering includes the design and management of integrated supply chain and materials management for light manufacturing and final assembly and reclamation. Our reverse logistics offering includes the design and management of transportation networks, warehousing and distribution of products, asset recovery services, and transportation and supply chain event monitoring. Our ITAM/ITAD offering is a single source solution to dispose of IT assets with optimal sustainability including hardware buyback, remarketing/resale, data erasure and destruction, parts harvesting, redeployment and donations. Our returns processing and prevention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13" w:name="page14"/>
    <w:bookmarkEnd w:id="13"/>
    <w:p>
      <w:pPr>
        <w:jc w:val="both"/>
        <w:spacing w:after="0" w:line="261" w:lineRule="auto"/>
        <w:rPr>
          <w:sz w:val="20"/>
          <w:szCs w:val="20"/>
          <w:color w:val="auto"/>
        </w:rPr>
      </w:pPr>
      <w:r>
        <w:rPr>
          <w:rFonts w:ascii="Times New Roman" w:cs="Times New Roman" w:eastAsia="Times New Roman" w:hAnsi="Times New Roman"/>
          <w:sz w:val="18"/>
          <w:szCs w:val="18"/>
          <w:color w:val="auto"/>
        </w:rPr>
        <w:t>offering provides our customers with product screening and testing and product design and process analysis. Our reclamation offering includes product disassembly, reassembly and re-use, as well as certified scrap disposition processing. We offer these services individually or integrated through a 'Control Tower' model which coordinates our people, systems and processes with those of our customers to improve service levels by providing an increased level of visibility and analytics throughout the entire after-market value chain.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Licensing</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With respect to our partners that are seeking to rationalize their product lines, licensing to us provides them with an alternative to sale or discontinuation. Celestica manages the entire business process for the licensed product or product line, including order acceptance, customer service, engineering, supply chain, obsolescence management, manufacturing, logistics, service parts offering, and after-market services. This allows our partners to continue to serve their customers while maintaining ownership of their IP, and to redeploy their resources for other uses.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Geographies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For each of 2022, 2023 and 2024, approximately 70% of our revenue was produced in Asia and approximately 20% of our revenue was produced in North America. See note 22 to the 2024 AFS. Revenue produced in Canada represented approximately 5% of revenue in each of 2024, 2023 and 2022. Our property, plant and equipment (PP&amp;E) and operating lease right-of-use (ROU) assets in Canada represented 4% of our total PP&amp;E and operating lease ROU assets at December 31, 2024 (December 31, 2023 — 4%; December 31, 2022 — 6%). A listing of our principal locations is included in Item 2, "Properties." Certain geographic information for countries with 10% or more of our external revenue and PP&amp;E and operating lease ROU assets is set forth in note 22 to the 2024 AFS included herein.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Marketing and Customer Experience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structure our business development teams by end market, with a focus on offering market insight and expertise, and complete manufacturing, HPS (in the case of our CCS segment) and supply chain solutions to our customers. We have customer-focused teams, each headed by a group general manager who oversees the global relationship with our key customers. These teams work with our subject matter experts to meet the requirements of each customer's product or supply chain. Our global network is comprised of such customer-focused teams, as well as operational and project managers, supply chain management teams, and senior executives.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provide comprehensive support before, during and after the delivery of our products and services. We seek to deepen and grow our customer relationships by providing consistent, high-quality implementation and customer support services, which we believe drives customer retention and additional opportunities within our existing customer base.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 Concentration and Relationship Management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target industry-leading customers in each of our segments. Our current CCS segment customers include Amazon Fulfillment Services, Inc., Ciena Corporation, Dell Technologies, Google Inc., Hewlett-Packard Enterprise, IBM Corporation, Juniper Networks, Inc. and Meta Platforms, Inc. Our current ATS segment customers include Applied Materials, Inc., LAM Research and Honeywell Inc. We are focused on strengthening our relationships with strategic customers through the delivery of new and expanding end-to-end solutions.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the aggregate, our top 10 customers represented 73% of total revenue for 2024, 64% for 2023 and 66% for 2022. In 2024, two customers (each in our CCS segment) individually represented 10% or more of total revenue in 2024 (28% and 11%, respectively). We currently support each of these two customers across a number of different programs. In 2023, one customer (in our CCS segment) individually represented 10% or more of total revenue (22%). In 2022, two customers (each in our CCS segment) individually represented 10% or more of total revenue (11% for each customer).</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generally enter into master supply agreements with our customers that provide the framework for our overall relationship, although such agreements do not typically guarantee a particular level of business or fixed pricing. Instead, we bid on a program-by-program basis and typically receive customer purchase orders for specific quantities and timing of products. We believe that our customer-focused factories are flexible and can be reconfigured as needed to meet customer-specific product requirements and fluctuations in volumes (although we do incur increased production costs from time to time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14" w:name="page15"/>
    <w:bookmarkEnd w:id="14"/>
    <w:p>
      <w:pPr>
        <w:jc w:val="both"/>
        <w:spacing w:after="0" w:line="258" w:lineRule="auto"/>
        <w:rPr>
          <w:sz w:val="20"/>
          <w:szCs w:val="20"/>
          <w:color w:val="auto"/>
        </w:rPr>
      </w:pPr>
      <w:r>
        <w:rPr>
          <w:rFonts w:ascii="Times New Roman" w:cs="Times New Roman" w:eastAsia="Times New Roman" w:hAnsi="Times New Roman"/>
          <w:sz w:val="18"/>
          <w:szCs w:val="18"/>
          <w:color w:val="auto"/>
        </w:rPr>
        <w:t>connection with unexpected demand changes). A majority of these supply agreements also require the customer to purchase unused inventory that we have purchased to fulfill that customer's forecasted manufacturing demand. Some of these agreements require us to provide specific price reductions to our customers over the term of the contracts, which has had (and is expected to continue to have) a significant adverse impact on our revenues, gross margin and operating results. Also see Item 1A, Risk Factors — "</w:t>
      </w:r>
      <w:r>
        <w:rPr>
          <w:rFonts w:ascii="Times New Roman" w:cs="Times New Roman" w:eastAsia="Times New Roman" w:hAnsi="Times New Roman"/>
          <w:sz w:val="18"/>
          <w:szCs w:val="18"/>
          <w:b w:val="1"/>
          <w:bCs w:val="1"/>
          <w:i w:val="1"/>
          <w:iCs w:val="1"/>
          <w:color w:val="auto"/>
        </w:rPr>
        <w:t>Inherent challenges in managing changes in customer demand may impact our planning,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supply chain execution and manufacturing, and may adversely affect our operating performance and results.</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Technology Development</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use advanced technology to design, assemble and test the products we manufacture. We continue to invest in our global design services and capabilities to conceive differentiated HPS product solutions for our customers.</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have extensive capabilities across a broad range of specialized assembly, configuration and test processes. We work with a variety of substrates based on the products we build for our customers, from thin, flexible PCBs to highly complex, dense multi-layer PCBs, as well as a broad array of advanced component and attachment technologies employed in our customers' products and our own product designs. We believe that increasing demand for full-system solutions continues to drive technical advancement in complex design, including power, thermal and mechanical assembly, manufacturability, serviceability and sustainability. We also develop and manufacture sub-components, such as optical modules and complex machined parts, intended to drive targeted technical advancements to support these opportunities.</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automated electronics assembly lines are routinely refreshed with the latest generation technology, with a focus on flexible lines with quick changeover, large board capability, and small component capability. Our assembly capabilities are complemented by advanced test capabilities. The technologies we use include high-speed functional testing, optical, burn-in, vibration, radio frequency, and in-circuit and in-situ dynamic thermal cycling stress testing. Our inspection technology includes X-ray computed tomography, advanced automated optical inspection, three-dimensional paste volumetric inspection and scanning electron microscopy. We work directly with leaders in the equipment industry to optimize products and solutions or to jointly design solutions to meet the needs of our customers. We apply automation solutions, where possible, to help improve product quality, lower product costs, and increase manufacturing efficiencies.</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ongoing R&amp;D activities include the development of processes, test technologies, and hardware platform solutions, spanning core data center technologies, that can be used as-is or customized to optimize a customer's specific applications. Our HPS offering is focused on developing design solutions and subsequently managing the other aspects of the supply chain, including product manufacturing and after-market services. We focus our solutions on developing current and next-generation storage, server and communications products (in particular, elements of data centers, which include the development of complete platform solutions to reduce product costs and accelerate time to market, and which we believe will continue to grow). We work directly with our customers to understand their product roadmaps and requirements, and to develop technology solutions intended to meet their particular needs. We are proactive in developing manufacturing techniques that take advantage of the latest component, product and packaging designs. We have worked with, and have taken leadership roles in, industry and academic groups that strive to advance the state of technology in the industry. As we continue to pursue deeper relationships with our customers, and participate in additional services and revenue opportunities with them, we anticipate an increase in our spending in these areas.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Supply Chain Management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share data electronically with our key suppliers, and help ensure speed of supply through strong relationships with our component suppliers and logistics partners. We view the size and scale of our procurement activities, including our IT systems, as an important competitive advantage, as they enhance our ability to obtain better pricing, influence component packaging and designs, and obtain a supply of components, especially in constrained markets. We procure substantially all of our materials and components on behalf of our customers pursuant to individual purchase orders that are generally short-term in nature.</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Components and raw materials are sourced globally, with a majority of electronic components originating from Asian countries. See Item 1A, Risk Factors, "</w:t>
      </w:r>
      <w:r>
        <w:rPr>
          <w:rFonts w:ascii="Times New Roman" w:cs="Times New Roman" w:eastAsia="Times New Roman" w:hAnsi="Times New Roman"/>
          <w:sz w:val="18"/>
          <w:szCs w:val="18"/>
          <w:b w:val="1"/>
          <w:bCs w:val="1"/>
          <w:i w:val="1"/>
          <w:iCs w:val="1"/>
          <w:color w:val="auto"/>
        </w:rPr>
        <w:t>Our ability to successfully manage unexpected changes or risks inherent in our global operations and supply chain may adversely impact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our financial performance</w:t>
      </w:r>
      <w:r>
        <w:rPr>
          <w:rFonts w:ascii="Times New Roman" w:cs="Times New Roman" w:eastAsia="Times New Roman" w:hAnsi="Times New Roman"/>
          <w:sz w:val="18"/>
          <w:szCs w:val="18"/>
          <w:color w:val="auto"/>
        </w:rPr>
        <w:t>" for a discussion of various risks related to our foreign operations. All of the products we manufacture or assemble require one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 more components. In many cases, there may be only one supplier of a particular component. Some of these components could be rationed in response to supply shortages.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15" w:name="page16"/>
    <w:bookmarkEnd w:id="15"/>
    <w:p>
      <w:pPr>
        <w:jc w:val="both"/>
        <w:spacing w:after="0" w:line="253" w:lineRule="auto"/>
        <w:rPr>
          <w:sz w:val="20"/>
          <w:szCs w:val="20"/>
          <w:color w:val="auto"/>
        </w:rPr>
      </w:pPr>
      <w:r>
        <w:rPr>
          <w:rFonts w:ascii="Times New Roman" w:cs="Times New Roman" w:eastAsia="Times New Roman" w:hAnsi="Times New Roman"/>
          <w:sz w:val="18"/>
          <w:szCs w:val="18"/>
          <w:color w:val="auto"/>
        </w:rPr>
        <w:t>We work with our suppliers and customers to attempt to ensure continuity in the supply of these components. In cases where unanticipated customer demand or supply shortages occur, we attempt to arrange for alternative sources of supply, where available, or defer planned production in response to the availability of the critical components. We experienced materials constraints from certain suppliers in the past, which caused delays in the production of customer products in both of our segments. However, materials constraints did not have a material impact on our revenues or expenses during recent years. See Item 1A, Risk Factors, "</w:t>
      </w:r>
      <w:r>
        <w:rPr>
          <w:rFonts w:ascii="Times New Roman" w:cs="Times New Roman" w:eastAsia="Times New Roman" w:hAnsi="Times New Roman"/>
          <w:sz w:val="18"/>
          <w:szCs w:val="18"/>
          <w:b w:val="1"/>
          <w:bCs w:val="1"/>
          <w:i w:val="1"/>
          <w:iCs w:val="1"/>
          <w:color w:val="auto"/>
        </w:rPr>
        <w:t>We are dependent on third parties to supply certain materials, and our results were negatively affected by the availability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such materials in the past and may be negatively affected by the quality, availability and cost of such materials in the future.</w:t>
      </w:r>
      <w:r>
        <w:rPr>
          <w:rFonts w:ascii="Times New Roman" w:cs="Times New Roman" w:eastAsia="Times New Roman" w:hAnsi="Times New Roman"/>
          <w:sz w:val="18"/>
          <w:szCs w:val="18"/>
          <w:color w:val="auto"/>
        </w:rPr>
        <w:t>" While the prices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principal raw materials are generally not volatile, price increases have resulted from materials shortages and inflation in recent periods. Although we have been successful in offsetting the majority of our increased costs with increased pricing for our products and services to date, price increases resulting from such shortages and/or other factors which we cannot recover from our customers have in the past and may in the future adversely impact our results of operations.</w:t>
      </w:r>
    </w:p>
    <w:p>
      <w:pPr>
        <w:spacing w:after="0" w:line="19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utilize our enterprise systems, as well as specific supply chain IT tools, to provide comprehensive information on our logistics, financial and engineering support functions. These systems provide management with the data and analytics required to manage the logistical complexities of our business and are augmented by and integrated with other applications, such as shop floor controls, component and product database management, and design tools.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To minimize the risk associated with inventory, we primarily order materials and components only to the extent necessary to satisfy existing customer orders and forecasts covered by the applicable customer contract terms and conditions. However, in anticipation of material shortages, we may place additional orders to secure supply, offset in part by the receipt of cash deposits from the relevant customers. We have implemented specific inventory management strategies with certain suppliers, such as "supplier managed inventory" (pulling inventory at the production line on an as-needed basis) and on-site stocking programs. Our initiatives in Lean and Six Sigma also focus on eliminating excess inventory throughout the supply chain.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hold licenses to various technologies which we have acquired in connection with acquisitions. In addition, we believe that we have secured access to technology sufficient for the current conduct of our business and that the duration of our patents is adequate relative to the expected lives of our products.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regard our manufacturing processes and certain designs as proprietary trade secrets and confidential information. We rely largely upon a combination of trade secret laws, non-disclosure agreements with our customers, suppliers, employees and other parties, and upon our internal security systems, confidentiality procedures and employee confidentiality agreements to maintain the trade secrecy of our designs and manufacturing processes. Although we take steps to protect our trade secrets and other IP, we cannot assure that misappropriation will not occur. See Item 1A, Risk Factors, "</w:t>
      </w:r>
      <w:r>
        <w:rPr>
          <w:rFonts w:ascii="Times New Roman" w:cs="Times New Roman" w:eastAsia="Times New Roman" w:hAnsi="Times New Roman"/>
          <w:sz w:val="18"/>
          <w:szCs w:val="18"/>
          <w:b w:val="1"/>
          <w:bCs w:val="1"/>
          <w:i w:val="1"/>
          <w:iCs w:val="1"/>
          <w:color w:val="auto"/>
        </w:rPr>
        <w:t>We may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not adequately protect our IP or the IP of others.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increased research and design activities have resulted in the growth of our dependence on our patent portfolio. We have hardware and software patents that are integral to our HPS business. We anticipate that such growth (and importance) will continue as we expand this business. In addition, we currently have a limited number of other patents and patent applications pending to protect our IP. Other factors significant to our proprietary rights include the knowledge and experience of management and personnel, and our ability to develop, enhance and market electronics manufacturing services.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Each of our customers typically provides us with a license to its technology for use in providing electronics manufacturing services to such customer. Generally, the agreements governing such technology grant to us non-exclusive, worldwide licenses with respect to the subject technologies, are typically provided without charge, and terminate upon a material breach by us of the terms of such agreements, or termination of the program to which such licenses relate.</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also license some technology from third parties that we use in providing electronics manufacturing services to our customers. Generally, the agreements governing such technology grant to us non-exclusive, worldwide licenses with respect to the subject technologies and terminate upon expiration, or a material breach by us of the terms, of such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EMS industry is highly competitive with multiple global EMS providers competing for customers and programs. Our competitors include Benchmark Electronics, Inc., Flex Ltd., Hon Hai Precision Industry Co., Ltd., Jabil Inc., Plexus Corp., and Sanmina Corporation, as well as smaller EMS companies that often have a regional, product, service or industry-specific focus, and ODMs (including Quanta Computer Inc., Wiwynn Corporation, and Accton Technology Corp.) that provide internally designed products and manufacturing services.</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also face indirect competition from current and prospective customers who evaluate our capabilities and commercial models against the merits of manufacturing products internally, and from distribution and logistics providers expanding their services across the supply chain, including assembly, fulfillment, logistics and in some cases, engineering services. There may be instances where our HPS offerings compete with a customer's hardware offerings. We compete with different companies depending on the type of service or geographic area. Some of our competitors have greater scale and provide a broader range of services than we provide. We believe our competitive advantage is our track record in manufacturing technology, design and engineering, quality, complexity, responsiveness and cost-effective, value-added services, including supply chain services. To remain competitive, we believe we must continue to provide technologically advanced manufacturing services and solutions, maintain quality levels, offer flexible delivery schedules, deliver finished products and services on time and compete favorably on price.</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competitive landscape in our CCS segment remains aggressive, as demand growth continues to move from traditional OEMs to cloud-based and other service providers, resulting in aggressive bidding from EMS providers and increased competition from ODMs as they further penetrate these markets. As a result of the high concentration of our business in the CCS marketplace, these competitive pressures, aggressive pricing and technology-driven demand shifts, have negatively impacted, and in future periods may negatively impact, our CCS businesses. We intend to continue to monitor these dynamics and focus on cost and portfolio management, in response to these factors. To enhance our competitiveness, we continue to focus on expanding our service offerings and capabilities beyond our traditional areas of EMS expertise, including expanding our HPS, integration, and after-market services offerings.</w:t>
      </w:r>
    </w:p>
    <w:p>
      <w:pPr>
        <w:spacing w:after="0" w:line="18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See Item 1A, Risk Factors, "</w:t>
      </w:r>
      <w:r>
        <w:rPr>
          <w:rFonts w:ascii="Times New Roman" w:cs="Times New Roman" w:eastAsia="Times New Roman" w:hAnsi="Times New Roman"/>
          <w:sz w:val="18"/>
          <w:szCs w:val="18"/>
          <w:b w:val="1"/>
          <w:bCs w:val="1"/>
          <w:i w:val="1"/>
          <w:iCs w:val="1"/>
          <w:color w:val="auto"/>
        </w:rPr>
        <w:t>We operate in an industry comprised of numerous competitors and aggressive pricing dynamics</w:t>
      </w:r>
      <w:r>
        <w:rPr>
          <w:rFonts w:ascii="Times New Roman" w:cs="Times New Roman" w:eastAsia="Times New Roman" w:hAnsi="Times New Roman"/>
          <w:sz w:val="18"/>
          <w:szCs w:val="18"/>
          <w:color w:val="auto"/>
        </w:rPr>
        <w:t xml:space="preserve">" and Item 7, MD&amp;A — "Overview — </w:t>
      </w:r>
      <w:r>
        <w:rPr>
          <w:rFonts w:ascii="Times New Roman" w:cs="Times New Roman" w:eastAsia="Times New Roman" w:hAnsi="Times New Roman"/>
          <w:sz w:val="18"/>
          <w:szCs w:val="18"/>
          <w:i w:val="1"/>
          <w:iCs w:val="1"/>
          <w:color w:val="auto"/>
        </w:rPr>
        <w:t>Overview of business environment</w:t>
      </w:r>
      <w:r>
        <w:rPr>
          <w:rFonts w:ascii="Times New Roman" w:cs="Times New Roman" w:eastAsia="Times New Roman" w:hAnsi="Times New Roman"/>
          <w:sz w:val="18"/>
          <w:szCs w:val="18"/>
          <w:color w:val="auto"/>
        </w:rPr>
        <w:t>" and "Recent Developments."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Matters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are subject to various federal/national, state/provincial, local, foreign and supra-national laws and regulations, including environmental measures relating to the release, use, storage, treatment, transportation, discharge, disposal and remediation of contaminants, hazardous substances and waste, and health and safety measures related to practices and procedures applicable to the construction and operation of our sites. We have management systems in place designed to maintain compliance with such laws and regulations.</w:t>
      </w:r>
    </w:p>
    <w:p>
      <w:pPr>
        <w:spacing w:after="0" w:line="180" w:lineRule="exact"/>
        <w:rPr>
          <w:sz w:val="20"/>
          <w:szCs w:val="20"/>
          <w:color w:val="auto"/>
        </w:rPr>
      </w:pPr>
    </w:p>
    <w:p>
      <w:pPr>
        <w:jc w:val="both"/>
        <w:ind w:firstLine="648"/>
        <w:spacing w:after="0" w:line="217" w:lineRule="exact"/>
        <w:rPr>
          <w:sz w:val="20"/>
          <w:szCs w:val="20"/>
          <w:color w:val="auto"/>
        </w:rPr>
      </w:pPr>
      <w:r>
        <w:rPr>
          <w:rFonts w:ascii="Times New Roman" w:cs="Times New Roman" w:eastAsia="Times New Roman" w:hAnsi="Times New Roman"/>
          <w:sz w:val="18"/>
          <w:szCs w:val="18"/>
          <w:color w:val="auto"/>
        </w:rPr>
        <w:t>Our past operations and the historical operation by others of our sites may have resulted in soil and groundwater contamination on our sites, and in many jurisdictions in which we operate, environmental laws impose liability for the costs of removal, remediation or risk assessment of hazardous or toxic substances on an owner, occupier or operator of real property even if such person or company was unaware of or not responsible for the discharge or migration of such substances. From time to time we investigate, remediate and monitor soil and groundwater contamination at certain operating sites. We generally obtain Phase I or similar environmental assessments (which involve general inspections without soil sampling or groundwater analysis), or review assessment reports undertaken by others, for our manufacturing sites at the time of acquisition or leasing. However, such assessments may not reveal all environmental liabilities (due, for example, to limited available information about prior operations at the properties or other gaps in information at the time we acquire or lease such sites), and assessments have not been obtained for all sites. Where contamination is suspected at sites being acquired or leased, Phase II intrusive environmental assessments (that can include soil and/or groundwater testing) are usually performed. We expect to conduct Phase I or similar environmental assessments in respect of future property acquisitions or leases and intend to perform Phase II assessments where we deem it appropriate. Past environmental assessments have not revealed any environmental liability that we believe will have a material adverse effect on our operating results or financial condition, in part because of contractual retention of liability by landlords and former owners at certain sites. However, any such contractual retention of liability may not provide sufficient protection to reduce or eliminate our liability.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claims for damages or personal injury are also possible and could result in significant costs to us. If more stringent compliance or cleanup standards under environmental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17" w:name="page18"/>
    <w:bookmarkEnd w:id="17"/>
    <w:p>
      <w:pPr>
        <w:jc w:val="both"/>
        <w:spacing w:after="0" w:line="258" w:lineRule="auto"/>
        <w:rPr>
          <w:sz w:val="20"/>
          <w:szCs w:val="20"/>
          <w:color w:val="auto"/>
        </w:rPr>
      </w:pPr>
      <w:r>
        <w:rPr>
          <w:rFonts w:ascii="Times New Roman" w:cs="Times New Roman" w:eastAsia="Times New Roman" w:hAnsi="Times New Roman"/>
          <w:sz w:val="18"/>
          <w:szCs w:val="18"/>
          <w:color w:val="auto"/>
        </w:rPr>
        <w:t>or regulations are imposed, or the results of future testing and analyses at our current or former sites indicate that we are responsible for the release of hazardous substances into the air, ground and/or water, we may be subject to additional liability. Environmental matters may arise at sites where no problem is currently known or at sites that we may acquire in the future. See Item 1A, Risk Factors, "</w:t>
      </w:r>
      <w:r>
        <w:rPr>
          <w:rFonts w:ascii="Times New Roman" w:cs="Times New Roman" w:eastAsia="Times New Roman" w:hAnsi="Times New Roman"/>
          <w:sz w:val="18"/>
          <w:szCs w:val="18"/>
          <w:b w:val="1"/>
          <w:bCs w:val="1"/>
          <w:i w:val="1"/>
          <w:iCs w:val="1"/>
          <w:color w:val="auto"/>
        </w:rPr>
        <w:t>Compliance with governmental laws, regulations,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and obligations could be costly and may negatively impact our financial performance; any failure to comply may negatively impact our financial performance.</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Environmental legislation also occurs at the product level. Celestica works with its customers in connection with compliance with applicable product-level environmental legislation in the jurisdictions where products are manufactured and/or offered for use and sale by our customers.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Seasonality does not currently have a material impact on either of our segments.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As a global company, our operations are subject to a variety of governmental and regulatory requirements related to, among other things, environmental matters, waste management, trade compliance, anti-corruption, health and safety matters, employment laws and regulations, A&amp;D regulations and regulations governing the manufacture and sale of healthcare products, and disclosure obligations. Significant costs and liabilities may arise from these requirements or from new, modified or more stringent requirements. Although we strive to implement quality management systems and internal controls to mitigate our risk of non-compliance, any failure to comply with governmental and regulatory requirements could have a material adverse effect on our business, results of operations, financial condition and/or competitive position. Information regarding material effects of government regulations on our business is provided in Section 1A, Risk Factors, under "</w:t>
      </w:r>
      <w:r>
        <w:rPr>
          <w:rFonts w:ascii="Times New Roman" w:cs="Times New Roman" w:eastAsia="Times New Roman" w:hAnsi="Times New Roman"/>
          <w:sz w:val="18"/>
          <w:szCs w:val="18"/>
          <w:b w:val="1"/>
          <w:bCs w:val="1"/>
          <w:i w:val="1"/>
          <w:iCs w:val="1"/>
          <w:color w:val="auto"/>
        </w:rPr>
        <w:t>We are subject to the risk of increasing income and other taxes, tax audits and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challenges of successfully defending our tax positions, and obtaining, renewing or meeting the conditions of tax incentives and credits, any of which may adversely affect our financial performance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Compliance with governmental laws, regulations, and obligations could be costly and may negatively impact our financial performance; any failure to comply may negatively impact our financial performance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Compliance or the failure to comply with employment laws and regulations may negatively impact our financial performance,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U.S. policies or legislation could have a material adverse effect on our business, results of operations and financial condition,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i w:val="1"/>
          <w:iCs w:val="1"/>
          <w:color w:val="auto"/>
        </w:rPr>
        <w:t>Our business and operations could be adversely impacted by ESG initiatives.</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Sustainability</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are committed to driving sustainability initiatives through collaboration with our employees, customers, suppliers and local communities. Our Sustainability Report, which is published annually, outlines our sustainability strategy, the progress we have made as a socially responsible organization, and the key activities and milestones we are working to achieve for each of our focus areas: our planet, our products and services, our people and our communities. Our most recent Sustainability Report, as well as our Corporate Values, can be found on our website: www.celestica.com (information on our website is not incorporated by reference into this Annual Report).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Management</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At Celestica, we believe our success depends on our talented people and their commitment to excellence. Under the Human Resources and Compensation Committee (HRCC) mandate, the duties and responsibilities of the HRCC include reviewing the Corporation’s talent management strategy including programs relating to the attraction, development and retention of critical skills and resources required to execute the Corporation’s strategic objectives. Additionally, the HRCC is responsible for reviewing and making recommendations to the Board of Directors of Celestica (Board) with respect to Celestica’s human capital management practices and strategies, including as a result of: (a) reviewing reports from management to monitor Celestica’s culture and employee engagement; (b) overseeing policies and programs in place to support and promote the health, safety and well-being of Celestica’s employees; and (c) considering other ESG practices related to the HRCC's charter.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At December 31, 2024, we employed 26,865 permanent and temporary (contract) employees worldwide (December 31, 2023 — 26,554; December 31, 2022 — 26,324). Some of our employees in China, Japan, Mexico, Romania, Singapore and Spain are represented by unions or are covered by collective bargaining agreements. We believe we have a productive and collaborative working relationship between management and the relevant unions. We believe that our employee relationships are generally positive and stable.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information concerning our employees (permanent and temporary) by geographic location:</w:t>
      </w:r>
    </w:p>
    <w:p>
      <w:pPr>
        <w:spacing w:after="0" w:line="262"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6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3"/>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Number of Employees</w:t>
            </w:r>
          </w:p>
        </w:tc>
        <w:tc>
          <w:tcPr>
            <w:tcW w:w="1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584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Date</w:t>
            </w:r>
          </w:p>
        </w:tc>
        <w:tc>
          <w:tcPr>
            <w:tcW w:w="1380" w:type="dxa"/>
            <w:vAlign w:val="bottom"/>
            <w:gridSpan w:val="2"/>
          </w:tcPr>
          <w:p>
            <w:pPr>
              <w:ind w:left="280"/>
              <w:spacing w:after="0" w:line="182" w:lineRule="exact"/>
              <w:rPr>
                <w:sz w:val="20"/>
                <w:szCs w:val="20"/>
                <w:color w:val="auto"/>
              </w:rPr>
            </w:pPr>
            <w:r>
              <w:rPr>
                <w:rFonts w:ascii="Times New Roman" w:cs="Times New Roman" w:eastAsia="Times New Roman" w:hAnsi="Times New Roman"/>
                <w:sz w:val="18"/>
                <w:szCs w:val="18"/>
                <w:b w:val="1"/>
                <w:bCs w:val="1"/>
                <w:color w:val="auto"/>
              </w:rPr>
              <w:t>Americas</w:t>
            </w:r>
          </w:p>
        </w:tc>
        <w:tc>
          <w:tcPr>
            <w:tcW w:w="1400" w:type="dxa"/>
            <w:vAlign w:val="bottom"/>
            <w:gridSpan w:val="2"/>
          </w:tcPr>
          <w:p>
            <w:pPr>
              <w:ind w:left="360"/>
              <w:spacing w:after="0" w:line="182" w:lineRule="exact"/>
              <w:rPr>
                <w:sz w:val="20"/>
                <w:szCs w:val="20"/>
                <w:color w:val="auto"/>
              </w:rPr>
            </w:pPr>
            <w:r>
              <w:rPr>
                <w:rFonts w:ascii="Times New Roman" w:cs="Times New Roman" w:eastAsia="Times New Roman" w:hAnsi="Times New Roman"/>
                <w:sz w:val="18"/>
                <w:szCs w:val="18"/>
                <w:b w:val="1"/>
                <w:bCs w:val="1"/>
                <w:color w:val="auto"/>
              </w:rPr>
              <w:t>Europe</w:t>
            </w:r>
          </w:p>
        </w:tc>
        <w:tc>
          <w:tcPr>
            <w:tcW w:w="1500" w:type="dxa"/>
            <w:vAlign w:val="bottom"/>
          </w:tcPr>
          <w:p>
            <w:pPr>
              <w:jc w:val="right"/>
              <w:ind w:right="590"/>
              <w:spacing w:after="0" w:line="182" w:lineRule="exact"/>
              <w:rPr>
                <w:sz w:val="20"/>
                <w:szCs w:val="20"/>
                <w:color w:val="auto"/>
              </w:rPr>
            </w:pPr>
            <w:r>
              <w:rPr>
                <w:rFonts w:ascii="Times New Roman" w:cs="Times New Roman" w:eastAsia="Times New Roman" w:hAnsi="Times New Roman"/>
                <w:sz w:val="18"/>
                <w:szCs w:val="18"/>
                <w:b w:val="1"/>
                <w:bCs w:val="1"/>
                <w:color w:val="auto"/>
              </w:rPr>
              <w:t>Asia</w:t>
            </w:r>
          </w:p>
        </w:tc>
        <w:tc>
          <w:tcPr>
            <w:tcW w:w="1100" w:type="dxa"/>
            <w:vAlign w:val="bottom"/>
          </w:tcPr>
          <w:p>
            <w:pPr>
              <w:jc w:val="right"/>
              <w:ind w:right="370"/>
              <w:spacing w:after="0" w:line="182" w:lineRule="exact"/>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0"/>
        </w:trPr>
        <w:tc>
          <w:tcPr>
            <w:tcW w:w="360" w:type="dxa"/>
            <w:vAlign w:val="bottom"/>
            <w:shd w:val="clear" w:color="auto" w:fill="000000"/>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58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December 31, 2024</w:t>
            </w: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5840" w:type="dxa"/>
            <w:vAlign w:val="bottom"/>
            <w:gridSpan w:val="2"/>
            <w:vMerge w:val="continue"/>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6,141</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2,570</w:t>
            </w:r>
          </w:p>
        </w:tc>
        <w:tc>
          <w:tcPr>
            <w:tcW w:w="100" w:type="dxa"/>
            <w:vAlign w:val="bottom"/>
          </w:tcPr>
          <w:p>
            <w:pPr>
              <w:spacing w:after="0"/>
              <w:rPr>
                <w:sz w:val="19"/>
                <w:szCs w:val="19"/>
                <w:color w:val="auto"/>
              </w:rPr>
            </w:pPr>
          </w:p>
        </w:tc>
        <w:tc>
          <w:tcPr>
            <w:tcW w:w="15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18,154</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26,865</w:t>
            </w:r>
          </w:p>
        </w:tc>
        <w:tc>
          <w:tcPr>
            <w:tcW w:w="0" w:type="dxa"/>
            <w:vAlign w:val="bottom"/>
          </w:tcPr>
          <w:p>
            <w:pPr>
              <w:spacing w:after="0"/>
              <w:rPr>
                <w:sz w:val="1"/>
                <w:szCs w:val="1"/>
                <w:color w:val="auto"/>
              </w:rPr>
            </w:pPr>
          </w:p>
        </w:tc>
      </w:tr>
    </w:tbl>
    <w:p>
      <w:pPr>
        <w:spacing w:after="0" w:line="2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Given the variable nature of our manufacturing processes and the quick response time required by our customers, it is critical that we are able to adjust our production up or down to maximize efficiency. To achieve this, our approach has been to employ a skilled temporary labor force, as required. At December 31, 2024, 4,951 temporary (contract) employees were engaged by us worldwide.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Engagement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believe employee engagement is crucial for employee performance and productivity, and strong business outcomes. We therefore continually strive to enhance employee engagement to ensure that we continue to attract and retain talent. Every two years, we conduct global employee engagement surveys in order to measure overall engagement and identify strengths and areas for improvement. Results are assessed by management and used to develop targeted action plans. Management reports on the outcome of the survey to the HRCC.</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believe that employee engagement and well-being is strengthened through healthy, supportive, inclusive, and safe workplaces. Globally, we have established a framework whereby all sites are required to measure and report regularly on their environmental, health and safety performance.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Benefits and Recognition</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222222"/>
        </w:rPr>
        <w:t>Our compensation and benefits programs are designed to attract, retain, and motivate top talent. We offer a comprehensive package that includes competitive salaries, variable performance-based compensation, health benefits, retirement savings plans, vacation, and other paid time off. We provide opportunities for employees to share in the Company's success through short-term incentive programs available to almost all employees. These programs reward achievement of key business objectives and reinforce our commitment to a performance-driven culture. Furthermore, we offer a variety of recognition programs to acknowledge employees who are achieving business results by living our brand and values, and embracing the characteristics of our leadership imperatives. We encourage business and people leaders to acknowledge individual and team success in quarterly town halls, and in more formal ways through our Bravo! and Ignition Awards programs. We regularly review our compensation and benefits programs to ensure they remain competitive and aligned with our business strategy and meet the needs of our employees.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Learning and Development</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222222"/>
        </w:rPr>
        <w:t>We provide global learning and development programs and experiences to support the attraction, retention, engagement and career growth of employees, encouraging them to manage their careers and skills through new projects and responsibilities. The Company uses a blended learning approach, combining e-learning with instructor-led sessions, and emphasizes continuous learning via mentoring, coaching, on-the-job experiences, such as special projects, job rotations and formal training programs that enhance leadership, function-specific, and technical skills. Performance reviews on objectives, including progress on individual development plans, occur at least annually with all permanent, full-time Celestica employees and align to strategic focus areas. The goals for broader functions, teams, and individuals are established annually at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color w:val="222222"/>
        </w:rPr>
        <w:t>beginning of the year, providing an opportunity for a cohesive and valuable partnership between employees and people leaders throughout the year.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Community Engagement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strive to support the local communities in which we live and work. We encourage all full-time employees to take up to 16 hours of paid time off per year to volunteer through our Time Off to Volunteer program. This program gives employees the opportunity to become involved in their communities in a meaningful way and to help those in need.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Inclusion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Celestica is committed to fostering an inclusive and collaborative workplace where all employees feel valued, respected, and empowered to reach their full potential. We believe that embracing a broad range of perspectives drives innovation, strengthens our culture, and enhances our ability to serve customers worldwide. Through leadership accountability, employee resource groups, training programs, and community partnerships, we strive to foster a culture of inclusion and collaboration across our global operations, and ensure that inclusion and collaboration remain core parts of our values, talent practices and business strategy.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Ethical Labor Practices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maintain a Business Conduct Governance (BCG) Policy, which outlines the legal and ethical standards to which our employees are held accountable. 100% of our employees have completed BCG training, and we certify to the BCG Policy on an annual basis. Our BCG Policy is available on our website: www.celestica.com (information on our website is not incorporated by reference into this Annual Report).</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 addition, we have well-established policies regarding fair labor practices and guidelines intended to create a respectful, safe and healthy work environment for our employees globally.</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are a founding (and remain an active) member of the Responsible Business Alliance (RBA), a non-profit coalition of companies that, among other things, establishes standards for its members in responsible and ethical practices in the areas of labor, environmental compliance, employee health and safety, ethics and social responsibility. The RBA Code of Conduct outlines industry standards intended to ensure that working conditions in the supply chain are safe, workers are treated with respect and dignity, and manufacturing processes are environmentally responsible. We continually work to implement, manage and audit our compliance with the RBA Code of Conduct.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Information Regarding Geographic Areas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Details of our financial information regarding geographic areas are disclosed in note 22 to 2024 AFS included herein, in "Information on the Company — Business Overview — Geographies," above and in Item 2, Properties. Risks associated with our foreign operations are disclosed in Item 1A, Risk Factors, including "</w:t>
      </w:r>
      <w:r>
        <w:rPr>
          <w:rFonts w:ascii="Times New Roman" w:cs="Times New Roman" w:eastAsia="Times New Roman" w:hAnsi="Times New Roman"/>
          <w:sz w:val="18"/>
          <w:szCs w:val="18"/>
          <w:b w:val="1"/>
          <w:bCs w:val="1"/>
          <w:i w:val="1"/>
          <w:iCs w:val="1"/>
          <w:color w:val="auto"/>
        </w:rPr>
        <w:t>Our ability to successfully manage unexpected changes or risks inherent in our global operations and supply chain may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adversely impact our financial performance</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make available a wide variety of information, including our Annual Reports on Form 10-K, Quarterly Reports on Form 10-Q, and Current Reports on Form 8-K, free of charge on our website at www.celestica.com. Information on our website is not incorporated by reference into this Annual Report. Our reports that are filed or furnished with the SEC, including our Management Information Circulars (Proxy Statements), Annual Reports on Form 10-K, Quarterly Reports on Form 10-Q, Current Reports on Form 8-K, Specialized Disclosure Reports on Form SD, previous Annual Reports on Form 20-F and previous Reports on Form 6-K, and any amendments to such reports, are available on our website as soon as reasonably practicable after the reports are electronically filed with or furnished to the SEC. The SEC maintains an internet site that contains reports, proxy and information statements, and other information regarding issuers that file electronically with the SEC. The address of that site is www.sec.gov. Our public filings with the Canadian Securities Administrators are available under our profile on SEDAR+ at www.sedarplus.ca.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20" w:name="page21"/>
    <w:bookmarkEnd w:id="20"/>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1A.</w:t>
        <w:tab/>
        <w:t>Risk Factors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Each of the following risk factors, or any combination of them, could have a material adverse effect on our business, financial condition, and/or operating results. Our shareholders and prospective investors should carefully consider each of the following risks and all of the other information set forth in this Annual Report.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Risks Related to Our Business and Operations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a limited number of customers and end markets. A decline in revenue from, or the loss of, any significant customer, could have a material adverse effect on our operating results, financial position and cash flows.</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depend (and expect to continue to depend) upon a small number of customers for a substantial portion of our revenue. In the aggregate, our top 10 customers represented 73% of total revenue for 2024, 64% for 2023 and 66% for 2022. We also remain dependent upon revenue from our CCS segment, which represented 67% of our consolidated revenue in 2024 (2023 — 58%; 2022 — 59%). Notwithstanding the expansion our HPS business and high-value EMS programs (including with hyperscalers), we remain dependent, to a lesser extent compared to prior years, on our traditional CCS business for a portion of our revenue, which continues to experience slower growth rates, increased pricing pressures and a highly competitive marketplace.</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 decline in revenue from, or the loss of, any significant customer could have a material adverse effect on our operating results, financial position and cash flows. We cannot assure: (i) the replacement of completed, delayed, cancelled or reduced orders with new business; (ii) that our current customers will continue to utilize our services consistent with historical volumes or at all; and/or (iii) that our customers will renew their long-term manufacturing or services contracts with us on acceptable terms or at all. There can also be no assurance that our efforts to secure new customers and programs will succeed in reducing our customer concentration. Failure to secure business from existing or new customers in any of our end markets would adversely impact our operating results.</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Any of the foregoing may adversely affect our margins, cash flow, and our ability to grow our revenue, and may increase the variability of our operating results from period to period. See "</w:t>
      </w:r>
      <w:r>
        <w:rPr>
          <w:rFonts w:ascii="Times New Roman" w:cs="Times New Roman" w:eastAsia="Times New Roman" w:hAnsi="Times New Roman"/>
          <w:sz w:val="18"/>
          <w:szCs w:val="18"/>
          <w:b w:val="1"/>
          <w:bCs w:val="1"/>
          <w:i w:val="1"/>
          <w:iCs w:val="1"/>
          <w:color w:val="auto"/>
        </w:rPr>
        <w:t>Our revenue and operating results may vary significantly from period to period.</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Inherent challenges in managing changes in customer demand may impact our planning, supply chain execution and manufacturing, and may adversely affect our operating performance and results.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customers typically do not commit to production schedules for more than 30 to 90 days in advance, and we often experience volatility in customer orders and inventory levels. Customers may terminate their agreements with us prior to scheduled expiration, fail to renew such agreements upon expiration, or significantly change, reduce or delay the volume of manufacturing or other services they order from us, any of which adversely affect our operating results when they occur. For example, we experienced demand reductions within our Industrial business during 2024. Customers may also shift business to our competitors, in-source programs, or adjust the concentration of their supplier base. The global economic environment, adverse market conditions, "buy local" movements, political and geopolitical pressures, negative sentiment from our customers' customers, regulatory changes or changes made by local governments (such as tax benefits, tariffs or export controls) may also impact our customers' business decisions. See "</w:t>
      </w:r>
      <w:r>
        <w:rPr>
          <w:rFonts w:ascii="Times New Roman" w:cs="Times New Roman" w:eastAsia="Times New Roman" w:hAnsi="Times New Roman"/>
          <w:sz w:val="18"/>
          <w:szCs w:val="18"/>
          <w:b w:val="1"/>
          <w:bCs w:val="1"/>
          <w:i w:val="1"/>
          <w:iCs w:val="1"/>
          <w:color w:val="auto"/>
        </w:rPr>
        <w:t>Our operations have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been and could continue to be adversely affected by events outside our control</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i w:val="1"/>
          <w:iCs w:val="1"/>
          <w:color w:val="auto"/>
        </w:rPr>
        <w:t>Regulation of AI/ML technology may materially and adversely impact our business.</w:t>
      </w:r>
      <w:r>
        <w:rPr>
          <w:rFonts w:ascii="Times New Roman" w:cs="Times New Roman" w:eastAsia="Times New Roman" w:hAnsi="Times New Roman"/>
          <w:sz w:val="18"/>
          <w:szCs w:val="18"/>
          <w:color w:val="auto"/>
        </w:rPr>
        <w:t>" These and other factors could adversely affect the rate of outsourcing to EMS and/or ODM providers generally or to us in particular.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 significant portion of our revenue can occur in the last month of the quarter, and purchase orders may be subject to change or cancellation, all of which affect our operating results when they occur. Because we cannot predict customer behavior, or if or when adverse market conditions will reverse, our forecasts of customer orders may be inaccurate, and may make it difficult to order appropriate levels of materials, schedule production, and maximize utilization of our manufacturing capacity and resources.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customers from time to time change their forecasts, production quantities or product type requirements, or accelerate, delay or cancel production quantities. When customers change production volumes or request different products to be manufactured from those in their original forecast, the unavailability of components and materials for such changes could also adversely impact our revenue and working capital performance. See "</w:t>
      </w:r>
      <w:r>
        <w:rPr>
          <w:rFonts w:ascii="Times New Roman" w:cs="Times New Roman" w:eastAsia="Times New Roman" w:hAnsi="Times New Roman"/>
          <w:sz w:val="18"/>
          <w:szCs w:val="18"/>
          <w:b w:val="1"/>
          <w:bCs w:val="1"/>
          <w:i w:val="1"/>
          <w:iCs w:val="1"/>
          <w:color w:val="auto"/>
        </w:rPr>
        <w:t>We 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dependent on third parties to supply certain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21" w:name="page22"/>
    <w:bookmarkEnd w:id="21"/>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materials, and our results were negatively affected by the availability of such materials in the past and may be negatively affected by the quality, availability and cost of such materials in the future.</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Further, to guarantee continuity of supply for many of our customers, we are required to manufacture and warehouse specified quantities of finished goods. The uncertainty of demand in our customers' end markets, intense competition in our customers' industries and general order volume volatility from time to time result in customers delaying or canceling the delivery of products we manufacture for them or placing purchase orders for lower volumes of products than previously anticipated. This may result in higher than expected levels of inventory, which could in turn have a material adverse impact on our operating results and working capital performance. Although the levels of inventory we carry in any period reflect inventory required to support new program ramps and business growth, inventory levels are also impacted by demand volatility and significant product mix changes, including late changes from customers. In the past, materials constraints from suppliers also negatively impacted our inventory levels. We may not be able to return or re-sell excess inventory resulting from these factors, or we may be required to hold such inventory for a period of time, any of which may result in higher working capital needs (offset in part by customer cash deposits), and/or a requirement to record additional (and higher-than-typical) reserves for excess or obsolete inventory (as occurred in recent years). Order cancellations and delays could also lower our asset utilization, resulting in higher levels of unproductive assets, lower inventory turns, and lower margins. See "</w:t>
      </w:r>
      <w:r>
        <w:rPr>
          <w:rFonts w:ascii="Times New Roman" w:cs="Times New Roman" w:eastAsia="Times New Roman" w:hAnsi="Times New Roman"/>
          <w:sz w:val="18"/>
          <w:szCs w:val="18"/>
          <w:b w:val="1"/>
          <w:bCs w:val="1"/>
          <w:i w:val="1"/>
          <w:iCs w:val="1"/>
          <w:color w:val="auto"/>
        </w:rPr>
        <w:t>Our products and services involve inventory risk.</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dependent on our customers' ability to compete and succeed in the marketplace using products we manufacture and services we provide.</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operating results are highly dependent upon the ability of our customers (both our traditional OEM and hyperscaler customers) to compete and succeed in the marketplace using products we manufacture and services we provide. Factors that may adversely affect our customers include: rapid changes in technology; evolving industry standards; seasonal demand; their failure to successfully market, and/or a lack of widespread commercial acceptance of, their products and services; supply chain issues; the emergence of substitutes for products and services; dramatic shifts in demand which may cause them to lose market share or exit businesses; recessionary periods in our customers' markets; short product lifecycles resulting from continuous improvements in products and services, commoditization of certain products, changes in preferences by end customers, and the emergence of new entrants or competitors with disruptive products, services, or new business models that de-emphasize traditional OEM solutions and distribution channels. In addition, certain of our customers have experienced, and may in the future experience, severe revenue erosion, pricing, margin and cash flow pressures, and excess inventories that, in turn, have adversely affected (and in the future may adversely affect) our operating results. If technologies or standards supported by our customers' products and services or their business models become obsolete, are delayed due to regulatory certification, fail to gain widespread acceptance or are canceled, our business would be adversely affected.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exposure to financially troubled customers or suppliers may adversely affect our financial results.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may provide manufacturing, design engineering, management and other supply chain services to companies and industries that may in the future experience financial difficulty. When our customers experience financial difficulty, we have difficulty recovering amounts owed to us by these customers, or demand for our products and services from these customers sometimes declines. Additionally, if our suppliers experience financial difficulty, we could have difficulty sourcing supplies necessary to fulfill production requirements and meet scheduled shipments. When one or more of our customers becomes insolvent or otherwise is unable to pay for the services provided by us on a timely basis, or at all, our operating results and financial condition are adversely affected. Such adverse effects could in the future include one or more of the following: an increase in our provision for credit losses, a charge for inventory write-offs, a reduction in revenue, and an increase in our working capital requirements due to higher inventory levels and increases in days our accounts receivables are outstanding.</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third parties to supply certain materials, and our results were negatively affected by the availability of such materials in the past and may be negatively affected by the quality, availability and cost of such materials in the future.</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purchase of materials and electronic components represents a significant portion of our costs. We rely on third parties to provide such items. Materials shortages or other issues affecting timely access to these materials (which often occur in our industry) may impact our ability to successfully complete a program. A delay or interruption in supply from a component supplier, especially for single-sourced components, could have a significant impact on our operations and on our customers if we are unable to deliver finished products in a timely manner. If the amount we are required to pay for equipment and supplies exceeds what we have estimated, especially in a fixed price contract, we may suffer losses on these contracts. If a supplier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22" w:name="page23"/>
    <w:bookmarkEnd w:id="22"/>
    <w:p>
      <w:pPr>
        <w:jc w:val="both"/>
        <w:spacing w:after="0" w:line="254" w:lineRule="auto"/>
        <w:rPr>
          <w:sz w:val="20"/>
          <w:szCs w:val="20"/>
          <w:color w:val="auto"/>
        </w:rPr>
      </w:pPr>
      <w:r>
        <w:rPr>
          <w:rFonts w:ascii="Times New Roman" w:cs="Times New Roman" w:eastAsia="Times New Roman" w:hAnsi="Times New Roman"/>
          <w:sz w:val="18"/>
          <w:szCs w:val="18"/>
          <w:color w:val="auto"/>
        </w:rPr>
        <w:t>manufacturer fails to provide components, supplies or equipment as required under a contract, we may be required to source these items from other third parties on a delayed basis or on less favorable terms, which could impact our profitability. Additionally, quality or reliability issues at any of our component providers, or financial difficulties that affect their production and ability to supply us with components, could halt or delay production of a customer's product, or result in claims against us for failure to meet required customer specifications, which could materially adversely impact our operating results. Shortages may also result in our carrying higher levels of inventory and extended lead-times, or result in increased component prices, which may require price increases in the products and services that we provide. Any increase in our costs that we are unable to recover would negatively impact our margins and operating results. Changes in forecasted volumes or in our customers' requirements can also negatively affect our ability to obtain components and adversely impact our operating results.</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experienced materials constraints from certain suppliers in prior years, due in part to industry-wide shortages for certain electronic components, resulting in higher than expected levels of inventory. Materials constraints did not have a material impact on our revenues or expenses during recent years. However, they may negatively impact us in the future.</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Some sub-tier suppliers providing raw materials, such as high-grade aluminum, are partially dependent on supply from the Russia/Ukraine region. In addition, certain of our suppliers are located in, and we source certain parts from, the Middle East. Although the impacts of the Russia/Ukraine conflict and the conflicts in the Middle East area (Middle East Conflicts) on our supply chain have not been significant to date, we cannot assure that this will continue to be the case, and we may experience, among other impacts, export restrictions and increases to fuel costs. See "</w:t>
      </w:r>
      <w:r>
        <w:rPr>
          <w:rFonts w:ascii="Times New Roman" w:cs="Times New Roman" w:eastAsia="Times New Roman" w:hAnsi="Times New Roman"/>
          <w:sz w:val="18"/>
          <w:szCs w:val="18"/>
          <w:b w:val="1"/>
          <w:bCs w:val="1"/>
          <w:i w:val="1"/>
          <w:iCs w:val="1"/>
          <w:color w:val="auto"/>
        </w:rPr>
        <w:t>Our operations have been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could continue to be adversely affected by events outside our control</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Geopolitical uncertainty, including as a result of the military conflict between Russia and Ukraine and/or the Middle East Conflicts, may adversely affect our business, financial condition and results of operations,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i w:val="1"/>
          <w:iCs w:val="1"/>
          <w:color w:val="auto"/>
        </w:rPr>
        <w:t>Our products and services involve inventory risk.</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products and services involve inventory risk.</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For most of our products and services, we purchase some, or all, of the required materials and components based on customer forecasts or orders. Although our commercial contracts often obligate our customers to ultimately purchase inventory ordered to support their forecasts or orders, we typically finance these purchases initially. Suppliers may also require us to purchase materials and components in minimum order quantities that may exceed current customer forecast requirements. In addition, a customer's cancellation, delay or reduction of forecasts or orders can result in excess, surplus or obsolete inventory or additional expense to us. Engineering changes by a customer may result in obsolete materials or components. While we attempt to cancel, return or otherwise mitigate excess and obsolete inventory, require customers to reimburse us for these items, put up cash deposits and/or price our services to address related risks, we may not actually be reimbursed in a timely manner or in full, receive adequate cash deposits, be able to collect on these obligations, or fully protect against such risks in our pricing.</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also provide managed inventory programs for some of our customers under which we hold and manage inventories. These managed inventory programs may result in higher inventory levels, further reduce our inventory turns and increase our financial exposure with such customers. In addition, our inventory may be held at a customer's facility or warehouse, or elsewhere in a location outside of our control, which may increase the risk of loss. Even though our customers generally have contractual obligations to purchase such inventories from us, we remain subject to customers' credit risks as well as the risk of potential customer default and the need to enforce those obligations.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change in the mix of customers and/or the types of products or services we provide could have a material adverse effect on our financial condition and operating results.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mix of our customers and the type of products or services we provide may have an impact on our financial condition and operating results from period-to-period. For example, a higher concentration of lower-margin programs will have an adverse impact on our operating results in the relevant period. The mix of customers and the products we manufacture from period-to-period is also impacted by, among other things, the pace of technological change, the frequency of customers transferring business among EMS and/or ODM competitors, the constantly changing dynamics of the global economy, the impact of new program wins or program losses or non-renewals, overall demand variability, and limited visibility in technology end markets. See "</w:t>
      </w:r>
      <w:r>
        <w:rPr>
          <w:rFonts w:ascii="Times New Roman" w:cs="Times New Roman" w:eastAsia="Times New Roman" w:hAnsi="Times New Roman"/>
          <w:sz w:val="18"/>
          <w:szCs w:val="18"/>
          <w:b w:val="1"/>
          <w:bCs w:val="1"/>
          <w:i w:val="1"/>
          <w:iCs w:val="1"/>
          <w:color w:val="auto"/>
        </w:rPr>
        <w:t>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revenue and operating results may vary significantly from period to period.</w:t>
      </w:r>
      <w:r>
        <w:rPr>
          <w:rFonts w:ascii="Times New Roman" w:cs="Times New Roman" w:eastAsia="Times New Roman" w:hAnsi="Times New Roman"/>
          <w:sz w:val="18"/>
          <w:szCs w:val="18"/>
          <w:color w:val="auto"/>
        </w:rPr>
        <w:t>" See Item 7, MD&amp;A — "Recent Developments" for a discussion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impact on our operating results of customer and service mix during 2024. In addition, certain customer agreements require us to provide specific price reductions over the contract term, which negatively impact our financial condition and operating results if they are not offset.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i w:val="1"/>
          <w:iCs w:val="1"/>
          <w:color w:val="auto"/>
        </w:rPr>
        <w:t>Challenges associated with new customers or programs, or the provision of new services, could adversely affect our operations and financial results.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determining whether to pursue a potential new customer, program or service, we evaluate whether it fits with our value proposition as well as its potential end-market success. Where we proceed, our goal is to ensure that our terms of engagement appropriately reflect anticipated costs, risks and rewards. The failure to make prudent engagement decisions or to establish appropriate contractual terms could adversely affect our profitability and margins.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There are also risks associated with the timing and ultimate realization of anticipated revenue from a new program or service. Certain new programs or services require us to devote significant capital and personnel to new technologies and competencies. We may not meet customer expectations, which could damage our relationships with such customers and impact our ability to timely deliver conforming products or services. The success of new programs may also depend heavily on factors including product reliability, supply chain dynamics, market acceptance, regulatory approvals and/or economic conditions. Any failure to meet expectations on these factors could adversely affect our results of operations.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addition of new customers has also introduced different demand cycles. For example, cloud-based service providers have increased their use of products in our CCS segment in recent years. These customers and markets are cyclically different from our traditional OEM customers, creating changes to our historical revenue patterns and increasing the complexity of the management of our working capital requirements.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Customer relationships with emerging companies may present more risks than with established companies.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Customer relationships with emerging companies present special risks because we do not have an extensive product or customer relationship history. There is less demonstration of market acceptance of their products making it harder for us to anticipate requirements than with established customers. Our credit risk on these customers, especially in A/R and inventories, and the risk that these customers will be unable to fulfill indemnification obligations to us, are potentially increased.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recruit or retain highly skilled talent, our business could be adversely affected.</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recruitment of personnel in the EMS and ODM industries is highly competitive. We believe that our future success depends, in part, on our ability to attract and retain highly skilled executive, technical and management talent in the various geographies in which we operate. Competitive dynamics, as well as the time required to replace or redistribute responsibilities related to the loss of the services of certain executive, management and technical employees, individually or in the aggregate, could have a material adverse effect on our operations, and there can be no assurance that we will be able to retain their services. Regional competitive dynamics may also impact our ability to retain and acquire talent. Organizational changes may impact our relationships with customers, vendors, and employees, potentially resulting in loss of business, loss of vendor relationships, and the loss of key employees or declines in employee productivity. Uncertainties associated with any senior management transitions could lead to concerns from current and potential third parties with whom we do business, any of which could hurt our business prospects. Turnover in key leadership positions within the Company, or any failure to successfully integrate key new hires or promoted employees, may adversely impact our ability to manage the Company efficiently and effectively, could be disruptive and distracting to management and may lead to additional departures of existing personnel, any of which could have a material adverse effect on our business, operating results, financial results and/or internal control over financial reporting.</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revenue and operating results may vary significantly from period to period.</w:t>
      </w:r>
    </w:p>
    <w:p>
      <w:pPr>
        <w:spacing w:after="0" w:line="229"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18"/>
          <w:szCs w:val="18"/>
          <w:color w:val="auto"/>
        </w:rPr>
        <w:t>Our quarterly and annual results may vary significantly depending on various factors, certain of which are described below, and many of which are beyond our control:</w:t>
      </w:r>
    </w:p>
    <w:p>
      <w:pPr>
        <w:spacing w:after="0" w:line="2" w:lineRule="exact"/>
        <w:rPr>
          <w:sz w:val="20"/>
          <w:szCs w:val="20"/>
          <w:color w:val="auto"/>
        </w:rPr>
      </w:pPr>
    </w:p>
    <w:p>
      <w:pPr>
        <w:ind w:left="1300" w:hanging="644"/>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volume and timing of customer demand relative to our capacity;</w:t>
      </w:r>
    </w:p>
    <w:p>
      <w:pPr>
        <w:spacing w:after="0" w:line="36"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typical short lifecycle, and success in the marketplace, of our customers' products;</w:t>
      </w:r>
    </w:p>
    <w:p>
      <w:pPr>
        <w:spacing w:after="0" w:line="4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cyclical nature of customer demand in several of our businesses;</w:t>
      </w:r>
    </w:p>
    <w:p>
      <w:pPr>
        <w:spacing w:after="0" w:line="4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customers' financial condition;</w:t>
      </w:r>
    </w:p>
    <w:p>
      <w:pPr>
        <w:spacing w:after="0" w:line="36"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our mix of customers, programs and/or end market demand;</w:t>
      </w:r>
    </w:p>
    <w:p>
      <w:pPr>
        <w:spacing w:after="0" w:line="4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well we execute on our operational strategies, and the impact of changes to our business model;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24" w:name="page25"/>
    <w:bookmarkEnd w:id="24"/>
    <w:p>
      <w:pPr>
        <w:ind w:left="1300" w:hanging="644"/>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varying revenues and gross margins among geographies and programs for the products or services we provide;</w:t>
      </w:r>
    </w:p>
    <w:p>
      <w:pPr>
        <w:spacing w:after="0" w:line="36"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pressures, the competitive environment and contract terms and conditions;</w:t>
      </w:r>
    </w:p>
    <w:p>
      <w:pPr>
        <w:spacing w:after="0" w:line="4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upfront investments and challenges associated with the ramping of programs for new or existing customers;</w:t>
      </w:r>
    </w:p>
    <w:p>
      <w:pPr>
        <w:spacing w:after="0" w:line="4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or charges resulting from unexpected changes in market conditions impacting our industry or the end markets we serve;</w:t>
      </w:r>
    </w:p>
    <w:p>
      <w:pPr>
        <w:spacing w:after="0" w:line="36"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disengagements or terminations or non-renewal of customer programs, arrangements or agreements;</w:t>
      </w:r>
    </w:p>
    <w:p>
      <w:pPr>
        <w:spacing w:after="0" w:line="4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expenditures in anticipation of future orders;</w:t>
      </w:r>
    </w:p>
    <w:p>
      <w:pPr>
        <w:spacing w:after="0" w:line="4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effectiveness in planning production and managing inventory, fixed assets and manufacturing processes;</w:t>
      </w:r>
    </w:p>
    <w:p>
      <w:pPr>
        <w:spacing w:after="0" w:line="36"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operational inefficiencies and disruptions in production at individual sites;</w:t>
      </w:r>
    </w:p>
    <w:p>
      <w:pPr>
        <w:spacing w:after="0" w:line="4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disruptions to our cash flows;</w:t>
      </w:r>
    </w:p>
    <w:p>
      <w:pPr>
        <w:spacing w:after="0" w:line="4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cost and availability of commodities, materials, components, services and labor;</w:t>
      </w:r>
    </w:p>
    <w:p>
      <w:pPr>
        <w:spacing w:after="0" w:line="36"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or future litigation;</w:t>
      </w:r>
    </w:p>
    <w:p>
      <w:pPr>
        <w:spacing w:after="0" w:line="4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actions or changes in legislation;</w:t>
      </w:r>
    </w:p>
    <w:p>
      <w:pPr>
        <w:spacing w:after="0" w:line="4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fluctuations; and</w:t>
      </w:r>
    </w:p>
    <w:p>
      <w:pPr>
        <w:spacing w:after="0" w:line="36"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global economic and political conditions and world events, including the impact of External Events.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See Item 7, MD&amp;A — "Overview" for a discussion of additional factors, including rapid shifts in technology, model obsolescence, commoditization of certain products, and the emergence of new business models, that contribute to the complexity of managing our operations and fluctuations in our financial results.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encounter difficulties expanding or consolidating our operations or introducing new competencies or new offerings, which could adversely affect our operating results.</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we expand our business, open new sites, enter into new markets, products and technologies, invest in research, design and development, acquire new businesses or capabilities, transfer business within our network, consolidate certain operations, and/or introduce new business models or programs, we may encounter difficulties that result in higher than expected costs associated with such activities. Potential difficulties related to such activities include our ability: to manage growth effectively; to maintain existing business relationships during periods of transition; to anticipate disruptions in our operations that may impact our ability to deliver to customers on time, produce quality products and ensure overall customer satisfaction; and to respond rapidly to changes in customer demand or volumes</w:t>
      </w:r>
      <w:r>
        <w:rPr>
          <w:rFonts w:ascii="Times New Roman" w:cs="Times New Roman" w:eastAsia="Times New Roman" w:hAnsi="Times New Roman"/>
          <w:sz w:val="18"/>
          <w:szCs w:val="18"/>
          <w:i w:val="1"/>
          <w:iCs w:val="1"/>
          <w:color w:val="auto"/>
        </w:rPr>
        <w:t>.</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may also encounter difficulties in ramping and executing new programs. Ramping new programs can range from several months to over a year before production starts, and often requires significant up-front investments and increased working capital. These programs may generate lower margins or losses during and/or following the ramp period, or may not achieve the expected financial performance, due to production ramp inefficiencies, lower than expected volume, or delays in ramping to volume. In addition, our customers may significantly change these programs, or even cancel them altogether, due to decreases in their end-market demand or in the actual or anticipated success of their products in the marketplace. We may incur additional ramping costs as we further expand our business and ramp new programs. There can be no assurance that our increased investments will benefit us or result in business growth. As we pursue opportunities in new markets or technologies, we may encounter challenges due to our limited knowledge or experience in these areas. In addition, the success of new business models or programs depends on a number of factors including: understanding the new business or markets; timely and successful product development; market acceptance; the effective management of purchase commitments and inventory levels in line with anticipated demand; the development or acquisition of appropriate IP and capital investments, to the extent required; the availability of materials in adequate quantities and at appropriate costs to meet anticipated demand; and the risk that new offerings may have quality or other defects in the early stages of introduction. Any of these factors could prevent us from realizing the anticipated benefits of growth in new markets or technologies, which could materially adversely affect our business and operating results.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part of our strategy to enhance our end-to-end service offerings, we continue to expand our design, engineering and manufacturing capabilities. Providing these services has exposed and may continue to expose us to different or greater potential risks than those we currently face. Our design services require significant investments in R&amp;D, technology licensing, testing and tooling equipment, patent applications and talent recruitment. Our margins may be adversely impacted if we incur higher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sectPr>
      </w:pPr>
    </w:p>
    <w:bookmarkStart w:id="25" w:name="page26"/>
    <w:bookmarkEnd w:id="25"/>
    <w:p>
      <w:pPr>
        <w:jc w:val="both"/>
        <w:spacing w:after="0" w:line="255" w:lineRule="auto"/>
        <w:rPr>
          <w:sz w:val="20"/>
          <w:szCs w:val="20"/>
          <w:color w:val="auto"/>
        </w:rPr>
      </w:pPr>
      <w:r>
        <w:rPr>
          <w:rFonts w:ascii="Times New Roman" w:cs="Times New Roman" w:eastAsia="Times New Roman" w:hAnsi="Times New Roman"/>
          <w:sz w:val="18"/>
          <w:szCs w:val="18"/>
          <w:color w:val="auto"/>
        </w:rPr>
        <w:t>than expected investment costs, or if our customers are not satisfied with our progress, or do not approve our completed designs. In addition, our design activities often require the purchase of inventory for initial production runs before we have a firm purchase commitment from a customer. Furthermore, we face increased competition with respect to these offerings, as well as the recruitment of our HPS talent, from companies providing similar services. As we continue to grow our HPS business globally to increase capacities and capabilities for network resilience, costs required to support our design and engineering capabilities are expected to increase and may adversely impact our profitability. In addition, some of the products we design and develop must satisfy safety and regulatory standards and/or receive government certifications. If we fail to obtain these approvals or certifications on a timely basis, we would be unable to sell these products, which would harm our revenues, profitability and reputation.</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There can be no assurance that our expansion into new markets or new business will be successful, or that we will achieve the anticipated benefits. In addition, there is no assurance that we will find suitable new acquisition targets, that we will be able to consummate any such transactions on terms and conditions acceptable to us, or that we will be able to fund any such acquisitions with existing cash resources or through financing provided by external lenders. We may be unable to obtain additional capital required on terms acceptable to us or at all. If we are unable to consummate an acquisition we have deemed desirable, we may not be able to implement our intended business plan, which could adversely affect our business, results of operations and financial condition. In addition, we have incurred and may continue to incur costs to support our pursuit of acquisitions and/or other strategic opportunities, which may adversely impact our operating results, and may not result in the consummation of any such transactions. See "</w:t>
      </w:r>
      <w:r>
        <w:rPr>
          <w:rFonts w:ascii="Times New Roman" w:cs="Times New Roman" w:eastAsia="Times New Roman" w:hAnsi="Times New Roman"/>
          <w:sz w:val="18"/>
          <w:szCs w:val="18"/>
          <w:b w:val="1"/>
          <w:bCs w:val="1"/>
          <w:i w:val="1"/>
          <w:iCs w:val="1"/>
          <w:color w:val="auto"/>
        </w:rPr>
        <w:t>We have incurred substantial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third-party debt to fund acquisitions, which has increased our debt service requirements, may reduce our ability to fund future acquisitions and/or to respond to unexpected capital requirements, and may have other adverse impacts on our business.</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encounter integration and other significant challenges with respect to our acquisitions and strategic transactions which could adversely affect our operating results.</w:t>
      </w:r>
    </w:p>
    <w:p>
      <w:pPr>
        <w:spacing w:after="0" w:line="15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have expanded (and may continue to expand) our network, capabilities and presence in new regions and end markets through acquisitions and/or strategic transactions, including multi-year "operate-in-place" arrangements, where we manage certain production, assembly or other services for customers directly from their locations, acquire their inventory, equipment and/or other assets, hire their employees, and lease or acquire their manufacturing sites. Potential challenges related to these acquisitions and transactions include: integrating acquired operations, systems and businesses (which may include transferring production from acquired operations to our existing network, or downsizing or closing acquired locations, in each case to obtain anticipated operational synergies); meeting customers' expectations as to volume, product quality and timeliness; supporting legacy contractual obligations; retaining customer, supplier, employee or other business relationships of acquired operations; addressing unforeseen liabilities of acquired businesses; limited experience with new technologies and markets; failure to realize anticipated benefits, such as cost savings and revenue enhancements; failure to achieve anticipated business volumes or operating margins; valuation methodologies not accurately capturing the value of the acquired business; the effects of diverting management's attention from day-to-day operations to matters involving the integration of acquired businesses; incurring potentially substantial transaction costs associated with these transactions; increased burdens on our staff and on our administrative, internal control and operating systems, which may hinder our legal and regulatory compliance activities; overpayment for an acquisition; and potential impairments resulting from post-acquisition deterioration in, or reduced benefit from, an acquired business. While we often obtain indemnification rights from the sellers of acquired businesses, such rights may be difficult to enforce, the losses may exceed any dedicated escrow funds, and the indemnitors may not have the ability to financially support the indemnity. Any of these factors may prevent us from realizing the anticipated benefits of an acquisition, including additional revenue, operational synergies, and/or economies of scale. Any delay or failure to realize the anticipated benefits of acquisitions may adversely affect our business and operating results and may require us to write-down the carrying value of any related goodwill and intangible assets in periods subsequent to the acquisitions. Acquisitions may also involve businesses we are not familiar with, and expose us to additional business risks that are different than those we have traditionally experienced or anticipated at the time of acquisition.</w:t>
      </w:r>
    </w:p>
    <w:p>
      <w:pPr>
        <w:spacing w:after="0" w:line="18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Quality and execution issues may reduce demand for our services, damage our reputation, and/or have a material adverse effect on our business and operating results.</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any given quarter, we can experience quality and process variances related to materials, testing, or other manufacturing or supply chain activities. Although we are successful in resolving the majority of such issues, the existence of these variances could cause us to incur significant costs in relation to corrective actions, have a material adverse impact 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26" w:name="page27"/>
    <w:bookmarkEnd w:id="26"/>
    <w:p>
      <w:pPr>
        <w:jc w:val="both"/>
        <w:spacing w:after="0" w:line="282" w:lineRule="auto"/>
        <w:rPr>
          <w:sz w:val="20"/>
          <w:szCs w:val="20"/>
          <w:color w:val="auto"/>
        </w:rPr>
      </w:pPr>
      <w:r>
        <w:rPr>
          <w:rFonts w:ascii="Times New Roman" w:cs="Times New Roman" w:eastAsia="Times New Roman" w:hAnsi="Times New Roman"/>
          <w:sz w:val="18"/>
          <w:szCs w:val="18"/>
          <w:color w:val="auto"/>
        </w:rPr>
        <w:t>demand for our services in future periods from any affected customers, damage our reputation, and/or have a material adverse effect on our business and operating results.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operations have been and could continue to be adversely affected by events outside our control.</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Our operations and those of our customers, component suppliers and/or our logistics partners may be disrupted by global or local events outside our control, including: fires and related disruptions; political instability; increased political tension between countries (including increased tensions between U.S. and other countries and between mainland China and Taiwan); geopolitical dynamics; terrorism; armed conflict (including the Russia/Ukraine conflict and the Middle East Conflicts); labor or social unrest; criminal activity; disease or illness or other widespread health concerns, pandemics, epidemics or outbreaks of illness that affects local, regional, national or international economies; natural disasters and unusually adverse weather conditions (including those caused by climate change), such as hurricanes, tornados, other extreme storms, wildfires, droughts and floods; cybersecurity incidents (see "</w:t>
      </w:r>
      <w:r>
        <w:rPr>
          <w:rFonts w:ascii="Times New Roman" w:cs="Times New Roman" w:eastAsia="Times New Roman" w:hAnsi="Times New Roman"/>
          <w:sz w:val="18"/>
          <w:szCs w:val="18"/>
          <w:b w:val="1"/>
          <w:bCs w:val="1"/>
          <w:i w:val="1"/>
          <w:iCs w:val="1"/>
          <w:color w:val="auto"/>
        </w:rPr>
        <w:t>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operations and our customer relationships may be adversely and materially affected by disruptions to our IT systems, including disruptions from cybersecurity breaches of our IT infrastructure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other risks present in the jurisdictions in which we, our customers, our suppliers and/or our logistics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partners operate. These types of events could disrupt operations at one or more of our sites or those of our customers, component suppliers and/or our logistics partners, with the impact of the event potentially magnified in areas where we or they have multiple facilities in close proximity. These events could also lead to higher costs or supply shortages, and may disrupt the delivery of components to us or our ability to provide finished products or services to our customers, any of which could (and in the case of materials constraints, did in the past and may in the future) adversely affect our operating results materially. We carry insurance to cover damage to our sites and interruptions to our operations, including those that may occur as a result of natural disasters, such as flooding, earthquakes or other events. Our insurance policies, however, are subject to deductibles, coverage limitations and exclusions, and may not provide adequate (or any) coverage should such events occur. Such events could also impact our insurance premiums. In addition, some of our facilities possess certifications or unique equipment necessary to work on specialized products that our other locations lack. If work is disrupted at one of these facilities as a result of the foregoing events or otherwise, it may be impractical or we may be unable to transfer such specialized work to another facility without significant costs and delays. Thus, any disruption in operations at a facility possessing specialized certifications or equipment could adversely affect our ability to provide products and services to our customers, and potentially have a negative affect our relationships and financial results.</w:t>
      </w:r>
    </w:p>
    <w:p>
      <w:pPr>
        <w:spacing w:after="0" w:line="191"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18"/>
          <w:szCs w:val="18"/>
          <w:color w:val="auto"/>
        </w:rPr>
        <w:t>Increased international political volatility, including changes to previously accepted trade or other government policies or legislation in the U.S. and Europe, instability in parts of Europe and the Middle East, as well as the ongoing refugee crisis, anti-immigrant activities, social unrest and fears of terrorism, enhanced national security measures, armed conflicts (including the Russia/Ukraine conflict and the Middle East Conflicts), security issues at the U.S./Mexico border related to illegal immigration or criminal activities associated with illegal drug activities, labor or social unrest, strained international relations, including tensions between the U.S. and other countries, and any related decline in consumer confidence arising from these and other factors may materially hinder our ability to conduct business, or may reduce demand for our products or services. Any escalation in these events or similar future events may disrupt our operations or those of our customers and suppliers and could adversely affect the availability of materials needed to manufacture our products or further disrupt the means to transport those materials to manufacturing sites and finished products to customers. Changes in policies by the U.S. or other governments could negatively affect our operating results due to changes in duties, tariffs or taxes, or limitations on currency or fund transfers, as well as government-imposed restrictions on producing certain products in, or shipping them to, specific countries.</w:t>
      </w:r>
    </w:p>
    <w:p>
      <w:pPr>
        <w:spacing w:after="0" w:line="18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The foregoing events have had and may in the future have an adverse impact on the U.S. and global economy in general, and on consumer confidence and spending, which may adversely affect our revenue and financial results. Such events could increase the volatility of the market price of our</w:t>
      </w:r>
    </w:p>
    <w:p>
      <w:pPr>
        <w:spacing w:after="0" w:line="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securities and may limit the capital resources available to us and/or our customers and suppliers. Also see "</w:t>
      </w:r>
      <w:r>
        <w:rPr>
          <w:rFonts w:ascii="Times New Roman" w:cs="Times New Roman" w:eastAsia="Times New Roman" w:hAnsi="Times New Roman"/>
          <w:sz w:val="18"/>
          <w:szCs w:val="18"/>
          <w:b w:val="1"/>
          <w:bCs w:val="1"/>
          <w:i w:val="1"/>
          <w:iCs w:val="1"/>
          <w:color w:val="auto"/>
        </w:rPr>
        <w:t>We continue to operate in an uncertain global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economic and political environment,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U.S. policies or legislation could have a material adverse effect on our business, results of operations and financial condition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Our ability to successfully manage unexpected changes or risks inherent in our global operations and supply chain may adversely impact our financial performance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Geopolitical uncertainty, including as a result of the military conflict between Russia and Ukraine and/or the Middle East Conflicts, may adversely affect our business, financial condition and results of operations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and Item 7, MD&amp;A — "External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Factors that May Impact our Business."</w:t>
      </w:r>
    </w:p>
    <w:p>
      <w:pPr>
        <w:spacing w:after="0" w:line="18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rely on a variety of contracted or common carriers to transport raw materials and components from our suppliers to us, and to transport our products to our customers. The use of contracted or common carriers is subject to a number of risks, including increased costs due to rising energy prices and labor, vehicle and insurance costs; hijacking and theft resulting in lost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27" w:name="page28"/>
    <w:bookmarkEnd w:id="27"/>
    <w:p>
      <w:pPr>
        <w:jc w:val="both"/>
        <w:spacing w:after="0" w:line="256" w:lineRule="auto"/>
        <w:rPr>
          <w:sz w:val="20"/>
          <w:szCs w:val="20"/>
          <w:color w:val="auto"/>
        </w:rPr>
      </w:pPr>
      <w:r>
        <w:rPr>
          <w:rFonts w:ascii="Times New Roman" w:cs="Times New Roman" w:eastAsia="Times New Roman" w:hAnsi="Times New Roman"/>
          <w:sz w:val="18"/>
          <w:szCs w:val="18"/>
          <w:color w:val="auto"/>
        </w:rPr>
        <w:t>shipments; delivery delays resulting from port congestion and labor shortages and/or strikes; and other factors beyond our control. Although we attempt to mitigate our liability for any losses resulting from these risks through the use of multiple carriers and modes of transport, as well as insurance, any costs or losses relating to shipping or shipping delays that cannot be mitigated, avoided or passed on to our customers could reduce our profitability, require us to manufacture replacement products or damage our relationships with our customers. Although we have incurred some increased shipping expenses and delays as a result of the Middle East Conflicts, such increases and delays have not been significant to date. However, we cannot assure that this will continue to be the case.</w:t>
      </w:r>
    </w:p>
    <w:p>
      <w:pPr>
        <w:spacing w:after="0" w:line="18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operations and our customer relationships may be adversely and materially affected by disruptions to our IT systems, including disruptions from cybersecurity breaches of our IT infrastructure.</w:t>
      </w:r>
    </w:p>
    <w:p>
      <w:pPr>
        <w:spacing w:after="0" w:line="17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a complex, global company, we are heavily dependent on our IT systems to support our customers' requirements and to successfully manage our business. Any inability to successfully manage the procurement, development, implementation, execution or maintenance of such systems, including matters related to system and data security, cybersecurity, privacy, reliability, compliance, performance and access, as well as any inability of these systems to fulfill their intended purpose, could have an adverse and material effect on our business.</w:t>
      </w:r>
    </w:p>
    <w:p>
      <w:pPr>
        <w:spacing w:after="0" w:line="18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are increasingly reliant on IT networks and systems, including our own, those of third-party service providers and those of our customers (through "operate-in-place" arrangements), to process, transmit and store electronic information. In particular, we depend on our IT infrastructure for a variety of functions, including (among others), product manufacturing, worldwide financial reporting, inventory and other data management, procurement, invoicing, employee payroll and benefits administration, and email communications. All of these systems are susceptible to outages due to fire, floods, power loss, telecommunications failures, terrorist attacks, sabotage and similar events. These systems are also susceptible to cybersecurity threats and incidents, ranging from uncoordinated individual attempts to gain unauthorized access to our IT systems to sophisticated and targeted measures known as 'advanced persistent threats', and may include industrial espionage attacks, data theft, malware, phishing, ransomware attacks (which are becoming increasingly prevalent), or other cybersecurity threats or incidents. Similarly, third parties and infrastructure in our supply chain may become compromised or contain exploitable defects (of which we may be unaware) that could result in a breach or disruption of our systems and networks or the systems or networks of third parties that support us. Our ability to monitor these third parties’ information security practices is limited, and these third parties may not have adequate information security measures in place. While we may be entitled to damages if our third-party service providers fail to satisfy their privacy or security-related obligations to us, any award may be insufficient to cover our damages, or we may be unable to recover such award. Moreover, supply chain attacks have increased in frequency and severity, and we cannot guarantee that third parties in our supply chain have not been compromised or that their systems or networks are free from exploitable defects or bugs that could result in a breach of or disruption to our platform, systems, and networks or the systems and networks of third parties that support us and our services. We are also reliant on third-party and open source software that may contain bugs, vulnerabilities, or errors that could be exploited or disclosed before a patch or fix is available. We believe attempts to gain unauthorized access through the Internet or to introduce malicious software to our information systems are increasing in number and in technical sophistication.</w:t>
      </w:r>
    </w:p>
    <w:p>
      <w:pPr>
        <w:spacing w:after="0" w:line="19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If our security measures are compromised, or the security, confidentiality, integrity or availability of, our IT, software, services, communications or data is compromised, limited or fails, it could result in: damage to our system infrastructure; significant business interruption, delays or outages, either internally or at our third-party providers; significant data loss or leakage (including exposure to unauthorized persons or the public of sensitive data, including our IP, trade secrets or personal information of our employees, customers or other business partners); significant extra expense to restore data or systems; reputational loss; significant fines, penalties and liability; breach or triggering of data protection laws, privacy policies and/or data protection obligations (discussed below); loss of customers or sales, and in the case of our defense business, debarment from future participation in U.S. government programs. In addition, we have in the past and may in the future be required to expend significant resources, change our business practices or modify our operations in an effort to protect against security breaches and to mitigate, detect, and remediate actual and potential vulnerabilities that could adversely affect our business and operations and/or result in the loss of critical or sensitive information. If we are perceived to be unable to prevent or promptly identify and remedy such outages and breaches, this could result in reputational loss and/or loss of customers or sales.</w:t>
      </w:r>
    </w:p>
    <w:p>
      <w:pPr>
        <w:spacing w:after="0" w:line="19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While we have invested, and continue to invest, in the protection of our data and IT infrastructure, we regularly face attempts by others to access our information systems in an unauthorized manner, to introduce malicious software to such systems or both, and while we have not been materially impacted by computer viruses, malware, ransomware, hacking incidents, outages, or unauthorized access to data, we have been (and may in the future be) the target of such events.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28" w:name="page29"/>
    <w:bookmarkEnd w:id="28"/>
    <w:p>
      <w:pPr>
        <w:jc w:val="both"/>
        <w:spacing w:after="0" w:line="261" w:lineRule="auto"/>
        <w:rPr>
          <w:sz w:val="20"/>
          <w:szCs w:val="20"/>
          <w:color w:val="auto"/>
        </w:rPr>
      </w:pPr>
      <w:r>
        <w:rPr>
          <w:rFonts w:ascii="Times New Roman" w:cs="Times New Roman" w:eastAsia="Times New Roman" w:hAnsi="Times New Roman"/>
          <w:sz w:val="18"/>
          <w:szCs w:val="18"/>
          <w:color w:val="auto"/>
        </w:rPr>
        <w:t>addition, there can be no assurance that our efforts will prevent further service interruptions or identify breaches in our systems that could adversely affect our business and operations and/or result in the loss of critical or sensitive information, which could result in financial, legal, business or reputational harm to us (as described above). Although this has not been an issue to date, our liability insurance may not be sufficient in type or amount to cover us against claims related to security breaches, cybersecurity attacks and other related breaches.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expect that risks and exposures related to cybersecurity attacks will remain high for the foreseeable future due to the rapidly evolving nature and sophistication of these threats, and the enhanced risk resulting from the increased number of employees that work remotely, through the increased use of home networks that may lack encryption or secure password protection, virtual meeting/conference security concerns and increase of phishing/cyber-attacks around digital resources.</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are also subject to increasing expectations and data security requirements from our customers, including those related to the U.S. Federal Acquisition Regulation, U.S. Defense Federal Acquisition Regulation Supplement, and U.S. Cybersecurity Maturity Model Certification. In addition, we must comply with increasingly complex and rigorous regulatory standards enacted to protect business and personal data in various jurisdictions. For example, the European Union's General Data Protection Regulation, and similar legislation in other jurisdictions in which we operate, impose additional obligations on companies regarding the handling of personal data and provide certain individual privacy rights to persons whose data is stored. Compliance with customer expectations and existing, proposed and recently enacted laws and regulations can be costly; any failure to comply with these expectations and regulatory standards could subject us to legal and reputational risks. Misuse of or failure to secure personal information could also result in violation of data privacy laws and regulations, proceedings against the Company by governmental entities or others, fines and penalties, damage to our reputation and credibility and could have a negative impact on our business and results of operations.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dependent on us winning competitive bid selection processes.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These selection processes are typically lengthy and can require us to dedicate significant development expenditures and engineering resources in pursuit of a single customer opportunity. Failure to obtain a particular design win may prevent us from obtaining design wins in subsequent generations of a particular product. This can result in lost revenue and could weaken our position in future competitive bid selection processes.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to our operating model may adversely affect our business.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continuously work to improve our productivity, quality, delivery performance and flexibility through various operational initiatives. Implementation of these initiatives, however, presents a number of risks, including: (i) failure to achieve anticipated margin improvements from such actions; (ii) actual or perceived disruption of service or reduction in service levels to customers; (iii) potential adverse effects on our internal control environment with respect to general and administrative functions during transitions resulting from such initiatives; (iv) actual or perceived disruption to suppliers, distribution networks and other important operational relationships and the inability to resolve potential conflicts in a timely manner;</w:t>
      </w:r>
    </w:p>
    <w:p>
      <w:pPr>
        <w:spacing w:after="0" w:line="3" w:lineRule="exact"/>
        <w:rPr>
          <w:sz w:val="20"/>
          <w:szCs w:val="20"/>
          <w:color w:val="auto"/>
        </w:rPr>
      </w:pPr>
    </w:p>
    <w:p>
      <w:pPr>
        <w:jc w:val="both"/>
        <w:ind w:firstLine="8"/>
        <w:spacing w:after="0" w:line="252" w:lineRule="auto"/>
        <w:tabs>
          <w:tab w:leader="none" w:pos="261"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 attention from ongoing business activities and strategic objectives; and (vi) failure to retain key employees. Because of these and other factors, we cannot predict whether we will fully realize the purpose and anticipated benefits or cost savings of these initiatives and, if we do not, our business and results of operations may be adversely affected. Furthermore, adverse changes to our business may require additional restructuring or reorganization activities in the future. See "</w:t>
      </w:r>
      <w:r>
        <w:rPr>
          <w:rFonts w:ascii="Times New Roman" w:cs="Times New Roman" w:eastAsia="Times New Roman" w:hAnsi="Times New Roman"/>
          <w:sz w:val="18"/>
          <w:szCs w:val="18"/>
          <w:b w:val="1"/>
          <w:bCs w:val="1"/>
          <w:i w:val="1"/>
          <w:iCs w:val="1"/>
          <w:color w:val="auto"/>
        </w:rPr>
        <w:t>We have incurred significant restructuring charges in the past, and expect to incur further restructuring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charges in the future; we may not achieve some or all of the expected benefits from our restructuring activities, these activities may adversely affect our business, and additional restructuring actions may be required once currently-contemplated actions are complete.</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Issues in the development and use of AI may result in reputational harm or liability</w:t>
      </w:r>
      <w:r>
        <w:rPr>
          <w:rFonts w:ascii="Times New Roman" w:cs="Times New Roman" w:eastAsia="Times New Roman" w:hAnsi="Times New Roman"/>
          <w:sz w:val="18"/>
          <w:szCs w:val="18"/>
          <w:color w:val="auto"/>
        </w:rPr>
        <w:t>.</w:t>
      </w:r>
    </w:p>
    <w:p>
      <w:pPr>
        <w:spacing w:after="0" w:line="21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incorporate AI capabilities into certain of our development processes, and this technology is an element of our business operations. AI is also an element of the business operations and product and service offerings for certain of our customers. As with many developing technologies, AI presents risks and challenges, and may result in unintended consequences that could affect its further development, adoption and use and, therefore, our business. Deficiencies or other failures of AI systems could subject us to competitive harm, regulatory action, penalties, legal liability or brand or reputational harm. AI is an emerging technology for which the legal and regulatory landscape is not fully developed, including potential liability for breaching IP or privacy regulations. While laws and regulations applicable to AI are emerging and evolving, what these legal frameworks will look like remains uncertain and they may be inconsistent from jurisdiction to jurisdiction. We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29" w:name="page30"/>
    <w:bookmarkEnd w:id="29"/>
    <w:p>
      <w:pPr>
        <w:jc w:val="both"/>
        <w:spacing w:after="0" w:line="282" w:lineRule="auto"/>
        <w:rPr>
          <w:sz w:val="20"/>
          <w:szCs w:val="20"/>
          <w:color w:val="auto"/>
        </w:rPr>
      </w:pPr>
      <w:r>
        <w:rPr>
          <w:rFonts w:ascii="Times New Roman" w:cs="Times New Roman" w:eastAsia="Times New Roman" w:hAnsi="Times New Roman"/>
          <w:sz w:val="18"/>
          <w:szCs w:val="18"/>
          <w:color w:val="auto"/>
        </w:rPr>
        <w:t>not always be able to anticipate how to respond to these legal frameworks, and our obligation to comply with them could entail significant costs, negatively affect our business or materially limit our ability to incorporate certain AI capabilities into our development processes and solutions.</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Additionally, leveraging AI capabilities to potentially improve internal functions and operations presents further risks, costs and challenges. We aim to use AI ethically and attempt to identify and mitigate ethical or legal issues presented by its use. However, we may be unsuccessful in identifying or resolving ethical or legal issues presented by the use of AI. The use of AI to support business operations may carry inherent risks related to data privacy and security, such as intended or unintended transmission of personal or other data or proprietary or sensitive information, as well as challenges related to implementing and maintaining AI tools. Growing use of AI by third parties may also increase these risks. Further, reliance on AI could introduce operational vulnerabilities and impact our relationships with customers, partners, and suppliers.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could be impacted as a result of actions by activist shareholders or others.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may be subject, from time to time, to legal and business challenges in the operation of our company due to actions instituted by activist shareholders or others. Responding to such actions could be costly and time-consuming, may not align with our business strategies and could divert the attention of our Board and senior management from the pursuit of our business strategies. Perceived uncertainties as to our future direction as a result of shareholder activism may lead to the perception of a change in the direction of the business or other instability and may make it more difficult to attract and retain qualified personnel and business partners and may affect our relationships with vendors, customers and other third parties.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Climate change could adversely affect our business, results of operations and financial condition.</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There is increasing concern that a gradual increase in global average temperatures due to increased concentration of carbon dioxide and other GHGs in the atmosphere has, and will continue to, cause significant changes in weather patterns around the globe and an increase in the frequency and severity of natural disasters. Changes in weather patterns and an increased frequency, intensity and duration of extreme weather conditions could, among other things, impair our production capabilities, disrupt the operation of our supply chain, and impact our customers and their demand for our services. There are inherent climate-related risks regardless of where we conduct our business. Climate change-related weather events could negatively impact any of our locations or the locations of our customers, and may cause us to experience work stoppages, project delays, financial losses and/or additional costs to resume operations, including increased insurance costs or loss of coverage, legal liability and reputational losses. Further, the risks caused by climate change span across the industry sectors we serve, including A&amp;D, Industrial, HealthTech, Capital Equipment, Communications and Enterprise. The direct physical risks that climate change poses to infrastructure through chronic environmental changes, such as rising sea levels and temperatures, and acute events, such as hurricanes, droughts and wildfires, is common to each of these sectors. Infrastructure owners could face increased costs to maintain their assets, which could result in reduced profitability and fewer resources for strategic investment. These types of physical risks could in turn lead to transitional risks, including market and technology shifts, including decreased demand for our services and solutions, reputational risks, such as how our sustainability practices are viewed by external and internal stakeholders, and policy and legal risks, including the extent to which climate change-related initiatives are driven by the governments in which we operate around the globe. As a result, the effects of climate change could have a long-term material adverse impact on our business, results of operations and financial condition. See "</w:t>
      </w:r>
      <w:r>
        <w:rPr>
          <w:rFonts w:ascii="Times New Roman" w:cs="Times New Roman" w:eastAsia="Times New Roman" w:hAnsi="Times New Roman"/>
          <w:sz w:val="18"/>
          <w:szCs w:val="18"/>
          <w:b w:val="1"/>
          <w:bCs w:val="1"/>
          <w:i w:val="1"/>
          <w:iCs w:val="1"/>
          <w:color w:val="auto"/>
        </w:rPr>
        <w:t>Our operations have been and could continue to be adversely affected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by events outside our control,</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and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Our business and operations could be adversely impacted by ESG initiatives.</w:t>
      </w:r>
      <w:r>
        <w:rPr>
          <w:rFonts w:ascii="Times New Roman" w:cs="Times New Roman" w:eastAsia="Times New Roman" w:hAnsi="Times New Roman"/>
          <w:sz w:val="18"/>
          <w:szCs w:val="18"/>
          <w:color w:val="auto"/>
        </w:rPr>
        <w: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Risks Related to Our Industry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semiconductor industry is cyclical and volatile in nature.</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semiconductor industry is highly cyclical and from time to time experiences significant economic downturns, often in connection with, or in anticipation of, maturing product cycles or a decline in general economic conditions. These downturns are characterized by diminished product demand, lower volumes and rapid erosion of average selling prices, resulting in revenue erosion, production overcapacity, and excess inventories. The timing, length and volatility of these cycles are difficult to predict. The quick onset of demand changes, as well as the high level of fixed costs associated with this business, exacerbate the adverse impact of these downturns on our operating results. Actions taken to reduce our costs may be insufficient to align our structure with prevailing business conditions, and we may be unable to invest in R&amp;D and engineering at the levels we believe are necessary to maintain our competitive position. On the other hand, in the event of a significant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0" w:name="page31"/>
    <w:bookmarkEnd w:id="30"/>
    <w:p>
      <w:pPr>
        <w:jc w:val="both"/>
        <w:spacing w:after="0" w:line="261" w:lineRule="auto"/>
        <w:rPr>
          <w:sz w:val="20"/>
          <w:szCs w:val="20"/>
          <w:color w:val="auto"/>
        </w:rPr>
      </w:pPr>
      <w:r>
        <w:rPr>
          <w:rFonts w:ascii="Times New Roman" w:cs="Times New Roman" w:eastAsia="Times New Roman" w:hAnsi="Times New Roman"/>
          <w:sz w:val="18"/>
          <w:szCs w:val="18"/>
          <w:color w:val="auto"/>
        </w:rPr>
        <w:t>upturn, we may not be able to expand our workforce and operations in a sufficiently timely manner, procure adequate resources and raw materials, or locate suitable third-party suppliers to respond effectively to changes in demand for our existing products or to the demand for new products requested by our customers. Any of the foregoing may adversely affect our margins, cash flow, and our ability to grow our revenue, and may increase the variability of our operating results from period to period.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operate in an industry comprised of numerous competitors and aggressive pricing dynamics.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operate in a highly competitive industry. Our competitors include large global EMS companies, ODMs that specialize in providing internally-designed products and manufacturing services, smaller EMS companies that often have a regional, product, service or industry-specific focus, as well as component and sub-system suppliers, distributors and/or systems integrators. In addition, our HPS offering may compete with our traditional customers' hardware offerings. Offering products or services that compete with the offerings of our customers may negatively impact our relationship with, or result in a loss of business from, such customers. We face indirect competition from current and prospective customers who decide to manufacture products internally, or insource previously outsourced business. In addition to the foregoing, we face competition from distribution and logistics providers expanding their services across the supply chain.</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competitive environment in our industry is intense and aggressive pricing is a common business dynamic. Some of our competitors have greater scale and offer a broader range of services. Additionally, our current and/or future competitors may: be more effective than we are in increasing or shifting their presence in new lower-cost, lower-tariff or tariff-free regions to try to offset continuous competitive pressure and increasing labor costs or to secure new business; develop or acquire services comparable or superior to ours; consolidate to form larger competitors; have greater name recognition, critical mass and/or geographic market presence; have greater manufacturing, R&amp;D and/or marketing resources; be better able to take advantage of acquisition opportunities; be willing to, or able to make sales or provide services at lower margins than we do; or adapt more quickly than we do to new technologies, evolving industry trends and changing customer requirements. In addition, our competitors may be more effective than we are in investing in IT solutions to differentiate their offerings. Some of our competitors have increased their vertical capabilities by manufacturing modules or components used in the products they assemble. Although we have also expanded our capabilities, including through acquisitions and "operate-in-place" arrangements, our competitors' expansion efforts may be more successful than ours. Competition may cause pricing pressures, reduced profits or a loss of market share (for example, from program losses, non-renewals or customer disengagements). We may not be able to compete successfully against our current and/or future competitors.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keep pace with rapidly evolving technology.</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Many of the markets for our manufacturing and engineering services are characterized by rapidly changing technology and evolving process development, and we cannot assure that we will maintain or develop the capabilities required by our customers in the future. The emergence of new technologies, industry standards or customer requirements may render our equipment, designs, inventory or processes obsolete or noncompetitive. In addition, we may have to invest in new processes, capabilities or equipment to support new technologies used in our customers' current or future products, and to support their supply chain processes. Additionally, as we expand our service offerings or pursue business in new markets where our experience may be limited, we may be less effective in adapting to technological change. Our manufacturing, engineering, supply chain processes, and test development efforts and design capabilities may not be successful due to rapid technological shifts in any of these areas. The acquisition and implementation of new technologies and equipment and the offering of new or additional services to our customers may require significant expense or capital investment, which could reduce our operating margins and our operating results. Our failure to anticipate and adapt to our customers' changing technological needs and requirements or to hire and retain a sufficient number of engineers and maintain our engineering, technological and manufacturing expertise could have a material adverse effect on our operations.</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Various industry-specific standards, qualifications and certifications are required to produce certain types of products for our customers. Failure to obtain or maintain those certifications may adversely affect our ability to maintain existing levels of business or win new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Risks Related to the International Nature of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i w:val="1"/>
          <w:iCs w:val="1"/>
          <w:color w:val="auto"/>
        </w:rPr>
        <w:t>We continue to operate in an uncertain global economic and political environment.</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Concerns over global economic conditions, financial markets, geopolitical issues, energy costs, inflation, and the availability and cost of credit, have contributed to increased global economic and political uncertainty. The political environment in the U.S., tensions between the U.S. and other countries, the continuing Russia/Ukraine conflict, Middle East Conflicts, and increased tensions between mainland China and Taiwan, have contributed to such uncertainty. All of the foregoing factors are outside of our control. See "</w:t>
      </w:r>
      <w:r>
        <w:rPr>
          <w:rFonts w:ascii="Times New Roman" w:cs="Times New Roman" w:eastAsia="Times New Roman" w:hAnsi="Times New Roman"/>
          <w:sz w:val="18"/>
          <w:szCs w:val="18"/>
          <w:b w:val="1"/>
          <w:bCs w:val="1"/>
          <w:i w:val="1"/>
          <w:iCs w:val="1"/>
          <w:color w:val="auto"/>
        </w:rPr>
        <w:t>Our operations have been and could continue to be adversely affected by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events outside our control,</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U.S. policies or legislation could have a material adverse effect on our business, results of operations and financial condition,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i w:val="1"/>
          <w:iCs w:val="1"/>
          <w:color w:val="auto"/>
        </w:rPr>
        <w:t>Geopolitical uncertainty, including as a result of the military conflict between Russia and Ukraine and/or the Middle East Conflicts, may adversely affect our business, financial condition and results of operations.</w:t>
      </w:r>
      <w:r>
        <w:rPr>
          <w:rFonts w:ascii="Times New Roman" w:cs="Times New Roman" w:eastAsia="Times New Roman" w:hAnsi="Times New Roman"/>
          <w:sz w:val="18"/>
          <w:szCs w:val="18"/>
          <w:color w:val="auto"/>
        </w:rPr>
        <w:t>" Uncertain global economies have adversely impacted, and may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continue to unpredictably impact, currency exchange rates. See "</w:t>
      </w:r>
      <w:r>
        <w:rPr>
          <w:rFonts w:ascii="Times New Roman" w:cs="Times New Roman" w:eastAsia="Times New Roman" w:hAnsi="Times New Roman"/>
          <w:sz w:val="18"/>
          <w:szCs w:val="18"/>
          <w:b w:val="1"/>
          <w:bCs w:val="1"/>
          <w:i w:val="1"/>
          <w:iCs w:val="1"/>
          <w:color w:val="auto"/>
        </w:rPr>
        <w:t>We are exposed to translation and transaction risks associated with foreign currency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exchange rate fluctuations; hedging instruments may not be effective in mitigating such risks.</w:t>
      </w:r>
      <w:r>
        <w:rPr>
          <w:rFonts w:ascii="Times New Roman" w:cs="Times New Roman" w:eastAsia="Times New Roman" w:hAnsi="Times New Roman"/>
          <w:sz w:val="18"/>
          <w:szCs w:val="18"/>
          <w:color w:val="auto"/>
        </w:rPr>
        <w:t>" Financial market instability may result in lower returns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 our financial investments, and lower values on some of our assets.</w:t>
      </w:r>
    </w:p>
    <w:p>
      <w:pPr>
        <w:spacing w:after="0" w:line="19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operating costs have increased, and may continue to increase, as a result of the growth in inflation in recent years. Although we have been successful in offsetting the majority of our increased costs with increased pricing for our products and services to date, unrecovered increased operating costs in future periods would adversely impact our margins. We cannot predict future trends in the rate of inflation or other negative economic factors or associated increases.</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the event of a further economic slowdown or recession, we may experience declines in revenues, profitability and cash flows from lower customer demand, including as a result of payment delays to, collection difficulties by, and increased pricing pressures and other factors caused by the impact of adverse economic conditions on, our customers. Adverse conditions in the financial and credit markets, lower consumer confidence and spending, inflation, higher labor, healthcare, and insurance costs, fluctuating fuel and commodities costs and their effects on the U.S. and global economies and markets are all examples of negative factors which could cause customers to delay or forgo use of our services. These economic conditions may also reduce our customers' operating budgets or ability to commit funds to purchase our solutions or renew their existing contracts with us. If an economic recession is followed by a slow and relatively weak recovery, the effects from a broadening or protracted extension of these negative economic conditions on our customers could have a significant adverse effect on our revenues, cash flows and results of operations.</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General uncertainty surrounding the global economic environment and geopolitical outlook may impact current and future demand for some of the products we manufacture or services we provide, the financial condition of our customers and/or suppliers, as well as the number and pace of customer consolidations. If any of the foregoing impacts the financial condition of our customers, they may delay payments to us or request extended payment terms, which could have an adverse effect on our financial condition and working capital. If any of the foregoing impacts the financial condition of our suppliers, this may have an adverse effect on our operations, financial condition and/or customer relationships. We cannot predict the precise nature, extent, or duration of these economic or political conditions or if they will have any impact on our financial results. A deterioration in the economic environment may exacerbate the effect of the various risk factors described in this Annual Report and could result in other unforeseen events that may adversely impact our business and financial condition.</w:t>
      </w:r>
    </w:p>
    <w:p>
      <w:pPr>
        <w:spacing w:after="0" w:line="18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A decline in the U.S. and other government budgets, changes in spending or budgetary priorities, or delays in contract awards may significantly and adversely affect our future revenue and limit our growth prospects.</w:t>
      </w:r>
    </w:p>
    <w:p>
      <w:pPr>
        <w:spacing w:after="0" w:line="17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Because we generate a portion of our revenue from contracts with the U.S. government and government agencies, our results of operations could be adversely affected by relevant spending caps or changes in budgetary priorities, as well as by delays in the budget process, program starts, or the award of contracts or orders. U.S. government spending levels for defense-related and other programs may decrease or fluctuate in future periods, including as a result of budgetary constraints, spending cuts, and/or uncertain funding of programs. Spending and program authorizations may not increase or may decrease or shift to programs in areas in which we do not provide services or are less likely to be awarded contracts. Such changes in spending authorizations and budgetary priorities may occur as a result of shifts in spending priorities from defense-related and other programs as a result of competing demands for federal funds and the number and intensity of military conflicts or other factors. A significant decline in overall U.S. government spending, a significant shift in spending priorities, the substantial reduction or elimination of particular defense-related programs, or significant budget-related delays in contract or task order awards for large programs could adversely affect our future revenue and limit our growth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32" w:name="page33"/>
    <w:bookmarkEnd w:id="32"/>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Geopolitical uncertainty, including as a result of the military conflict between Russia and Ukraine and/or the Middle East Conflicts, may adversely affect our business, financial condition and results of operations.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Russia/Ukraine conflict, the Middle East Conflicts, other hostilities or armed conflicts, or any related interruption or curtailment of trade or transport among the countries where our and our customers' facilities are located, could adversely affect our business, financial condition and results of operations. Further, political, economic and military instability in these or other regions could lead to an increase in cyberattacks and disruptions and instability in global markets (including increases in inflation rates, increases in energy prices and adverse effects on currency exchange rates and financial markets), supply chains and industries that could negatively impact our business, financial condition and results of operations. Although the impact of the Russia/Ukraine conflict and the Middle East Conflicts on our supply chain has not been significant to date, we cannot assure that this will continue to be the case. It is not possible to predict the long-term implications of these or other conflicts. Further, tensions between mainland China and Taiwan have escalated in recent periods. Geopolitical changes in China-Taiwan relations, or conflict between China and Taiwan could disrupt our supply chain for semiconductors and other electronic components or the operations of our suppliers, limit access to key ports, and/or result in potential international sanctions, any of which could adversely affect our results of operations or increase our costs. Any such disruptions may also magnify the impact of other risks described in this "Risk Factors" section.</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exposed to translation and transaction risks associated with foreign currency exchange rate fluctuations; hedging instruments may not be effective in mitigating such risks.</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Global currency markets can be volatile. Although we conduct the majority of our business in U.S. dollars, our global operations subject us to translation and transaction risks associated with fluctuations in currency exchange rates that could have a material adverse impact on our operating results and/or financial condition. A significant portion of our operational costs (including payroll, pensions, site costs, costs of locally sourced supplies and inventory, and income taxes) are denominated in various currencies other than the U.S. dollar. Fluctuations in currency exchange rates may significantly increase the amount of translated U.S. dollars required for costs incurred in other currencies or significantly decrease the U.S. dollars received from non-U.S. dollar revenues.</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Although our functional currency is the U.S. dollar, currency risk on our income tax expense arises as we are generally required to file our tax returns in the local currency for each particular country in which we have operations. A weakening of the local currency against the U.S. dollar could have a negative impact on our income taxes payable (related to increased local-currency taxable profits) and on our deferred tax costs (primarily related to the revaluation of non-monetary foreign assets from historical average exchange rates to the period-end exchange rates). See note 19 to the 2024 AFS included herein. While our hedging program is designed to mitigate currency risk vis-à-vis the U.S. dollar, we remain subject to taxable foreign exchange impacts in our translated local currency financial results relevant for tax reporting purposes.</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part of our risk management program, we enter into foreign currency forward and swap contracts to lock in the exchange rates for future foreign currency transactions, which is intended to reduce the foreign currency risk related to our operating costs and future cash flows denominated in local currencies. While these contracts are intended to reduce the effects of fluctuations in foreign currency exchange rates, our hedging strategy does not mitigate the longer-term impacts of changes to foreign exchange rates. In addition, these instruments are subject to transaction costs, credit requirements and counterparty risk. If our hedging program is not successful, or if we change our hedging activities in the future, we may experience significant unexpected expenses from fluctuations in exchange rates.</w:t>
      </w:r>
    </w:p>
    <w:p>
      <w:pPr>
        <w:spacing w:after="0" w:line="18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Our financial results have been adversely impacted by negative foreign currency translation effects, and such adverse effects, some of which may be substantial, may recur in the future.</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successfully manage unexpected changes or risks inherent in our global operations and supply chain may adversely impact our financial performance.</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sites in the following countries: Canada, the U.S., China, Ireland, Japan, Laos, Malaysia, Mexico, Romania, Singapore, South Korea, Spain, Indonesia, India and Thailand. During 2024, approximately 80% of our revenue was produced at locations outside of North America. We also purchase the majority of our components and materials from international suppliers.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Global operations are subject to inherent risks which may adversely affect us, including: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33" w:name="page34"/>
    <w:bookmarkEnd w:id="33"/>
    <w:p>
      <w:pPr>
        <w:ind w:left="1300" w:hanging="158"/>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local tax rates and tax incentives and the adverse tax consequences of repatriating earnings;</w:t>
      </w:r>
    </w:p>
    <w:p>
      <w:pPr>
        <w:spacing w:after="0" w:line="36" w:lineRule="exact"/>
        <w:rPr>
          <w:rFonts w:ascii="Times New Roman" w:cs="Times New Roman" w:eastAsia="Times New Roman" w:hAnsi="Times New Roman"/>
          <w:sz w:val="18"/>
          <w:szCs w:val="18"/>
          <w:color w:val="auto"/>
        </w:rPr>
      </w:pPr>
    </w:p>
    <w:p>
      <w:pPr>
        <w:ind w:left="1300" w:hanging="158"/>
        <w:spacing w:after="0" w:line="273" w:lineRule="auto"/>
        <w:tabs>
          <w:tab w:leader="none" w:pos="129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unrest and differences in regulations and statutes governing employee relations, including increased scrutiny of labor practices within our industry;</w:t>
      </w:r>
    </w:p>
    <w:p>
      <w:pPr>
        <w:spacing w:after="0" w:line="1" w:lineRule="exact"/>
        <w:rPr>
          <w:rFonts w:ascii="Times New Roman" w:cs="Times New Roman" w:eastAsia="Times New Roman" w:hAnsi="Times New Roman"/>
          <w:sz w:val="18"/>
          <w:szCs w:val="18"/>
          <w:color w:val="auto"/>
        </w:rPr>
      </w:pPr>
    </w:p>
    <w:p>
      <w:pPr>
        <w:ind w:left="1300" w:hanging="158"/>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cultural differences and/or differences in local business customs;</w:t>
      </w:r>
    </w:p>
    <w:p>
      <w:pPr>
        <w:spacing w:after="0" w:line="49" w:lineRule="exact"/>
        <w:rPr>
          <w:rFonts w:ascii="Times New Roman" w:cs="Times New Roman" w:eastAsia="Times New Roman" w:hAnsi="Times New Roman"/>
          <w:sz w:val="18"/>
          <w:szCs w:val="18"/>
          <w:color w:val="auto"/>
        </w:rPr>
      </w:pPr>
    </w:p>
    <w:p>
      <w:pPr>
        <w:ind w:left="1300" w:hanging="158"/>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impacts, or ineffectiveness, of our restructuring activities;</w:t>
      </w:r>
    </w:p>
    <w:p>
      <w:pPr>
        <w:spacing w:after="0" w:line="36" w:lineRule="exact"/>
        <w:rPr>
          <w:rFonts w:ascii="Times New Roman" w:cs="Times New Roman" w:eastAsia="Times New Roman" w:hAnsi="Times New Roman"/>
          <w:sz w:val="18"/>
          <w:szCs w:val="18"/>
          <w:color w:val="auto"/>
        </w:rPr>
      </w:pPr>
    </w:p>
    <w:p>
      <w:pPr>
        <w:ind w:left="1300" w:hanging="158"/>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requirements;</w:t>
      </w:r>
    </w:p>
    <w:p>
      <w:pPr>
        <w:spacing w:after="0" w:line="49" w:lineRule="exact"/>
        <w:rPr>
          <w:rFonts w:ascii="Times New Roman" w:cs="Times New Roman" w:eastAsia="Times New Roman" w:hAnsi="Times New Roman"/>
          <w:sz w:val="18"/>
          <w:szCs w:val="18"/>
          <w:color w:val="auto"/>
        </w:rPr>
      </w:pPr>
    </w:p>
    <w:p>
      <w:pPr>
        <w:ind w:left="1300" w:hanging="158"/>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inflationary trends and rising costs;</w:t>
      </w:r>
    </w:p>
    <w:p>
      <w:pPr>
        <w:spacing w:after="0" w:line="49" w:lineRule="exact"/>
        <w:rPr>
          <w:rFonts w:ascii="Times New Roman" w:cs="Times New Roman" w:eastAsia="Times New Roman" w:hAnsi="Times New Roman"/>
          <w:sz w:val="18"/>
          <w:szCs w:val="18"/>
          <w:color w:val="auto"/>
        </w:rPr>
      </w:pPr>
    </w:p>
    <w:p>
      <w:pPr>
        <w:ind w:left="1300" w:hanging="158"/>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international political relations;</w:t>
      </w:r>
    </w:p>
    <w:p>
      <w:pPr>
        <w:spacing w:after="0" w:line="36" w:lineRule="exact"/>
        <w:rPr>
          <w:rFonts w:ascii="Times New Roman" w:cs="Times New Roman" w:eastAsia="Times New Roman" w:hAnsi="Times New Roman"/>
          <w:sz w:val="18"/>
          <w:szCs w:val="18"/>
          <w:color w:val="auto"/>
        </w:rPr>
      </w:pPr>
    </w:p>
    <w:p>
      <w:pPr>
        <w:ind w:left="1300" w:hanging="158"/>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staffing (including skilled labor availability and cost) and managing foreign operations;</w:t>
      </w:r>
    </w:p>
    <w:p>
      <w:pPr>
        <w:spacing w:after="0" w:line="49" w:lineRule="exact"/>
        <w:rPr>
          <w:rFonts w:ascii="Times New Roman" w:cs="Times New Roman" w:eastAsia="Times New Roman" w:hAnsi="Times New Roman"/>
          <w:sz w:val="18"/>
          <w:szCs w:val="18"/>
          <w:color w:val="auto"/>
        </w:rPr>
      </w:pPr>
    </w:p>
    <w:p>
      <w:pPr>
        <w:ind w:left="1300" w:hanging="158"/>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building and maintaining infrastructure to support operations;</w:t>
      </w:r>
    </w:p>
    <w:p>
      <w:pPr>
        <w:spacing w:after="0" w:line="49" w:lineRule="exact"/>
        <w:rPr>
          <w:rFonts w:ascii="Times New Roman" w:cs="Times New Roman" w:eastAsia="Times New Roman" w:hAnsi="Times New Roman"/>
          <w:sz w:val="18"/>
          <w:szCs w:val="18"/>
          <w:color w:val="auto"/>
        </w:rPr>
      </w:pPr>
    </w:p>
    <w:p>
      <w:pPr>
        <w:ind w:left="1300" w:hanging="158"/>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 variety of foreign laws, including import and export tariffs and regulations;</w:t>
      </w:r>
    </w:p>
    <w:p>
      <w:pPr>
        <w:spacing w:after="0" w:line="36" w:lineRule="exact"/>
        <w:rPr>
          <w:rFonts w:ascii="Times New Roman" w:cs="Times New Roman" w:eastAsia="Times New Roman" w:hAnsi="Times New Roman"/>
          <w:sz w:val="18"/>
          <w:szCs w:val="18"/>
          <w:color w:val="auto"/>
        </w:rPr>
      </w:pPr>
    </w:p>
    <w:p>
      <w:pPr>
        <w:ind w:left="1140" w:firstLine="2"/>
        <w:spacing w:after="0" w:line="273" w:lineRule="auto"/>
        <w:tabs>
          <w:tab w:leader="none" w:pos="129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changes in trade policies and/or agreements between countries in which we maintain operations (including the potential tariffs implemented by U.S. government and retaliatory tariffs from and other actions by those affected countries or parties);</w:t>
      </w:r>
    </w:p>
    <w:p>
      <w:pPr>
        <w:spacing w:after="0" w:line="1" w:lineRule="exact"/>
        <w:rPr>
          <w:rFonts w:ascii="Times New Roman" w:cs="Times New Roman" w:eastAsia="Times New Roman" w:hAnsi="Times New Roman"/>
          <w:sz w:val="18"/>
          <w:szCs w:val="18"/>
          <w:color w:val="auto"/>
        </w:rPr>
      </w:pPr>
    </w:p>
    <w:p>
      <w:pPr>
        <w:ind w:left="1300" w:hanging="158"/>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imports or exports of components or products, or other trade sanctions;</w:t>
      </w:r>
    </w:p>
    <w:p>
      <w:pPr>
        <w:spacing w:after="0" w:line="49" w:lineRule="exact"/>
        <w:rPr>
          <w:rFonts w:ascii="Times New Roman" w:cs="Times New Roman" w:eastAsia="Times New Roman" w:hAnsi="Times New Roman"/>
          <w:sz w:val="18"/>
          <w:szCs w:val="18"/>
          <w:color w:val="auto"/>
        </w:rPr>
      </w:pPr>
    </w:p>
    <w:p>
      <w:pPr>
        <w:ind w:left="1300" w:hanging="158"/>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logistics costs;</w:t>
      </w:r>
    </w:p>
    <w:p>
      <w:pPr>
        <w:spacing w:after="0" w:line="36" w:lineRule="exact"/>
        <w:rPr>
          <w:rFonts w:ascii="Times New Roman" w:cs="Times New Roman" w:eastAsia="Times New Roman" w:hAnsi="Times New Roman"/>
          <w:sz w:val="18"/>
          <w:szCs w:val="18"/>
          <w:color w:val="auto"/>
        </w:rPr>
      </w:pPr>
    </w:p>
    <w:p>
      <w:pPr>
        <w:ind w:left="1300" w:hanging="158"/>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availability, lead time, and cost of components and materials;</w:t>
      </w:r>
    </w:p>
    <w:p>
      <w:pPr>
        <w:spacing w:after="0" w:line="49" w:lineRule="exact"/>
        <w:rPr>
          <w:rFonts w:ascii="Times New Roman" w:cs="Times New Roman" w:eastAsia="Times New Roman" w:hAnsi="Times New Roman"/>
          <w:sz w:val="18"/>
          <w:szCs w:val="18"/>
          <w:color w:val="auto"/>
        </w:rPr>
      </w:pPr>
    </w:p>
    <w:p>
      <w:pPr>
        <w:ind w:left="1300" w:hanging="158"/>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weaker laws protecting IP rights and/or greater difficulty enforcing such rights;</w:t>
      </w:r>
    </w:p>
    <w:p>
      <w:pPr>
        <w:spacing w:after="0" w:line="49" w:lineRule="exact"/>
        <w:rPr>
          <w:rFonts w:ascii="Times New Roman" w:cs="Times New Roman" w:eastAsia="Times New Roman" w:hAnsi="Times New Roman"/>
          <w:sz w:val="18"/>
          <w:szCs w:val="18"/>
          <w:color w:val="auto"/>
        </w:rPr>
      </w:pPr>
    </w:p>
    <w:p>
      <w:pPr>
        <w:ind w:left="1300" w:right="20" w:hanging="158"/>
        <w:spacing w:after="0" w:line="266" w:lineRule="auto"/>
        <w:tabs>
          <w:tab w:leader="none" w:pos="129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economic, political and/or social instability, including armed conflict and military actions (including the Russia/Ukraine conflict and the Middle East Conflicts), protectionism and reactive countermeasures, economic or other sanctions or trade barriers;</w:t>
      </w:r>
    </w:p>
    <w:p>
      <w:pPr>
        <w:ind w:left="1300" w:hanging="158"/>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restrictions on the transfer of funds and/or other restrictive actions by foreign governments;</w:t>
      </w:r>
    </w:p>
    <w:p>
      <w:pPr>
        <w:spacing w:after="0" w:line="49" w:lineRule="exact"/>
        <w:rPr>
          <w:rFonts w:ascii="Times New Roman" w:cs="Times New Roman" w:eastAsia="Times New Roman" w:hAnsi="Times New Roman"/>
          <w:sz w:val="18"/>
          <w:szCs w:val="18"/>
          <w:color w:val="auto"/>
        </w:rPr>
      </w:pPr>
    </w:p>
    <w:p>
      <w:pPr>
        <w:ind w:left="1300" w:hanging="158"/>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terrorist activity;</w:t>
      </w:r>
    </w:p>
    <w:p>
      <w:pPr>
        <w:spacing w:after="0" w:line="36" w:lineRule="exact"/>
        <w:rPr>
          <w:rFonts w:ascii="Times New Roman" w:cs="Times New Roman" w:eastAsia="Times New Roman" w:hAnsi="Times New Roman"/>
          <w:sz w:val="18"/>
          <w:szCs w:val="18"/>
          <w:color w:val="auto"/>
        </w:rPr>
      </w:pPr>
    </w:p>
    <w:p>
      <w:pPr>
        <w:ind w:left="1300" w:hanging="158"/>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fires and widespread health concerns, pandemics, epidemics or outbreaks of illness); and</w:t>
      </w:r>
    </w:p>
    <w:p>
      <w:pPr>
        <w:spacing w:after="0" w:line="49" w:lineRule="exact"/>
        <w:rPr>
          <w:rFonts w:ascii="Times New Roman" w:cs="Times New Roman" w:eastAsia="Times New Roman" w:hAnsi="Times New Roman"/>
          <w:sz w:val="18"/>
          <w:szCs w:val="18"/>
          <w:color w:val="auto"/>
        </w:rPr>
      </w:pPr>
    </w:p>
    <w:p>
      <w:pPr>
        <w:ind w:left="1300" w:hanging="158"/>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currency fluctuations.</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Any of these risks could disrupt the supply of our components or materials, slow or stop our production, and/or increase our costs. Although we have incurred some increased shipping expenses and delays as a result of the Middle East Conflicts, such increases and delays have not been significant to date. However, there can be no assurance that this will continue to be the case. Compliance with trade and foreign tax laws may increase our costs and actual or alleged violations of such laws could result in enforcement actions or financial penalties that could result in substantial costs. Furthermore, U.S. export control laws and economic sanctions prohibit the shipment of certain products to U.S. embargoed or sanctioned countries, governments, and persons. Even though we take precautions to ensure that our channel partners comply with all relevant regulations, any failure by our channel partners to comply with such regulations could have negative consequences for us, including reputational harm, government investigations, and penalties. In addition, the introduction or expansion of certain social programs in foreign jurisdictions may increase our costs, and certain supplier's costs, of doing business.</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particular, a portion of our manufacturing, design, support and storage operations are conducted in our facilities in China. Revenues associated with our China operations account for 5% of total revenue in 2024 (2023 — 7%; 2022 — 11%). Therefore, our business, financial condition and results of operations may be adversely affected by economic, political, legal, regulatory, competitive and other factors in China. The Chinese economy differs from the economies of most developed countries in many respects, including the level of government involvement and control over economic growth. In addition, our operations in China are governed by Chinese laws, rules and regulations, some of which are relatively new. The Chinese legal system continues to rapidly evolve, which may result in uncertainties with respect to the interpretation and enforcement of Chinese laws, rules and regulations that could have a material adverse effect on our business. China experiences high turnover of direct labor in the manufacturing sector, and engineers in our design centers, due to the intensely competitive and fluid market for labor, and the retention of adequate labor is a challenge. If our labor turnover rates are higher than we expect, or we otherwise fail to adequately manage our labor needs, then our business and results of operations could be adversely affected. We are also subject to risks associated with our subsidiaries organized in China. For example, regulatory and registration requirements and government approvals affect the financing that we can provide to our subsidiaries. If we fail to receive required registrations and approvals to fund our subsidiaries organized in China, or if our ability to remit currency out of China is limited, then our business and liquidity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sectPr>
      </w:pPr>
    </w:p>
    <w:bookmarkStart w:id="34" w:name="page35"/>
    <w:bookmarkEnd w:id="34"/>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addition, international trade disputes with China have resulted in increased tariffs and other measures that have, and may continue to, adversely affect the Company's business. U.S. technology export controls with respect to China (which are intended, in part, to restrict China's ability to obtain advanced computing chips, develop and maintain supercomputers, and manufacture advanced semiconductors) have adversely impacted our Capital Equipment business and our CCS segment. More generally, changes to, among other things, laws or policies in the U.S. regarding foreign trade, import/export duties and controls, tariffs or taxes, manufacturing and/or investments, or other events outside of our control, could materially adversely affect our U.S. and foreign operations. See "</w:t>
      </w:r>
      <w:r>
        <w:rPr>
          <w:rFonts w:ascii="Times New Roman" w:cs="Times New Roman" w:eastAsia="Times New Roman" w:hAnsi="Times New Roman"/>
          <w:sz w:val="18"/>
          <w:szCs w:val="18"/>
          <w:b w:val="1"/>
          <w:bCs w:val="1"/>
          <w:i w:val="1"/>
          <w:iCs w:val="1"/>
          <w:color w:val="auto"/>
        </w:rPr>
        <w:t>U.S. policies or legislation could have a material adverse effect on our business, results of operations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financial condition,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Our operations have been and could continue to be adversely affected by events outside our control,</w:t>
      </w:r>
      <w:r>
        <w:rPr>
          <w:rFonts w:ascii="Times New Roman" w:cs="Times New Roman" w:eastAsia="Times New Roman" w:hAnsi="Times New Roman"/>
          <w:sz w:val="18"/>
          <w:szCs w:val="18"/>
          <w:color w:val="auto"/>
        </w:rPr>
        <w:t>" and Item 7, MD&amp;A —</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"External Factors that May Impact our Business."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 of AI/ML technology may materially and adversely impact our business.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recent periods, growth in the advancement and commercialization of AI/ML technology has resulted in high levels of capital expenditure investments by our hyperscaler customers, and corresponding demand increases for AI/ML compute products in our CCS segment. However, the regulatory landscape for AI/ML technology is evolving rapidly. The U.S. federal government, as well as several U.S. states and foreign governmental bodies and agencies have enacted, proposed, or are considering new laws and regulations with respect to the development and use of this technology. Additionally, existing laws and regulations may be interpreted to have similar impact. Unfavorable regulatory developments may increase our hyperscaler customers’ R&amp;D and compliance costs and/or limit their use of such technology, which may result in a significant or material decrease in their capital expenditure investments in this area. This would in turn adversely impact demand for our AI/ML compute products, negatively impact our long-term growth expectations with respect to hyperscaler demand, and/or may have a material adverse effect on our business, operations or financial condition.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Financial Risks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interest rate fluctuations.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Borrowings under our credit agreement generally bear interest at a floating rate, plus a margin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These borrowings expose us to interest rate risks due to fluctuations in these rates and margins, and our interest rate swap agreements only apply to a portion of the total borrowings under our term loans. Significant interest rate fluctuations may adversely affect our business, operating results and financial condition. Also see "</w:t>
      </w:r>
      <w:r>
        <w:rPr>
          <w:rFonts w:ascii="Times New Roman" w:cs="Times New Roman" w:eastAsia="Times New Roman" w:hAnsi="Times New Roman"/>
          <w:sz w:val="18"/>
          <w:szCs w:val="18"/>
          <w:b w:val="1"/>
          <w:bCs w:val="1"/>
          <w:i w:val="1"/>
          <w:iCs w:val="1"/>
          <w:color w:val="auto"/>
        </w:rPr>
        <w:t>We have entered into the TRS</w:t>
      </w:r>
    </w:p>
    <w:p>
      <w:pPr>
        <w:spacing w:after="0" w:line="1"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Agreement in respect of our Common Shares, which exposes us to certain risks, including Common Shares price decrease risk, counterparty risk and interest rate risk, any of which could adversely affect our financial condition and/or financial results.</w:t>
      </w:r>
      <w:r>
        <w:rPr>
          <w:rFonts w:ascii="Times New Roman" w:cs="Times New Roman" w:eastAsia="Times New Roman" w:hAnsi="Times New Roman"/>
          <w:sz w:val="18"/>
          <w:szCs w:val="18"/>
          <w:color w:val="auto"/>
        </w:rPr>
        <w: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Volatility in commodity prices may negatively impact our operating results.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rely on various energy sources in our production and transportation activities. Increases in prices for energy and other commodities have resulted in, and may result in further increased raw material and component costs and transportation costs. Any increase in our costs that we are unable to recover in our pricing to our customers would negatively impact our margins and operating results.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results may be negatively affected by rising labor costs.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is some uncertainty with respect to the pace of rising labor costs (including minimum wage increases that are government-mandated from time to time), and increasing competition for specific talent/resources in various regions in which we operate. Any increase in labor costs that we are unable to recover in our pricing to our customers would negatively impact our margins and operating results.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Deterioration in financial markets or in the macro-economic environment may adversely affect our ability to raise funds or increase the cost of raising funds.</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ability to borrow or raise capital, or refinance or increase our third-party indebtedness may be impacted if financial markets are unstable. Disruptions in the capital and credit markets could adversely affect our ability to draw on our revolver (or any successor or additional facility), or our ability to sell desired amounts of A/R under our A/R sales program or customer supplier financing programs. Our access to funds under our credit facility (or any successor or additional facility) will be dependent on the ability of our senior lenders to meet their funding commitments. They may not be able to meet their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35" w:name="page36"/>
    <w:bookmarkEnd w:id="35"/>
    <w:p>
      <w:pPr>
        <w:jc w:val="both"/>
        <w:spacing w:after="0" w:line="258" w:lineRule="auto"/>
        <w:rPr>
          <w:sz w:val="20"/>
          <w:szCs w:val="20"/>
          <w:color w:val="auto"/>
        </w:rPr>
      </w:pPr>
      <w:r>
        <w:rPr>
          <w:rFonts w:ascii="Times New Roman" w:cs="Times New Roman" w:eastAsia="Times New Roman" w:hAnsi="Times New Roman"/>
          <w:sz w:val="18"/>
          <w:szCs w:val="18"/>
          <w:color w:val="auto"/>
        </w:rPr>
        <w:t>funding commitments to us if they experience shortages of capital and liquidity or if they experience excessive volumes of borrowing requests from us and other borrowers within a short period of time. Longer term disruptions in the capital and credit markets as a result of uncertainty, changing or increased regulation, reduced alternatives, or failures of significant financial institutions could adversely affect our access to liquidity needed for our business. Any disruption could require us to take measures to conserve cash until the markets stabilize or until alternative credit arrangements or other funding sources can be arranged. Such measures could include deferring capital expenditures and reducing or eliminating discretionary uses of cash.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financial and reputational risk due to non-performance by counterparties.</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A failure by counterparties, including customers, suppliers, financial institutions (including the issuers of our purchased annuities and the counterparty to our TRS Agreement), or other third parties with whom we conduct business, to fulfill their contractual obligations, may result in financial loss to us and may have adverse effects on our business.</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If a key supplier, or any company within such supplier's supply chain, experiences financial or other difficulties, such difficulties may affect their ability to supply us with materials, components or services, which could halt or delay the production of a customer's products, and/or have a material adverse impact on our operations, financial results, and customer relationships. In addition, our ability to collect outstanding A/R depends, in part, on the financial strength of our customers. See Item 7, MD&amp;A — "External Factors that May Impact our Business" for further detail. At December 31, 2024, we had one customer (in our CCS segment) that individually represented 10% or more of total A/R (December 31, 2023— two customers, one in our CCS segment and one in our ATS segment). If a customer bankruptcy occurs, our profitability may be adversely impacted if affected A/R are in excess of our allowance for credit losses. Additionally, our future revenues could be adversely impacted by a customer bankruptcy. Inability to collect A/R and/or the loss of one or more major customers could adversely impact our operating results, financial position and cash flows. We cannot reasonably determine the extent to which a customer or supplier may have financial difficulties, or whether we will be required to adjust customer pricing, payment terms and/or the amounts we pay to suppliers for materials and components.</w:t>
      </w:r>
    </w:p>
    <w:p>
      <w:pPr>
        <w:spacing w:after="0" w:line="19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To mitigate the actuarial and investment risks of our defined benefit pension plans, we purchase annuities (using existing plan assets) from time to time from third party insurance companies for certain, or all, of our obligations under specified pension plans. Failure by the insurance companies to fulfill their contractual obligations would result in a significant financial loss to us, as we retain ultimate responsibility for the payment of benefits to plan participants unless and until such pension plans are wound-up.</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use cash on hand, issue debt or equity securities, and/or incur additional third-party debt (or any combination thereof) to complete future acquisitions or otherwise fund our operations, which may adversely affect our liquidity, credit ratings, financial condition and/or results of operations</w:t>
      </w:r>
      <w:r>
        <w:rPr>
          <w:rFonts w:ascii="Times New Roman" w:cs="Times New Roman" w:eastAsia="Times New Roman" w:hAnsi="Times New Roman"/>
          <w:sz w:val="18"/>
          <w:szCs w:val="18"/>
          <w:b w:val="1"/>
          <w:bCs w:val="1"/>
          <w:color w:val="auto"/>
        </w:rPr>
        <w:t>.</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Any significant use of cash (for future acquisitions or otherwise) would adversely impact our cash position and liquidity. In addition, we may choose to issue debt securities or otherwise incur additional debt to fund future acquisitions or otherwise fund our operations. Any additional incurrence of debt (either through the issuance of debt securities or through a new or refinanced credit facility) would increase our debt leverage and debt service requirements (necessitating the use of additional cash flow for this purpose), may reduce our debt agency ratings, may further adversely impact our ability to fund future acquisitions and/or respond to unexpected capital requirements, may impose additional restrictions on our operations, and may have a variety of additional adverse effects, including, but not limited to, those described in "</w:t>
      </w:r>
      <w:r>
        <w:rPr>
          <w:rFonts w:ascii="Times New Roman" w:cs="Times New Roman" w:eastAsia="Times New Roman" w:hAnsi="Times New Roman"/>
          <w:sz w:val="18"/>
          <w:szCs w:val="18"/>
          <w:b w:val="1"/>
          <w:bCs w:val="1"/>
          <w:i w:val="1"/>
          <w:iCs w:val="1"/>
          <w:color w:val="auto"/>
        </w:rPr>
        <w:t>We have incurred substantial third-party debt to fund acquisitions, which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has increased our debt service requirements, may reduce our ability to fund future acquisitions and/or to respond to unexpected capital requirements, and may have other adverse impacts on our business.</w:t>
      </w:r>
      <w:r>
        <w:rPr>
          <w:rFonts w:ascii="Times New Roman" w:cs="Times New Roman" w:eastAsia="Times New Roman" w:hAnsi="Times New Roman"/>
          <w:sz w:val="18"/>
          <w:szCs w:val="18"/>
          <w:color w:val="auto"/>
        </w:rPr>
        <w:t>" To the extent we sell equity or convertible debt securities, the issuance of these securities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pricing of which would be subject to market conditions at the time of issuance) could result in material dilution to our stockholders. Sales of our equity securities or convertible debt, or the perception that these sales could occur, could also cause the market price for our Common Shares to fall, and new securities could have rights, preferences and privileges senior to the holders of our Common Shares.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substantial third-party debt to fund acquisitions, which has increased our debt service requirements, may reduce our ability to fund future acquisitions and/or to respond to unexpected capital requirements, and may have other adverse impacts on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36" w:name="page37"/>
    <w:bookmarkEnd w:id="36"/>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Our outstanding indebtedness, together with the mandatory prepayment provisions of our credit facility, require us to dedicate a portion of our cash flow to make interest and principal payments on such indebtedness, thereby limiting the availability of our cash flow for other purposes, and may reduce our ability to fund future acquisitions and/or to respond to unexpected capital requirements. Such indebtedness (which may increase if we are unable to sell desired amounts under our uncommitted A/R sales program or supplier financing programs) may also: require us to pursue additional term financing for potential investments, which may not be available on acceptable terms or at all; limit our ability to obtain additional financing for working capital, business activities, and other general corporate requirements; limit our ability to refinance our indebtedness on terms acceptable to us or at all; limit our flexibility to plan for and adjust to changing business and market conditions; and increase our vulnerability to general adverse economic and industry conditions. In addition, such indebtedness could have a variety of other adverse effects, including: (i) default and foreclosure on our assets if we have insufficient funds to repay the debt obligations; (ii) acceleration of such indebtedness or cross-defaults if we breach financial or other covenants under applicable debt agreements and such breaches are not waived; (iii) increased vulnerability to adverse changes in competitive conditions or government regulation; (iv) other disadvantages compared to our competitors who have less debt; and (v) negatively impact on our credit ratings (see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Our credit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rating may be downgraded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Our credit facility also limits share repurchases for cancellation if our consolidated secured leverage ratio (as defined in such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facility) exceeds a specified amount.</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the risk of increasing income and other taxes, tax audits and the challenges of successfully defending our tax positions, and obtaining, renewing or meeting the conditions of tax incentives and credits, any of which may adversely affect our financial performance.</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We conduct business operations in a number of countries where tax incentives have been extended to encourage foreign investment or where income tax rates are low. Our income tax expense could increase significantly if certain tax incentives from which we benefit are retracted. A retraction could occur if we fail to satisfy the conditions on which these tax incentives are based, or if they are not renewed or replaced upon expiration. Our income tax expense could also increase if tax rates applicable to us in such jurisdictions are otherwise increased, or due to changes in legislation or administrative practices. Changes in our outlook in any particular country could impact our ability to meet the required conditions. See Item 7, MD&amp;A — "Operating Results —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and note 18 and 21 to the 2024 AFS included herein for a discussion of our existing tax incentives, and challenges to our Romanian and Thailand tax positions.</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develop our tax filing positions based upon the anticipated nature and structure of our business and the tax laws, administrative practices and judicial decisions currently in effect in the jurisdictions in which we have assets or conduct business, all of which are subject to change or differing interpretations, some of which with retroactive effect (e.g., Canada's Pillar Two legislation). In addition, the Organization for Economic Cooperation and Development continues to issue guidelines and proposals related to Base Erosion and Profit Shifting which may result in further legislative changes that could reshape international tax rules in numerous countries and negatively impact our effective tax rate. We cannot predict the outcome or timing of any specific legislative proposals or initiatives, and we cannot provide assurance that any such legislation or initiative will not apply to us. In addition, we cannot assure that operational adjustments will be sufficient to mitigate the impact of such legislation, in part or at all. Legislation or other changes in U.S. and/or international tax laws could increase our tax liability or adversely affect our overall profitability and results of operations.</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Certain of our subsidiaries provide financing or products and services to, and may from time to time undertake certain significant transactions with, other subsidiaries in different jurisdictions. Moreover, several jurisdictions in which we operate have tax laws with detailed transfer pricing rules which require that all transactions with non-resident related parties be priced using arm's-length pricing principles, and that contemporaneous documentation must exist to support such pricing.</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are subject to tax audits in various jurisdictions, which could result in additional tax expense in future periods related to prior results. Any such increase in our income tax expense and related interest and/or penalties could have a significant adverse impact on our future earnings and future cash flows. The successful pursuit of assertions made by any tax authority could result in our owing significant amounts of tax, interest, and possibly penalties. We believe we adequately accrue for any probable potential adverse tax ruling. However, there can be no assurance as to the final resolution of any claims and any resulting proceedings. If any claims and any ensuing proceedings are determined adversely to us, the amounts we may be required to pay could be material, and in excess of amounts accrued.</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At December 31, 2024, a significant portion of our cash and cash equivalents was held by foreign subsidiaries outside of Canada, a large part of which may be subject to withholding taxes upon repatriation under current tax laws. We repatriated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37" w:name="page38"/>
    <w:bookmarkEnd w:id="37"/>
    <w:p>
      <w:pPr>
        <w:jc w:val="both"/>
        <w:spacing w:after="0" w:line="282" w:lineRule="auto"/>
        <w:rPr>
          <w:sz w:val="20"/>
          <w:szCs w:val="20"/>
          <w:color w:val="auto"/>
        </w:rPr>
      </w:pPr>
      <w:r>
        <w:rPr>
          <w:rFonts w:ascii="Times New Roman" w:cs="Times New Roman" w:eastAsia="Times New Roman" w:hAnsi="Times New Roman"/>
          <w:sz w:val="18"/>
          <w:szCs w:val="18"/>
          <w:color w:val="auto"/>
        </w:rPr>
        <w:t>2024, and currently expect to repatriate in the foreseeable future, an aggregate of approximately $500 million from various foreign subsidiaries (2023 — approximately $480 million).</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incurred significant restructuring charges in the past, and expect to incur further restructuring charges in the future; we may not achieve some or all of the expected benefits from our restructuring activities, these activities may adversely affect our business, and additional restructuring actions may be required once currently-contemplated actions are complete.</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Implementation of our restructuring activities may be costly and disruptive to our business, and we may not achieve the cost savings and benefits anticipated from such activities. We may not be able to retain or expand existing business due to execution issues relating to anticipated headcount reductions, plant closures or product/service transfers, and we may incur higher operating expenses during the periods of transition. Additionally, restructuring actions may result in a loss of continuity and accumulated knowledge in our workforce and related operational inefficiencies, as well as negative publicity. Headcount reductions can also have a negative impact on morale and our ability to attract and hire new qualified personnel in the future. Our restructuring activities require a significant amount of management and other employees' time and focus, which may divert attention from operating and growing our business. Any failure to achieve some or all of the expected benefits of our restructuring activities, including any delay in implementing planned related restructuring actions, may have a material adverse effect on our competitive position and operating results. In addition, we may implement additional future restructuring actions or divestitures as a result of changes in our business, the marketplace and/or our exit from less profitable, under-performing, non-core or non-strategic operations.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incurred impairment charges and operating losses in certain of our businesses, and may incur such charges and losses in future periods.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record impairment charges when we determine that the carrying amount of long-lived assets or goodwill may not be recoverable. We may record charges to accelerate the depreciation of specified assets in connection with our restructuring actions. Determining the fair value of long-lived assets or reporting units, including goodwill, is subjective and requires management to exercise significant judgment in estimating future growth, profitability, discount and terminal growth rates, and in projecting future cash flows, among other factors, including the impact of market conditions on management's assumptions. Future events and changing market conditions may impact our assumptions as to prices, costs, or other factors that may result in changes to our estimates of future cash flows, which may in turn result in impairment charges, which could be substantial and adversely affect our financial results. Factors that might reduce the fair value of these assets below their respective carrying values include declines in our stock price and market capitalization, reduced future cash flow estimates, slower growth rates, or significant operating losses in any of our businesses. Sustained market price decreases, demand softness, and/or failure to realize future revenue at an appropriate profit margin in any reporting units could negatively impact our operating results, including the incurrence of restructuring charges and/or impairment losses for such reporting units or operating losses for the relevant business. Similar risks apply to assessing the recoverability of our deferred tax assets.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prevent or detect all errors or fraud.</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Due to the inherent limitations of internal control systems, misstatements due to error or fraud may occur and may not be detected in a timely manner or at all. Accordingly, we cannot provide absolute assurance that all control issues, errors or instances of fraud, if any, impacting us have been or will be prevented or detected. In addition, over time, certain aspects of a control system may become inadequate because of changes in conditions, or the degree of compliance with the policies or procedures may deteriorate, which we may not be able to address quickly enough to prevent all instances of error or fraud. In connection with our ongoing assessment of the effectiveness of our internal control over financial reporting, we may discover "material weaknesses" in our internal controls. 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 The existence of any material weakness may require management to devote significant time and incur significant remediation expense. The existence of any material weakness in our internal control over financial reporting may result in errors in our financial statements that could require us to make corrective adjustments, restate our financial statements, cause us to fail to meet our reporting obligations, and cause shareholders to lose confidence in our reported financial information, all of which could materially and adversely affect the market price of our securities. If we are unable to successfully identify and remediate any material weaknesses that may arise in a timely manner, the accuracy and timing of our financial reporting may be adversely affected, and we may be unable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color w:val="auto"/>
        </w:rPr>
        <w:t>maintain compliance with securities law requirements regarding timely filing of periodic reports and applicable stock exchange listing requirements.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required to make larger contributions to our defined benefit pension and other benefit plans in the future.</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maintain defined benefit pension and other benefit plans globally. Our pension obligations are based on certain assumptions relating to plan asset performance, salary changes, employee turnover, retirement ages, life expectancy, expected healthcare costs, the performance of the financial markets, future interest rates, and plan and legislative changes. If actual results or future expectations differ from these assumptions or if statutory funding requirements change, the amounts we are obligated to contribute to the pension plans may increase and such increase could be significant. We are also required to contribute amounts to our other benefit plans to meet local statutory or such plans' funding requirements. The amounts we are obligated to contribute may increase due to legislative or other changes.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judgments, estimates and assumptions could have a material effect on our financial position and results of operations.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prepare our consolidated financial statements in conformity with generally accepted accounting principles in the United States (GAAP). The preparation of our financial statements in accordance with GAAP requires that we make estimates and assumptions that affect the recorded amounts of assets, liabilities and net earnings during the reporting period. A change in the facts and circumstances surrounding those estimates could result in a change to our estimates and could impact our future operating results.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credit agreement contains restrictive and financial covenants that may impair our ability to conduct business, and the failure to comply with such covenants could cause our outstanding debt to become immediately payable.</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credit agreement contains restrictive covenants that limit our management's discretion with respect to certain business matters. Among other factors, these covenants limit our ability and our subsidiaries' ability to incur additional debt, create liens or other encumbrances, change the nature of our business, sell or otherwise dispose of assets, make certain investments and payments, repurchase Common Shares for cancellation if a defined consolidated secured leverage ratio exceeds a specified amount, merge or consolidate with other entities, or effect specified changes in control. This agreement also contains certain financial covenants related to indebtedness and interest coverage. If we are not able to comply with these covenants, our outstanding debt could become immediately due and payable, and the incurrence of additional debt under our revolving credit facility may not be allowed, either of which could have a material adverse effect on our liquidity and ability to conduct our business.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entered into the TRS Agreement in respect of our Common Shares, which exposes us to certain risks, including Common Shares price decrease risk, counterparty risk and interest rate risk, any of which could adversely affect our financial condition and/or financial results.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Under our TRS Agreement, the counterparty is obligated to make a payment to us based on the increase in the value of the TRS (as defined in such agreement) over the agreement's term, in exchange for specified periodic payments based on a variable interest rate. However, if the value of the TRS decreases over the agreement's term, we are obligated to pay the amount of such decrease to the counterparty, which could be material. In addition, an increase in the variable interest rate would result in an increase in interest payment amounts payable by us to the counterparty. Our TRS Agreement is also subject to the risk that the counterparty will default on its payment obligations thereunder, or that we will not be able to meet our obligations to the counterparty. Further, if the counterparty chooses to exercise its termination rights under the TRS, it is possible that, because of adverse market conditions existing at the time of such termination, we will owe more to the counterparty (or will be entitled to receive less from the counterparty) than we would otherwise have if we controlled the timing of such termination.</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anticipate that we will refinance outstanding indebtedness from time to time, and an inability to refinance on favorable terms, or at all, would have a material adverse effect on our operating results and financial condition.</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anticipate that we will repay outstanding debt from time to time through refinancing. The amount of our existing indebtedness may impede our ability to obtain such refinancing on acceptable terms, or at all. If we cannot refinance, extend, or pay principal payments due at maturity with the proceeds of other capital transactions, our cash flows may not be sufficient to repay our debt upon maturity. In such event, we may be forced to dispose of one or more assets on disadvantageous terms.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39" w:name="page40"/>
    <w:bookmarkEnd w:id="39"/>
    <w:p>
      <w:pPr>
        <w:jc w:val="both"/>
        <w:spacing w:after="0" w:line="261" w:lineRule="auto"/>
        <w:rPr>
          <w:sz w:val="20"/>
          <w:szCs w:val="20"/>
          <w:color w:val="auto"/>
        </w:rPr>
      </w:pPr>
      <w:r>
        <w:rPr>
          <w:rFonts w:ascii="Times New Roman" w:cs="Times New Roman" w:eastAsia="Times New Roman" w:hAnsi="Times New Roman"/>
          <w:sz w:val="18"/>
          <w:szCs w:val="18"/>
          <w:color w:val="auto"/>
        </w:rPr>
        <w:t>addition, refinanced debt may carry higher interest rates and have more restrictive covenants than our current outstanding indebtedness. Although we anticipate that we will be able to repay or refinance our existing indebtedness when it matures, there can be no assurance we will be able to do so, or that the terms of any such refinancing will be favorable. An inability to refinance, extend or otherwise satisfy our debt as it matures would have a material adverse effect on our business, contracts, financial condition, operating results, cash flow, liquidity and prospects.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credit rating may be downgraded.</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credit ratings impact the cost and availability of future borrowings and, accordingly, our cost of capital. Our ratings reflect the opinions of the ratings agencies of our financial strength, operating performance and ability to meet our debt obligations. There can be no assurance that we will achieve a particular rating or maintain a particular rating in the future, which could place us at a disadvantage compared to our competitors and prevent us from taking actions that could benefit us in the long term. Any negative change in our credit rating or outlook may make it more expensive for us to raise additional capital in the future on terms that are acceptable to us, if at all. We may not be able to obtain financing arrangements on acceptable terms or in amounts sufficient to meet our needs in the future, which could harm our ability to grow our business, internally or through acquisitions.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Legal/Regulatory Risks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adequately protect our IP or the IP of others.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believe that certain of our proprietary IP rights and information provide us with a competitive advantage. Accordingly, we take steps to protect this proprietary information, including obtaining patents to safeguard our HPS IP, entering into non-disclosure agreements with customers, suppliers, employees and other parties, and by implementing security measures. However, these measures may not be sufficient to prevent or detect the misappropriation or unauthorized use or disclosure of our IP or information. We also conduct business in some countries where the extent of effective legal protection for IP rights is uncertain. Even if we have IP rights, there is no guarantee that such rights will provide adequate protection of items we consider to be proprietary. We may also be required to compromise protections or yield rights to technology, data or IP in order to conduct business in or access markets in certain jurisdictions, either through formal written agreements or due to legal or administrative requirements in the host nation. If we are not able to protect our IP rights, our business, financial condition and results of operations may be adversely affected.</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There is also a risk that claims of IP infringement could be brought against us, our customers and/or our suppliers. If such claims are successful, we may be required to spend significant time and financial resources to develop non-infringing processes, technology or information or to obtain appropriate licenses from the owner. We may not be successful in such development, or any such licenses may not be available on commercially acceptable terms, if at all. In addition, any litigation could be lengthy and costly and could adversely affect us even if we are successful. As we expand our service offerings, we may be less effective in anticipating or mitigating the IP risks related to new manufacturing, design and other services, which could be significant.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policies or legislation could have a material adverse effect on our business, results of operations and financial condition.</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former U.S. administrations previously created, and the current U.S. administration may create, uncertainty with respect to, among other things, trade agreements and free trade generally, and may impose significant new increases on tariffs on goods imported into the U.S. from specified countries (including Canada, Mexico and China), each of which may impose retaliatory tariffs. These actions, and/or other governmental actions related to tariffs or international trade agreements, have in the past increased (and could further increase) the cost to our U.S. customers who use our non-U.S. manufacturing sites and components, and vice versa, which may materially and adversely impact demand for our services, our results of operations or our financial condition.</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the U.S. government imposed additional export controls on certain advanced computing semiconductor chips, integrated circuits, semiconductor manufacturing items and related transactions. These export controls are, in part, intended to restrict China's and/or other nations' ability to obtain advanced computing chips, develop and maintain supercomputers, and manufacture advanced semiconductors. The implementation, interpretation and impact on our business of these rules and other regulatory actions taken by the U.S. government is uncertain and evolving. These actions have adversely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40" w:name="page41"/>
    <w:bookmarkEnd w:id="40"/>
    <w:p>
      <w:pPr>
        <w:jc w:val="both"/>
        <w:spacing w:after="0" w:line="282" w:lineRule="auto"/>
        <w:rPr>
          <w:sz w:val="20"/>
          <w:szCs w:val="20"/>
          <w:color w:val="auto"/>
        </w:rPr>
      </w:pPr>
      <w:r>
        <w:rPr>
          <w:rFonts w:ascii="Times New Roman" w:cs="Times New Roman" w:eastAsia="Times New Roman" w:hAnsi="Times New Roman"/>
          <w:sz w:val="18"/>
          <w:szCs w:val="18"/>
          <w:color w:val="auto"/>
        </w:rPr>
        <w:t>impacted our Capital Equipment business and our CCS segment. The future adverse impact of these and/or other actions taken by the governments of either the U.S. or China, or both (including in response to continuing tensions), could be material.</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Given the uncertainty regarding the scope and duration of these (or further) trade and export actions, whether trade tensions will escalate further, and whether our customers will continue to bear the cost of the tariffs and/or avoid such costs by in-sourcing or shifting business to other providers, their impact on the demand for our services, our operations and results for future periods cannot be currently quantified, but may be material. See Item 7, MD&amp;A — "External Factors that May Impact our Business" for further detail.</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addition, we cannot predict whether new U.S. laws will be passed or new regulatory proposals will be adopted, if any (or whether current laws or regulations will be rolled back), or the effect that such events may have on the economy and/or our business. However, changes in U.S. social, political, regulatory and economic conditions or laws and policies governing foreign trade and exports, taxes, manufacturing, clean energy, the healthcare industry, development and investment in the jurisdictions in which we and/or our customers or suppliers operate, could materially adversely affect our business, results of operations and financial condition. See "</w:t>
      </w:r>
      <w:r>
        <w:rPr>
          <w:rFonts w:ascii="Times New Roman" w:cs="Times New Roman" w:eastAsia="Times New Roman" w:hAnsi="Times New Roman"/>
          <w:sz w:val="18"/>
          <w:szCs w:val="18"/>
          <w:b w:val="1"/>
          <w:bCs w:val="1"/>
          <w:i w:val="1"/>
          <w:iCs w:val="1"/>
          <w:color w:val="auto"/>
        </w:rPr>
        <w:t>We are subject to the risk of increasing income and other taxes, tax audits, and the challenges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successfully defending our tax positions, and obtaining, renewing or meeting the conditions of tax incentives and credits, any of which may adversely affect our financial performance.</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may be problems with the products we design or manufacture that could result in liability/warranty claims against us, which may reduce demand for our services, damage our reputation, and/or cause us to incur significant costs.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most of our sales contracts, we provide warranties against defects or deficiencies in our products, services, or designs. We generally design and manufacture products to our customers' specifications, many of which are highly complex, and include products for regulated industries, such as HealthTech and A&amp;D. The customized design solutions that form a part of our HPS offering also subject us to the risk of liability claims if defects are discovered or alleged. Despite our quality control and assurance efforts, problems may occur or be alleged, in or resulting from the design and/or manufacture of these products. Whether or not we are responsible, problems in the products we design and/or manufacture, or in products which include components we manufacture, whether real or alleged, whether caused by faulty customer specifications, the design or manufacturing processes or a component defect, may result in increased costs to us, as well as delayed shipments to our customers, and/or reduced or canceled customer orders. These potential claims may include damages for the recall of a product and/or injury to person or property, including consequential and/or punitive damages.</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Even if customers or third parties, such as component suppliers, are responsible for defects, they may not, or may not be able to, assume responsibility for any such costs or required payments to us. While we seek to insure against many of these risks, insurance coverage may be inadequate, not cost effective or unavailable, either in general or for particular types of products or issues.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we expand our service offerings (including our HPS offerings) and pursue business in new end markets, our warranty obligations have increased and we may not be successful in pricing our products to appropriately cover our warranty costs. A successful claim for damages arising from defects or deficiencies for which we are not adequately insured, and for which indemnification from a third party is not timely (or otherwise) available, could have a material adverse effect on our reputation and/or our operating results and financial condition.</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failure to comply with customer-driven policies and standards, and third party certification requirements could adversely affect our business and reputation.</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addition to government regulations and industry standards, our customers may require us to comply with their own climate change, social responsibility, conflict minerals, quality or other business policies or standards, which may be more restrictive than current laws and regulations and our pre-existing policies. Such policies or standards may be customer-driven, established by the industries in which we operate, or imposed by third party organizations. For example, we are a member of the RBA. The RBA is a non-profit coalition of companies that, among other things, establishes standards for its members in responsible and ethical practices in the areas of labor, environmental compliance, employee health and safety, ethics and social responsibility. Our compliance with these policies, standards and third-party certification requirements could be costly, and our failure to comply could adversely affect our operations, customer relationships, reputation and profitability.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41" w:name="page42"/>
    <w:bookmarkEnd w:id="41"/>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Compliance with governmental laws, regulations, and obligations could be costly and may negatively impact our financial performance; any failure to comply may negatively impact our financial performance.</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are subject to various federal/national, state/provincial, local, foreign and supra-national environmental laws and regulations. Maintaining compliance with and responding to increasingly stringent environmental regulations requires a significant investment of time and resources and may restrict our ability to modify or expand our manufacturing sites or to continue production. Although our environmental management systems and practices have been designed to provide for compliance with these laws and regulations, such compliance cannot be assured, and any failure to comply with these laws and regulations may result in significant fines and penalties, our operations may be suspended or subjected to increased oversight, and our cost of related investigations could be material in any period.</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More complex and stringent environmental legislation continues to be imposed globally, including laws that place increased responsibility and requirements on the "producers" of electronic equipment and, in turn, their providers and suppliers. Such laws may relate to product inputs (such as hazardous substances and energy consumption), product use (such as energy efficiency and waste management/recycling), and/or operational outputs/by-products from our manufacturing processes that can result in environmental contamination (such as waste water, air emissions and hazardous waste). Non-compliance with these requirements could result in substantial costs, including fines and penalties, and we may incur liability to our customers and consumers.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Even where compliance responsibility rests primarily with our customers, they may request our assistance in meeting their obligations. Our customers remain focused on issues such as waste management (including recycling), climate change (including the reduction of carbon emissions) and product stewardship, and expect their EMS providers to be environmental leaders. We strive to meet such customer expectations, although these demands may extend beyond our regulatory obligations and require significant investments of time and resources to attract and retain customers.</w:t>
      </w:r>
    </w:p>
    <w:p>
      <w:pPr>
        <w:spacing w:after="0" w:line="18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generally conduct environmental assessments, or review assessment reports undertaken by others, for our manufacturing sites at the time of acquisition or leasing. However, such assessments may not reveal all environmental liabilities, and assessments have not been obtained for all sites. In addition, some of our operations involve the use of hazardous substances that could cause environmental impacts. While we have operational systems to provide environmental management, we cannot rule out all risk of non-compliance and could incur substantial costs to comply. Although if deemed necessary, we may investigate, remediate or monitor emissions and site conditions at some of our owned or leased sites (such as air, soil and/or groundwater conditions), we may not be aware of, or adequately address, all such emissions and conditions, and we may incur significant costs should such work be required. In many jurisdictions in which we operate, environmental laws impose liability for the costs of removal, remediation or risk assessment of hazardous or toxic substances on an owner, occupier or operator of real estate, even if such person or company was unaware of or not responsible for the discharge or migration of such substances. In some instances, where soil or groundwater contamination existed prior to our ownership or occupation, landlords or former owners may have retained some contractual responsibility or regulatory liability, but this may not provide sufficient protection to reduce or eliminate our liability. Third-party claims for damages or personal injury are also possible and could result in significant costs to us. If more stringent compliance or cleanup standards under environmental laws or regulations are imposed, or the results of future testing and analyses at our current or former operating sites indicate that we are responsible for the release of hazardous substances into the air, ground and/or water, we may be subject to additional liability. Additional environmental matters may arise in the future at sites where no problem is currently known or at sites that we may acquire in the future.</w:t>
      </w:r>
    </w:p>
    <w:p>
      <w:pPr>
        <w:spacing w:after="0" w:line="19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HealthTech business is subject to regulation by the U.S. Food and Drug Administration, Health Canada, the European Medicines Agency, and similar regulatory bodies in other jurisdictions, relating to the medical devices and hardware we manufacture for our customers. Our sites that deliver products to the healthcare industry are certified or registered in applicable quality management standards. We are required to comply with various statutes and regulations related to the design, development, testing, manufacturing and labeling of our medical devices. Any failure to comply with these regulations could result in fines, injunctions, product recalls, import detentions, additional regulatory controls, suspension of production, and/or the shutting down of one or more of our sites, among other adverse outcomes. Failure to comply with these regulations may also materially affect our reputation and/or relationships with customers and regulators.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provide design, engineering and manufacturing related services to our customers in the A&amp;D business. As part of these services, we are subject to substantial regulation from government agencies including the U.S. Department of Defense (DOD) and the U.S. Federal Aviation Administration. Our A&amp;D sites are certified in quality management standards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42" w:name="page43"/>
    <w:bookmarkEnd w:id="42"/>
    <w:p>
      <w:pPr>
        <w:jc w:val="both"/>
        <w:spacing w:after="0" w:line="252" w:lineRule="auto"/>
        <w:rPr>
          <w:sz w:val="20"/>
          <w:szCs w:val="20"/>
          <w:color w:val="auto"/>
        </w:rPr>
      </w:pPr>
      <w:r>
        <w:rPr>
          <w:rFonts w:ascii="Times New Roman" w:cs="Times New Roman" w:eastAsia="Times New Roman" w:hAnsi="Times New Roman"/>
          <w:sz w:val="18"/>
          <w:szCs w:val="18"/>
          <w:color w:val="auto"/>
        </w:rPr>
        <w:t>to the A&amp;D industry. Failure to comply with these regulations or the loss of any of our quality management certifications may result in fines, penalties and injunctions, and could prevent us from executing on current or winning future contracts, any of which may materially adversely affect our financial condition and operating results. In addition to quality management standards, there are several other U.S. regulations with which we are required to comply, including the Federal Acquisition Regulations, which provides uniform policies and procedures for acquisition; the Defense Federal Acquisition Regulation Supplement, a DOD agency supplement to the FAR that provides DOD-specific acquisition regulations that DOD government acquisition officials, and those contractors doing business with DOD, must comply with in the procurement process for goods and services; and the Truth in Negotiations Act, which requires full and fair disclosure by contractors in the conduct of negotiations with the government and its prime contractors. These rules are complex, our performance under them is subject to audit by the U.S. Defense Contract Audit Agency, the U.S. Office of Federal Contract Compliance Programs and other government regulators, and in most cases must be complied with by our suppliers. If an audit or investigation reveals a failure to comply with regulations, we could become subject to civil or criminal penalties and administrative sanctions by either the government or the prime customer, including government pre-approval of our government contracting activities, termination of the contract, payment of fines and suspension or debarment from doing further business with the U.S. government. Any of these actions could increase our expenses, reduce our revenue and damage our reputation as a reliable U.S. government supplier. We are also subject to the export control laws and regulations of the countries in which we operate, including, but not limited to, the U.S. International Traffic in Arms Regulations and the Export Administration Regulations.</w:t>
      </w:r>
    </w:p>
    <w:p>
      <w:pPr>
        <w:spacing w:after="0" w:line="19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Our international operations require us to comply with various anti-bribery laws, including the U.S. Foreign Corrupt Practices Act (FCPA) and the </w:t>
      </w:r>
      <w:r>
        <w:rPr>
          <w:rFonts w:ascii="Times New Roman" w:cs="Times New Roman" w:eastAsia="Times New Roman" w:hAnsi="Times New Roman"/>
          <w:sz w:val="18"/>
          <w:szCs w:val="18"/>
          <w:i w:val="1"/>
          <w:iCs w:val="1"/>
          <w:color w:val="auto"/>
        </w:rPr>
        <w:t xml:space="preserve">Corruption of Foreign Public Officials Act </w:t>
      </w:r>
      <w:r>
        <w:rPr>
          <w:rFonts w:ascii="Times New Roman" w:cs="Times New Roman" w:eastAsia="Times New Roman" w:hAnsi="Times New Roman"/>
          <w:sz w:val="18"/>
          <w:szCs w:val="18"/>
          <w:color w:val="auto"/>
        </w:rPr>
        <w:t>(Canada) (CFPOA). In some countries in which we operate, it may be customary for businesses to engage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 practices that are prohibited by the FCPA, CFPOA or other laws and regulations. Although we have implemented policies and procedures designed to ensure compliance with the FCPA, CFPOA and similar laws in other jurisdictions, there can be no assurance that all of our employees and agents, as well as those companies to which we outsource certain business operations, will not be in violation of these laws and our policies or procedures. In addition to the difficulty of monitoring compliance, any suspected or alleged activity would require a costly investigation by us and may result in the diversion of management's time, resources and attention. Failure to comply with these laws may subject us to, among other things, adverse publicity, penalties and legal expenses that may harm our reputation and have a material adverse effect on our business, financial condition and operating results.</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a public company, we are subject to stringent laws, regulations and other requirements, including the U.S. Sarbanes-Oxley Act and the U.S. Dodd-Frank Wall Street Reform and Consumer Protection Act (Dodd-Frank), affecting, among other areas, our accounting, internal controls, corporate governance practices, securities disclosures and reporting. For example, due to our complex supply chain, compliance with Dodd-Frank diligence, disclosure and reporting requirements with respect to defined "conflict minerals" is time-consuming and costly. If we are unable to ascertain the origins of all such minerals used in the manufacturing of our products through the due diligence procedures we implement, we may be unable to satisfy our customers' certification requirements. This may harm our reputation, damage our customer relationships and result in a loss of revenue. If the SEC rules or other new social or environmental standards limit our pool of suppliers in order to produce "conflict free" or "socially responsible" products, or otherwise adversely affect the sourcing, supply and pricing of materials used in our products, we could also experience cost increases and a material adverse impact on our operating results.</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whenever we pursue business in new end markets, or our customers pursue new technologies or businesses, we are required to navigate the potentially heavy regulatory and legislative burdens of such end markets or technologies, as well as applicable quality standards with respect thereto.</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regulatory climate can itself affect the demand for our services. For example, government reimbursement rates and other regulations, as well as the financial health of healthcare providers, changes in how healthcare in the U.S. is structured, and how medical devices are taxed, could affect the willingness and ability of end customers to purchase the products of our customers in this market as well as impact our margins.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customers are also required to comply with various government regulations, legal requirements and industry standards, including many of the industry-specific regulations discussed above. Our customers' failure to comply could affect their businesses, which in turn would affect our sales to them. In addition, if our customers are required by regulation or other requirements to make changes in their product lines, these changes could significantly disrupt particular programs for these customers and create inefficiencies in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43" w:name="page44"/>
    <w:bookmarkEnd w:id="43"/>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a failure by a supplier or manufacturer to comply with applicable laws, regulations or customer requirements could negatively impact our business, and for governmental customers, could result in fines, penalties, suspension or even debarment being imposed on us, which could have a material adverse impact on our business, financial condition and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Compliance or the failure to comply with employment laws and regulations may negatively impact our financial performance.</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are subject to a variety of domestic and foreign employment laws, including those related to: workplace safety, discrimination, harassment, whistle-blowing, wages and overtime, personal taxation, classification of employees, work authorizations and severance. Compliance with such laws may increase our costs. In addition, such laws are subject to change, and enforcement activity relating to these laws, particularly outside of the U.S., may increase as a result of greater media attention due to alleged violations by other companies, changes in law, political and other factors. There can be no assurance that, in the future, we will not be found to have violated elements of such laws. Any such violations could lead to the assessment of fines or damages against us by regulatory authorities or claims by employees, any of which could adversely affect our operating results and/or our reputation.</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litigation and proceedings, which may result in substantial expenses, settlement costs or judgments, require the time and attention of key management resources, and result in adverse publicity, any of which may negatively impact our financial performance.</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are from time to time party to various copyright, patent and trademark infringement, unfair competition, breach of contract, customs, employment and other legal actions incidental to our business, as plaintiff or defendant, as well as various other claims, suits, investigations and legal or governmental proceedings (including securities class action and shareholder derivative lawsuits which have been settled or dismissed). Additional legal claims or regulatory matters may arise in the future and could involve matters relating to commercial disputes, government regulation and compliance, IP, antitrust, tax, employment or shareholder issues, product liability claims and other issues on a global basis. Regardless of the merits of the claims, litigation or governmental proceedings may be both time-consuming and disruptive to our business. The defense and ultimate outcome of any lawsuits or other legal proceedings may result in higher expenses, which could have a material adverse effect on our business, financial condition, or results of operations. We cannot predict the final outcome of such lawsuits or proceedings or the likelihood that other proceedings will be initiated against us. Accordingly, the cost of defending against such lawsuits or proceedings, or any future lawsuits or proceedings may be high and, in any event, these legal proceedings may result in the diversion of our management's time and attention away from our business. In the event that there is an adverse ruling in any legal proceeding, we may be required to make payments to third parties that could be in excess of any amounts accrued, and could have a material adverse effect on our reputation, financial condition and/or results of operations.</w:t>
      </w:r>
    </w:p>
    <w:p>
      <w:pPr>
        <w:spacing w:after="0" w:line="18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accounting standards enacted by the relevant standard-setting bodies may adversely affect our reported operating results, profitability and financial performance.</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prepare our financial statements in conformity with GAAP. These principles are subject to interpretation by the Financial Accounting Standards Board (FASB), the American Institute of Certified Public Accountants, the SEC, and various bodies formed to interpret and create appropriate accounting policies. While periodic accounting changes do not typically affect the economics of our business, a change in these policies can have a significant effect on our reported results and may affect our reporting of transactions that are completed before a change is announced. Changes to those rules or questions as to how we interpret or implement them may have a material adverse effect on our reported financial results or on the way we conduct business.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Potential unenforceability of judgments.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are incorporated under the laws of the Province of Ontario, Canada. One of our directors and three of our executive officers are residents of Canada. Also, a substantial portion of our assets and the assets of these persons are located outside of the U.S. As a result, it may be difficult to effect service of process within the U.S. upon those directors or officers who are not residents of the U.S., or to enforce judgments in the U.S. obtained in courts of the U.S. It may also be difficult for shareholders to enforce a U.S. judgment in Canada predicated upon the civil liability provisions of U.S. federal or state securities laws or to succeed in a lawsuit in Canada based only on U.S. federal or state securities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and operations could be adversely impacted by ESG initiatives.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There is an increased focus by foreign, federal, state, provincial and local regulatory and legislative bodies investors and other stakeholders regarding environmental and corporate responsibility policies relating to climate change, regulating GHG emissions, carbon taxes, emissions trading schemes, sustainability, human rights and inclusion matters, and disclosure regarding the foregoing, many of which may be ambiguous, inconsistent, dynamic or conflicting. We expect to experience or be subject to increased restrictions, compliance and assurance costs, recurring investments in data gathering and reporting systems, and legal expenses related to such new or changing legal or regulatory requirements, which could increase our operating costs. In addition, we may still be subject to penalties or potential litigation if such laws and regulations are interpreted or applied in a manner inconsistent with our practices.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Proposed and existing efforts to address climate change by reducing GHG emissions could directly or indirectly affect our costs of energy, materials, manufacturing, distribution, packaging and other operating costs, which could adversely impact our business and financial results. In addition, governmental bodies are increasingly adopting and proposing additional mandatory climate-related reporting obligations. Complying with any new applicable reporting requirements will require increased corporate, operational, and administrative efforts, and result in increased costs and expenses.</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Further, certain investors are placing a greater emphasis on non-financial factors, including ESG factors, when evaluating investment opportunities. Although we actively manage a broad range of ESG matters, including the potential impact of our business on society and the environment, and matters relating to an inclusive workplace, there can be no certainty that we will manage such issues effectively, or that we will successfully meet society's expectations in this regard. The perception of our operations held by our shareholders, potential investors, suppliers, customers, other stakeholders, or the communities in which we do business may depend, in part, on the ESG standards we have chosen to aspire to meet, whether or not we meet these standards on a timely basis or at all, and whether or not we meet external ESG factors they deem relevant. In addition, notwithstanding our achievements in these regards, the subjective nature and wide variety of methods and processes used by various stakeholders, including investors, to assess a company with respect to ESG criteria can result in the perception of negative ESG factors or a misrepresentation of our ESG policies and practices. In addition, by electing to set and publicly share our ESG standards, our business may face increased scrutiny related to ESG activities. As a result, our reputation could be harmed if we fail to act effectively in the areas in which we report. In addition, our failure to achieve progress on our ESG policies and practices on a timely basis, or at all, or to meet ESG criteria set by third parties, could adversely affect our Common Shares price, business, financial performance, or growth.</w:t>
      </w:r>
    </w:p>
    <w:p>
      <w:pPr>
        <w:spacing w:after="0" w:line="18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Because we have ceased to be a foreign private issuer, we are required to comply fully with the reporting requirements of the Exchange Act applicable to U.S. domestic issuers, and we have incurred and may continue to incur additional legal, accounting, and other expenses that we would not incur as a foreign private issuer.</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July 2024, we announced that, in accordance with the definition of a “foreign private issuer” in Rule 405 under the U.S. Securities Act, and Rule 3b-4 under the Exchange Act, which require a foreign company to determine its status as a foreign private issuer on an annual basis, we determined that we no longer met such definition at the end of the second quarter of 2024. Accordingly, as of January 1, 2025, we do not use the forms and rules designated for foreign private issuers and are subject to the same reporting and disclosure requirements applicable to U.S. domestic issuers. We are now required to file periodic reports and financial statements prepared in accordance with GAAP with the SEC on Form 10-K and Form 10-Q, as applicable, as well as current reports on Form 8-K, which are more detailed and extensive than the forms available to a foreign private issuer. We must also comply with U.S. federal proxy requirements, and our officers, directors and principal shareholders have become subject to the short-swing profit disclosure and recovery provisions of Section 16 of the Exchange Act. In addition, we have lost our ability to rely upon exemptions from certain NYSE corporate governance requirements. As a U.S.-listed public company, we are subject to the same reporting and disclosure requirements applicable to U.S. domestic issuers, and we have incurred and may continue to incur significant additional legal, accounting and other expenses that we did not incur as a foreign private issuer, and may incur accounting, reporting and other expenses in order to maintain a listing on a U.S. securities exchange.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Risks Related to our Common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Common Shares has been volatile.</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Volatility in our business can result in significant Common Share price and volume fluctuations. Factors such as changes in our financial estimates or operating results, buy/sell recommendations by securities analysts, the timing of announcements by us or our competitors concerning significant product developments, acquisitions or financial performance, other events affecting companies in the electronics industry, currency fluctuations, general market fluctuations, macro-economic conditions, general stock market conditions, substantial sales of our Common Shares and/or other external factors may cause the market price of our Common Shares to decline. In addition, if our operating results do not meet the expectations of securities analysts or investors, the price of our Common Shares could decline. Furthermore, the existence of our NCIB may cause our Common Share price to be higher than it would be in the absence of such a program, and repurchases under the NCIB expose us to risks resulting from a reduction in the size of our "public float," which may reduce our trading volume as well as our Common Share price.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can be no assurance that we will continue to repurchase Common Shares for cancellation.</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Although we currently have an NCIB in effect, whether we repurchase Common Shares under such NCIB for cancellation, and the amount and timing of any such repurchases, is subject to the restrictions under our credit facility, capital availability and periodic determinations by our Board that Common Share repurchases are in the best interest of our shareholders and are in compliance with all applicable laws and agreements. Any future permitted Common Share repurchases, including their timing and amount, may be affected by, among other factors: our consolidated leverage ratio (as defined in our credit facility); our views on potential future capital requirements for strategic transactions, including acquisitions; debt service requirements; our credit rating; changes to our business model; and/or changes to applicable tax laws or corporate laws (including equity buyback taxes enacted in Canada and the U.S.). In addition, the amount we spend and the number of Common Shares we are able to repurchase for cancellation under any NCIB or substantial issuer bid may further be affected by a number of other factors, including the Common Shares we arrange to be purchased by non-independent brokers to satisfy stock-based compensation awards, the price of our Common Shares and blackout periods in which we are restricted from repurchasing Common Shares. Our Common Share repurchases may change from time to time, and even if permitted under our credit facility, we cannot provide assurance that we will continue to repurchase Common Shares for cancellation in any particular amounts or at all. A reduction in or elimination of our Common Share repurchases could have a negative effect on our stock price.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no longer a controlled company, and may therefore become more vulnerable to take-over or tender offer</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Following the completion of an underwritten secondary public offering in August 2023, Onex is no longer our controlling shareholder. As a result, the Company has lost the benefit of the stability afforded to it by having a committed, long-term controlling shareholder. In addition, voting power is spread out among a wide shareholder base and the inherent protection from an unsolicited take-over bid afforded by a dual class share structure no longer exists. Accordingly, we may become more vulnerable to a take-over bid or a tender offer.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General Risk Factors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Negative publicity could adversely affect our reputation as well as our business, financial results and share price.</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Unfavorable media related to our industry, company, brand, marketing, personnel, operations, business performance, or prospects may affect our share price and the performance of our business, regardless of its accuracy or inaccuracy. The speed at which negative publicity can be disseminated has increased dramatically with the capabilities of electronic communication, including social media outlets, websites, blogs, and newsletters. Our success in maintaining, extending, and expanding our brand image depends on our ability to adapt to this rapidly changing media environment. Adverse publicity or negative commentary from any media outlet could damage our reputation and reduce the demand for our products, which would adversely affect our business.</w:t>
      </w:r>
    </w:p>
    <w:p>
      <w:pPr>
        <w:spacing w:after="0" w:line="183"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auto"/>
        </w:rPr>
        <w:t>Risk Management and Strategy</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prioritize the effective management of cybersecurity risks through a strategy focused on identifying, assessing, and responding to cybersecurity vulnerabilities, threats and incidents. Our primary objectives are to safeguard information assets, prevent their misuse or loss, and minimize business disruptions, through a comprehensive cybersecurity program intended to detect, analyze, contain and address cybersecurity risk exposures, threats and incidents.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Board has oversight of our strategic and business risk management, including cybersecurity risk management, with support from our Audit Committee (described under “Governance” below). The Audit Committee is responsible for ensuring that management has processes in place designed to identify and evaluate cybersecurity risks to which we are exposed and to implement processes and programs to manage cybersecurity risks and mitigate cybersecurity incidents.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use various processes to inform our assessment, identification and management of risk from cybersecurity threats, including technical security controls, policy enforcement mechanisms, monitoring systems, employee training, contractual arrangements, tools and related services from third-party providers, and management oversight to assess, identify and manage material risks from cybersecurity threats. Key areas of our cybersecurity risk management processes and strategy include the following:</w:t>
      </w:r>
    </w:p>
    <w:p>
      <w:pPr>
        <w:spacing w:after="0" w:line="17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Multidisciplinary Coordination</w:t>
      </w:r>
      <w:r>
        <w:rPr>
          <w:rFonts w:ascii="Times New Roman" w:cs="Times New Roman" w:eastAsia="Times New Roman" w:hAnsi="Times New Roman"/>
          <w:sz w:val="18"/>
          <w:szCs w:val="18"/>
          <w:color w:val="auto"/>
        </w:rPr>
        <w:t>: Our IT Security Team, which includes IT Site Managers, an IT Risk &amp; Compliance Team, a Global Information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Security Team and Cybersecurity Incident Managers, has first-line responsibility for our cybersecurity risk management processes, and is responsible for implementing cybersecurity policies, procedures and strategies. This team is led by our Vice President, Security, Infrastructure &amp; Site IT (VP Security), who reports to our Chief Information Officer (CIO), who in turn reports to our Chief Operations Officer (COO). The IT Security Team is subject to oversight from several cross-functional teams, including our Executive Leadership Team, our IT Security Council and our Compliance Council. Our IT Security Council, a global IT security strategy team, meets monthly to discuss IT security roadmaps and strategies, control enhancements, compliance matters and customer requirements. Our Compliance Council includes representatives from, among others, our legal, compliance, ethics, internal audit, operations, security, and supply chain teams to assess the Company’s risk exposures, mitigation strategies and policies, and meets quarterly to discuss risks, policies and compliance issues, including with respect to cybersecurity.</w:t>
      </w:r>
    </w:p>
    <w:p>
      <w:pPr>
        <w:spacing w:after="0" w:line="188"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Internal Audit</w:t>
      </w:r>
      <w:r>
        <w:rPr>
          <w:rFonts w:ascii="Times New Roman" w:cs="Times New Roman" w:eastAsia="Times New Roman" w:hAnsi="Times New Roman"/>
          <w:sz w:val="18"/>
          <w:szCs w:val="18"/>
          <w:color w:val="auto"/>
        </w:rPr>
        <w:t>: Our Internal Audit department performs audits, and our IT Risk and Compliance Team, which reports to the VP Security, monitors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certain IT systems controls that are integrated into our larger internal control environment.</w:t>
      </w:r>
    </w:p>
    <w:p>
      <w:pPr>
        <w:spacing w:after="0" w:line="15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Cyber Incident Response</w:t>
      </w:r>
      <w:r>
        <w:rPr>
          <w:rFonts w:ascii="Times New Roman" w:cs="Times New Roman" w:eastAsia="Times New Roman" w:hAnsi="Times New Roman"/>
          <w:sz w:val="18"/>
          <w:szCs w:val="18"/>
          <w:color w:val="auto"/>
        </w:rPr>
        <w:t>: We maintain a cross-functional cyber incident response plan with defined roles, responsibilities and reporting protocols,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is evaluated and tested on a regular basis. The Company has a process for employees to report suspected or confirmed cybersecurity threats or incidents. Generally, if a suspected or confirmed breach is identified, a Cybersecurity Incident Manager from the Global Information Security Team is assigned to evaluate and escalate the issue as needed to the VP Security. The Company’s response to cybersecurity incidents (which includes prompt steps to protect our systems and information by containing and mitigating the impact of any incident) is managed by the VP Security, in consultation with the CIO, and when appropriate, with the CFO, COO, CEO and our Chief Legal Officer. These leaders will assess the materiality of a particular incident (alone or in combination with other factors), and the Chief Legal Officer will determine whether any reporting or notification responsibilities have been triggered. The CEO is responsible for informing our Board and the Audit Committee regarding any significant incidents, and coordinates management’s recommendations concerning materiality.</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Continuous Evaluation</w:t>
      </w:r>
      <w:r>
        <w:rPr>
          <w:rFonts w:ascii="Times New Roman" w:cs="Times New Roman" w:eastAsia="Times New Roman" w:hAnsi="Times New Roman"/>
          <w:sz w:val="18"/>
          <w:szCs w:val="18"/>
          <w:color w:val="auto"/>
        </w:rPr>
        <w:t>: We update our information security management system periodically and employ standards and frameworks as we deem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necessary to assist us in monitoring compliance with regulatory, industry and evolving data privacy requirements. In addition, we monitor our IT systems and processes on an ongoing basis with the goal of identifying and remediating real and potential threats as they arise. We adjust our systems, procedures and policies regularly as we deem necessary in response to identified threats and risks.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Training</w:t>
      </w:r>
      <w:r>
        <w:rPr>
          <w:rFonts w:ascii="Times New Roman" w:cs="Times New Roman" w:eastAsia="Times New Roman" w:hAnsi="Times New Roman"/>
          <w:sz w:val="18"/>
          <w:szCs w:val="18"/>
          <w:color w:val="auto"/>
        </w:rPr>
        <w:t>: We provide cybersecurity and information security compliance training for our employees once per year, track completion, and require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attestations. We conduct monthly mock phishing attacks to all employees, and cater training specifically to our needs, based on industry trends and potential threats. Select members of our IT Security Team participate in security training focusing on emergency preparedness and remediation, including annual table top exercises to test our security protocols and response times.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47" w:name="page48"/>
    <w:bookmarkEnd w:id="47"/>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Outside Consultants</w:t>
      </w:r>
      <w:r>
        <w:rPr>
          <w:rFonts w:ascii="Times New Roman" w:cs="Times New Roman" w:eastAsia="Times New Roman" w:hAnsi="Times New Roman"/>
          <w:sz w:val="18"/>
          <w:szCs w:val="18"/>
          <w:color w:val="auto"/>
        </w:rPr>
        <w:t>: Third party experts are engaged to conduct National Institute of Standards and Technology (NIST) CSF (Cyber Security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Framework) Audits to measure the Company’s cybersecurity maturity level, in addition assistance with our cybersecurity risk management and strategy. Other third-party providers provide us with ongoing assistance including threat monitoring, mitigation strategies, and updates on emerging security trends and developments while we have others engaged on retainer to provide targeted assistance forensic expertise as needed.</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Monitoring of Third Parties</w:t>
      </w:r>
      <w:r>
        <w:rPr>
          <w:rFonts w:ascii="Times New Roman" w:cs="Times New Roman" w:eastAsia="Times New Roman" w:hAnsi="Times New Roman"/>
          <w:sz w:val="18"/>
          <w:szCs w:val="18"/>
          <w:color w:val="auto"/>
        </w:rPr>
        <w:t>: In 2023, we implemented a Third-Party Risk Management Program to perform IT security controls assessments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third-party suppliers and vendors and measure the IT security rating of Celestica and these entities through an external security rating solution platform. Through this program, our IT Risk and Compliance team assesses, monitors, and mitigates potential cybersecurity risks from our third-party suppliers and vendors. In addition, an external service is used to assess the cybersecurity risk rating of third party suppliers and vendors.</w:t>
      </w:r>
    </w:p>
    <w:p>
      <w:pPr>
        <w:spacing w:after="0" w:line="180"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Certification</w:t>
      </w:r>
      <w:r>
        <w:rPr>
          <w:rFonts w:ascii="Times New Roman" w:cs="Times New Roman" w:eastAsia="Times New Roman" w:hAnsi="Times New Roman"/>
          <w:sz w:val="18"/>
          <w:szCs w:val="18"/>
          <w:color w:val="auto"/>
        </w:rPr>
        <w:t>s: Certain of our manufacturing sites are certified to ISO27001 (an international standard focused on information security), and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continue to perform assessments of our A&amp;D sites and systems that support A&amp;D data under U.S. NIST 800-171 Enhanced Cybersecurity Measures for Government Contractors.</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While we have invested, and continue to invest, in the protection of our data and IT infrastructure, we regularly face attempts by others to access our information systems in an unauthorized manner, to introduce malicious software to such systems or both, and while we have not been materially impacted by computer viruses, malware, ransomware, hacking incidents, outages, or unauthorized access to data, we have been (and may in the future be) the target of such events. However, to date, we have not identified any risks from cybersecurity threats (including any previous cybersecurity incidents) that have materially affected the Company, our business strategy, our results of operations or our financial condition. For a discussion of risks from cybersecurity threats that could be reasonably likely to materially affect us, please see Item 1A, Risk Factors — “</w:t>
      </w:r>
      <w:r>
        <w:rPr>
          <w:rFonts w:ascii="Times New Roman" w:cs="Times New Roman" w:eastAsia="Times New Roman" w:hAnsi="Times New Roman"/>
          <w:sz w:val="18"/>
          <w:szCs w:val="18"/>
          <w:b w:val="1"/>
          <w:bCs w:val="1"/>
          <w:i w:val="1"/>
          <w:iCs w:val="1"/>
          <w:color w:val="auto"/>
        </w:rPr>
        <w:t>Our operations and our customer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relationships may be adversely and materially affected by disruptions to our IT systems, including disruptions from cybersecurity breaches of our IT infrastructure</w:t>
      </w:r>
      <w:r>
        <w:rPr>
          <w:rFonts w:ascii="Times New Roman" w:cs="Times New Roman" w:eastAsia="Times New Roman" w:hAnsi="Times New Roman"/>
          <w:sz w:val="18"/>
          <w:szCs w:val="18"/>
          <w:color w:val="auto"/>
        </w:rPr>
        <w:t>" in this Annual Report.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part of its oversight responsibilities, which include the identification of the principal risks of the business and ensuring the implementation of appropriate systems to manage such risks, the Board devotes significant time and attention to information security and risk management, including cybersecurity, and regulatory compliance, supported by the Audit Committee.</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Audit Committee is responsible for evaluating Celestica’s major financial risk exposures and the steps management has taken to monitor and control such exposures. The Audit Committee’s Mandate also requires it to discuss guidelines, policies and steps to govern the process by which risk assessment and management is undertaken (including risks related to information security, cybersecurity and data protection) and the establishment and management of appropriate systems to manage such risks. The Audit Committee reviews cybersecurity risks through quarterly reports from management, and monitors the status of existing information security controls and practices to mitigate the potential risk from evolving cybersecurity threats.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in accordance with its Mandate, the Board receives a quarterly report from management regarding the principal risks inherent in the business of the Corporation, including appropriate crisis preparedness, business continuity, information system controls, cybersecurity and information security, and disaster recovery plans. These reports address a range of topics, including industry trends, benchmark and assessment reports, information security projects and updates on cyber related metrics, technology modernization, policies and practices, and specific and ongoing efforts to prevent, detect, and respond to internal and external critical threats.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5"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i w:val="1"/>
          <w:iCs w:val="1"/>
          <w:color w:val="auto"/>
        </w:rPr>
        <w:t>Management’s role</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IT Security Team is composed of several support teams (including our IT Site Managers, our Cybersecurity Incident Managers, our Global Information Security Team, and our IT Risk and Compliance Team) that address and respond to cybersecurity risks and incidents, including risks related to security architecture and engineering, identity and access management and security operations. As noted above, our IT Security Team is led by our VP Security, who has 15 years of experience in leading global security and compliance functions and strategies and holds several certifications including Certified Information Systems Security Professional (CISSP), Information Systems Security Management Professional (ISSMP), Certified Information Systems Auditor (CISA), Certified in Risk and Information Systems Control (CRISC), and Certified Information Security Manager (CISM). Our CIO has 20 years of experience in leading security, compliance and digital forensics functions. Collectively, the other members of our IT Security Team have decades of relevant education and experience and maintain a wide range of industry certifications. In addition, we invest in regular, ongoing cybersecurity training for our IT Security Team. Risks are updated by management each quarter, based on findings from external assessments and internal cybersecurity metrics.</w:t>
      </w:r>
    </w:p>
    <w:p>
      <w:pPr>
        <w:spacing w:after="0" w:line="19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Management (including our VP of Internal Audit) reports quarterly to the Audit Committee on information security. These presentations address a wide range of topics, including trends in cyber threats and the status of initiatives intended to bolster our security systems and the cyber readiness of our personnel.</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Management takes several steps intended to mitigate the impact of cybersecurity and information security risks and incidents, including an annual management risk assessment (including cybersecurity risk), continued enhancement of information security and data loss prevention controls, maintenance of a robust crisis response plan, engaging an external consultant (described above), and ensuring that the Company maintains cybersecurity insurance coverage deemed appropriate. Management oversight procedures include: (i) a methodology to ensure cybersecurity events are promptly escalated and that appropriate internal and external reporting occurs; (ii) a monthly </w:t>
      </w:r>
      <w:r>
        <w:rPr>
          <w:rFonts w:ascii="Times New Roman" w:cs="Times New Roman" w:eastAsia="Times New Roman" w:hAnsi="Times New Roman"/>
          <w:sz w:val="18"/>
          <w:szCs w:val="18"/>
          <w:color w:val="1F1F1F"/>
        </w:rPr>
        <w:t>Information Security Governance Council</w:t>
      </w:r>
      <w:r>
        <w:rPr>
          <w:rFonts w:ascii="Times New Roman" w:cs="Times New Roman" w:eastAsia="Times New Roman" w:hAnsi="Times New Roman"/>
          <w:sz w:val="18"/>
          <w:szCs w:val="18"/>
          <w:color w:val="auto"/>
        </w:rPr>
        <w:t xml:space="preserve"> meeting with site IT managers; and (iii) quarterly meetings between senior executives and our Internal Audit department to discuss the outlook for the following year, focusing on the current risk environment.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5" w:right="339" w:bottom="1440" w:gutter="0" w:footer="0" w:header="0"/>
        </w:sectPr>
      </w:pPr>
    </w:p>
    <w:bookmarkStart w:id="49" w:name="page50"/>
    <w:bookmarkEnd w:id="49"/>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tab/>
        <w:t>Properties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following table summarizes our principal owned and leased properties as of February 28, 2025. These sites are used to provide manufacturing services and solutions, including the manufacture of PCBs, assembly and configuration of final systems, complex mechanical assembly, precision machining, as well as other related services and customer support activities, including design and development, warehousing, distribution, fulfillment and after-market services, with a total of approximately 7.3 million square feet of productive capacity.</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Major locations</w:t>
            </w:r>
          </w:p>
        </w:tc>
        <w:tc>
          <w:tcPr>
            <w:tcW w:w="3200" w:type="dxa"/>
            <w:vAlign w:val="bottom"/>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9"/>
              </w:rPr>
              <w:t>Estimated square footage (in</w:t>
            </w:r>
          </w:p>
        </w:tc>
        <w:tc>
          <w:tcPr>
            <w:tcW w:w="1260" w:type="dxa"/>
            <w:vAlign w:val="bottom"/>
            <w:vMerge w:val="restart"/>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Segment</w:t>
            </w:r>
          </w:p>
        </w:tc>
        <w:tc>
          <w:tcPr>
            <w:tcW w:w="2000" w:type="dxa"/>
            <w:vAlign w:val="bottom"/>
            <w:vMerge w:val="restart"/>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Owned/Leased</w:t>
            </w:r>
          </w:p>
        </w:tc>
        <w:tc>
          <w:tcPr>
            <w:tcW w:w="27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Lease Expiration Dates</w:t>
            </w:r>
          </w:p>
        </w:tc>
        <w:tc>
          <w:tcPr>
            <w:tcW w:w="0" w:type="dxa"/>
            <w:vAlign w:val="bottom"/>
          </w:tcPr>
          <w:p>
            <w:pPr>
              <w:spacing w:after="0"/>
              <w:rPr>
                <w:sz w:val="1"/>
                <w:szCs w:val="1"/>
                <w:color w:val="auto"/>
              </w:rPr>
            </w:pPr>
          </w:p>
        </w:tc>
      </w:tr>
      <w:tr>
        <w:trPr>
          <w:trHeight w:val="243"/>
        </w:trPr>
        <w:tc>
          <w:tcPr>
            <w:tcW w:w="2060" w:type="dxa"/>
            <w:vAlign w:val="bottom"/>
            <w:tcBorders>
              <w:bottom w:val="single" w:sz="8" w:color="auto"/>
            </w:tcBorders>
            <w:vMerge w:val="continue"/>
          </w:tcPr>
          <w:p>
            <w:pPr>
              <w:spacing w:after="0"/>
              <w:rPr>
                <w:sz w:val="21"/>
                <w:szCs w:val="21"/>
                <w:color w:val="auto"/>
              </w:rPr>
            </w:pPr>
          </w:p>
        </w:tc>
        <w:tc>
          <w:tcPr>
            <w:tcW w:w="3200" w:type="dxa"/>
            <w:vAlign w:val="bottom"/>
            <w:tcBorders>
              <w:bottom w:val="single" w:sz="8" w:color="auto"/>
            </w:tcBorders>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9"/>
              </w:rPr>
              <w:t>thousands)</w:t>
            </w:r>
          </w:p>
        </w:tc>
        <w:tc>
          <w:tcPr>
            <w:tcW w:w="1260" w:type="dxa"/>
            <w:vAlign w:val="bottom"/>
            <w:tcBorders>
              <w:bottom w:val="single" w:sz="8" w:color="auto"/>
            </w:tcBorders>
            <w:vMerge w:val="continue"/>
          </w:tcPr>
          <w:p>
            <w:pPr>
              <w:spacing w:after="0"/>
              <w:rPr>
                <w:sz w:val="21"/>
                <w:szCs w:val="21"/>
                <w:color w:val="auto"/>
              </w:rPr>
            </w:pPr>
          </w:p>
        </w:tc>
        <w:tc>
          <w:tcPr>
            <w:tcW w:w="2000" w:type="dxa"/>
            <w:vAlign w:val="bottom"/>
            <w:tcBorders>
              <w:bottom w:val="single" w:sz="8" w:color="auto"/>
            </w:tcBorders>
            <w:vMerge w:val="continue"/>
          </w:tcPr>
          <w:p>
            <w:pPr>
              <w:spacing w:after="0"/>
              <w:rPr>
                <w:sz w:val="21"/>
                <w:szCs w:val="21"/>
                <w:color w:val="auto"/>
              </w:rPr>
            </w:pPr>
          </w:p>
        </w:tc>
        <w:tc>
          <w:tcPr>
            <w:tcW w:w="272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26"/>
        </w:trPr>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w:t>
            </w:r>
            <w:r>
              <w:rPr>
                <w:rFonts w:ascii="Times New Roman" w:cs="Times New Roman" w:eastAsia="Times New Roman" w:hAnsi="Times New Roman"/>
                <w:sz w:val="25"/>
                <w:szCs w:val="25"/>
                <w:color w:val="auto"/>
                <w:vertAlign w:val="superscript"/>
              </w:rPr>
              <w:t>(1)(2)</w:t>
            </w:r>
          </w:p>
        </w:tc>
        <w:tc>
          <w:tcPr>
            <w:tcW w:w="320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rPr>
              <w:t>341</w:t>
            </w:r>
          </w:p>
        </w:tc>
        <w:tc>
          <w:tcPr>
            <w:tcW w:w="12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5"/>
              </w:rPr>
              <w:t>ATS/CCS</w:t>
            </w:r>
          </w:p>
        </w:tc>
        <w:tc>
          <w:tcPr>
            <w:tcW w:w="20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7"/>
              </w:rPr>
              <w:t>Leased</w:t>
            </w: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between 2025 and 2028</w:t>
            </w:r>
          </w:p>
        </w:tc>
        <w:tc>
          <w:tcPr>
            <w:tcW w:w="0" w:type="dxa"/>
            <w:vAlign w:val="bottom"/>
          </w:tcPr>
          <w:p>
            <w:pPr>
              <w:spacing w:after="0"/>
              <w:rPr>
                <w:sz w:val="1"/>
                <w:szCs w:val="1"/>
                <w:color w:val="auto"/>
              </w:rPr>
            </w:pPr>
          </w:p>
        </w:tc>
      </w:tr>
      <w:tr>
        <w:trPr>
          <w:trHeight w:val="214"/>
        </w:trPr>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Arizona</w:t>
            </w:r>
          </w:p>
        </w:tc>
        <w:tc>
          <w:tcPr>
            <w:tcW w:w="320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w w:val="96"/>
              </w:rPr>
              <w:t>111</w:t>
            </w:r>
          </w:p>
        </w:tc>
        <w:tc>
          <w:tcPr>
            <w:tcW w:w="12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3"/>
              </w:rPr>
              <w:t>ATS</w:t>
            </w:r>
          </w:p>
        </w:tc>
        <w:tc>
          <w:tcPr>
            <w:tcW w:w="20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7"/>
              </w:rPr>
              <w:t>Leased</w:t>
            </w: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2027</w:t>
            </w:r>
          </w:p>
        </w:tc>
        <w:tc>
          <w:tcPr>
            <w:tcW w:w="0" w:type="dxa"/>
            <w:vAlign w:val="bottom"/>
          </w:tcPr>
          <w:p>
            <w:pPr>
              <w:spacing w:after="0"/>
              <w:rPr>
                <w:sz w:val="1"/>
                <w:szCs w:val="1"/>
                <w:color w:val="auto"/>
              </w:rPr>
            </w:pPr>
          </w:p>
        </w:tc>
      </w:tr>
      <w:tr>
        <w:trPr>
          <w:trHeight w:val="243"/>
        </w:trPr>
        <w:tc>
          <w:tcPr>
            <w:tcW w:w="2060" w:type="dxa"/>
            <w:vAlign w:val="bottom"/>
          </w:tcPr>
          <w:p>
            <w:pPr>
              <w:ind w:left="20"/>
              <w:spacing w:after="0" w:line="242" w:lineRule="exact"/>
              <w:rPr>
                <w:sz w:val="20"/>
                <w:szCs w:val="20"/>
                <w:color w:val="auto"/>
              </w:rPr>
            </w:pPr>
            <w:r>
              <w:rPr>
                <w:rFonts w:ascii="Times New Roman" w:cs="Times New Roman" w:eastAsia="Times New Roman" w:hAnsi="Times New Roman"/>
                <w:sz w:val="18"/>
                <w:szCs w:val="18"/>
                <w:color w:val="auto"/>
              </w:rPr>
              <w:t>California</w:t>
            </w:r>
            <w:r>
              <w:rPr>
                <w:rFonts w:ascii="Times New Roman" w:cs="Times New Roman" w:eastAsia="Times New Roman" w:hAnsi="Times New Roman"/>
                <w:sz w:val="25"/>
                <w:szCs w:val="25"/>
                <w:color w:val="auto"/>
                <w:vertAlign w:val="superscript"/>
              </w:rPr>
              <w:t>(2)</w:t>
            </w:r>
          </w:p>
        </w:tc>
        <w:tc>
          <w:tcPr>
            <w:tcW w:w="320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rPr>
              <w:t>202</w:t>
            </w:r>
          </w:p>
        </w:tc>
        <w:tc>
          <w:tcPr>
            <w:tcW w:w="12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5"/>
              </w:rPr>
              <w:t>ATS/CCS</w:t>
            </w:r>
          </w:p>
        </w:tc>
        <w:tc>
          <w:tcPr>
            <w:tcW w:w="20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7"/>
              </w:rPr>
              <w:t>Leased</w:t>
            </w: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between 2025 and 2028</w:t>
            </w:r>
          </w:p>
        </w:tc>
        <w:tc>
          <w:tcPr>
            <w:tcW w:w="0" w:type="dxa"/>
            <w:vAlign w:val="bottom"/>
          </w:tcPr>
          <w:p>
            <w:pPr>
              <w:spacing w:after="0"/>
              <w:rPr>
                <w:sz w:val="1"/>
                <w:szCs w:val="1"/>
                <w:color w:val="auto"/>
              </w:rPr>
            </w:pPr>
          </w:p>
        </w:tc>
      </w:tr>
      <w:tr>
        <w:trPr>
          <w:trHeight w:val="243"/>
        </w:trPr>
        <w:tc>
          <w:tcPr>
            <w:tcW w:w="2060" w:type="dxa"/>
            <w:vAlign w:val="bottom"/>
          </w:tcPr>
          <w:p>
            <w:pPr>
              <w:ind w:left="20"/>
              <w:spacing w:after="0" w:line="243" w:lineRule="exact"/>
              <w:rPr>
                <w:sz w:val="20"/>
                <w:szCs w:val="20"/>
                <w:color w:val="auto"/>
              </w:rPr>
            </w:pPr>
            <w:r>
              <w:rPr>
                <w:rFonts w:ascii="Times New Roman" w:cs="Times New Roman" w:eastAsia="Times New Roman" w:hAnsi="Times New Roman"/>
                <w:sz w:val="28"/>
                <w:szCs w:val="28"/>
                <w:color w:val="auto"/>
                <w:vertAlign w:val="subscript"/>
              </w:rPr>
              <w:t>China</w:t>
            </w:r>
            <w:r>
              <w:rPr>
                <w:rFonts w:ascii="Times New Roman" w:cs="Times New Roman" w:eastAsia="Times New Roman" w:hAnsi="Times New Roman"/>
                <w:sz w:val="11"/>
                <w:szCs w:val="11"/>
                <w:color w:val="auto"/>
              </w:rPr>
              <w:t>(2)(3)</w:t>
            </w:r>
          </w:p>
        </w:tc>
        <w:tc>
          <w:tcPr>
            <w:tcW w:w="320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w w:val="98"/>
              </w:rPr>
              <w:t>1,026</w:t>
            </w:r>
          </w:p>
        </w:tc>
        <w:tc>
          <w:tcPr>
            <w:tcW w:w="12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5"/>
              </w:rPr>
              <w:t>ATS/CCS</w:t>
            </w:r>
          </w:p>
        </w:tc>
        <w:tc>
          <w:tcPr>
            <w:tcW w:w="20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Owned/Leased</w:t>
            </w: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between 2025 and 2056</w:t>
            </w:r>
          </w:p>
        </w:tc>
        <w:tc>
          <w:tcPr>
            <w:tcW w:w="0" w:type="dxa"/>
            <w:vAlign w:val="bottom"/>
          </w:tcPr>
          <w:p>
            <w:pPr>
              <w:spacing w:after="0"/>
              <w:rPr>
                <w:sz w:val="1"/>
                <w:szCs w:val="1"/>
                <w:color w:val="auto"/>
              </w:rPr>
            </w:pPr>
          </w:p>
        </w:tc>
      </w:tr>
      <w:tr>
        <w:trPr>
          <w:trHeight w:val="259"/>
        </w:trPr>
        <w:tc>
          <w:tcPr>
            <w:tcW w:w="2060" w:type="dxa"/>
            <w:vAlign w:val="bottom"/>
          </w:tcPr>
          <w:p>
            <w:pPr>
              <w:ind w:left="20"/>
              <w:spacing w:after="0" w:line="259" w:lineRule="exact"/>
              <w:rPr>
                <w:sz w:val="20"/>
                <w:szCs w:val="20"/>
                <w:color w:val="auto"/>
              </w:rPr>
            </w:pPr>
            <w:r>
              <w:rPr>
                <w:rFonts w:ascii="Times New Roman" w:cs="Times New Roman" w:eastAsia="Times New Roman" w:hAnsi="Times New Roman"/>
                <w:sz w:val="18"/>
                <w:szCs w:val="18"/>
                <w:color w:val="auto"/>
              </w:rPr>
              <w:t>Georgia</w:t>
            </w:r>
            <w:r>
              <w:rPr>
                <w:rFonts w:ascii="Times New Roman" w:cs="Times New Roman" w:eastAsia="Times New Roman" w:hAnsi="Times New Roman"/>
                <w:sz w:val="25"/>
                <w:szCs w:val="25"/>
                <w:color w:val="auto"/>
                <w:vertAlign w:val="superscript"/>
              </w:rPr>
              <w:t>(2)</w:t>
            </w:r>
          </w:p>
        </w:tc>
        <w:tc>
          <w:tcPr>
            <w:tcW w:w="320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w w:val="99"/>
              </w:rPr>
              <w:t>48</w:t>
            </w:r>
          </w:p>
        </w:tc>
        <w:tc>
          <w:tcPr>
            <w:tcW w:w="12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CCS</w:t>
            </w:r>
          </w:p>
        </w:tc>
        <w:tc>
          <w:tcPr>
            <w:tcW w:w="20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7"/>
              </w:rPr>
              <w:t>Leased</w:t>
            </w: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between 2025 and 2026</w:t>
            </w:r>
          </w:p>
        </w:tc>
        <w:tc>
          <w:tcPr>
            <w:tcW w:w="0" w:type="dxa"/>
            <w:vAlign w:val="bottom"/>
          </w:tcPr>
          <w:p>
            <w:pPr>
              <w:spacing w:after="0"/>
              <w:rPr>
                <w:sz w:val="1"/>
                <w:szCs w:val="1"/>
                <w:color w:val="auto"/>
              </w:rPr>
            </w:pPr>
          </w:p>
        </w:tc>
      </w:tr>
      <w:tr>
        <w:trPr>
          <w:trHeight w:val="226"/>
        </w:trPr>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India</w:t>
            </w:r>
          </w:p>
        </w:tc>
        <w:tc>
          <w:tcPr>
            <w:tcW w:w="320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w w:val="99"/>
              </w:rPr>
              <w:t>23</w:t>
            </w:r>
          </w:p>
        </w:tc>
        <w:tc>
          <w:tcPr>
            <w:tcW w:w="12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CCS</w:t>
            </w:r>
          </w:p>
        </w:tc>
        <w:tc>
          <w:tcPr>
            <w:tcW w:w="20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7"/>
              </w:rPr>
              <w:t>Leased</w:t>
            </w: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2027</w:t>
            </w:r>
          </w:p>
        </w:tc>
        <w:tc>
          <w:tcPr>
            <w:tcW w:w="0" w:type="dxa"/>
            <w:vAlign w:val="bottom"/>
          </w:tcPr>
          <w:p>
            <w:pPr>
              <w:spacing w:after="0"/>
              <w:rPr>
                <w:sz w:val="1"/>
                <w:szCs w:val="1"/>
                <w:color w:val="auto"/>
              </w:rPr>
            </w:pPr>
          </w:p>
        </w:tc>
      </w:tr>
      <w:tr>
        <w:trPr>
          <w:trHeight w:val="217"/>
        </w:trPr>
        <w:tc>
          <w:tcPr>
            <w:tcW w:w="206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Indonesia</w:t>
            </w:r>
            <w:r>
              <w:rPr>
                <w:rFonts w:ascii="Times New Roman" w:cs="Times New Roman" w:eastAsia="Times New Roman" w:hAnsi="Times New Roman"/>
                <w:sz w:val="23"/>
                <w:szCs w:val="23"/>
                <w:color w:val="auto"/>
                <w:vertAlign w:val="superscript"/>
              </w:rPr>
              <w:t>(3)</w:t>
            </w:r>
          </w:p>
        </w:tc>
        <w:tc>
          <w:tcPr>
            <w:tcW w:w="320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rPr>
              <w:t>169</w:t>
            </w:r>
          </w:p>
        </w:tc>
        <w:tc>
          <w:tcPr>
            <w:tcW w:w="12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3"/>
              </w:rPr>
              <w:t>ATS</w:t>
            </w:r>
          </w:p>
        </w:tc>
        <w:tc>
          <w:tcPr>
            <w:tcW w:w="20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Owned/Leased</w:t>
            </w: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2028</w:t>
            </w:r>
          </w:p>
        </w:tc>
        <w:tc>
          <w:tcPr>
            <w:tcW w:w="0" w:type="dxa"/>
            <w:vAlign w:val="bottom"/>
          </w:tcPr>
          <w:p>
            <w:pPr>
              <w:spacing w:after="0"/>
              <w:rPr>
                <w:sz w:val="1"/>
                <w:szCs w:val="1"/>
                <w:color w:val="auto"/>
              </w:rPr>
            </w:pPr>
          </w:p>
        </w:tc>
      </w:tr>
      <w:tr>
        <w:trPr>
          <w:trHeight w:val="243"/>
        </w:trPr>
        <w:tc>
          <w:tcPr>
            <w:tcW w:w="2060" w:type="dxa"/>
            <w:vAlign w:val="bottom"/>
          </w:tcPr>
          <w:p>
            <w:pPr>
              <w:ind w:left="20"/>
              <w:spacing w:after="0" w:line="242" w:lineRule="exact"/>
              <w:rPr>
                <w:sz w:val="20"/>
                <w:szCs w:val="20"/>
                <w:color w:val="auto"/>
              </w:rPr>
            </w:pPr>
            <w:r>
              <w:rPr>
                <w:rFonts w:ascii="Times New Roman" w:cs="Times New Roman" w:eastAsia="Times New Roman" w:hAnsi="Times New Roman"/>
                <w:sz w:val="18"/>
                <w:szCs w:val="18"/>
                <w:color w:val="auto"/>
              </w:rPr>
              <w:t>Ireland</w:t>
            </w:r>
            <w:r>
              <w:rPr>
                <w:rFonts w:ascii="Times New Roman" w:cs="Times New Roman" w:eastAsia="Times New Roman" w:hAnsi="Times New Roman"/>
                <w:sz w:val="25"/>
                <w:szCs w:val="25"/>
                <w:color w:val="auto"/>
                <w:vertAlign w:val="superscript"/>
              </w:rPr>
              <w:t>(2)</w:t>
            </w:r>
          </w:p>
        </w:tc>
        <w:tc>
          <w:tcPr>
            <w:tcW w:w="320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w w:val="99"/>
              </w:rPr>
              <w:t>89</w:t>
            </w:r>
          </w:p>
        </w:tc>
        <w:tc>
          <w:tcPr>
            <w:tcW w:w="12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5"/>
              </w:rPr>
              <w:t>ATS/CCS</w:t>
            </w:r>
          </w:p>
        </w:tc>
        <w:tc>
          <w:tcPr>
            <w:tcW w:w="20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7"/>
              </w:rPr>
              <w:t>Leased</w:t>
            </w: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between 2030 and 2034</w:t>
            </w:r>
          </w:p>
        </w:tc>
        <w:tc>
          <w:tcPr>
            <w:tcW w:w="0" w:type="dxa"/>
            <w:vAlign w:val="bottom"/>
          </w:tcPr>
          <w:p>
            <w:pPr>
              <w:spacing w:after="0"/>
              <w:rPr>
                <w:sz w:val="1"/>
                <w:szCs w:val="1"/>
                <w:color w:val="auto"/>
              </w:rPr>
            </w:pPr>
          </w:p>
        </w:tc>
      </w:tr>
      <w:tr>
        <w:trPr>
          <w:trHeight w:val="259"/>
        </w:trPr>
        <w:tc>
          <w:tcPr>
            <w:tcW w:w="2060" w:type="dxa"/>
            <w:vAlign w:val="bottom"/>
          </w:tcPr>
          <w:p>
            <w:pPr>
              <w:ind w:left="20"/>
              <w:spacing w:after="0" w:line="259" w:lineRule="exact"/>
              <w:rPr>
                <w:sz w:val="20"/>
                <w:szCs w:val="20"/>
                <w:color w:val="auto"/>
              </w:rPr>
            </w:pPr>
            <w:r>
              <w:rPr>
                <w:rFonts w:ascii="Times New Roman" w:cs="Times New Roman" w:eastAsia="Times New Roman" w:hAnsi="Times New Roman"/>
                <w:sz w:val="18"/>
                <w:szCs w:val="18"/>
                <w:color w:val="auto"/>
              </w:rPr>
              <w:t>Japan</w:t>
            </w:r>
            <w:r>
              <w:rPr>
                <w:rFonts w:ascii="Times New Roman" w:cs="Times New Roman" w:eastAsia="Times New Roman" w:hAnsi="Times New Roman"/>
                <w:sz w:val="25"/>
                <w:szCs w:val="25"/>
                <w:color w:val="auto"/>
                <w:vertAlign w:val="superscript"/>
              </w:rPr>
              <w:t>(2)</w:t>
            </w:r>
          </w:p>
        </w:tc>
        <w:tc>
          <w:tcPr>
            <w:tcW w:w="320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rPr>
              <w:t>544</w:t>
            </w:r>
          </w:p>
        </w:tc>
        <w:tc>
          <w:tcPr>
            <w:tcW w:w="12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5"/>
              </w:rPr>
              <w:t>ATS/CCS</w:t>
            </w:r>
          </w:p>
        </w:tc>
        <w:tc>
          <w:tcPr>
            <w:tcW w:w="20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Owned/Leased</w:t>
            </w: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2026</w:t>
            </w:r>
          </w:p>
        </w:tc>
        <w:tc>
          <w:tcPr>
            <w:tcW w:w="0" w:type="dxa"/>
            <w:vAlign w:val="bottom"/>
          </w:tcPr>
          <w:p>
            <w:pPr>
              <w:spacing w:after="0"/>
              <w:rPr>
                <w:sz w:val="1"/>
                <w:szCs w:val="1"/>
                <w:color w:val="auto"/>
              </w:rPr>
            </w:pPr>
          </w:p>
        </w:tc>
      </w:tr>
      <w:tr>
        <w:trPr>
          <w:trHeight w:val="214"/>
        </w:trPr>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Laos</w:t>
            </w:r>
          </w:p>
        </w:tc>
        <w:tc>
          <w:tcPr>
            <w:tcW w:w="320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w w:val="96"/>
              </w:rPr>
              <w:t>114</w:t>
            </w:r>
          </w:p>
        </w:tc>
        <w:tc>
          <w:tcPr>
            <w:tcW w:w="12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CCS</w:t>
            </w:r>
          </w:p>
        </w:tc>
        <w:tc>
          <w:tcPr>
            <w:tcW w:w="20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7"/>
              </w:rPr>
              <w:t>Leased</w:t>
            </w: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2026</w:t>
            </w:r>
          </w:p>
        </w:tc>
        <w:tc>
          <w:tcPr>
            <w:tcW w:w="0" w:type="dxa"/>
            <w:vAlign w:val="bottom"/>
          </w:tcPr>
          <w:p>
            <w:pPr>
              <w:spacing w:after="0"/>
              <w:rPr>
                <w:sz w:val="1"/>
                <w:szCs w:val="1"/>
                <w:color w:val="auto"/>
              </w:rPr>
            </w:pPr>
          </w:p>
        </w:tc>
      </w:tr>
      <w:tr>
        <w:trPr>
          <w:trHeight w:val="259"/>
        </w:trPr>
        <w:tc>
          <w:tcPr>
            <w:tcW w:w="2060" w:type="dxa"/>
            <w:vAlign w:val="bottom"/>
          </w:tcPr>
          <w:p>
            <w:pPr>
              <w:ind w:left="20"/>
              <w:spacing w:after="0" w:line="259" w:lineRule="exact"/>
              <w:rPr>
                <w:sz w:val="20"/>
                <w:szCs w:val="20"/>
                <w:color w:val="auto"/>
              </w:rPr>
            </w:pPr>
            <w:r>
              <w:rPr>
                <w:rFonts w:ascii="Times New Roman" w:cs="Times New Roman" w:eastAsia="Times New Roman" w:hAnsi="Times New Roman"/>
                <w:sz w:val="18"/>
                <w:szCs w:val="18"/>
                <w:color w:val="auto"/>
              </w:rPr>
              <w:t>Malaysia</w:t>
            </w:r>
            <w:r>
              <w:rPr>
                <w:rFonts w:ascii="Times New Roman" w:cs="Times New Roman" w:eastAsia="Times New Roman" w:hAnsi="Times New Roman"/>
                <w:sz w:val="25"/>
                <w:szCs w:val="25"/>
                <w:color w:val="auto"/>
                <w:vertAlign w:val="superscript"/>
              </w:rPr>
              <w:t>(2)(3)</w:t>
            </w:r>
          </w:p>
        </w:tc>
        <w:tc>
          <w:tcPr>
            <w:tcW w:w="320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w w:val="98"/>
              </w:rPr>
              <w:t>1,476</w:t>
            </w:r>
          </w:p>
        </w:tc>
        <w:tc>
          <w:tcPr>
            <w:tcW w:w="12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5"/>
              </w:rPr>
              <w:t>ATS/CCS</w:t>
            </w:r>
          </w:p>
        </w:tc>
        <w:tc>
          <w:tcPr>
            <w:tcW w:w="20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Owned/Leased</w:t>
            </w: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between 2025 and 2060</w:t>
            </w:r>
          </w:p>
        </w:tc>
        <w:tc>
          <w:tcPr>
            <w:tcW w:w="0" w:type="dxa"/>
            <w:vAlign w:val="bottom"/>
          </w:tcPr>
          <w:p>
            <w:pPr>
              <w:spacing w:after="0"/>
              <w:rPr>
                <w:sz w:val="1"/>
                <w:szCs w:val="1"/>
                <w:color w:val="auto"/>
              </w:rPr>
            </w:pPr>
          </w:p>
        </w:tc>
      </w:tr>
      <w:tr>
        <w:trPr>
          <w:trHeight w:val="214"/>
        </w:trPr>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Massachusetts</w:t>
            </w:r>
          </w:p>
        </w:tc>
        <w:tc>
          <w:tcPr>
            <w:tcW w:w="320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w w:val="99"/>
              </w:rPr>
              <w:t>60</w:t>
            </w:r>
          </w:p>
        </w:tc>
        <w:tc>
          <w:tcPr>
            <w:tcW w:w="12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3"/>
              </w:rPr>
              <w:t>ATS</w:t>
            </w:r>
          </w:p>
        </w:tc>
        <w:tc>
          <w:tcPr>
            <w:tcW w:w="20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Owned</w:t>
            </w: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43"/>
        </w:trPr>
        <w:tc>
          <w:tcPr>
            <w:tcW w:w="2060" w:type="dxa"/>
            <w:vAlign w:val="bottom"/>
          </w:tcPr>
          <w:p>
            <w:pPr>
              <w:ind w:left="20"/>
              <w:spacing w:after="0" w:line="242" w:lineRule="exact"/>
              <w:rPr>
                <w:sz w:val="20"/>
                <w:szCs w:val="20"/>
                <w:color w:val="auto"/>
              </w:rPr>
            </w:pPr>
            <w:r>
              <w:rPr>
                <w:rFonts w:ascii="Times New Roman" w:cs="Times New Roman" w:eastAsia="Times New Roman" w:hAnsi="Times New Roman"/>
                <w:sz w:val="18"/>
                <w:szCs w:val="18"/>
                <w:color w:val="auto"/>
              </w:rPr>
              <w:t>Minnesota</w:t>
            </w:r>
            <w:r>
              <w:rPr>
                <w:rFonts w:ascii="Times New Roman" w:cs="Times New Roman" w:eastAsia="Times New Roman" w:hAnsi="Times New Roman"/>
                <w:sz w:val="25"/>
                <w:szCs w:val="25"/>
                <w:color w:val="auto"/>
                <w:vertAlign w:val="superscript"/>
              </w:rPr>
              <w:t>(2)</w:t>
            </w:r>
          </w:p>
        </w:tc>
        <w:tc>
          <w:tcPr>
            <w:tcW w:w="320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w w:val="99"/>
              </w:rPr>
              <w:t>82</w:t>
            </w:r>
          </w:p>
        </w:tc>
        <w:tc>
          <w:tcPr>
            <w:tcW w:w="12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3"/>
              </w:rPr>
              <w:t>ATS</w:t>
            </w:r>
          </w:p>
        </w:tc>
        <w:tc>
          <w:tcPr>
            <w:tcW w:w="20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7"/>
              </w:rPr>
              <w:t>Leased</w:t>
            </w: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between 2025 and 2032</w:t>
            </w:r>
          </w:p>
        </w:tc>
        <w:tc>
          <w:tcPr>
            <w:tcW w:w="0" w:type="dxa"/>
            <w:vAlign w:val="bottom"/>
          </w:tcPr>
          <w:p>
            <w:pPr>
              <w:spacing w:after="0"/>
              <w:rPr>
                <w:sz w:val="1"/>
                <w:szCs w:val="1"/>
                <w:color w:val="auto"/>
              </w:rPr>
            </w:pPr>
          </w:p>
        </w:tc>
      </w:tr>
      <w:tr>
        <w:trPr>
          <w:trHeight w:val="259"/>
        </w:trPr>
        <w:tc>
          <w:tcPr>
            <w:tcW w:w="2060" w:type="dxa"/>
            <w:vAlign w:val="bottom"/>
          </w:tcPr>
          <w:p>
            <w:pPr>
              <w:ind w:left="20"/>
              <w:spacing w:after="0" w:line="259" w:lineRule="exact"/>
              <w:rPr>
                <w:sz w:val="20"/>
                <w:szCs w:val="20"/>
                <w:color w:val="auto"/>
              </w:rPr>
            </w:pPr>
            <w:r>
              <w:rPr>
                <w:rFonts w:ascii="Times New Roman" w:cs="Times New Roman" w:eastAsia="Times New Roman" w:hAnsi="Times New Roman"/>
                <w:sz w:val="18"/>
                <w:szCs w:val="18"/>
                <w:color w:val="auto"/>
              </w:rPr>
              <w:t>Mexico</w:t>
            </w:r>
            <w:r>
              <w:rPr>
                <w:rFonts w:ascii="Times New Roman" w:cs="Times New Roman" w:eastAsia="Times New Roman" w:hAnsi="Times New Roman"/>
                <w:sz w:val="25"/>
                <w:szCs w:val="25"/>
                <w:color w:val="auto"/>
                <w:vertAlign w:val="superscript"/>
              </w:rPr>
              <w:t>(2)</w:t>
            </w:r>
          </w:p>
        </w:tc>
        <w:tc>
          <w:tcPr>
            <w:tcW w:w="320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rPr>
              <w:t>699</w:t>
            </w:r>
          </w:p>
        </w:tc>
        <w:tc>
          <w:tcPr>
            <w:tcW w:w="12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5"/>
              </w:rPr>
              <w:t>ATS/CCS</w:t>
            </w:r>
          </w:p>
        </w:tc>
        <w:tc>
          <w:tcPr>
            <w:tcW w:w="20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7"/>
              </w:rPr>
              <w:t>Leased</w:t>
            </w: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between 2027 and 2032</w:t>
            </w:r>
          </w:p>
        </w:tc>
        <w:tc>
          <w:tcPr>
            <w:tcW w:w="0" w:type="dxa"/>
            <w:vAlign w:val="bottom"/>
          </w:tcPr>
          <w:p>
            <w:pPr>
              <w:spacing w:after="0"/>
              <w:rPr>
                <w:sz w:val="1"/>
                <w:szCs w:val="1"/>
                <w:color w:val="auto"/>
              </w:rPr>
            </w:pPr>
          </w:p>
        </w:tc>
      </w:tr>
      <w:tr>
        <w:trPr>
          <w:trHeight w:val="230"/>
        </w:trPr>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Hampshire</w:t>
            </w:r>
          </w:p>
        </w:tc>
        <w:tc>
          <w:tcPr>
            <w:tcW w:w="320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w w:val="99"/>
              </w:rPr>
              <w:t>30</w:t>
            </w:r>
          </w:p>
        </w:tc>
        <w:tc>
          <w:tcPr>
            <w:tcW w:w="12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CCS</w:t>
            </w:r>
          </w:p>
        </w:tc>
        <w:tc>
          <w:tcPr>
            <w:tcW w:w="20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7"/>
              </w:rPr>
              <w:t>Leased</w:t>
            </w: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2028</w:t>
            </w:r>
          </w:p>
        </w:tc>
        <w:tc>
          <w:tcPr>
            <w:tcW w:w="0" w:type="dxa"/>
            <w:vAlign w:val="bottom"/>
          </w:tcPr>
          <w:p>
            <w:pPr>
              <w:spacing w:after="0"/>
              <w:rPr>
                <w:sz w:val="1"/>
                <w:szCs w:val="1"/>
                <w:color w:val="auto"/>
              </w:rPr>
            </w:pPr>
          </w:p>
        </w:tc>
      </w:tr>
      <w:tr>
        <w:trPr>
          <w:trHeight w:val="230"/>
        </w:trPr>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Oregon</w:t>
            </w:r>
          </w:p>
        </w:tc>
        <w:tc>
          <w:tcPr>
            <w:tcW w:w="320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rPr>
              <w:t>165</w:t>
            </w:r>
          </w:p>
        </w:tc>
        <w:tc>
          <w:tcPr>
            <w:tcW w:w="12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3"/>
              </w:rPr>
              <w:t>ATS</w:t>
            </w:r>
          </w:p>
        </w:tc>
        <w:tc>
          <w:tcPr>
            <w:tcW w:w="20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7"/>
              </w:rPr>
              <w:t>Leased</w:t>
            </w: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2026</w:t>
            </w:r>
          </w:p>
        </w:tc>
        <w:tc>
          <w:tcPr>
            <w:tcW w:w="0" w:type="dxa"/>
            <w:vAlign w:val="bottom"/>
          </w:tcPr>
          <w:p>
            <w:pPr>
              <w:spacing w:after="0"/>
              <w:rPr>
                <w:sz w:val="1"/>
                <w:szCs w:val="1"/>
                <w:color w:val="auto"/>
              </w:rPr>
            </w:pPr>
          </w:p>
        </w:tc>
      </w:tr>
      <w:tr>
        <w:trPr>
          <w:trHeight w:val="214"/>
        </w:trPr>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Romania</w:t>
            </w:r>
          </w:p>
        </w:tc>
        <w:tc>
          <w:tcPr>
            <w:tcW w:w="320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rPr>
              <w:t>286</w:t>
            </w:r>
          </w:p>
        </w:tc>
        <w:tc>
          <w:tcPr>
            <w:tcW w:w="12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5"/>
              </w:rPr>
              <w:t>ATS/CCS</w:t>
            </w:r>
          </w:p>
        </w:tc>
        <w:tc>
          <w:tcPr>
            <w:tcW w:w="20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Owned</w:t>
            </w: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43"/>
        </w:trPr>
        <w:tc>
          <w:tcPr>
            <w:tcW w:w="2060" w:type="dxa"/>
            <w:vAlign w:val="bottom"/>
          </w:tcPr>
          <w:p>
            <w:pPr>
              <w:ind w:left="20"/>
              <w:spacing w:after="0" w:line="242" w:lineRule="exact"/>
              <w:rPr>
                <w:sz w:val="20"/>
                <w:szCs w:val="20"/>
                <w:color w:val="auto"/>
              </w:rPr>
            </w:pPr>
            <w:r>
              <w:rPr>
                <w:rFonts w:ascii="Times New Roman" w:cs="Times New Roman" w:eastAsia="Times New Roman" w:hAnsi="Times New Roman"/>
                <w:sz w:val="18"/>
                <w:szCs w:val="18"/>
                <w:color w:val="auto"/>
              </w:rPr>
              <w:t>Singapore</w:t>
            </w:r>
            <w:r>
              <w:rPr>
                <w:rFonts w:ascii="Times New Roman" w:cs="Times New Roman" w:eastAsia="Times New Roman" w:hAnsi="Times New Roman"/>
                <w:sz w:val="25"/>
                <w:szCs w:val="25"/>
                <w:color w:val="auto"/>
                <w:vertAlign w:val="superscript"/>
              </w:rPr>
              <w:t>(2)(3)</w:t>
            </w:r>
          </w:p>
        </w:tc>
        <w:tc>
          <w:tcPr>
            <w:tcW w:w="320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rPr>
              <w:t>188</w:t>
            </w:r>
          </w:p>
        </w:tc>
        <w:tc>
          <w:tcPr>
            <w:tcW w:w="12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5"/>
              </w:rPr>
              <w:t>ATS/CCS</w:t>
            </w:r>
          </w:p>
        </w:tc>
        <w:tc>
          <w:tcPr>
            <w:tcW w:w="20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Owned/Leased</w:t>
            </w: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between 2025 and 2053</w:t>
            </w:r>
          </w:p>
        </w:tc>
        <w:tc>
          <w:tcPr>
            <w:tcW w:w="0" w:type="dxa"/>
            <w:vAlign w:val="bottom"/>
          </w:tcPr>
          <w:p>
            <w:pPr>
              <w:spacing w:after="0"/>
              <w:rPr>
                <w:sz w:val="1"/>
                <w:szCs w:val="1"/>
                <w:color w:val="auto"/>
              </w:rPr>
            </w:pPr>
          </w:p>
        </w:tc>
      </w:tr>
      <w:tr>
        <w:trPr>
          <w:trHeight w:val="259"/>
        </w:trPr>
        <w:tc>
          <w:tcPr>
            <w:tcW w:w="2060" w:type="dxa"/>
            <w:vAlign w:val="bottom"/>
          </w:tcPr>
          <w:p>
            <w:pPr>
              <w:ind w:left="20"/>
              <w:spacing w:after="0" w:line="259" w:lineRule="exact"/>
              <w:rPr>
                <w:sz w:val="20"/>
                <w:szCs w:val="20"/>
                <w:color w:val="auto"/>
              </w:rPr>
            </w:pPr>
            <w:r>
              <w:rPr>
                <w:rFonts w:ascii="Times New Roman" w:cs="Times New Roman" w:eastAsia="Times New Roman" w:hAnsi="Times New Roman"/>
                <w:sz w:val="18"/>
                <w:szCs w:val="18"/>
                <w:color w:val="auto"/>
              </w:rPr>
              <w:t>South Korea</w:t>
            </w:r>
            <w:r>
              <w:rPr>
                <w:rFonts w:ascii="Times New Roman" w:cs="Times New Roman" w:eastAsia="Times New Roman" w:hAnsi="Times New Roman"/>
                <w:sz w:val="25"/>
                <w:szCs w:val="25"/>
                <w:color w:val="auto"/>
                <w:vertAlign w:val="superscript"/>
              </w:rPr>
              <w:t>(2)</w:t>
            </w:r>
          </w:p>
        </w:tc>
        <w:tc>
          <w:tcPr>
            <w:tcW w:w="320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rPr>
              <w:t>207</w:t>
            </w:r>
          </w:p>
        </w:tc>
        <w:tc>
          <w:tcPr>
            <w:tcW w:w="12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3"/>
              </w:rPr>
              <w:t>ATS</w:t>
            </w:r>
          </w:p>
        </w:tc>
        <w:tc>
          <w:tcPr>
            <w:tcW w:w="20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Owned/Leased</w:t>
            </w: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2026</w:t>
            </w:r>
          </w:p>
        </w:tc>
        <w:tc>
          <w:tcPr>
            <w:tcW w:w="0" w:type="dxa"/>
            <w:vAlign w:val="bottom"/>
          </w:tcPr>
          <w:p>
            <w:pPr>
              <w:spacing w:after="0"/>
              <w:rPr>
                <w:sz w:val="1"/>
                <w:szCs w:val="1"/>
                <w:color w:val="auto"/>
              </w:rPr>
            </w:pPr>
          </w:p>
        </w:tc>
      </w:tr>
      <w:tr>
        <w:trPr>
          <w:trHeight w:val="214"/>
        </w:trPr>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Spain</w:t>
            </w:r>
          </w:p>
        </w:tc>
        <w:tc>
          <w:tcPr>
            <w:tcW w:w="320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rPr>
              <w:t>109</w:t>
            </w:r>
          </w:p>
        </w:tc>
        <w:tc>
          <w:tcPr>
            <w:tcW w:w="12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3"/>
              </w:rPr>
              <w:t>ATS</w:t>
            </w:r>
          </w:p>
        </w:tc>
        <w:tc>
          <w:tcPr>
            <w:tcW w:w="20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Owned</w:t>
            </w: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43"/>
        </w:trPr>
        <w:tc>
          <w:tcPr>
            <w:tcW w:w="2060" w:type="dxa"/>
            <w:vAlign w:val="bottom"/>
          </w:tcPr>
          <w:p>
            <w:pPr>
              <w:ind w:left="20"/>
              <w:spacing w:after="0" w:line="242" w:lineRule="exact"/>
              <w:rPr>
                <w:sz w:val="20"/>
                <w:szCs w:val="20"/>
                <w:color w:val="auto"/>
              </w:rPr>
            </w:pPr>
            <w:r>
              <w:rPr>
                <w:rFonts w:ascii="Times New Roman" w:cs="Times New Roman" w:eastAsia="Times New Roman" w:hAnsi="Times New Roman"/>
                <w:sz w:val="18"/>
                <w:szCs w:val="18"/>
                <w:color w:val="auto"/>
              </w:rPr>
              <w:t>Texas</w:t>
            </w:r>
            <w:r>
              <w:rPr>
                <w:rFonts w:ascii="Times New Roman" w:cs="Times New Roman" w:eastAsia="Times New Roman" w:hAnsi="Times New Roman"/>
                <w:sz w:val="25"/>
                <w:szCs w:val="25"/>
                <w:color w:val="auto"/>
                <w:vertAlign w:val="superscript"/>
              </w:rPr>
              <w:t>(4)</w:t>
            </w:r>
          </w:p>
        </w:tc>
        <w:tc>
          <w:tcPr>
            <w:tcW w:w="320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rPr>
              <w:t>274</w:t>
            </w:r>
          </w:p>
        </w:tc>
        <w:tc>
          <w:tcPr>
            <w:tcW w:w="12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5"/>
              </w:rPr>
              <w:t>ATS/CCS</w:t>
            </w:r>
          </w:p>
        </w:tc>
        <w:tc>
          <w:tcPr>
            <w:tcW w:w="20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7"/>
              </w:rPr>
              <w:t>Leased</w:t>
            </w: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2032</w:t>
            </w:r>
          </w:p>
        </w:tc>
        <w:tc>
          <w:tcPr>
            <w:tcW w:w="0" w:type="dxa"/>
            <w:vAlign w:val="bottom"/>
          </w:tcPr>
          <w:p>
            <w:pPr>
              <w:spacing w:after="0"/>
              <w:rPr>
                <w:sz w:val="1"/>
                <w:szCs w:val="1"/>
                <w:color w:val="auto"/>
              </w:rPr>
            </w:pPr>
          </w:p>
        </w:tc>
      </w:tr>
      <w:tr>
        <w:trPr>
          <w:trHeight w:val="339"/>
        </w:trPr>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Thailand</w:t>
            </w:r>
            <w:r>
              <w:rPr>
                <w:rFonts w:ascii="Times New Roman" w:cs="Times New Roman" w:eastAsia="Times New Roman" w:hAnsi="Times New Roman"/>
                <w:sz w:val="25"/>
                <w:szCs w:val="25"/>
                <w:color w:val="auto"/>
                <w:vertAlign w:val="superscript"/>
              </w:rPr>
              <w:t>(2)(3)</w:t>
            </w:r>
          </w:p>
        </w:tc>
        <w:tc>
          <w:tcPr>
            <w:tcW w:w="320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w w:val="98"/>
              </w:rPr>
              <w:t>1,011</w:t>
            </w:r>
          </w:p>
        </w:tc>
        <w:tc>
          <w:tcPr>
            <w:tcW w:w="12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5"/>
              </w:rPr>
              <w:t>ATS/CCS</w:t>
            </w:r>
          </w:p>
        </w:tc>
        <w:tc>
          <w:tcPr>
            <w:tcW w:w="20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Owned/Leased</w:t>
            </w: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between 2025 and 2048</w:t>
            </w:r>
          </w:p>
        </w:tc>
        <w:tc>
          <w:tcPr>
            <w:tcW w:w="0" w:type="dxa"/>
            <w:vAlign w:val="bottom"/>
          </w:tcPr>
          <w:p>
            <w:pPr>
              <w:spacing w:after="0"/>
              <w:rPr>
                <w:sz w:val="1"/>
                <w:szCs w:val="1"/>
                <w:color w:val="auto"/>
              </w:rPr>
            </w:pPr>
          </w:p>
        </w:tc>
      </w:tr>
    </w:tbl>
    <w:p>
      <w:pPr>
        <w:spacing w:after="0" w:line="73" w:lineRule="exact"/>
        <w:rPr>
          <w:sz w:val="20"/>
          <w:szCs w:val="20"/>
          <w:color w:val="auto"/>
        </w:rPr>
      </w:pPr>
    </w:p>
    <w:p>
      <w:pPr>
        <w:jc w:val="both"/>
        <w:ind w:left="500" w:hanging="492"/>
        <w:spacing w:after="0" w:line="263" w:lineRule="auto"/>
        <w:tabs>
          <w:tab w:leader="none" w:pos="50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connection with our March 2019 Toronto real property sale, we entered into a 10-year lease with the purchaser of such property for our then-anticipated corporate headquarters, to be built by such purchaser on the site of our former location (Purchaser Lease). The Purchaser lease started in June 2024. In November 2022, we extended (on a long-term basis) the lease on our current corporate headquarters, and in 2023, we executed a sublease for a portion of the space under the Purchaser Lease. Leased square footage under Purchaser Lease was excluded from the table above.</w:t>
      </w:r>
    </w:p>
    <w:p>
      <w:pPr>
        <w:spacing w:after="0" w:line="3" w:lineRule="exact"/>
        <w:rPr>
          <w:rFonts w:ascii="Times New Roman" w:cs="Times New Roman" w:eastAsia="Times New Roman" w:hAnsi="Times New Roman"/>
          <w:sz w:val="16"/>
          <w:szCs w:val="16"/>
          <w:color w:val="auto"/>
        </w:rPr>
      </w:pPr>
    </w:p>
    <w:p>
      <w:pPr>
        <w:ind w:left="500" w:hanging="492"/>
        <w:spacing w:after="0"/>
        <w:tabs>
          <w:tab w:leader="none" w:pos="50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multiple locations.</w:t>
      </w:r>
    </w:p>
    <w:p>
      <w:pPr>
        <w:spacing w:after="0" w:line="45" w:lineRule="exact"/>
        <w:rPr>
          <w:rFonts w:ascii="Times New Roman" w:cs="Times New Roman" w:eastAsia="Times New Roman" w:hAnsi="Times New Roman"/>
          <w:sz w:val="16"/>
          <w:szCs w:val="16"/>
          <w:color w:val="auto"/>
        </w:rPr>
      </w:pPr>
    </w:p>
    <w:p>
      <w:pPr>
        <w:ind w:left="500" w:hanging="492"/>
        <w:spacing w:after="0"/>
        <w:tabs>
          <w:tab w:leader="none" w:pos="50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 respect to these locations, the land is leased, and the buildings are either owned or leased by us.</w:t>
      </w:r>
    </w:p>
    <w:p>
      <w:pPr>
        <w:spacing w:after="0" w:line="43" w:lineRule="exact"/>
        <w:rPr>
          <w:rFonts w:ascii="Times New Roman" w:cs="Times New Roman" w:eastAsia="Times New Roman" w:hAnsi="Times New Roman"/>
          <w:sz w:val="16"/>
          <w:szCs w:val="16"/>
          <w:color w:val="auto"/>
        </w:rPr>
      </w:pPr>
    </w:p>
    <w:p>
      <w:pPr>
        <w:ind w:left="500" w:hanging="492"/>
        <w:spacing w:after="0"/>
        <w:tabs>
          <w:tab w:leader="none" w:pos="50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We are committed to leasing additional space at this site starting April 2027. See Item 7, MD&amp;A — "Liquidity — </w:t>
      </w:r>
      <w:r>
        <w:rPr>
          <w:rFonts w:ascii="Times New Roman" w:cs="Times New Roman" w:eastAsia="Times New Roman" w:hAnsi="Times New Roman"/>
          <w:sz w:val="16"/>
          <w:szCs w:val="16"/>
          <w:i w:val="1"/>
          <w:iCs w:val="1"/>
          <w:color w:val="auto"/>
        </w:rPr>
        <w:t>Cash requirements</w:t>
      </w:r>
      <w:r>
        <w:rPr>
          <w:rFonts w:ascii="Times New Roman" w:cs="Times New Roman" w:eastAsia="Times New Roman" w:hAnsi="Times New Roman"/>
          <w:sz w:val="16"/>
          <w:szCs w:val="16"/>
          <w:color w:val="auto"/>
        </w:rPr>
        <w:t xml:space="preserve"> — Contractual Obligations."</w:t>
      </w:r>
    </w:p>
    <w:p>
      <w:pPr>
        <w:spacing w:after="0" w:line="23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consider each of the properties in the table above to be adequate for its purpose and suitably utilized according to the individual nature and requirements of the relevant operations. We currently expect to be able to extend the terms of expiring leases or to find replacement sites on commercially acceptable terms. Our principal executive office is located at 5140 Yonge Street, Suite 1900, Toronto, Ontario, Canada M2N 6L7.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50" w:name="page51"/>
    <w:bookmarkEnd w:id="50"/>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the normal course of our operations, we may be subject to litigation, investigations and other claims, including legal, regulatory and tax proceedings. In the opinion of management, the ultimate resolutions of all such currently pending matters will not have a material adverse effect on our consolidated financial position or results of operations. There are no material proceedings in which any of our directors, officers, affiliates, or owners of more than 5% of our Common Shares is either a party adverse to us or our subsidiaries or has a material interest adverse to us or our subsidiaries. Information concerning the status of certain tax matters is disclosed in Item 7, MD&amp;A — Liquidity and Capital Resources — Litigation and Contingencies (including indemnities), and note 21 to the 2024 AFS herein.</w:t>
      </w:r>
    </w:p>
    <w:p>
      <w:pPr>
        <w:spacing w:after="0" w:line="18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tab/>
        <w:t>Mine Safety Disclosure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right="1840"/>
        <w:spacing w:after="0" w:line="503"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 Market Information</w:t>
      </w:r>
    </w:p>
    <w:p>
      <w:pPr>
        <w:ind w:left="660"/>
        <w:spacing w:after="0"/>
        <w:rPr>
          <w:sz w:val="20"/>
          <w:szCs w:val="20"/>
          <w:color w:val="auto"/>
        </w:rPr>
      </w:pPr>
      <w:r>
        <w:rPr>
          <w:rFonts w:ascii="Times New Roman" w:cs="Times New Roman" w:eastAsia="Times New Roman" w:hAnsi="Times New Roman"/>
          <w:sz w:val="18"/>
          <w:szCs w:val="18"/>
          <w:color w:val="auto"/>
        </w:rPr>
        <w:t>The Common Shares are listed on the NYSE and the TSX (in each case under the symbol "CLS").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of February 20, 2025, based on information provided to us by our transfer agent, there were 1,501 holders of record of Common Shares, of which 373 holders, holding approximately 96.4% of the outstanding Common Shares, were resident in the U.S. and 277 holders, holding approximately 3.5% of the outstanding Common Shares, were resident in Canada. These numbers are not representative of the number of beneficial holders of our Common Shares nor are they representative of where such beneficial holders reside, since many of such shares are held of record by brokers or other nominees. We do not have knowledge of the identities of the beneficial owners of Common Shares registered through intermediaries.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not declared or paid any dividends to our shareholders. We intend to retain earnings for general corporate purposes to promote future growth; as such, our Board does not anticipate paying any dividends at this time. Our Board will review this policy from time-to-time, having regard to our financial condition, financing requirements and other relevant factors.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chart compares the cumulative total shareholder return (TSR) of $100 invested in Common Shares with the cumulative TSR of the S&amp;P/TSX Composite Total Return Index and S&amp;P 500 Information Technology Total Return for the period from December 31, 2019 to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51" w:name="page52"/>
    <w:bookmarkEnd w:id="51"/>
    <w:p>
      <w:pPr>
        <w:ind w:left="4840"/>
        <w:spacing w:after="0"/>
        <w:rPr>
          <w:sz w:val="20"/>
          <w:szCs w:val="20"/>
          <w:color w:val="auto"/>
        </w:rPr>
      </w:pPr>
      <w:r>
        <w:rPr>
          <w:rFonts w:ascii="Times New Roman" w:cs="Times New Roman" w:eastAsia="Times New Roman" w:hAnsi="Times New Roman"/>
          <w:sz w:val="18"/>
          <w:szCs w:val="18"/>
          <w:b w:val="1"/>
          <w:bCs w:val="1"/>
          <w:color w:val="auto"/>
        </w:rPr>
        <w:t>Table 1: Performance Graph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19685</wp:posOffset>
            </wp:positionV>
            <wp:extent cx="5863590" cy="18345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863590" cy="1834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i w:val="1"/>
          <w:iCs w:val="1"/>
          <w:color w:val="auto"/>
        </w:rPr>
        <w:t>* For the purpose of the graph, it was assumed that CAD:US dollar conversion ratio remained at 1:1 for the years presented.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229" w:lineRule="exact"/>
        <w:rPr>
          <w:sz w:val="20"/>
          <w:szCs w:val="20"/>
          <w:color w:val="auto"/>
        </w:rPr>
      </w:pPr>
    </w:p>
    <w:p>
      <w:pPr>
        <w:jc w:val="both"/>
        <w:ind w:right="20" w:firstLine="648"/>
        <w:spacing w:after="0" w:line="255" w:lineRule="auto"/>
        <w:rPr>
          <w:sz w:val="20"/>
          <w:szCs w:val="20"/>
          <w:color w:val="auto"/>
        </w:rPr>
      </w:pPr>
      <w:r>
        <w:rPr>
          <w:rFonts w:ascii="Times New Roman" w:cs="Times New Roman" w:eastAsia="Times New Roman" w:hAnsi="Times New Roman"/>
          <w:sz w:val="18"/>
          <w:szCs w:val="18"/>
          <w:color w:val="auto"/>
        </w:rPr>
        <w:t>On January 29, 2024, an aggregate of 581 deferred share units (DSUs), valued at $29.28 per share, the closing price of the Common Shares on the NYSE on the last trading day of the preceding fiscal quarter; on March 31, 2024, an aggregate of 7,091 DSUs, valued at $44.94 per share, the closing price of the Common Shares on the NYSE on the last trading day prior to the date of grant; on June 30, 2024, an aggregate of 5,719 DSUs, valued at $57.33 per share, the closing price of the Common Shares on the NYSE on the last trading day prior to the date of grant; on July 30, 2024, an aggregate of 196 DSUs, valued at $57.33 per share, the closing price of the Common Shares on the NYSE on the last trading day of the preceding fiscal quarter; and on September 30, 2024, an aggregate of 5,767 DSUs, valued at $51.12 per share, the closing price of the Common Shares on the NYSE on the date of grant, were issued to our non-employee directors as compensation earned for service on the Board in reliance on the exemption from registration under Section 4(a)(2) of the</w:t>
      </w:r>
    </w:p>
    <w:p>
      <w:pPr>
        <w:spacing w:after="0" w:line="13"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U.S. Securities Act. Each DSU represents the right to receive one Common Share or an equivalent value in cash (at the Corporation’s discretion) when the director ceases to be (a) a director of the Corporation or (b) an employee of the Corporation (Retires). DSUs that vest on retirement will be settled on the date that is 45 days following the date on which the director Retires, or the following business day if the 45th day is not a business day (Valuation Date), or as soon as practicable thereafter. The amount used to cash-settle DSUs (if applicable) will be based on the closing price of the Common Shares on the Valuation Date. DSUs will in all cases be redeemed and payable on or prior to the 90th day following the date on which the director Retires.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38"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3020" w:type="dxa"/>
            <w:vAlign w:val="bottom"/>
            <w:tcBorders>
              <w:top w:val="single" w:sz="8" w:color="auto"/>
              <w:left w:val="single" w:sz="8" w:color="auto"/>
              <w:right w:val="single" w:sz="8" w:color="auto"/>
            </w:tcBorders>
          </w:tcPr>
          <w:p>
            <w:pPr>
              <w:spacing w:after="0"/>
              <w:rPr>
                <w:sz w:val="16"/>
                <w:szCs w:val="16"/>
                <w:color w:val="auto"/>
              </w:rPr>
            </w:pPr>
          </w:p>
        </w:tc>
        <w:tc>
          <w:tcPr>
            <w:tcW w:w="2040" w:type="dxa"/>
            <w:vAlign w:val="bottom"/>
            <w:tcBorders>
              <w:top w:val="single" w:sz="8" w:color="auto"/>
              <w:right w:val="single" w:sz="8" w:color="auto"/>
            </w:tcBorders>
          </w:tcPr>
          <w:p>
            <w:pPr>
              <w:spacing w:after="0"/>
              <w:rPr>
                <w:sz w:val="16"/>
                <w:szCs w:val="16"/>
                <w:color w:val="auto"/>
              </w:rPr>
            </w:pPr>
          </w:p>
        </w:tc>
        <w:tc>
          <w:tcPr>
            <w:tcW w:w="1560" w:type="dxa"/>
            <w:vAlign w:val="bottom"/>
            <w:tcBorders>
              <w:top w:val="single" w:sz="8" w:color="auto"/>
              <w:right w:val="single" w:sz="8" w:color="auto"/>
            </w:tcBorders>
          </w:tcPr>
          <w:p>
            <w:pPr>
              <w:spacing w:after="0"/>
              <w:rPr>
                <w:sz w:val="16"/>
                <w:szCs w:val="16"/>
                <w:color w:val="auto"/>
              </w:rPr>
            </w:pPr>
          </w:p>
        </w:tc>
        <w:tc>
          <w:tcPr>
            <w:tcW w:w="240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 Total Number of Common</w:t>
            </w:r>
          </w:p>
        </w:tc>
        <w:tc>
          <w:tcPr>
            <w:tcW w:w="2240" w:type="dxa"/>
            <w:vAlign w:val="bottom"/>
            <w:tcBorders>
              <w:top w:val="single" w:sz="8" w:color="auto"/>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(d) Maximum</w:t>
            </w:r>
          </w:p>
        </w:tc>
        <w:tc>
          <w:tcPr>
            <w:tcW w:w="0" w:type="dxa"/>
            <w:vAlign w:val="bottom"/>
          </w:tcPr>
          <w:p>
            <w:pPr>
              <w:spacing w:after="0"/>
              <w:rPr>
                <w:sz w:val="1"/>
                <w:szCs w:val="1"/>
                <w:color w:val="auto"/>
              </w:rPr>
            </w:pPr>
          </w:p>
        </w:tc>
      </w:tr>
      <w:tr>
        <w:trPr>
          <w:trHeight w:val="176"/>
        </w:trPr>
        <w:tc>
          <w:tcPr>
            <w:tcW w:w="3020" w:type="dxa"/>
            <w:vAlign w:val="bottom"/>
            <w:tcBorders>
              <w:left w:val="single" w:sz="8" w:color="auto"/>
              <w:right w:val="single" w:sz="8" w:color="auto"/>
            </w:tcBorders>
          </w:tcPr>
          <w:p>
            <w:pPr>
              <w:spacing w:after="0"/>
              <w:rPr>
                <w:sz w:val="15"/>
                <w:szCs w:val="15"/>
                <w:color w:val="auto"/>
              </w:rPr>
            </w:pPr>
          </w:p>
        </w:tc>
        <w:tc>
          <w:tcPr>
            <w:tcW w:w="2040" w:type="dxa"/>
            <w:vAlign w:val="bottom"/>
            <w:tcBorders>
              <w:right w:val="single" w:sz="8" w:color="auto"/>
            </w:tcBorders>
          </w:tcPr>
          <w:p>
            <w:pPr>
              <w:spacing w:after="0"/>
              <w:rPr>
                <w:sz w:val="15"/>
                <w:szCs w:val="15"/>
                <w:color w:val="auto"/>
              </w:rPr>
            </w:pPr>
          </w:p>
        </w:tc>
        <w:tc>
          <w:tcPr>
            <w:tcW w:w="1560" w:type="dxa"/>
            <w:vAlign w:val="bottom"/>
            <w:tcBorders>
              <w:right w:val="single" w:sz="8" w:color="auto"/>
            </w:tcBorders>
          </w:tcPr>
          <w:p>
            <w:pPr>
              <w:spacing w:after="0"/>
              <w:rPr>
                <w:sz w:val="15"/>
                <w:szCs w:val="15"/>
                <w:color w:val="auto"/>
              </w:rPr>
            </w:pPr>
          </w:p>
        </w:tc>
        <w:tc>
          <w:tcPr>
            <w:tcW w:w="2400" w:type="dxa"/>
            <w:vAlign w:val="bottom"/>
            <w:tcBorders>
              <w:right w:val="single" w:sz="8" w:color="auto"/>
            </w:tcBorders>
            <w:vMerge w:val="continue"/>
          </w:tcPr>
          <w:p>
            <w:pPr>
              <w:spacing w:after="0"/>
              <w:rPr>
                <w:sz w:val="15"/>
                <w:szCs w:val="15"/>
                <w:color w:val="auto"/>
              </w:rPr>
            </w:pPr>
          </w:p>
        </w:tc>
        <w:tc>
          <w:tcPr>
            <w:tcW w:w="2240" w:type="dxa"/>
            <w:vAlign w:val="bottom"/>
            <w:tcBorders>
              <w:right w:val="single" w:sz="8" w:color="auto"/>
            </w:tcBorders>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Number of Common Shares</w:t>
            </w:r>
          </w:p>
        </w:tc>
        <w:tc>
          <w:tcPr>
            <w:tcW w:w="0" w:type="dxa"/>
            <w:vAlign w:val="bottom"/>
          </w:tcPr>
          <w:p>
            <w:pPr>
              <w:spacing w:after="0"/>
              <w:rPr>
                <w:sz w:val="1"/>
                <w:szCs w:val="1"/>
                <w:color w:val="auto"/>
              </w:rPr>
            </w:pPr>
          </w:p>
        </w:tc>
      </w:tr>
      <w:tr>
        <w:trPr>
          <w:trHeight w:val="175"/>
        </w:trPr>
        <w:tc>
          <w:tcPr>
            <w:tcW w:w="3020" w:type="dxa"/>
            <w:vAlign w:val="bottom"/>
            <w:tcBorders>
              <w:left w:val="single" w:sz="8" w:color="auto"/>
              <w:right w:val="single" w:sz="8" w:color="auto"/>
            </w:tcBorders>
          </w:tcPr>
          <w:p>
            <w:pPr>
              <w:spacing w:after="0"/>
              <w:rPr>
                <w:sz w:val="15"/>
                <w:szCs w:val="15"/>
                <w:color w:val="auto"/>
              </w:rPr>
            </w:pPr>
          </w:p>
        </w:tc>
        <w:tc>
          <w:tcPr>
            <w:tcW w:w="20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 Total Number</w:t>
            </w:r>
          </w:p>
        </w:tc>
        <w:tc>
          <w:tcPr>
            <w:tcW w:w="1560" w:type="dxa"/>
            <w:vAlign w:val="bottom"/>
            <w:tcBorders>
              <w:right w:val="single" w:sz="8" w:color="auto"/>
            </w:tcBorders>
          </w:tcPr>
          <w:p>
            <w:pPr>
              <w:spacing w:after="0"/>
              <w:rPr>
                <w:sz w:val="15"/>
                <w:szCs w:val="15"/>
                <w:color w:val="auto"/>
              </w:rPr>
            </w:pPr>
          </w:p>
        </w:tc>
        <w:tc>
          <w:tcPr>
            <w:tcW w:w="2400" w:type="dxa"/>
            <w:vAlign w:val="bottom"/>
            <w:tcBorders>
              <w:right w:val="single" w:sz="8" w:color="auto"/>
            </w:tcBorders>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Shares Purchased as</w:t>
            </w:r>
          </w:p>
        </w:tc>
        <w:tc>
          <w:tcPr>
            <w:tcW w:w="2240" w:type="dxa"/>
            <w:vAlign w:val="bottom"/>
            <w:tcBorders>
              <w:right w:val="single" w:sz="8" w:color="auto"/>
            </w:tcBorders>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that May</w:t>
            </w:r>
          </w:p>
        </w:tc>
        <w:tc>
          <w:tcPr>
            <w:tcW w:w="0" w:type="dxa"/>
            <w:vAlign w:val="bottom"/>
          </w:tcPr>
          <w:p>
            <w:pPr>
              <w:spacing w:after="0"/>
              <w:rPr>
                <w:sz w:val="1"/>
                <w:szCs w:val="1"/>
                <w:color w:val="auto"/>
              </w:rPr>
            </w:pPr>
          </w:p>
        </w:tc>
      </w:tr>
      <w:tr>
        <w:trPr>
          <w:trHeight w:val="189"/>
        </w:trPr>
        <w:tc>
          <w:tcPr>
            <w:tcW w:w="3020" w:type="dxa"/>
            <w:vAlign w:val="bottom"/>
            <w:tcBorders>
              <w:left w:val="single" w:sz="8" w:color="auto"/>
              <w:right w:val="single" w:sz="8" w:color="auto"/>
            </w:tcBorders>
          </w:tcPr>
          <w:p>
            <w:pPr>
              <w:spacing w:after="0"/>
              <w:rPr>
                <w:sz w:val="16"/>
                <w:szCs w:val="16"/>
                <w:color w:val="auto"/>
              </w:rPr>
            </w:pPr>
          </w:p>
        </w:tc>
        <w:tc>
          <w:tcPr>
            <w:tcW w:w="2040" w:type="dxa"/>
            <w:vAlign w:val="bottom"/>
            <w:tcBorders>
              <w:right w:val="single" w:sz="8" w:color="auto"/>
            </w:tcBorders>
            <w:vMerge w:val="continue"/>
          </w:tcPr>
          <w:p>
            <w:pPr>
              <w:spacing w:after="0"/>
              <w:rPr>
                <w:sz w:val="16"/>
                <w:szCs w:val="16"/>
                <w:color w:val="auto"/>
              </w:rPr>
            </w:pPr>
          </w:p>
        </w:tc>
        <w:tc>
          <w:tcPr>
            <w:tcW w:w="15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 Average Price</w:t>
            </w:r>
          </w:p>
        </w:tc>
        <w:tc>
          <w:tcPr>
            <w:tcW w:w="2400" w:type="dxa"/>
            <w:vAlign w:val="bottom"/>
            <w:tcBorders>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rPr>
              <w:t>Part of Publicly</w:t>
            </w:r>
          </w:p>
        </w:tc>
        <w:tc>
          <w:tcPr>
            <w:tcW w:w="2240" w:type="dxa"/>
            <w:vAlign w:val="bottom"/>
            <w:tcBorders>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7"/>
              </w:rPr>
              <w:t>Yet Be Purchased</w:t>
            </w:r>
          </w:p>
        </w:tc>
        <w:tc>
          <w:tcPr>
            <w:tcW w:w="0" w:type="dxa"/>
            <w:vAlign w:val="bottom"/>
          </w:tcPr>
          <w:p>
            <w:pPr>
              <w:spacing w:after="0"/>
              <w:rPr>
                <w:sz w:val="1"/>
                <w:szCs w:val="1"/>
                <w:color w:val="auto"/>
              </w:rPr>
            </w:pPr>
          </w:p>
        </w:tc>
      </w:tr>
      <w:tr>
        <w:trPr>
          <w:trHeight w:val="176"/>
        </w:trPr>
        <w:tc>
          <w:tcPr>
            <w:tcW w:w="3020" w:type="dxa"/>
            <w:vAlign w:val="bottom"/>
            <w:tcBorders>
              <w:left w:val="single" w:sz="8" w:color="auto"/>
              <w:right w:val="single" w:sz="8" w:color="auto"/>
            </w:tcBorders>
          </w:tcPr>
          <w:p>
            <w:pPr>
              <w:spacing w:after="0"/>
              <w:rPr>
                <w:sz w:val="15"/>
                <w:szCs w:val="15"/>
                <w:color w:val="auto"/>
              </w:rPr>
            </w:pPr>
          </w:p>
        </w:tc>
        <w:tc>
          <w:tcPr>
            <w:tcW w:w="2040" w:type="dxa"/>
            <w:vAlign w:val="bottom"/>
            <w:tcBorders>
              <w:right w:val="single" w:sz="8" w:color="auto"/>
            </w:tcBorders>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of Common Shares</w:t>
            </w:r>
          </w:p>
        </w:tc>
        <w:tc>
          <w:tcPr>
            <w:tcW w:w="1560" w:type="dxa"/>
            <w:vAlign w:val="bottom"/>
            <w:tcBorders>
              <w:right w:val="single" w:sz="8" w:color="auto"/>
            </w:tcBorders>
            <w:vMerge w:val="continue"/>
          </w:tcPr>
          <w:p>
            <w:pPr>
              <w:spacing w:after="0"/>
              <w:rPr>
                <w:sz w:val="15"/>
                <w:szCs w:val="15"/>
                <w:color w:val="auto"/>
              </w:rPr>
            </w:pPr>
          </w:p>
        </w:tc>
        <w:tc>
          <w:tcPr>
            <w:tcW w:w="2400" w:type="dxa"/>
            <w:vAlign w:val="bottom"/>
            <w:tcBorders>
              <w:right w:val="single" w:sz="8" w:color="auto"/>
            </w:tcBorders>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Announced Plans or</w:t>
            </w:r>
          </w:p>
        </w:tc>
        <w:tc>
          <w:tcPr>
            <w:tcW w:w="2240" w:type="dxa"/>
            <w:vAlign w:val="bottom"/>
            <w:tcBorders>
              <w:right w:val="single" w:sz="8" w:color="auto"/>
            </w:tcBorders>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Under the Plans</w:t>
            </w:r>
          </w:p>
        </w:tc>
        <w:tc>
          <w:tcPr>
            <w:tcW w:w="0" w:type="dxa"/>
            <w:vAlign w:val="bottom"/>
          </w:tcPr>
          <w:p>
            <w:pPr>
              <w:spacing w:after="0"/>
              <w:rPr>
                <w:sz w:val="1"/>
                <w:szCs w:val="1"/>
                <w:color w:val="auto"/>
              </w:rPr>
            </w:pPr>
          </w:p>
        </w:tc>
      </w:tr>
      <w:tr>
        <w:trPr>
          <w:trHeight w:val="175"/>
        </w:trPr>
        <w:tc>
          <w:tcPr>
            <w:tcW w:w="302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2040" w:type="dxa"/>
            <w:vAlign w:val="bottom"/>
            <w:tcBorders>
              <w:right w:val="single" w:sz="8" w:color="auto"/>
            </w:tcBorders>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8"/>
              </w:rPr>
              <w:t>Purchased</w:t>
            </w:r>
          </w:p>
        </w:tc>
        <w:tc>
          <w:tcPr>
            <w:tcW w:w="1560" w:type="dxa"/>
            <w:vAlign w:val="bottom"/>
            <w:tcBorders>
              <w:right w:val="single" w:sz="8" w:color="auto"/>
            </w:tcBorders>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6"/>
              </w:rPr>
              <w:t>Paid</w:t>
            </w:r>
          </w:p>
        </w:tc>
        <w:tc>
          <w:tcPr>
            <w:tcW w:w="2400" w:type="dxa"/>
            <w:vAlign w:val="bottom"/>
            <w:tcBorders>
              <w:right w:val="single" w:sz="8" w:color="auto"/>
            </w:tcBorders>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8"/>
              </w:rPr>
              <w:t>programs</w:t>
            </w:r>
          </w:p>
        </w:tc>
        <w:tc>
          <w:tcPr>
            <w:tcW w:w="2240" w:type="dxa"/>
            <w:vAlign w:val="bottom"/>
            <w:tcBorders>
              <w:right w:val="single" w:sz="8" w:color="auto"/>
            </w:tcBorders>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or Programs</w:t>
            </w:r>
          </w:p>
        </w:tc>
        <w:tc>
          <w:tcPr>
            <w:tcW w:w="0" w:type="dxa"/>
            <w:vAlign w:val="bottom"/>
          </w:tcPr>
          <w:p>
            <w:pPr>
              <w:spacing w:after="0"/>
              <w:rPr>
                <w:sz w:val="1"/>
                <w:szCs w:val="1"/>
                <w:color w:val="auto"/>
              </w:rPr>
            </w:pPr>
          </w:p>
        </w:tc>
      </w:tr>
      <w:tr>
        <w:trPr>
          <w:trHeight w:val="243"/>
        </w:trPr>
        <w:tc>
          <w:tcPr>
            <w:tcW w:w="302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2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per Common Share</w:t>
            </w:r>
          </w:p>
        </w:tc>
        <w:tc>
          <w:tcPr>
            <w:tcW w:w="2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c>
          <w:tcPr>
            <w:tcW w:w="0" w:type="dxa"/>
            <w:vAlign w:val="bottom"/>
          </w:tcPr>
          <w:p>
            <w:pPr>
              <w:spacing w:after="0"/>
              <w:rPr>
                <w:sz w:val="1"/>
                <w:szCs w:val="1"/>
                <w:color w:val="auto"/>
              </w:rPr>
            </w:pPr>
          </w:p>
        </w:tc>
      </w:tr>
      <w:tr>
        <w:trPr>
          <w:trHeight w:val="223"/>
        </w:trPr>
        <w:tc>
          <w:tcPr>
            <w:tcW w:w="3020" w:type="dxa"/>
            <w:vAlign w:val="bottom"/>
            <w:tcBorders>
              <w:left w:val="single" w:sz="8" w:color="auto"/>
              <w:bottom w:val="single" w:sz="8" w:color="auto"/>
              <w:right w:val="single" w:sz="8" w:color="auto"/>
            </w:tcBorders>
          </w:tcPr>
          <w:p>
            <w:pPr>
              <w:ind w:left="80"/>
              <w:spacing w:after="0" w:line="223" w:lineRule="exact"/>
              <w:rPr>
                <w:sz w:val="20"/>
                <w:szCs w:val="20"/>
                <w:color w:val="auto"/>
              </w:rPr>
            </w:pPr>
            <w:r>
              <w:rPr>
                <w:rFonts w:ascii="Times New Roman" w:cs="Times New Roman" w:eastAsia="Times New Roman" w:hAnsi="Times New Roman"/>
                <w:sz w:val="18"/>
                <w:szCs w:val="18"/>
                <w:color w:val="auto"/>
              </w:rPr>
              <w:t>October 1 — 31, 2024</w:t>
            </w:r>
            <w:r>
              <w:rPr>
                <w:rFonts w:ascii="Times New Roman" w:cs="Times New Roman" w:eastAsia="Times New Roman" w:hAnsi="Times New Roman"/>
                <w:sz w:val="23"/>
                <w:szCs w:val="23"/>
                <w:color w:val="auto"/>
                <w:vertAlign w:val="superscript"/>
              </w:rPr>
              <w:t>(1)</w:t>
            </w:r>
          </w:p>
        </w:tc>
        <w:tc>
          <w:tcPr>
            <w:tcW w:w="2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2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8.9</w:t>
            </w:r>
          </w:p>
        </w:tc>
        <w:tc>
          <w:tcPr>
            <w:tcW w:w="0" w:type="dxa"/>
            <w:vAlign w:val="bottom"/>
          </w:tcPr>
          <w:p>
            <w:pPr>
              <w:spacing w:after="0"/>
              <w:rPr>
                <w:sz w:val="1"/>
                <w:szCs w:val="1"/>
                <w:color w:val="auto"/>
              </w:rPr>
            </w:pPr>
          </w:p>
        </w:tc>
      </w:tr>
      <w:tr>
        <w:trPr>
          <w:trHeight w:val="223"/>
        </w:trPr>
        <w:tc>
          <w:tcPr>
            <w:tcW w:w="3020" w:type="dxa"/>
            <w:vAlign w:val="bottom"/>
            <w:tcBorders>
              <w:left w:val="single" w:sz="8" w:color="auto"/>
              <w:bottom w:val="single" w:sz="8" w:color="auto"/>
              <w:right w:val="single" w:sz="8" w:color="auto"/>
            </w:tcBorders>
          </w:tcPr>
          <w:p>
            <w:pPr>
              <w:ind w:left="80"/>
              <w:spacing w:after="0" w:line="223" w:lineRule="exact"/>
              <w:rPr>
                <w:sz w:val="20"/>
                <w:szCs w:val="20"/>
                <w:color w:val="auto"/>
              </w:rPr>
            </w:pPr>
            <w:r>
              <w:rPr>
                <w:rFonts w:ascii="Times New Roman" w:cs="Times New Roman" w:eastAsia="Times New Roman" w:hAnsi="Times New Roman"/>
                <w:sz w:val="18"/>
                <w:szCs w:val="18"/>
                <w:color w:val="auto"/>
              </w:rPr>
              <w:t>November 1 — 30, 2024</w:t>
            </w:r>
            <w:r>
              <w:rPr>
                <w:rFonts w:ascii="Times New Roman" w:cs="Times New Roman" w:eastAsia="Times New Roman" w:hAnsi="Times New Roman"/>
                <w:sz w:val="23"/>
                <w:szCs w:val="23"/>
                <w:color w:val="auto"/>
                <w:vertAlign w:val="superscript"/>
              </w:rPr>
              <w:t>(2)</w:t>
            </w:r>
          </w:p>
        </w:tc>
        <w:tc>
          <w:tcPr>
            <w:tcW w:w="2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2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8.6</w:t>
            </w:r>
          </w:p>
        </w:tc>
        <w:tc>
          <w:tcPr>
            <w:tcW w:w="0" w:type="dxa"/>
            <w:vAlign w:val="bottom"/>
          </w:tcPr>
          <w:p>
            <w:pPr>
              <w:spacing w:after="0"/>
              <w:rPr>
                <w:sz w:val="1"/>
                <w:szCs w:val="1"/>
                <w:color w:val="auto"/>
              </w:rPr>
            </w:pPr>
          </w:p>
        </w:tc>
      </w:tr>
      <w:tr>
        <w:trPr>
          <w:trHeight w:val="223"/>
        </w:trPr>
        <w:tc>
          <w:tcPr>
            <w:tcW w:w="3020" w:type="dxa"/>
            <w:vAlign w:val="bottom"/>
            <w:tcBorders>
              <w:left w:val="single" w:sz="8" w:color="auto"/>
              <w:bottom w:val="single" w:sz="8" w:color="auto"/>
              <w:right w:val="single" w:sz="8" w:color="auto"/>
            </w:tcBorders>
          </w:tcPr>
          <w:p>
            <w:pPr>
              <w:ind w:left="80"/>
              <w:spacing w:after="0" w:line="223" w:lineRule="exact"/>
              <w:rPr>
                <w:sz w:val="20"/>
                <w:szCs w:val="20"/>
                <w:color w:val="auto"/>
              </w:rPr>
            </w:pPr>
            <w:r>
              <w:rPr>
                <w:rFonts w:ascii="Times New Roman" w:cs="Times New Roman" w:eastAsia="Times New Roman" w:hAnsi="Times New Roman"/>
                <w:sz w:val="18"/>
                <w:szCs w:val="18"/>
                <w:color w:val="auto"/>
              </w:rPr>
              <w:t>December 1 — 31, 2024</w:t>
            </w:r>
            <w:r>
              <w:rPr>
                <w:rFonts w:ascii="Times New Roman" w:cs="Times New Roman" w:eastAsia="Times New Roman" w:hAnsi="Times New Roman"/>
                <w:sz w:val="23"/>
                <w:szCs w:val="23"/>
                <w:color w:val="auto"/>
                <w:vertAlign w:val="superscript"/>
              </w:rPr>
              <w:t>(2)</w:t>
            </w:r>
          </w:p>
        </w:tc>
        <w:tc>
          <w:tcPr>
            <w:tcW w:w="204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18"/>
                <w:szCs w:val="18"/>
                <w:color w:val="auto"/>
                <w:w w:val="89"/>
              </w:rPr>
              <w:t>0.5</w:t>
            </w:r>
            <w:r>
              <w:rPr>
                <w:rFonts w:ascii="Times New Roman" w:cs="Times New Roman" w:eastAsia="Times New Roman" w:hAnsi="Times New Roman"/>
                <w:sz w:val="23"/>
                <w:szCs w:val="23"/>
                <w:color w:val="auto"/>
                <w:w w:val="89"/>
                <w:vertAlign w:val="superscript"/>
              </w:rPr>
              <w:t>(3)</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$86.90</w:t>
            </w:r>
          </w:p>
        </w:tc>
        <w:tc>
          <w:tcPr>
            <w:tcW w:w="2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0.3</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8.3</w:t>
            </w:r>
          </w:p>
        </w:tc>
        <w:tc>
          <w:tcPr>
            <w:tcW w:w="0" w:type="dxa"/>
            <w:vAlign w:val="bottom"/>
          </w:tcPr>
          <w:p>
            <w:pPr>
              <w:spacing w:after="0"/>
              <w:rPr>
                <w:sz w:val="1"/>
                <w:szCs w:val="1"/>
                <w:color w:val="auto"/>
              </w:rPr>
            </w:pPr>
          </w:p>
        </w:tc>
      </w:tr>
      <w:tr>
        <w:trPr>
          <w:trHeight w:val="223"/>
        </w:trPr>
        <w:tc>
          <w:tcPr>
            <w:tcW w:w="30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0.5</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$86.90</w:t>
            </w:r>
          </w:p>
        </w:tc>
        <w:tc>
          <w:tcPr>
            <w:tcW w:w="2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0.3</w:t>
            </w:r>
          </w:p>
        </w:tc>
        <w:tc>
          <w:tcPr>
            <w:tcW w:w="22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660" w:right="20" w:hanging="652"/>
        <w:spacing w:after="0" w:line="263" w:lineRule="auto"/>
        <w:tabs>
          <w:tab w:leader="none" w:pos="373"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December 12, 2023, the TSX accepted our notice to launch, and we announced, a NCIB (2023 NCIB). The 2023 NCIB allowed us to repurchase, at our discretion, from December 14, 2023 until the earlier of December 13, 2024 (unless terminated earlier) or the completion of purchases thereunder, up to 11,763,330 of our Common Shares in the open market, or as otherwise permitted, subject to the normal terms and limitations of such bids and compliance with applicable law and the volume and other limitations under Rule 10b-18 under the Exchange Act. In October 2024, we purchased and cancelled nil Common Shares under the 2023 NCIB. The 2023 NCIB was early terminated on October 30, 2024.</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927" w:right="319" w:bottom="1440" w:gutter="0" w:footer="0" w:header="0"/>
        </w:sectPr>
      </w:pPr>
    </w:p>
    <w:bookmarkStart w:id="52" w:name="page53"/>
    <w:bookmarkEnd w:id="52"/>
    <w:p>
      <w:pPr>
        <w:ind w:left="660" w:hanging="652"/>
        <w:spacing w:after="0" w:line="260" w:lineRule="auto"/>
        <w:tabs>
          <w:tab w:leader="none" w:pos="393"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October 30, 2024, the TSX accepted our notice to launch, and we announced, a NCIB (2024 NCIB). The 2024 NCIB allowed us to repurchase, at our discretion, from November 1, 2024 until the earlier of October 31, 2025 or the completion of purchases thereunder, up to 8,609,693 of our Common Shares in the open market, or as otherwise permitted, subject to the normal terms and limitations of such bids and compliance with applicable law and the volume and other limitations under Rule 10b-18 under the Exchange Act. The maximum number of Common Shares we are permitted to repurchase for cancellation under the 2024 NCIB will be reduced by the number of Common Shares we arrange to be purchased by any non-independent broker in the open market during its term to satisfy delivery obligations under our SBC plans, if any. In December 2024, we purchased 0.3 million Common Shares under the 2024 NCIB.</w:t>
      </w:r>
    </w:p>
    <w:p>
      <w:pPr>
        <w:spacing w:after="0" w:line="73" w:lineRule="exact"/>
        <w:rPr>
          <w:rFonts w:ascii="Times New Roman" w:cs="Times New Roman" w:eastAsia="Times New Roman" w:hAnsi="Times New Roman"/>
          <w:sz w:val="16"/>
          <w:szCs w:val="16"/>
          <w:color w:val="auto"/>
        </w:rPr>
      </w:pPr>
    </w:p>
    <w:p>
      <w:pPr>
        <w:ind w:left="660" w:hanging="652"/>
        <w:spacing w:after="0" w:line="263" w:lineRule="auto"/>
        <w:tabs>
          <w:tab w:leader="none" w:pos="365"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From time-to-time, we enter into Automatic Share Purchase Plans (ASPPs) complying with Rule 10b5-1 under the Exchange Act covering a defined period, instructing a broker to purchase in the open market a specified number of shares (subject to specified conditions) to settle vested employee awards under our SBC plans (SBC ASPPs). In December 2024, 0.2 million Common Shares were purchased on our behalf by an independent broker under a SBC ASPP. The maximum number of Common Shares we were permitted to repurchase for cancellation under the 2024 NCIB was not reduced by the number of Common Shares we arranged to be purchased by such independent broker.</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4" w:right="339" w:bottom="1440" w:gutter="0" w:footer="0" w:header="0"/>
        </w:sectPr>
      </w:pPr>
    </w:p>
    <w:bookmarkStart w:id="53" w:name="page54"/>
    <w:bookmarkEnd w:id="53"/>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7.</w:t>
        <w:tab/>
        <w:t>Management's Discussion and Analysis of Financial Condition and Results of Operations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Management's Discussion and Analysis of Financial Condition and Results of Operations (MD&amp;A) should be read in conjunction with our 2024 audited consolidated annual financial statements (2024 AFS) and related notes, which we prepared in accordance with U.S. generally accepted accounting principles (GAAP). Unless otherwise noted, all dollar amounts are expressed in United States (U.S.) dollars. The information in this discussion is provided as of February 28, 2025 unless we indicate otherwise. As used herein, "Q1," "Q2," "Q3," and "Q4" followed by a year refers to the first quarter, second quarter, third quarter and fourth quarter of such year, respectively.</w:t>
      </w:r>
    </w:p>
    <w:p>
      <w:pPr>
        <w:spacing w:after="0" w:line="18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i w:val="1"/>
          <w:iCs w:val="1"/>
          <w:color w:val="auto"/>
        </w:rPr>
        <w:t>Certain statements contained in this MD&amp;A constitute “forward-looking statements” within the meaning of Section 27A of the U.S. Securities Act of 1933, as amended (U.S. Securities Act) and Section 21E of the U.S. Securities Exchange Act of 1934, as amended (U.S. Exchange Act), and “forward-looking information” within the meaning of applicable Canadian securities laws (collectively, forward-looking statements), including, without limitation, statements related to: our priorities, intended areas of focus, targets, objectives and goals; trends in the electronics manufacturing services (EMS) industry and our segments (and/or their constituent businesses) and their anticipated impact; the anticipated impact of current market conditions and customer-specific factors on each of our segments (and/or their constituent businesses) and near term expectations; potential restructuring and divestiture actions; our anticipated financial and/or operating results and outlook, including expected revenue increases and decreases (or remaining flat), as well as growth in certain businesses and end markets; our strategies; our credit risk; the potential impact of acquisitions, or program wins, transfers, losses or disengagements; materials, component and supply chain constraints; anticipated expenses, capital expenditures and other working capital requirements and contractual obligations (and intended methods of funding such items); the potential impact of trade policies between countries in which we conduct business (including the potential tariffs implemented by U.S. government); the impact of our price reductions and longer payment terms; our intended repatriation of certain undistributed earnings from non-Canadian subsidiaries (and amounts we do not intend to repatriate in the foreseeable future); the potential impact of tax and litigation outcomes; investor dissatisfaction with inclusion, employee engagement, and other environmental, social and governance (ESG) matters; our intention to settle employee share unit awards in common shares (Common Shares); our ability to use certain tax losses; intended investments in our business; the potential impact of the pace of technological changes, customer outsourcing, program transfers, and the global economic environment; the intended method of funding Common Share repurchases; the impact of our outstanding indebtedness; liquidity and the sufficiency of our capital resources; our intention to settle outstanding equity awards with Common Shares; our financial statement estimates and assumptions; recently-issued accounting pronouncements and amendments; the potential adverse impacts of events outside of our control (including those described under "External Factors that May Impact our Business" below) (External Events); mandatory prepayments under our credit facility; pension plan funding requirements and obligations, and the impact of annuity purchases; our compliance with covenants under our credit facility; refinancing debt at maturity; interest rates and expense; income tax incentives; accounts payable cash flow levels; accounts receivable sales; expectations with respect to reporting units with goodwill; our future warranty obligations; cybersecurity threats and incidents; our intentions with respect to environmental assessments for newly-leased or acquired properties; our expectations with respect to expiring leases; our intention to retain earnings for general corporate purposes; costs in connection with our pursuit of acquisitions and strategic transactions; and expectations regarding the acceptance of offers to sell accounts receivable (A/R) under our A/R sales programs and supplier financing programs. Such forward-looking statements may, without limitation, be preceded by, followed by, or include words such as “believes,” “expects,” “anticipates,” “estimates,” “intends,” “plans,” “continues,” “project,” “target,” "objective," “goal,” “potential,” “possible,” “contemplate,” “seek,” or similar expressions, or may employ such future or conditional verbs as “may,” “might,” “will,” “could,” “should,” or “would,” or may otherwise be indicated as forward-looking statements by grammatical construction, phrasing or context. For those statements, we claim the protection of the safe harbor for forward-looking statements contained in the U.S. Private Securities Litigation Reform Act of 1995, where applicable, and applicable Canadian securities laws.</w:t>
      </w:r>
    </w:p>
    <w:p>
      <w:pPr>
        <w:spacing w:after="0" w:line="20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Forward-looking statements contained in this Annual Report are based on various assumptions, many of which involve factors that are beyond our control. Our material assumptions include: growth in manufacturing outsourcing from customers in diversified markets; our ability to retain programs and customers, including no unexpected customer or program transfers, losses or disengagements; no unforeseen adverse changes in our mix of businesses; no undue negative impact on our customers' ability to compete and succeed using products we manufacture and services we provide; continued growth in our end markets; our ability to successfully diversify our customer base and develop new capabilities; anticipated demand levels across our businesses; continued growth in the advancement and commercialization of artificial intelligence (AI) technologies and cloud computing; supporting sustained high levels of capital expenditure investments by leading hyperscaler, AI and data center customers; no significant unforeseen negative impacts to our operations; no unforeseen materials price increases,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54" w:name="page55"/>
    <w:bookmarkEnd w:id="54"/>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margin pressures, or other competitive factors affecting the EMS or original design manufacturer (ODM) industries in general or our segments in particular; compliance by third parties with their contractual obligations; that our customers will retain liability for product/component tariffs and countermeasures; our ability to keep pace with rapidly changing technological developments; the successful resolution of quality issues that arise from time to time; fluctuation of production schedules from our customers in terms of volume and mix of products or services; the timing and execution of, and investments associated with, ramping new business; supplier performance and quality, pricing and terms; the costs and availability of components, materials, services, equipment, labor, energy and transportation; no significant decline in the global economy or in economic activity in our end markets due to a major recession or otherwise; no unforeseen disruptions due to geopolitical factors (including war) causing significant negative impacts to economic activity, global or regional supply chains or normal business operations; that global inflation will not have a material impact on our revenues or expenses; the impact of anticipated market conditions on our businesses; the stability of currency exchange rates; the availability of capital resources for, and the permissibility under our credit facility of, repurchases of outstanding Common Shares under our current normal course issuer bid (NCIB), and compliance with applicable laws and regulations pertaining to NCIBs; compliance with applicable credit facility covenants and the components of our leverage ratios (as defined in our credit facility); our maintenance of sufficient financial resources to fund currently anticipated financial actions and obligations and to pursue desirable business opportunities; global tax legislation changes; the timing, execution and effect of restructuring actions; and no unforeseen adverse changes in the regulatory environment.</w:t>
      </w:r>
    </w:p>
    <w:p>
      <w:pPr>
        <w:spacing w:after="0" w:line="18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Forward-looking statements are not guarantees of future performance and the Company’s actual results may differ significantly from the results discussed in the forward-looking statements. Achievement of anticipated results is subject to substantial risks, uncertainties and inaccurate assumptions. Should known or unknown risks or uncertainties materialize, or should underlying assumptions prove inaccurate, actual results could vary materially from past results and those anticipated, estimated or projected. You should bear this in mind as you consider forward-looking statements, and you are cautioned not to put undue reliance on forward-looking statements. Forward-looking statements speak only as of the date on which they are made, and we undertake no obligation to publicly update forward-looking statements, whether as a result of new information, future events or otherwise, except as required by law or by the rules and regulations of the U.S. Securities and Exchange Commission (SEC). You are advised, however, to consult any further disclosures we make on related subjects. Factors that might cause such differences include, but are not limited to, those discussed in the Risk Factor Summary and in Part I, Item 1A of our Annual Report on Form 10-K for the year ended December 31, 2024 (of which this MD&amp;A forms a part) under the heading “Risk Factors,” which are incorporated herein by reference, and subsequent Quarterly Reports on Form 10-Q and other documents filed with the SEC, and as applicable, the Canadian Securities Administrators.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Celestica's business: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deliver innovative supply chain solutions globally to customers in two operating and reportable segments: Advanced Technology Solutions (ATS) and Connectivity &amp; Cloud Solutions (CCS). Our ATS segment consists of our ATS end market, and is comprised of our Aerospace and Defense (A&amp;D), Industrial, HealthTech, and Capital Equipment businesses. Our CCS segment consists of our Communications and Enterprise (servers and storage) end markets. Additional information regarding our segments is included in note 22 to the 2024 AFS.</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customers include original equipment manufacturers (OEMs), cloud-based and other service providers, including hyperscalers, and other companies in a wide range of industries. We are incorporated under the laws of the Province of Ontario, Canada. Our global headquarters are located in Toronto, Ontario, Canada. We operate a network of sites and centers of excellence strategically located in North America, Europe and Asia, with specialized end-to-end supply chain capabilities tailored to meet specific market and customer product lifecycle requirements.</w:t>
      </w:r>
    </w:p>
    <w:p>
      <w:pPr>
        <w:spacing w:after="0" w:line="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offer a comprehensive range of product manufacturing and related supply chain services to customers in both of our segments, including design and development, new product introduction, engineering services, component sourcing, electronics manufacturing and assembly, testing, complex mechanical assembly, systems integration, precision machining, order fulfillment, logistics, product licensing, and after-market repair, return and information technology (IT) asset management and disposition (ITAM/ITAD) services. Our Hardware Platform Solutions (HPS) offering (within our CCS segment) includes the development of infrastructure platforms, hardware and software design solutions, including open-source software that complements our hardware offerings, and services that can be used as-is, or customized for specific applications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5" w:right="339" w:bottom="1440" w:gutter="0" w:footer="0" w:header="0"/>
        </w:sectPr>
      </w:pPr>
    </w:p>
    <w:bookmarkStart w:id="55" w:name="page56"/>
    <w:bookmarkEnd w:id="55"/>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collaboration with our customers, and management of program design and aspects of the supply chain, manufacturing, and after-market support, including ITAM/ITAD.</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Products and services in our ATS segment are extensive and are often more regulated than in our CCS segment, and can include the following: government-certified and highly-specialized manufacturing, electronic and enclosure-related services for A&amp;D customers; high-precision semiconductor and display equipment and integrated subsystems; a wide range of industrial automation, controls, test and measurement devices; engineering-focused engagements, including in the areas of telematics, human machine interface, Internet-of-Things and embedded systems; advanced solutions for surgical instruments, diagnostic imaging and patient monitoring; and efficiency products to help manage and monitor the energy and power industries. Our ATS segment businesses typically have higher margin profiles and margin volatility, higher working capital requirements, and longer product life cycles than the traditional businesses in our CCS segment.</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Products and services in our CCS segment consist predominantly of enterprise-level data communications and information processing infrastructure products and systems, and can include routers, switches, data center interconnects, edge solutions, and servers and storage-related products used by a wide range of businesses and cloud-based and other service providers to manage digital connectivity, commerce and social media applications. Our CCS segment is subject to negative pricing pressures driven by the highly competitive nature of this market and is experiencing technology-driven demand shifts, which are not expected to abate. Our traditional CCS segment businesses typically have lower margin profiles, lower working capital requirements, and higher volumes than the businesses in our ATS segment. Within our CCS segment, however, our HPS business (which includes firmware/software enablement across all primary IT infrastructure data center technologies, open source software offerings that complement our hardware platforms, and aftermarket services including ITAM/ITAD) typically has a higher margin profile than our traditional CCS businesses, but also requires specific investments (including research and development (R&amp;D)) and higher working capital. Our CCS segment generally experiences a high degree of volatility in terms of revenue and product/service mix, and as a result, our CCS segment margin can fluctuate from period to period. In recent periods, we have experienced an increasing shift in the mix of our programs towards cloud-based and other service providers, which are cyclically different from our traditional OEM customers, creating more volatility and unpredictability in our revenue patterns, and additional challenges with respect to the management of our supply chain and working capital requirements.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Overview of business environment:</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EMS industry is highly competitive. Demand can be volatile from period to period, and aggressive pricing is a common business dynamic. Customers may shift production between EMS and ODM providers for a variety of reasons, including changes in demand for their products, pricing concessions, more favorable terms and conditions, execution or quality issues, their preference or need to modify or consolidate their supply chain capacity or change their supply chain partners, tax benefits, new trade and/or export policies or legislation, or consolidation among customers. Customers may also change the amount of business they outsource, or the concentration or location of their EMS suppliers. As a result, customer and segment revenue and mix, as well as overall profitability, are difficult to forecast. The loss of one or more major customers could have a material adverse effect on our operating results, financial position and cash flows.</w:t>
      </w:r>
    </w:p>
    <w:p>
      <w:pPr>
        <w:spacing w:after="0" w:line="189" w:lineRule="exact"/>
        <w:rPr>
          <w:sz w:val="20"/>
          <w:szCs w:val="20"/>
          <w:color w:val="auto"/>
        </w:rPr>
      </w:pPr>
    </w:p>
    <w:p>
      <w:pPr>
        <w:jc w:val="both"/>
        <w:ind w:firstLine="213"/>
        <w:spacing w:after="0" w:line="255" w:lineRule="auto"/>
        <w:rPr>
          <w:sz w:val="20"/>
          <w:szCs w:val="20"/>
          <w:color w:val="auto"/>
        </w:rPr>
      </w:pPr>
      <w:r>
        <w:rPr>
          <w:rFonts w:ascii="Times New Roman" w:cs="Times New Roman" w:eastAsia="Times New Roman" w:hAnsi="Times New Roman"/>
          <w:sz w:val="18"/>
          <w:szCs w:val="18"/>
          <w:color w:val="auto"/>
        </w:rPr>
        <w:t>Managing our operations is complex, and our financial results often fluctuate, in each case as a result of, among other factors, product lifecycles in the markets we serve, production lead times required by our customers, our ability to secure materials and components, our ability to manage staffing and talent dynamics, rapid shifts in technology, model obsolescence, commoditization of certain products, the emergence of new business models, shifting patterns of demand, the proliferation of software-defined technologies enabling the disaggregation of software and hardware, product oversupply, changing supply chains and customer supply chain requirements, and the build-up by customers of inventory buffers. For example, the shift from traditional network and data center infrastructures to highly scalable, virtualized, cloud-based environments, have adversely impacted some of our traditional CCS segment customers, and favorably impacted our service provider customers and our HPS business.</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Capacity utilization, customer mix and the types of products and services we provide are important factors affecting our financial performance. The number of sites, the location of qualified personnel, the manufacturing and engineering capacity and network, and the mix of business through that capacity are also vital considerations for EMS and ODM providers in terms of generating appropriate returns. Because the EMS industry is working capital intensive, we believe that non-GAAP adjusted return on invested capital (ROIC), which is primarily based on adjusted operating earnings (each discussed in "Non-GAAP Financial Measures" below) and investments in working capital and equipment, is an important metric for measuring an EMS provider's financial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Conversion from International Financial Reporting Standards (IFRS) to U.S. GAAP (GAAP)</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previously disclosed, as of the end of Q2 2024, the Company no longer met the definition of a "foreign private issuer" under U.S. federal securities regulations. As a result, the Company is required to file an annual report on Form 10-K covering the year ended December 31, 2024. The Company is also, as of January 1, 2025, obligated to comply with additional reporting requirements of the U.S. Exchange Act applicable to domestic issuers, including filing quarterly reports on Form 10-Q, current reports on Form 8-K, and proxy statements in accordance with U.S. Exchange Act rules.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the Company is required to prepare financial statements included in SEC filings in accordance with GAAP. Previously, our consolidated financial statements were presented in accordance with IFRS as issued by the International Accounting Standards Board. Consequently, this MD&amp;A contains, for the year ended December 31, 2024, audited annual financial statements which have been prepared in accordance with GAAP. All financial statements and selected financial data for prior periods presented herein have been converted from IFRS into GAAP.</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 Environment: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ATS Segment</w:t>
      </w:r>
    </w:p>
    <w:p>
      <w:pPr>
        <w:spacing w:after="0" w:line="227" w:lineRule="exact"/>
        <w:rPr>
          <w:sz w:val="20"/>
          <w:szCs w:val="20"/>
          <w:color w:val="auto"/>
        </w:rPr>
      </w:pPr>
    </w:p>
    <w:p>
      <w:pPr>
        <w:jc w:val="both"/>
        <w:ind w:firstLine="268"/>
        <w:spacing w:after="0" w:line="282" w:lineRule="auto"/>
        <w:rPr>
          <w:sz w:val="20"/>
          <w:szCs w:val="20"/>
          <w:color w:val="auto"/>
        </w:rPr>
      </w:pPr>
      <w:r>
        <w:rPr>
          <w:rFonts w:ascii="Times New Roman" w:cs="Times New Roman" w:eastAsia="Times New Roman" w:hAnsi="Times New Roman"/>
          <w:sz w:val="18"/>
          <w:szCs w:val="18"/>
          <w:color w:val="auto"/>
        </w:rPr>
        <w:t>ATS segment revenue for 2024 decreased 5% to $3.2 billion compared to $3.3 billion for 2023, driven by the anticipated demand softness in our Industrial business, partially offset by strength in our A&amp;D and Capital Equipment businesses.</w:t>
      </w:r>
    </w:p>
    <w:p>
      <w:pPr>
        <w:spacing w:after="0" w:line="18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ATS segment margin decreased to 4.6% for 2024 compared to 4.7% in 2023, primarily due to reduced operating leverage in our Industrial end market, partly offset by improved profitability in our Capital Equipment and A&amp;D businesses.</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Overall, we expect ATS segment revenue to remain relatively flat in 2025 compared to 2024. Demand in our Industrial business is expected to stabilize in the first half of 2025 and to recover in the second half of 2025. Demand in our Capital Equipment business increased in 2024 and we expect our Capital Equipment business to continue to grow in 2025, driven by solid demand and program ramps. Demand in our A&amp;D business is expected to remain healthy, supported by customer wins and program ramps. However, due to our decision not to renew a dilutive margin program, we anticipate lower A&amp;D business revenue in 2025 compared to 2024.</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CCS Segment</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CCS segment revenue for 2024 increased 40% to $6.5 billion compared to $4.6 billion in 2023, driven by strong growth in both our Enterprise end market and Communications end market. Revenue in our Enterprise end market increased by 29% in 2024 compared to 2023, driven primarily by stronger demand in our storage business and stronger demand for compute products from our hyperscaler customers. Revenue in our Communications end market increased by 48% in 2024 compared to 2023, driven by increased demand from our hyperscaler customers for our HPS networking products. HPS revenue for 2024 increased 63% compared to 2023 and accounted for 29% of our total revenue.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CCS segment margin improved to 7.4% in 2024 compared to 6.2% in 2023, driven by greater operating leverage, as well as improved mix.</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currently anticipate continued growth in our CCS segment in 2025. We expect strong growth in our Communications end market throughout 2025, driven by program ramps and robust demand. In our Enterprise end market, we continue to expect demand softness in the first half of 2025, driven by the technology transition in an AI/machine learning (AI/ML) compute program with a large hyperscaler customer. However, we expect Enterprise end market revenue to improve during the second half of 2025 compared to the first half, supported by the ramping of AI/ML compute programs.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Share Repurchases:</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October 30, 2024, we terminated a prior NCIB which commenced on December 14, 2023 and was scheduled to expire on December 13, 2024 (Prior Bid), and the Toronto Stock Exchange (TSX) accepted our notice to launch a new NCIB</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57" w:name="page58"/>
    <w:bookmarkEnd w:id="57"/>
    <w:p>
      <w:pPr>
        <w:jc w:val="both"/>
        <w:spacing w:after="0" w:line="253" w:lineRule="auto"/>
        <w:rPr>
          <w:sz w:val="20"/>
          <w:szCs w:val="20"/>
          <w:color w:val="auto"/>
        </w:rPr>
      </w:pPr>
      <w:r>
        <w:rPr>
          <w:rFonts w:ascii="Times New Roman" w:cs="Times New Roman" w:eastAsia="Times New Roman" w:hAnsi="Times New Roman"/>
          <w:sz w:val="18"/>
          <w:szCs w:val="18"/>
          <w:color w:val="auto"/>
        </w:rPr>
        <w:t>(New Bid). Under the Prior Bid, we purchased and cancelled a total of 2.9 million Common Shares, out of the 11.8 million Common Shares we were authorized to repurchase. As a result of the early termination and renewal of the Prior Bid, the 2.9 million Common Shares purchased under the Prior Bid were deducted from the New Bid's annual limit as per the requirements of the TSX. Under the New Bid, we may repurchase at our discretion, from November 1, 2024 until the earlier of October 31, 2025 or the completion of purchases thereunder, up to approximately 8.6 million Common Shares in the open market (representing approximately 10.0% of the "public float" (within the meaning of the rules of the TSX) at October 18, 2024 less the 2.9 million Common Shares purchased under the Prior Bid), or as otherwise permitted, subject to the normal terms and limitations of such bids. The maximum number of Common Shares we are permitted to repurchase for cancellation under the New Bid will be reduced by the number of Common Shares we arrange to be purchased by any non-independent broker in the open market during its term to satisfy delivery obligations under our stock-based compensation (SBC) plans. From the commencement of the New Bid through February 20, 2025, we paid a total of: (i) $57.5 million (including transaction fees) to repurchase 0.5 million Common Shares, at a weighted average price of $105.18 per share, for cancellation; and (ii) $239.6 million (including transaction fees) to repurchase 1.9 million Common Shares, at a weighted average price of $126.10 per share, for delivery obligations under our SBC plans.</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During 2024, we paid an aggregate of $152.0 million (including transaction fees) to repurchase a total of 3.2 million Common Shares for cancellation (2.9 million under the Prior Bid and 0.3 million under the New Bid), at a weighted average price of $47.15 per share. We also paid an aggregate of $119.6 million in 2024 to purchase 3.0 million Common Shares in the open market through an independent broker for delivery obligations under our SBC plans.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note 12 to our 2024 AFS for further details.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Goals and Priorities</w:t>
      </w:r>
    </w:p>
    <w:p>
      <w:pPr>
        <w:spacing w:after="0" w:line="22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Our current operating goals and priorities are set forth below.</w:t>
      </w:r>
    </w:p>
    <w:p>
      <w:pPr>
        <w:spacing w:after="0" w:line="223" w:lineRule="exact"/>
        <w:rPr>
          <w:sz w:val="20"/>
          <w:szCs w:val="20"/>
          <w:color w:val="auto"/>
        </w:rPr>
      </w:pPr>
    </w:p>
    <w:p>
      <w:pPr>
        <w:jc w:val="both"/>
        <w:ind w:firstLine="193"/>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Evolving our Revenue Portfolio </w:t>
      </w:r>
      <w:r>
        <w:rPr>
          <w:rFonts w:ascii="Times New Roman" w:cs="Times New Roman" w:eastAsia="Times New Roman" w:hAnsi="Times New Roman"/>
          <w:sz w:val="18"/>
          <w:szCs w:val="18"/>
          <w:color w:val="auto"/>
        </w:rPr>
        <w:t>— To evolve our revenue portfolio, we intend to continue to focus on: (i) pursuing revenue growth in attractive markets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where we believe we can establish a competitive presence, including in our HPS business, (ii) driving sustainable, profitable revenue growth, (iii) growing our aggregate ATS segment revenue organically by an average of 10% per year over the long term, (iv) supplementing our organic growth with disciplined and targeted acquisitions intended to expand capabilities, and (v) optimizing our portfolio to drive more consistent returns and profitability.</w:t>
      </w:r>
    </w:p>
    <w:p>
      <w:pPr>
        <w:spacing w:after="0" w:line="180" w:lineRule="exact"/>
        <w:rPr>
          <w:sz w:val="20"/>
          <w:szCs w:val="20"/>
          <w:color w:val="auto"/>
        </w:rPr>
      </w:pPr>
    </w:p>
    <w:p>
      <w:pPr>
        <w:jc w:val="both"/>
        <w:ind w:right="20" w:firstLine="2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Margins and Non-GAAP adjusted earnings per share (EPS)* </w:t>
      </w:r>
      <w:r>
        <w:rPr>
          <w:rFonts w:ascii="Times New Roman" w:cs="Times New Roman" w:eastAsia="Times New Roman" w:hAnsi="Times New Roman"/>
          <w:sz w:val="18"/>
          <w:szCs w:val="18"/>
          <w:color w:val="auto"/>
        </w:rPr>
        <w:t>— Our goal is to: (i) grow non-GAAP adjusted EPS* at 10%+ CAGR** over the long-term, and (ii) continue to focus on improvements to our segment margins† and non-GAAP adjusted operating margin*.</w:t>
      </w:r>
    </w:p>
    <w:p>
      <w:pPr>
        <w:spacing w:after="0" w:line="16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duration and impact of global supply constraints, other industry market conditions, and other external factors described herein are not within our control, and may therefore impact our ability to achieve the foregoing goals.</w:t>
      </w:r>
    </w:p>
    <w:p>
      <w:pPr>
        <w:spacing w:after="0" w:line="160" w:lineRule="exact"/>
        <w:rPr>
          <w:sz w:val="20"/>
          <w:szCs w:val="20"/>
          <w:color w:val="auto"/>
        </w:rPr>
      </w:pPr>
    </w:p>
    <w:p>
      <w:pPr>
        <w:jc w:val="both"/>
        <w:ind w:firstLine="18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Balanced Approach to Capital Allocation </w:t>
      </w:r>
      <w:r>
        <w:rPr>
          <w:rFonts w:ascii="Times New Roman" w:cs="Times New Roman" w:eastAsia="Times New Roman" w:hAnsi="Times New Roman"/>
          <w:sz w:val="18"/>
          <w:szCs w:val="18"/>
          <w:color w:val="auto"/>
        </w:rPr>
        <w:t>— We are focused on maintaining a strong balance sheet, generating non-GAAP free cash flow* and balancing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debt and capital levels, while maintaining optimal financial flexibility. In terms of capital allocation, our goal is to: (i) return capital to shareholders, primarily through share repurchases, on an opportunistic basis, (ii) generally invest 1.5% to 2.0% of annual revenue in capital expenditures to support our organic growth over the long term, and (iii) pursue potential strategic acquisitions as part of a disciplined capital allocation framework.</w:t>
      </w:r>
    </w:p>
    <w:p>
      <w:pPr>
        <w:spacing w:after="0" w:line="178" w:lineRule="exact"/>
        <w:rPr>
          <w:sz w:val="20"/>
          <w:szCs w:val="20"/>
          <w:color w:val="auto"/>
        </w:rPr>
      </w:pPr>
    </w:p>
    <w:p>
      <w:pPr>
        <w:jc w:val="both"/>
        <w:ind w:firstLine="220"/>
        <w:spacing w:after="0" w:line="268" w:lineRule="auto"/>
        <w:rPr>
          <w:sz w:val="20"/>
          <w:szCs w:val="20"/>
          <w:color w:val="auto"/>
        </w:rPr>
      </w:pPr>
      <w:r>
        <w:rPr>
          <w:rFonts w:ascii="Times New Roman" w:cs="Times New Roman" w:eastAsia="Times New Roman" w:hAnsi="Times New Roman"/>
          <w:sz w:val="18"/>
          <w:szCs w:val="18"/>
          <w:b w:val="1"/>
          <w:bCs w:val="1"/>
          <w:color w:val="auto"/>
        </w:rPr>
        <w:t>The foregoing priorities and areas of intended focus constitute our objectives and goals, and are not intended to be projections or forecasts of future performance. Our future performance is subject to risks, uncertainties and other factors that could cause actual outcomes and results to differ materially from the goals and priorities described above.</w:t>
      </w:r>
    </w:p>
    <w:p>
      <w:pPr>
        <w:spacing w:after="0" w:line="175" w:lineRule="exact"/>
        <w:rPr>
          <w:sz w:val="20"/>
          <w:szCs w:val="20"/>
          <w:color w:val="auto"/>
        </w:rPr>
      </w:pPr>
    </w:p>
    <w:p>
      <w:pPr>
        <w:ind w:firstLine="8"/>
        <w:spacing w:after="0" w:line="282" w:lineRule="auto"/>
        <w:tabs>
          <w:tab w:leader="none" w:pos="197"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Segment performance is evaluated based on segment revenue, segment income and segment margin (segment income as a percentage of segment revenue), each of which is defined in "Operating Results — </w:t>
      </w:r>
      <w:r>
        <w:rPr>
          <w:rFonts w:ascii="Times New Roman" w:cs="Times New Roman" w:eastAsia="Times New Roman" w:hAnsi="Times New Roman"/>
          <w:sz w:val="18"/>
          <w:szCs w:val="18"/>
          <w:i w:val="1"/>
          <w:iCs w:val="1"/>
          <w:color w:val="auto"/>
        </w:rPr>
        <w:t>Segment income and margin</w:t>
      </w:r>
      <w:r>
        <w:rPr>
          <w:rFonts w:ascii="Times New Roman" w:cs="Times New Roman" w:eastAsia="Times New Roman" w:hAnsi="Times New Roman"/>
          <w:sz w:val="18"/>
          <w:szCs w:val="18"/>
          <w:color w:val="auto"/>
        </w:rPr>
        <w:t>" below.</w:t>
      </w:r>
    </w:p>
    <w:p>
      <w:pPr>
        <w:spacing w:after="0" w:line="162" w:lineRule="exact"/>
        <w:rPr>
          <w:sz w:val="20"/>
          <w:szCs w:val="20"/>
          <w:color w:val="auto"/>
        </w:rPr>
      </w:pPr>
    </w:p>
    <w:p>
      <w:pPr>
        <w:jc w:val="both"/>
        <w:ind w:firstLine="8"/>
        <w:spacing w:after="0" w:line="261" w:lineRule="auto"/>
        <w:tabs>
          <w:tab w:leader="none" w:pos="141"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adjusted EPS, non-GAAP adjusted operating margin (each a ratio based on a non-GAAP financial measure), and non-GAAP free cash flow are non-GAAP financial measures without standardized meanings, and may not be comparable to similar measures presented by other companies. See "Non-GAAP Financial Measures" below for the definitions and uses of these non-GAAP financial measures, and a reconciliation of these non-GAAP financial measures to the most directly-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58" w:name="page59"/>
    <w:bookmarkEnd w:id="58"/>
    <w:p>
      <w:pPr>
        <w:jc w:val="both"/>
        <w:spacing w:after="0" w:line="266" w:lineRule="auto"/>
        <w:rPr>
          <w:sz w:val="20"/>
          <w:szCs w:val="20"/>
          <w:color w:val="auto"/>
        </w:rPr>
      </w:pPr>
      <w:r>
        <w:rPr>
          <w:rFonts w:ascii="Times New Roman" w:cs="Times New Roman" w:eastAsia="Times New Roman" w:hAnsi="Times New Roman"/>
          <w:sz w:val="18"/>
          <w:szCs w:val="18"/>
          <w:color w:val="auto"/>
        </w:rPr>
        <w:t>comparable financial measures determined under GAAP for specified periods. We do not provide reconciliations for forward-looking non-GAAP financial measures, as we are unable to reasonably estimate the items that we exclude from GAAP to calculate comparable non-GAAP measures without unreasonable effort.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CAGR (compound annual growth rate), is calculated using the formula: (Ending Value / Beginning Value)^(1/number of years) -1.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229" w:lineRule="exact"/>
        <w:rPr>
          <w:sz w:val="20"/>
          <w:szCs w:val="20"/>
          <w:color w:val="auto"/>
        </w:rPr>
      </w:pPr>
    </w:p>
    <w:p>
      <w:pPr>
        <w:jc w:val="both"/>
        <w:ind w:firstLine="246"/>
        <w:spacing w:after="0" w:line="253" w:lineRule="auto"/>
        <w:rPr>
          <w:sz w:val="20"/>
          <w:szCs w:val="20"/>
          <w:color w:val="auto"/>
        </w:rPr>
      </w:pPr>
      <w:r>
        <w:rPr>
          <w:rFonts w:ascii="Times New Roman" w:cs="Times New Roman" w:eastAsia="Times New Roman" w:hAnsi="Times New Roman"/>
          <w:sz w:val="18"/>
          <w:szCs w:val="18"/>
          <w:color w:val="auto"/>
        </w:rPr>
        <w:t>We remain committed to making the investments we believe are required to support our long-term objectives and to create shareholder value, while simultaneously managing our costs and resources to maximize our efficiency and productivity. Within both of our segments, we are focused on: increasing penetration in our end markets; diversifying our customer mix and product portfolios, including increasing design and development, engineering, and after-market services (higher value-added services, including ITAM/ITAD); and diversifying our capabilities. However, customer demand dynamics or the costs of investments that we deem desirable may prevent us from achieving our diversification objectives. In addition, the ramping activities associated with investments that we do make may be significant and could negatively impact our margins in the short and medium term. To counteract these factors, we continue to invest in and deploy automation and digital factory solutions and capabilities throughout our network to improve quality and productivity. Our Celestica Operating System, which standardizes best practices and processes across our network, continues to drive operational optimization and improved supply chain resiliency. Our recent productivity initiatives and related restructuring actions were also intended to further streamline our business and increase operational efficiencies.</w:t>
      </w:r>
    </w:p>
    <w:p>
      <w:pPr>
        <w:spacing w:after="0" w:line="194" w:lineRule="exact"/>
        <w:rPr>
          <w:sz w:val="20"/>
          <w:szCs w:val="20"/>
          <w:color w:val="auto"/>
        </w:rPr>
      </w:pPr>
    </w:p>
    <w:p>
      <w:pPr>
        <w:jc w:val="both"/>
        <w:ind w:firstLine="176"/>
        <w:spacing w:after="0" w:line="261" w:lineRule="auto"/>
        <w:rPr>
          <w:sz w:val="20"/>
          <w:szCs w:val="20"/>
          <w:color w:val="auto"/>
        </w:rPr>
      </w:pPr>
      <w:r>
        <w:rPr>
          <w:rFonts w:ascii="Times New Roman" w:cs="Times New Roman" w:eastAsia="Times New Roman" w:hAnsi="Times New Roman"/>
          <w:sz w:val="18"/>
          <w:szCs w:val="18"/>
          <w:color w:val="auto"/>
        </w:rPr>
        <w:t>As part of our growth efforts, we have recently undertaken investments geared towards capacity and capability expansions at our Thailand, Malaysia and Richardson, U.S. facilities in support of our growth in AI/ML and HPS programs. We also established design centers of excellence in Chennai, India, Penang, Malaysia (in proximity to our expanded Kulim, Malaysia manufacturing site) and Santa Clara, U.S. and Richardson, U.S. to further increase the breadth of HPS offerings available to our customers.</w:t>
      </w:r>
    </w:p>
    <w:p>
      <w:pPr>
        <w:spacing w:after="0" w:line="180"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As we expand our business, open new sites, or transfer business within our network to accommodate growth or achieve synergies and supply chain resilience, we may encounter difficulties that result in higher than expected costs associated with such activities. Potential difficulties related to such activities are described in Item 1A, Risk Factors, "</w:t>
      </w:r>
      <w:r>
        <w:rPr>
          <w:rFonts w:ascii="Times New Roman" w:cs="Times New Roman" w:eastAsia="Times New Roman" w:hAnsi="Times New Roman"/>
          <w:sz w:val="18"/>
          <w:szCs w:val="18"/>
          <w:b w:val="1"/>
          <w:bCs w:val="1"/>
          <w:i w:val="1"/>
          <w:iCs w:val="1"/>
          <w:color w:val="auto"/>
        </w:rPr>
        <w:t>We may encounter difficulties expanding or consolidating our operations or introducing new</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competencies or new offerings, which could adversely affect our operating results</w:t>
      </w:r>
      <w:r>
        <w:rPr>
          <w:rFonts w:ascii="Times New Roman" w:cs="Times New Roman" w:eastAsia="Times New Roman" w:hAnsi="Times New Roman"/>
          <w:sz w:val="18"/>
          <w:szCs w:val="18"/>
          <w:color w:val="auto"/>
        </w:rPr>
        <w:t>" of this Annual Report on Form 10-K, of which this MD&amp;A forms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part. Any such difficulties could prevent us from realizing the anticipated benefits of growth in our business, including in new markets or technologies, which could materially adversely affect our business and operating results.</w:t>
      </w:r>
    </w:p>
    <w:p>
      <w:pPr>
        <w:spacing w:after="0" w:line="187" w:lineRule="exact"/>
        <w:rPr>
          <w:sz w:val="20"/>
          <w:szCs w:val="20"/>
          <w:color w:val="auto"/>
        </w:rPr>
      </w:pPr>
    </w:p>
    <w:p>
      <w:pPr>
        <w:jc w:val="both"/>
        <w:ind w:firstLine="271"/>
        <w:spacing w:after="0" w:line="261" w:lineRule="auto"/>
        <w:rPr>
          <w:sz w:val="20"/>
          <w:szCs w:val="20"/>
          <w:color w:val="auto"/>
        </w:rPr>
      </w:pPr>
      <w:r>
        <w:rPr>
          <w:rFonts w:ascii="Times New Roman" w:cs="Times New Roman" w:eastAsia="Times New Roman" w:hAnsi="Times New Roman"/>
          <w:sz w:val="18"/>
          <w:szCs w:val="18"/>
          <w:color w:val="auto"/>
        </w:rPr>
        <w:t>We may, at any time, be in discussions with respect to possible acquisitions or strategic transactions. There can be no assurance that any of these discussions will result in a definitive agreement and, if they do, what the terms or timing of any such agreement would be. There can also be no assurance that any acquisition or other strategic transaction will be successfully integrated or will generate the returns we expect. We may fund our acquisitions and other strategic transactions from cash on hand, third-party borrowings, the issuance of securities, or a combination thereof.</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External Factors that May Impact our Business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External factors that could have a material and adverse impact on our industry and/or business include government legislation, regulations, or policies, supplier or customer financial difficulties, fires and related disruptions, political instability, increased political tension between countries (including increased tensions between the U.S. and other countries and between mainland China and Taiwan) as well as threats of retaliatory action from other countries, geopolitical dynamics, terrorism, armed conflict (including the Russia/Ukraine conflict and the conflicts in the Middle East area (Middle East Conflicts)), labor or social unrest, criminal activity, cybersecurity incidents, natural disasters and unusually adverse weather conditions (including those caused by climate change), such as hurricanes, tornados, other extreme storms, wildfires, droughts and floods, disease or illness or other widespread health concerns, pandemics, epidemics or outbreaks of illness that affects local, national or international economies, and other risks present in the jurisdictions in which we, our customers, our suppliers, and/or our logistics partners operate. These types of events could disrupt operations or the economics of one or more of our sites or those of our customers, component suppliers and/or our logistics partners. These events could also lead to higher costs or supply shortages and may disrupt the delivery of components to us, or our ability to provide finished products or services to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59" w:name="page60"/>
    <w:bookmarkEnd w:id="59"/>
    <w:p>
      <w:pPr>
        <w:jc w:val="both"/>
        <w:spacing w:after="0" w:line="282" w:lineRule="auto"/>
        <w:rPr>
          <w:sz w:val="20"/>
          <w:szCs w:val="20"/>
          <w:color w:val="auto"/>
        </w:rPr>
      </w:pPr>
      <w:r>
        <w:rPr>
          <w:rFonts w:ascii="Times New Roman" w:cs="Times New Roman" w:eastAsia="Times New Roman" w:hAnsi="Times New Roman"/>
          <w:sz w:val="18"/>
          <w:szCs w:val="18"/>
          <w:color w:val="auto"/>
        </w:rPr>
        <w:t>customers in a manner that is economical to us and/or them, if at all, any of which could (and in the case of materials constraints, had in the past and may in the future) have a material negative impact on our operating results.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some sub-tier suppliers providing raw materials, such as high-grade aluminum, are partially dependent on supply from Russia/Ukraine, we will continue to closely monitor the supply availability and price fluctuations of these raw materials. However, the impact of the current Russia/Ukraine conflict on our supply chain has not been significant to date. In addition, as certain of our suppliers are located in, and we source certain parts from the Middle East, we are closely monitoring the impact of the Middle East conflicts on our supply chain. We are in close contact with our suppliers and logistics providers in the area, and neither we nor they (to our knowledge) have experienced any significant impact to date.</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operating costs have increased, and may continue to increase, as a result of the growth in inflation. Although we have been successful in offsetting the majority of our increased costs with increased pricing for our products and services to date, we cannot assure continued success in this regard, and unrecovered increased operating costs in future periods would adversely impact our margins. We cannot predict future trends in the rate of inflation or other negative economic factors or associated increases in our operating costs. Furthermore, our customers may choose to reduce their business with us if we increase our pricing. In addition, uncertainty in the global economy (including the severity and duration of global inflation and/or recession) and financial markets may impact current and future demand for our customers' products and services, and consequently, our operations. We continue to monitor the dynamics and impacts of the global economic and financial environment and work to manage our priorities, costs and resources to anticipate and prepare for any changes we deem necessary.</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Governmental actions related to international trade agreements have increased (and could further increase) the cost to our U.S. customers who use our non-U.S. manufacturing sites and components, and vice versa, which may materially and adversely impact demand for our services, our results of operations or our financial condition. Changes in policies by the U.S. or other governments could negatively affect our operating results due to changes in duties, tariffs, or taxes, or limitations on currency or fund transfers, as well as government-imposed restrictions on producing certain products in, or shipping them to, specific countries, or as the result of other similar actions by other countries or citizens affected by such changes in policies. In prior periods, our Capital Equipment business and our CCS segment were negatively impacted by U.S. technology export controls with respect to China (which are intended, in part, to restrict China's ability to obtain advanced computing chips, develop and maintain supercomputers, and manufacture advanced semiconductors), and China's policy supporting its private sector businesses. We have increased the resilience of our global network to manage this dynamic. However, given the uncertainty regarding the scope and duration of these or further trade actions and whether trade tensions will escalate further, their impact on the demand for our services, our operations and results for future periods cannot be currently quantified, but may be material. We will continue to monitor the scope and duration of trade actions by the U.S. and other governments on our business.</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Uncertainties resulting from government policies or legislation, and/or increased political tensions between countries, may adversely affect our business, results of operations and financial condition. In general, changes in social, political, regulatory and economic conditions or in laws and policies governing foreign trade, taxation, manufacturing, clean energy, the healthcare industry, AI and/or development and investment in the jurisdictions in which we, and/or our customers or suppliers operate, could materially adversely affect our business, results of operations and financial condition. See Item 1A, Risk Factors, "</w:t>
      </w:r>
      <w:r>
        <w:rPr>
          <w:rFonts w:ascii="Times New Roman" w:cs="Times New Roman" w:eastAsia="Times New Roman" w:hAnsi="Times New Roman"/>
          <w:sz w:val="18"/>
          <w:szCs w:val="18"/>
          <w:b w:val="1"/>
          <w:bCs w:val="1"/>
          <w:i w:val="1"/>
          <w:iCs w:val="1"/>
          <w:color w:val="auto"/>
        </w:rPr>
        <w:t>Our operations have been and could continue to be adversely affected by events outside our control</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i w:val="1"/>
          <w:iCs w:val="1"/>
          <w:color w:val="auto"/>
        </w:rPr>
        <w:t>U.S. policies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legislation could have a material adverse effect on our business, results of operations and financial condition</w:t>
      </w:r>
      <w:r>
        <w:rPr>
          <w:rFonts w:ascii="Times New Roman" w:cs="Times New Roman" w:eastAsia="Times New Roman" w:hAnsi="Times New Roman"/>
          <w:sz w:val="18"/>
          <w:szCs w:val="18"/>
          <w:color w:val="auto"/>
        </w:rPr>
        <w:t>" of this Annual Report on Form 10-K,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which this MD&amp;A forms a part, for further detail.</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rely on a variety of contracted or common carriers to transport raw materials and components from our suppliers to us, and to transport our products to our customers. The use of contracted or common carriers is subject to a number of risks, including increased costs due to rising energy prices and labor, vehicle and insurance costs, hijacking and theft resulting in lost shipments, delivery delays resulting from port congestion and labor shortages and/or strikes, and other factors beyond our control. Although we attempt to mitigate our liability for any losses resulting from these risks through the use of multiple carriers and modes of transport, as well as insurance, any costs or losses relating to shipping or shipping delays that cannot be mitigated, avoided or passed on to our customers could reduce our profitability, require us to manufacture replacement products or damage our relationships with our customers. Although we have incurred some increased shipping expenses and delays as a result of the Middle East Conflicts, such increases and delays have not been significant to date. However, there can be no assurance that this will continue to be the case.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60" w:name="page61"/>
    <w:bookmarkEnd w:id="60"/>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a key supplier (or any company within such supplier's supply chain) experiences financial or other difficulties, this may affect its ability to supply us with materials, components or services, which could halt or delay the production of a customer's products, and/or have a material adverse impact on our operations, financial results and customer relationships.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pace of technological changes (including AI-related technologies) and the frequency of customer outsourcing or transferring business among EMS and/or ODM competitors, may impact our business, results of operations and/or financial condition. Data center deployments, which have numerous, specific infrastructure requirements, have influenced our revenue variability and may continue to impact our future demand.</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rely on IT networks and systems, including those of third-party service providers, to process, transmit and store electronic information. In particular, we depend on our IT infrastructure for a variety of functions, including product manufacturing, worldwide financial reporting, inventory and other data management, procurement, invoicing and email communications. Any of these systems are susceptible to outages due to fire, floods, power loss, telecommunications failures, terrorist attacks, sabotage, cybersecurity threats and incidents, and similar events. Although we have not been materially impacted by computer viruses, malware, ransomware, hacking incidents or outages, we have been (and may in the future be) the target of such events.</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Insufficient customer liquidity may result in significant delays in or defaults on payments owed to us. In addition, customer financial difficulties or changes in demand for our customers' products may result in order cancellations and higher than expected levels of inventory, which could have a material adverse impact on our operating results and working capital performance. We may not be able to return or resell this inventory, or we may be required to hold the inventory for an extended period of time, any of which may result in our having to record additional inventory reserves. We may also be unable to recover all of the amounts owed to us by a customer, including amounts to cover unused inventory or capital investments we incurred to support that customer's business. Our failure to collect amounts owed to us and/or the loss of one or more major customers could have a material adverse effect on our operating results, financial position and cash flows. See "Capital Resources — </w:t>
      </w:r>
      <w:r>
        <w:rPr>
          <w:rFonts w:ascii="Times New Roman" w:cs="Times New Roman" w:eastAsia="Times New Roman" w:hAnsi="Times New Roman"/>
          <w:sz w:val="18"/>
          <w:szCs w:val="18"/>
          <w:i w:val="1"/>
          <w:iCs w:val="1"/>
          <w:color w:val="auto"/>
        </w:rPr>
        <w:t>Financial instruments and financial risks</w:t>
      </w:r>
      <w:r>
        <w:rPr>
          <w:rFonts w:ascii="Times New Roman" w:cs="Times New Roman" w:eastAsia="Times New Roman" w:hAnsi="Times New Roman"/>
          <w:sz w:val="18"/>
          <w:szCs w:val="18"/>
          <w:color w:val="auto"/>
        </w:rPr>
        <w:t>" below for a discussion of customer credit risk reviews we conduct. No significant credit adjustments were recorded in 2024 or to date.</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maintain high levels of inventory to support the growth of our business (and in prior years in response to global supply chain constraints). We continue to work with certain of our customers to obtain cash deposits to alleviate the impact of inventory purchases on our cash flows. See Item 1A, Risk Factors, "</w:t>
      </w:r>
      <w:r>
        <w:rPr>
          <w:rFonts w:ascii="Times New Roman" w:cs="Times New Roman" w:eastAsia="Times New Roman" w:hAnsi="Times New Roman"/>
          <w:sz w:val="18"/>
          <w:szCs w:val="18"/>
          <w:b w:val="1"/>
          <w:bCs w:val="1"/>
          <w:i w:val="1"/>
          <w:iCs w:val="1"/>
          <w:color w:val="auto"/>
        </w:rPr>
        <w:t>Our products and services involve inventory risk</w:t>
      </w:r>
      <w:r>
        <w:rPr>
          <w:rFonts w:ascii="Times New Roman" w:cs="Times New Roman" w:eastAsia="Times New Roman" w:hAnsi="Times New Roman"/>
          <w:sz w:val="18"/>
          <w:szCs w:val="18"/>
          <w:color w:val="auto"/>
        </w:rPr>
        <w:t>" of this Annual Report on Form 10-K, of which this MD&amp;A forms a part, for further detail.</w:t>
      </w:r>
    </w:p>
    <w:p>
      <w:pPr>
        <w:spacing w:after="0" w:line="176" w:lineRule="exact"/>
        <w:rPr>
          <w:sz w:val="20"/>
          <w:szCs w:val="20"/>
          <w:color w:val="auto"/>
        </w:rPr>
      </w:pPr>
    </w:p>
    <w:p>
      <w:pPr>
        <w:jc w:val="both"/>
        <w:ind w:firstLine="217"/>
        <w:spacing w:after="0" w:line="266" w:lineRule="auto"/>
        <w:rPr>
          <w:sz w:val="20"/>
          <w:szCs w:val="20"/>
          <w:color w:val="auto"/>
        </w:rPr>
      </w:pPr>
      <w:r>
        <w:rPr>
          <w:rFonts w:ascii="Times New Roman" w:cs="Times New Roman" w:eastAsia="Times New Roman" w:hAnsi="Times New Roman"/>
          <w:sz w:val="18"/>
          <w:szCs w:val="18"/>
          <w:color w:val="auto"/>
        </w:rPr>
        <w:t>Customer decisions to shift production between EMS and ODM providers, or to change the amount of business they outsource or the concentration or location of their EMS suppliers, have impacted and may continue to impact, among other items, our revenue and margins, the need for future restructuring, the level of capital expenditures and our cash flows.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Key Operating Results and Financial Information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2024 AFS have been prepared in accordance with GAAP and accounting policies we adopted in accordance with GAAP. Such consolidated financial statements reflect all adjustments that are, in the opinion of management, necessary to present fairly our financial position as at December 31, 2024 and 2023 and the operating results and cash flows for each of the years in the three-year period ended December 31, 2024. Also see "</w:t>
      </w:r>
      <w:r>
        <w:rPr>
          <w:rFonts w:ascii="Times New Roman" w:cs="Times New Roman" w:eastAsia="Times New Roman" w:hAnsi="Times New Roman"/>
          <w:sz w:val="18"/>
          <w:szCs w:val="18"/>
          <w:i w:val="1"/>
          <w:iCs w:val="1"/>
          <w:color w:val="auto"/>
        </w:rPr>
        <w:t>Recently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adopted accounting pronouncements</w:t>
      </w:r>
      <w:r>
        <w:rPr>
          <w:rFonts w:ascii="Times New Roman" w:cs="Times New Roman" w:eastAsia="Times New Roman" w:hAnsi="Times New Roman"/>
          <w:sz w:val="18"/>
          <w:szCs w:val="18"/>
          <w:color w:val="auto"/>
        </w:rPr>
        <w:t>" in note 2 to our 2024 AFS.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set forth certain key operating results and financial information for the periods indicated (in millions, except per share amounts and percentages):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61" w:name="page62"/>
    <w:bookmarkEnd w:id="61"/>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
        <w:spacing w:after="0"/>
        <w:rPr>
          <w:sz w:val="20"/>
          <w:szCs w:val="20"/>
          <w:color w:val="auto"/>
        </w:rPr>
      </w:pPr>
      <w:r>
        <w:rPr>
          <w:rFonts w:ascii="Times New Roman" w:cs="Times New Roman" w:eastAsia="Times New Roman" w:hAnsi="Times New Roman"/>
          <w:sz w:val="18"/>
          <w:szCs w:val="18"/>
          <w:color w:val="auto"/>
        </w:rPr>
        <w:t>Revenue</w:t>
      </w:r>
    </w:p>
    <w:p>
      <w:pPr>
        <w:spacing w:after="0" w:line="27" w:lineRule="exact"/>
        <w:rPr>
          <w:sz w:val="20"/>
          <w:szCs w:val="20"/>
          <w:color w:val="auto"/>
        </w:rPr>
      </w:pPr>
    </w:p>
    <w:p>
      <w:pPr>
        <w:ind w:left="12"/>
        <w:spacing w:after="0"/>
        <w:rPr>
          <w:sz w:val="20"/>
          <w:szCs w:val="20"/>
          <w:color w:val="auto"/>
        </w:rPr>
      </w:pPr>
      <w:r>
        <w:rPr>
          <w:rFonts w:ascii="Times New Roman" w:cs="Times New Roman" w:eastAsia="Times New Roman" w:hAnsi="Times New Roman"/>
          <w:sz w:val="18"/>
          <w:szCs w:val="18"/>
          <w:color w:val="auto"/>
        </w:rPr>
        <w:t>Gross profit</w:t>
      </w:r>
    </w:p>
    <w:p>
      <w:pPr>
        <w:spacing w:after="0" w:line="23" w:lineRule="exact"/>
        <w:rPr>
          <w:sz w:val="20"/>
          <w:szCs w:val="20"/>
          <w:color w:val="auto"/>
        </w:rPr>
      </w:pPr>
    </w:p>
    <w:p>
      <w:pPr>
        <w:ind w:left="12"/>
        <w:spacing w:after="0"/>
        <w:rPr>
          <w:sz w:val="20"/>
          <w:szCs w:val="20"/>
          <w:color w:val="auto"/>
        </w:rPr>
      </w:pPr>
      <w:r>
        <w:rPr>
          <w:rFonts w:ascii="Times New Roman" w:cs="Times New Roman" w:eastAsia="Times New Roman" w:hAnsi="Times New Roman"/>
          <w:sz w:val="18"/>
          <w:szCs w:val="18"/>
          <w:color w:val="auto"/>
        </w:rPr>
        <w:t>Selling, general and administrative expenses (SG&amp;A)</w:t>
      </w:r>
    </w:p>
    <w:p>
      <w:pPr>
        <w:spacing w:after="0" w:line="23" w:lineRule="exact"/>
        <w:rPr>
          <w:sz w:val="20"/>
          <w:szCs w:val="20"/>
          <w:color w:val="auto"/>
        </w:rPr>
      </w:pPr>
    </w:p>
    <w:p>
      <w:pPr>
        <w:ind w:left="12"/>
        <w:spacing w:after="0"/>
        <w:rPr>
          <w:sz w:val="20"/>
          <w:szCs w:val="20"/>
          <w:color w:val="auto"/>
        </w:rPr>
      </w:pPr>
      <w:r>
        <w:rPr>
          <w:rFonts w:ascii="Times New Roman" w:cs="Times New Roman" w:eastAsia="Times New Roman" w:hAnsi="Times New Roman"/>
          <w:sz w:val="18"/>
          <w:szCs w:val="18"/>
          <w:color w:val="auto"/>
        </w:rPr>
        <w:t>Restructuring and other charges, net of recoveries</w:t>
      </w:r>
    </w:p>
    <w:p>
      <w:pPr>
        <w:spacing w:after="0" w:line="23" w:lineRule="exact"/>
        <w:rPr>
          <w:sz w:val="20"/>
          <w:szCs w:val="20"/>
          <w:color w:val="auto"/>
        </w:rPr>
      </w:pPr>
    </w:p>
    <w:p>
      <w:pPr>
        <w:ind w:left="12"/>
        <w:spacing w:after="0"/>
        <w:rPr>
          <w:sz w:val="20"/>
          <w:szCs w:val="20"/>
          <w:color w:val="auto"/>
        </w:rPr>
      </w:pPr>
      <w:r>
        <w:rPr>
          <w:rFonts w:ascii="Times New Roman" w:cs="Times New Roman" w:eastAsia="Times New Roman" w:hAnsi="Times New Roman"/>
          <w:sz w:val="18"/>
          <w:szCs w:val="18"/>
          <w:color w:val="auto"/>
        </w:rPr>
        <w:t>Net earnings</w:t>
      </w:r>
    </w:p>
    <w:p>
      <w:pPr>
        <w:spacing w:after="0" w:line="23" w:lineRule="exact"/>
        <w:rPr>
          <w:sz w:val="20"/>
          <w:szCs w:val="20"/>
          <w:color w:val="auto"/>
        </w:rPr>
      </w:pPr>
    </w:p>
    <w:p>
      <w:pPr>
        <w:ind w:left="12"/>
        <w:spacing w:after="0"/>
        <w:rPr>
          <w:sz w:val="20"/>
          <w:szCs w:val="20"/>
          <w:color w:val="auto"/>
        </w:rPr>
      </w:pPr>
      <w:r>
        <w:rPr>
          <w:rFonts w:ascii="Times New Roman" w:cs="Times New Roman" w:eastAsia="Times New Roman" w:hAnsi="Times New Roman"/>
          <w:sz w:val="18"/>
          <w:szCs w:val="18"/>
          <w:color w:val="auto"/>
        </w:rPr>
        <w:t>Diluted earnings per share</w:t>
      </w:r>
    </w:p>
    <w:p>
      <w:pPr>
        <w:spacing w:after="0" w:line="200" w:lineRule="exact"/>
        <w:rPr>
          <w:sz w:val="20"/>
          <w:szCs w:val="20"/>
          <w:color w:val="auto"/>
        </w:rPr>
      </w:pPr>
    </w:p>
    <w:p>
      <w:pPr>
        <w:spacing w:after="0" w:line="398" w:lineRule="exact"/>
        <w:rPr>
          <w:sz w:val="20"/>
          <w:szCs w:val="20"/>
          <w:color w:val="auto"/>
        </w:rPr>
      </w:pPr>
    </w:p>
    <w:p>
      <w:pPr>
        <w:ind w:left="12"/>
        <w:spacing w:after="0"/>
        <w:rPr>
          <w:sz w:val="20"/>
          <w:szCs w:val="20"/>
          <w:color w:val="auto"/>
        </w:rPr>
      </w:pPr>
      <w:r>
        <w:rPr>
          <w:rFonts w:ascii="Times New Roman" w:cs="Times New Roman" w:eastAsia="Times New Roman" w:hAnsi="Times New Roman"/>
          <w:sz w:val="18"/>
          <w:szCs w:val="18"/>
          <w:color w:val="auto"/>
        </w:rPr>
        <w:t>Segment revenue* as a percentage of total revenue:</w:t>
      </w:r>
    </w:p>
    <w:p>
      <w:pPr>
        <w:spacing w:after="0" w:line="36" w:lineRule="exact"/>
        <w:rPr>
          <w:sz w:val="20"/>
          <w:szCs w:val="20"/>
          <w:color w:val="auto"/>
        </w:rPr>
      </w:pPr>
    </w:p>
    <w:p>
      <w:pPr>
        <w:ind w:left="12"/>
        <w:spacing w:after="0"/>
        <w:rPr>
          <w:sz w:val="20"/>
          <w:szCs w:val="20"/>
          <w:color w:val="auto"/>
        </w:rPr>
      </w:pPr>
      <w:r>
        <w:rPr>
          <w:rFonts w:ascii="Times New Roman" w:cs="Times New Roman" w:eastAsia="Times New Roman" w:hAnsi="Times New Roman"/>
          <w:sz w:val="18"/>
          <w:szCs w:val="18"/>
          <w:color w:val="auto"/>
        </w:rPr>
        <w:t>ATS revenue (% of total revenue)</w:t>
      </w:r>
    </w:p>
    <w:p>
      <w:pPr>
        <w:spacing w:after="0" w:line="27" w:lineRule="exact"/>
        <w:rPr>
          <w:sz w:val="20"/>
          <w:szCs w:val="20"/>
          <w:color w:val="auto"/>
        </w:rPr>
      </w:pPr>
    </w:p>
    <w:p>
      <w:pPr>
        <w:ind w:left="12"/>
        <w:spacing w:after="0"/>
        <w:rPr>
          <w:sz w:val="20"/>
          <w:szCs w:val="20"/>
          <w:color w:val="auto"/>
        </w:rPr>
      </w:pPr>
      <w:r>
        <w:rPr>
          <w:rFonts w:ascii="Times New Roman" w:cs="Times New Roman" w:eastAsia="Times New Roman" w:hAnsi="Times New Roman"/>
          <w:sz w:val="18"/>
          <w:szCs w:val="18"/>
          <w:color w:val="auto"/>
        </w:rPr>
        <w:t>CCS revenue (% of total revenue)</w:t>
      </w:r>
    </w:p>
    <w:p>
      <w:pPr>
        <w:spacing w:after="0" w:line="200" w:lineRule="exact"/>
        <w:rPr>
          <w:sz w:val="20"/>
          <w:szCs w:val="20"/>
          <w:color w:val="auto"/>
        </w:rPr>
      </w:pPr>
    </w:p>
    <w:p>
      <w:pPr>
        <w:spacing w:after="0" w:line="385" w:lineRule="exact"/>
        <w:rPr>
          <w:sz w:val="20"/>
          <w:szCs w:val="20"/>
          <w:color w:val="auto"/>
        </w:rPr>
      </w:pPr>
    </w:p>
    <w:p>
      <w:pPr>
        <w:ind w:left="32"/>
        <w:spacing w:after="0"/>
        <w:rPr>
          <w:sz w:val="20"/>
          <w:szCs w:val="20"/>
          <w:color w:val="auto"/>
        </w:rPr>
      </w:pPr>
      <w:r>
        <w:rPr>
          <w:rFonts w:ascii="Times New Roman" w:cs="Times New Roman" w:eastAsia="Times New Roman" w:hAnsi="Times New Roman"/>
          <w:sz w:val="18"/>
          <w:szCs w:val="18"/>
          <w:color w:val="auto"/>
        </w:rPr>
        <w:t>Segment income and segment margin*:</w:t>
      </w:r>
    </w:p>
    <w:p>
      <w:pPr>
        <w:spacing w:after="0" w:line="20" w:lineRule="exact"/>
        <w:rPr>
          <w:sz w:val="20"/>
          <w:szCs w:val="20"/>
          <w:color w:val="auto"/>
        </w:rPr>
      </w:pPr>
      <w:r>
        <w:rPr>
          <w:sz w:val="20"/>
          <w:szCs w:val="20"/>
          <w:color w:val="auto"/>
        </w:rPr>
        <w:br w:type="column"/>
      </w:r>
    </w:p>
    <w:p>
      <w:pPr>
        <w:ind w:left="102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31" w:lineRule="exact"/>
        <w:rPr>
          <w:sz w:val="20"/>
          <w:szCs w:val="20"/>
          <w:color w:val="auto"/>
        </w:rPr>
      </w:pPr>
    </w:p>
    <w:tbl>
      <w:tblPr>
        <w:tblLayout w:type="fixed"/>
        <w:tblInd w:w="320" w:type="dxa"/>
        <w:tblCellMar>
          <w:top w:w="0" w:type="dxa"/>
          <w:left w:w="0" w:type="dxa"/>
          <w:bottom w:w="0" w:type="dxa"/>
          <w:right w:w="0" w:type="dxa"/>
        </w:tblCellMar>
      </w:tblPr>
      <w:tr>
        <w:trPr>
          <w:trHeight w:val="155"/>
        </w:trPr>
        <w:tc>
          <w:tcPr>
            <w:tcW w:w="2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tcBorders>
          </w:tcPr>
          <w:p>
            <w:pPr>
              <w:spacing w:after="0"/>
              <w:rPr>
                <w:sz w:val="13"/>
                <w:szCs w:val="13"/>
                <w:color w:val="auto"/>
              </w:rPr>
            </w:pPr>
          </w:p>
        </w:tc>
        <w:tc>
          <w:tcPr>
            <w:tcW w:w="2700" w:type="dxa"/>
            <w:vAlign w:val="bottom"/>
            <w:tcBorders>
              <w:top w:val="single" w:sz="8" w:color="auto"/>
            </w:tcBorders>
            <w:gridSpan w:val="3"/>
          </w:tcPr>
          <w:p>
            <w:pPr>
              <w:jc w:val="right"/>
              <w:spacing w:after="0" w:line="155" w:lineRule="exact"/>
              <w:rPr>
                <w:sz w:val="20"/>
                <w:szCs w:val="20"/>
                <w:color w:val="auto"/>
              </w:rPr>
            </w:pPr>
            <w:r>
              <w:rPr>
                <w:rFonts w:ascii="Times New Roman" w:cs="Times New Roman" w:eastAsia="Times New Roman" w:hAnsi="Times New Roman"/>
                <w:sz w:val="16"/>
                <w:szCs w:val="16"/>
                <w:b w:val="1"/>
                <w:bCs w:val="1"/>
                <w:color w:val="auto"/>
              </w:rPr>
              <w:t>% Change 2024 v.  % Change 2023 v.</w:t>
            </w:r>
          </w:p>
        </w:tc>
        <w:tc>
          <w:tcPr>
            <w:tcW w:w="0" w:type="dxa"/>
            <w:vAlign w:val="bottom"/>
          </w:tcPr>
          <w:p>
            <w:pPr>
              <w:spacing w:after="0"/>
              <w:rPr>
                <w:sz w:val="1"/>
                <w:szCs w:val="1"/>
                <w:color w:val="auto"/>
              </w:rPr>
            </w:pPr>
          </w:p>
        </w:tc>
      </w:tr>
      <w:tr>
        <w:trPr>
          <w:trHeight w:val="216"/>
        </w:trPr>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130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218"/>
        </w:trPr>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9,646.0</w:t>
            </w:r>
          </w:p>
        </w:tc>
        <w:tc>
          <w:tcPr>
            <w:tcW w:w="100" w:type="dxa"/>
            <w:vAlign w:val="bottom"/>
          </w:tcPr>
          <w:p>
            <w:pPr>
              <w:spacing w:after="0"/>
              <w:rPr>
                <w:sz w:val="18"/>
                <w:szCs w:val="18"/>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7,961.0</w:t>
            </w:r>
          </w:p>
        </w:tc>
        <w:tc>
          <w:tcPr>
            <w:tcW w:w="1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7,250.0</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30"/>
        </w:trPr>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1,033.7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649.7</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0" w:type="dxa"/>
            <w:vAlign w:val="bottom"/>
          </w:tcPr>
          <w:p>
            <w:pPr>
              <w:spacing w:after="0"/>
              <w:rPr>
                <w:sz w:val="1"/>
                <w:szCs w:val="1"/>
                <w:color w:val="auto"/>
              </w:rPr>
            </w:pPr>
          </w:p>
        </w:tc>
      </w:tr>
      <w:tr>
        <w:trPr>
          <w:trHeight w:val="229"/>
        </w:trPr>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267.3</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229"/>
        </w:trPr>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81 %</w:t>
            </w:r>
          </w:p>
        </w:tc>
        <w:tc>
          <w:tcPr>
            <w:tcW w:w="0" w:type="dxa"/>
            <w:vAlign w:val="bottom"/>
          </w:tcPr>
          <w:p>
            <w:pPr>
              <w:spacing w:after="0"/>
              <w:rPr>
                <w:sz w:val="1"/>
                <w:szCs w:val="1"/>
                <w:color w:val="auto"/>
              </w:rPr>
            </w:pPr>
          </w:p>
        </w:tc>
      </w:tr>
      <w:tr>
        <w:trPr>
          <w:trHeight w:val="230"/>
        </w:trPr>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180.1</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75 %</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0" w:type="dxa"/>
            <w:vAlign w:val="bottom"/>
          </w:tcPr>
          <w:p>
            <w:pPr>
              <w:spacing w:after="0"/>
              <w:rPr>
                <w:sz w:val="1"/>
                <w:szCs w:val="1"/>
                <w:color w:val="auto"/>
              </w:rPr>
            </w:pPr>
          </w:p>
        </w:tc>
      </w:tr>
      <w:tr>
        <w:trPr>
          <w:trHeight w:val="234"/>
        </w:trPr>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78 %</w:t>
            </w: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0" w:type="dxa"/>
            <w:vAlign w:val="bottom"/>
          </w:tcPr>
          <w:p>
            <w:pPr>
              <w:spacing w:after="0"/>
              <w:rPr>
                <w:sz w:val="1"/>
                <w:szCs w:val="1"/>
                <w:color w:val="auto"/>
              </w:rPr>
            </w:pPr>
          </w:p>
        </w:tc>
      </w:tr>
    </w:tbl>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20" w:type="dxa"/>
            <w:vAlign w:val="bottom"/>
            <w:tcBorders>
              <w:bottom w:val="single" w:sz="8" w:color="auto"/>
            </w:tcBorders>
            <w:gridSpan w:val="7"/>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r>
      <w:tr>
        <w:trPr>
          <w:trHeight w:val="223"/>
        </w:trPr>
        <w:tc>
          <w:tcPr>
            <w:tcW w:w="2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Borders>
              <w:bottom w:val="single" w:sz="8" w:color="auto"/>
            </w:tcBorders>
          </w:tcPr>
          <w:p>
            <w:pPr>
              <w:spacing w:after="0"/>
              <w:rPr>
                <w:sz w:val="19"/>
                <w:szCs w:val="19"/>
                <w:color w:val="auto"/>
              </w:rPr>
            </w:pPr>
          </w:p>
        </w:tc>
      </w:tr>
      <w:tr>
        <w:trPr>
          <w:trHeight w:val="218"/>
        </w:trPr>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42 %</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20" w:type="dxa"/>
            <w:vAlign w:val="bottom"/>
          </w:tcPr>
          <w:p>
            <w:pPr>
              <w:spacing w:after="0"/>
              <w:rPr>
                <w:sz w:val="18"/>
                <w:szCs w:val="18"/>
                <w:color w:val="auto"/>
              </w:rPr>
            </w:pPr>
          </w:p>
        </w:tc>
      </w:tr>
      <w:tr>
        <w:trPr>
          <w:trHeight w:val="234"/>
        </w:trPr>
        <w:tc>
          <w:tcPr>
            <w:tcW w:w="2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58 %</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20" w:type="dxa"/>
            <w:vAlign w:val="bottom"/>
          </w:tcPr>
          <w:p>
            <w:pPr>
              <w:spacing w:after="0"/>
              <w:rPr>
                <w:sz w:val="20"/>
                <w:szCs w:val="20"/>
                <w:color w:val="auto"/>
              </w:rPr>
            </w:pPr>
          </w:p>
        </w:tc>
      </w:tr>
      <w:tr>
        <w:trPr>
          <w:trHeight w:val="553"/>
        </w:trPr>
        <w:tc>
          <w:tcPr>
            <w:tcW w:w="2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23"/>
        </w:trPr>
        <w:tc>
          <w:tcPr>
            <w:tcW w:w="2080" w:type="dxa"/>
            <w:vAlign w:val="bottom"/>
          </w:tcPr>
          <w:p>
            <w:pPr>
              <w:jc w:val="right"/>
              <w:ind w:right="776"/>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1640" w:type="dxa"/>
            <w:vAlign w:val="bottom"/>
            <w:gridSpan w:val="2"/>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55"/>
        </w:trPr>
        <w:tc>
          <w:tcPr>
            <w:tcW w:w="2080" w:type="dxa"/>
            <w:vAlign w:val="bottom"/>
            <w:tcBorders>
              <w:top w:val="single" w:sz="8" w:color="auto"/>
            </w:tcBorders>
          </w:tcPr>
          <w:p>
            <w:pPr>
              <w:jc w:val="center"/>
              <w:ind w:left="1016"/>
              <w:spacing w:after="0" w:line="155" w:lineRule="exact"/>
              <w:rPr>
                <w:sz w:val="20"/>
                <w:szCs w:val="20"/>
                <w:color w:val="auto"/>
              </w:rPr>
            </w:pPr>
            <w:r>
              <w:rPr>
                <w:rFonts w:ascii="Times New Roman" w:cs="Times New Roman" w:eastAsia="Times New Roman" w:hAnsi="Times New Roman"/>
                <w:sz w:val="16"/>
                <w:szCs w:val="16"/>
                <w:color w:val="auto"/>
              </w:rPr>
              <w:t>Segment</w:t>
            </w:r>
          </w:p>
        </w:tc>
        <w:tc>
          <w:tcPr>
            <w:tcW w:w="100" w:type="dxa"/>
            <w:vAlign w:val="bottom"/>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1660" w:type="dxa"/>
            <w:vAlign w:val="bottom"/>
            <w:tcBorders>
              <w:top w:val="single" w:sz="8" w:color="auto"/>
            </w:tcBorders>
            <w:gridSpan w:val="3"/>
          </w:tcPr>
          <w:p>
            <w:pPr>
              <w:jc w:val="center"/>
              <w:ind w:left="614"/>
              <w:spacing w:after="0" w:line="155" w:lineRule="exact"/>
              <w:rPr>
                <w:sz w:val="20"/>
                <w:szCs w:val="20"/>
                <w:color w:val="auto"/>
              </w:rPr>
            </w:pPr>
            <w:r>
              <w:rPr>
                <w:rFonts w:ascii="Times New Roman" w:cs="Times New Roman" w:eastAsia="Times New Roman" w:hAnsi="Times New Roman"/>
                <w:sz w:val="16"/>
                <w:szCs w:val="16"/>
                <w:color w:val="auto"/>
                <w:w w:val="99"/>
              </w:rPr>
              <w:t>Segment</w:t>
            </w:r>
          </w:p>
        </w:tc>
        <w:tc>
          <w:tcPr>
            <w:tcW w:w="10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ind w:left="60"/>
              <w:spacing w:after="0" w:line="155" w:lineRule="exact"/>
              <w:rPr>
                <w:sz w:val="20"/>
                <w:szCs w:val="20"/>
                <w:color w:val="auto"/>
              </w:rPr>
            </w:pPr>
            <w:r>
              <w:rPr>
                <w:rFonts w:ascii="Times New Roman" w:cs="Times New Roman" w:eastAsia="Times New Roman" w:hAnsi="Times New Roman"/>
                <w:sz w:val="16"/>
                <w:szCs w:val="16"/>
                <w:color w:val="auto"/>
              </w:rPr>
              <w:t>Segment</w:t>
            </w:r>
          </w:p>
        </w:tc>
        <w:tc>
          <w:tcPr>
            <w:tcW w:w="20" w:type="dxa"/>
            <w:vAlign w:val="bottom"/>
          </w:tcPr>
          <w:p>
            <w:pPr>
              <w:spacing w:after="0"/>
              <w:rPr>
                <w:sz w:val="13"/>
                <w:szCs w:val="13"/>
                <w:color w:val="auto"/>
              </w:rPr>
            </w:pPr>
          </w:p>
        </w:tc>
      </w:tr>
      <w:tr>
        <w:trPr>
          <w:trHeight w:val="210"/>
        </w:trPr>
        <w:tc>
          <w:tcPr>
            <w:tcW w:w="2180" w:type="dxa"/>
            <w:vAlign w:val="bottom"/>
            <w:gridSpan w:val="2"/>
          </w:tcPr>
          <w:p>
            <w:pPr>
              <w:jc w:val="center"/>
              <w:ind w:left="896"/>
              <w:spacing w:after="0"/>
              <w:rPr>
                <w:sz w:val="20"/>
                <w:szCs w:val="20"/>
                <w:color w:val="auto"/>
              </w:rPr>
            </w:pPr>
            <w:r>
              <w:rPr>
                <w:rFonts w:ascii="Times New Roman" w:cs="Times New Roman" w:eastAsia="Times New Roman" w:hAnsi="Times New Roman"/>
                <w:sz w:val="16"/>
                <w:szCs w:val="16"/>
                <w:color w:val="auto"/>
              </w:rPr>
              <w:t>Margin</w:t>
            </w:r>
          </w:p>
        </w:tc>
        <w:tc>
          <w:tcPr>
            <w:tcW w:w="420" w:type="dxa"/>
            <w:vAlign w:val="bottom"/>
          </w:tcPr>
          <w:p>
            <w:pPr>
              <w:spacing w:after="0"/>
              <w:rPr>
                <w:sz w:val="18"/>
                <w:szCs w:val="18"/>
                <w:color w:val="auto"/>
              </w:rPr>
            </w:pPr>
          </w:p>
        </w:tc>
        <w:tc>
          <w:tcPr>
            <w:tcW w:w="1660" w:type="dxa"/>
            <w:vAlign w:val="bottom"/>
            <w:gridSpan w:val="3"/>
          </w:tcPr>
          <w:p>
            <w:pPr>
              <w:jc w:val="center"/>
              <w:ind w:left="614"/>
              <w:spacing w:after="0"/>
              <w:rPr>
                <w:sz w:val="20"/>
                <w:szCs w:val="20"/>
                <w:color w:val="auto"/>
              </w:rPr>
            </w:pPr>
            <w:r>
              <w:rPr>
                <w:rFonts w:ascii="Times New Roman" w:cs="Times New Roman" w:eastAsia="Times New Roman" w:hAnsi="Times New Roman"/>
                <w:sz w:val="16"/>
                <w:szCs w:val="16"/>
                <w:color w:val="auto"/>
              </w:rPr>
              <w:t>Margin</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Margin</w:t>
            </w:r>
          </w:p>
        </w:tc>
      </w:tr>
    </w:tbl>
    <w:p>
      <w:pPr>
        <w:spacing w:after="0" w:line="1" w:lineRule="exact"/>
        <w:rPr>
          <w:sz w:val="20"/>
          <w:szCs w:val="20"/>
          <w:color w:val="auto"/>
        </w:rPr>
      </w:pPr>
    </w:p>
    <w:p>
      <w:pPr>
        <w:sectPr>
          <w:pgSz w:w="11900" w:h="16838" w:orient="portrait"/>
          <w:cols w:equalWidth="0" w:num="2">
            <w:col w:w="4052" w:space="720"/>
            <w:col w:w="6460"/>
          </w:cols>
          <w:pgMar w:left="328" w:top="1184" w:right="339" w:bottom="1440" w:gutter="0" w:footer="0" w:header="0"/>
        </w:sectPr>
      </w:pPr>
    </w:p>
    <w:tbl>
      <w:tblPr>
        <w:tblLayout w:type="fixed"/>
        <w:tblInd w:w="32" w:type="dxa"/>
        <w:tblCellMar>
          <w:top w:w="0" w:type="dxa"/>
          <w:left w:w="0" w:type="dxa"/>
          <w:bottom w:w="0" w:type="dxa"/>
          <w:right w:w="0" w:type="dxa"/>
        </w:tblCellMar>
      </w:tblPr>
      <w:tr>
        <w:trPr>
          <w:trHeight w:val="224"/>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ATS segment</w:t>
            </w:r>
          </w:p>
        </w:tc>
        <w:tc>
          <w:tcPr>
            <w:tcW w:w="22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144.1</w:t>
            </w:r>
          </w:p>
        </w:tc>
        <w:tc>
          <w:tcPr>
            <w:tcW w:w="98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4.6%</w:t>
            </w:r>
          </w:p>
        </w:tc>
        <w:tc>
          <w:tcPr>
            <w:tcW w:w="4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155.0</w:t>
            </w:r>
          </w:p>
        </w:tc>
        <w:tc>
          <w:tcPr>
            <w:tcW w:w="98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4.7%</w:t>
            </w:r>
          </w:p>
        </w:tc>
        <w:tc>
          <w:tcPr>
            <w:tcW w:w="4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140.3</w:t>
            </w:r>
          </w:p>
        </w:tc>
        <w:tc>
          <w:tcPr>
            <w:tcW w:w="96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4.7%</w:t>
            </w:r>
          </w:p>
        </w:tc>
      </w:tr>
      <w:tr>
        <w:trPr>
          <w:trHeight w:val="234"/>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CCS segment</w:t>
            </w:r>
          </w:p>
        </w:tc>
        <w:tc>
          <w:tcPr>
            <w:tcW w:w="2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478.5</w:t>
            </w:r>
          </w:p>
        </w:tc>
        <w:tc>
          <w:tcPr>
            <w:tcW w:w="9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7.4%</w:t>
            </w:r>
          </w:p>
        </w:tc>
        <w:tc>
          <w:tcPr>
            <w:tcW w:w="4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286.6</w:t>
            </w:r>
          </w:p>
        </w:tc>
        <w:tc>
          <w:tcPr>
            <w:tcW w:w="9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6.2%</w:t>
            </w:r>
          </w:p>
        </w:tc>
        <w:tc>
          <w:tcPr>
            <w:tcW w:w="4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217.6</w:t>
            </w:r>
          </w:p>
        </w:tc>
        <w:tc>
          <w:tcPr>
            <w:tcW w:w="9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5.1%</w:t>
            </w:r>
          </w:p>
        </w:tc>
      </w:tr>
    </w:tbl>
    <w:p>
      <w:pPr>
        <w:spacing w:after="0" w:line="148" w:lineRule="exact"/>
        <w:rPr>
          <w:sz w:val="20"/>
          <w:szCs w:val="20"/>
          <w:color w:val="auto"/>
        </w:rPr>
      </w:pPr>
    </w:p>
    <w:p>
      <w:pPr>
        <w:ind w:left="-8" w:right="20" w:firstLine="8"/>
        <w:spacing w:after="0" w:line="298" w:lineRule="auto"/>
        <w:tabs>
          <w:tab w:leader="none" w:pos="117"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Segment performance is evaluated based on segment revenue, segment income and segment margin (segment income as a percentage of segment revenue), each of which are defined in "Operating Results — Segment income and margin" below.</w:t>
      </w:r>
    </w:p>
    <w:p>
      <w:pPr>
        <w:spacing w:after="0" w:line="160" w:lineRule="exact"/>
        <w:rPr>
          <w:sz w:val="20"/>
          <w:szCs w:val="20"/>
          <w:color w:val="auto"/>
        </w:rPr>
      </w:pPr>
    </w:p>
    <w:tbl>
      <w:tblPr>
        <w:tblLayout w:type="fixed"/>
        <w:tblInd w:w="12" w:type="dxa"/>
        <w:tblCellMar>
          <w:top w:w="0" w:type="dxa"/>
          <w:left w:w="0" w:type="dxa"/>
          <w:bottom w:w="0" w:type="dxa"/>
          <w:right w:w="0" w:type="dxa"/>
        </w:tblCellMar>
      </w:tblPr>
      <w:tr>
        <w:trPr>
          <w:trHeight w:val="207"/>
        </w:trPr>
        <w:tc>
          <w:tcPr>
            <w:tcW w:w="8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60" w:type="dxa"/>
            <w:vAlign w:val="bottom"/>
          </w:tcPr>
          <w:p>
            <w:pPr>
              <w:spacing w:after="0"/>
              <w:rPr>
                <w:sz w:val="18"/>
                <w:szCs w:val="18"/>
                <w:color w:val="auto"/>
              </w:rPr>
            </w:pP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370.4</w:t>
            </w:r>
          </w:p>
        </w:tc>
      </w:tr>
      <w:tr>
        <w:trPr>
          <w:trHeight w:val="226"/>
        </w:trPr>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5,988.2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5,890.5</w:t>
            </w:r>
          </w:p>
        </w:tc>
      </w:tr>
      <w:tr>
        <w:trPr>
          <w:trHeight w:val="229"/>
        </w:trPr>
        <w:tc>
          <w:tcPr>
            <w:tcW w:w="8240" w:type="dxa"/>
            <w:vAlign w:val="bottom"/>
          </w:tcPr>
          <w:p>
            <w:pPr>
              <w:spacing w:after="0" w:line="230" w:lineRule="exact"/>
              <w:rPr>
                <w:sz w:val="20"/>
                <w:szCs w:val="20"/>
                <w:color w:val="auto"/>
              </w:rPr>
            </w:pPr>
            <w:r>
              <w:rPr>
                <w:rFonts w:ascii="Times New Roman" w:cs="Times New Roman" w:eastAsia="Times New Roman" w:hAnsi="Times New Roman"/>
                <w:sz w:val="18"/>
                <w:szCs w:val="18"/>
                <w:color w:val="auto"/>
              </w:rPr>
              <w:t>Borrowings under term loans</w:t>
            </w:r>
            <w:r>
              <w:rPr>
                <w:rFonts w:ascii="Times New Roman" w:cs="Times New Roman" w:eastAsia="Times New Roman" w:hAnsi="Times New Roman"/>
                <w:sz w:val="23"/>
                <w:szCs w:val="23"/>
                <w:color w:val="auto"/>
                <w:vertAlign w:val="superscript"/>
              </w:rPr>
              <w:t>(1)</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608.9</w:t>
            </w:r>
          </w:p>
        </w:tc>
      </w:tr>
      <w:tr>
        <w:trPr>
          <w:trHeight w:val="306"/>
        </w:trPr>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Borrowings under revolving credit facility</w:t>
            </w:r>
            <w:r>
              <w:rPr>
                <w:rFonts w:ascii="Times New Roman" w:cs="Times New Roman" w:eastAsia="Times New Roman" w:hAnsi="Times New Roman"/>
                <w:sz w:val="23"/>
                <w:szCs w:val="23"/>
                <w:color w:val="auto"/>
                <w:vertAlign w:val="superscript"/>
              </w:rPr>
              <w:t>(2)</w:t>
            </w:r>
          </w:p>
        </w:tc>
        <w:tc>
          <w:tcPr>
            <w:tcW w:w="180" w:type="dxa"/>
            <w:vAlign w:val="bottom"/>
          </w:tcPr>
          <w:p>
            <w:pPr>
              <w:spacing w:after="0"/>
              <w:rPr>
                <w:sz w:val="24"/>
                <w:szCs w:val="24"/>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48" w:lineRule="exact"/>
        <w:rPr>
          <w:sz w:val="20"/>
          <w:szCs w:val="20"/>
          <w:color w:val="auto"/>
        </w:rPr>
      </w:pPr>
    </w:p>
    <w:p>
      <w:pPr>
        <w:ind w:left="172" w:hanging="172"/>
        <w:spacing w:after="0"/>
        <w:tabs>
          <w:tab w:leader="none" w:pos="172" w:val="left"/>
        </w:tabs>
        <w:numPr>
          <w:ilvl w:val="0"/>
          <w:numId w:val="2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excluding unamortized debt issuance costs.</w:t>
      </w:r>
    </w:p>
    <w:p>
      <w:pPr>
        <w:spacing w:after="0" w:line="37" w:lineRule="exact"/>
        <w:rPr>
          <w:rFonts w:ascii="Times New Roman" w:cs="Times New Roman" w:eastAsia="Times New Roman" w:hAnsi="Times New Roman"/>
          <w:sz w:val="21"/>
          <w:szCs w:val="21"/>
          <w:color w:val="auto"/>
          <w:vertAlign w:val="superscript"/>
        </w:rPr>
      </w:pPr>
    </w:p>
    <w:p>
      <w:pPr>
        <w:ind w:left="172" w:hanging="172"/>
        <w:spacing w:after="0" w:line="191" w:lineRule="auto"/>
        <w:tabs>
          <w:tab w:leader="none" w:pos="172" w:val="left"/>
        </w:tabs>
        <w:numPr>
          <w:ilvl w:val="0"/>
          <w:numId w:val="2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excluding ordinary course letters of credit (L/Cs).</w:t>
      </w:r>
    </w:p>
    <w:p>
      <w:pPr>
        <w:spacing w:after="0" w:line="240" w:lineRule="exact"/>
        <w:rPr>
          <w:sz w:val="20"/>
          <w:szCs w:val="20"/>
          <w:color w:val="auto"/>
        </w:rPr>
      </w:pPr>
    </w:p>
    <w:tbl>
      <w:tblPr>
        <w:tblLayout w:type="fixed"/>
        <w:tblInd w:w="32" w:type="dxa"/>
        <w:tblCellMar>
          <w:top w:w="0" w:type="dxa"/>
          <w:left w:w="0" w:type="dxa"/>
          <w:bottom w:w="0" w:type="dxa"/>
          <w:right w:w="0" w:type="dxa"/>
        </w:tblCellMar>
      </w:tblPr>
      <w:tr>
        <w:trPr>
          <w:trHeight w:val="238"/>
        </w:trPr>
        <w:tc>
          <w:tcPr>
            <w:tcW w:w="76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780" w:type="dxa"/>
            <w:vAlign w:val="bottom"/>
            <w:tcBorders>
              <w:bottom w:val="single" w:sz="8" w:color="auto"/>
            </w:tcBorders>
          </w:tcPr>
          <w:p>
            <w:pPr>
              <w:spacing w:after="0"/>
              <w:rPr>
                <w:sz w:val="20"/>
                <w:szCs w:val="20"/>
                <w:color w:val="auto"/>
              </w:rPr>
            </w:pPr>
          </w:p>
        </w:tc>
      </w:tr>
      <w:tr>
        <w:trPr>
          <w:trHeight w:val="223"/>
        </w:trPr>
        <w:tc>
          <w:tcPr>
            <w:tcW w:w="76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8"/>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Cash provided by operating activities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473.9</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326.2</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211.1</w:t>
            </w:r>
          </w:p>
        </w:tc>
      </w:tr>
      <w:tr>
        <w:trPr>
          <w:trHeight w:val="441"/>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Common Share repurchase activities:</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29"/>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Aggregate cost (including transaction fees) of </w:t>
            </w:r>
            <w:r>
              <w:rPr>
                <w:rFonts w:ascii="Times New Roman" w:cs="Times New Roman" w:eastAsia="Times New Roman" w:hAnsi="Times New Roman"/>
                <w:sz w:val="16"/>
                <w:szCs w:val="16"/>
                <w:color w:val="auto"/>
              </w:rPr>
              <w:t>Common Shares</w:t>
            </w:r>
            <w:r>
              <w:rPr>
                <w:rFonts w:ascii="Times New Roman" w:cs="Times New Roman" w:eastAsia="Times New Roman" w:hAnsi="Times New Roman"/>
                <w:sz w:val="18"/>
                <w:szCs w:val="18"/>
                <w:color w:val="auto"/>
              </w:rPr>
              <w:t xml:space="preserve"> repurchased for cancellation</w:t>
            </w:r>
            <w:r>
              <w:rPr>
                <w:rFonts w:ascii="Times New Roman" w:cs="Times New Roman" w:eastAsia="Times New Roman" w:hAnsi="Times New Roman"/>
                <w:sz w:val="23"/>
                <w:szCs w:val="23"/>
                <w:color w:val="auto"/>
                <w:vertAlign w:val="superscript"/>
              </w:rPr>
              <w:t>(1)</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152.0</w:t>
            </w:r>
          </w:p>
        </w:tc>
        <w:tc>
          <w:tcPr>
            <w:tcW w:w="120" w:type="dxa"/>
            <w:vAlign w:val="bottom"/>
          </w:tcPr>
          <w:p>
            <w:pPr>
              <w:spacing w:after="0"/>
              <w:rPr>
                <w:sz w:val="24"/>
                <w:szCs w:val="24"/>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00" w:type="dxa"/>
            <w:vAlign w:val="bottom"/>
          </w:tcPr>
          <w:p>
            <w:pPr>
              <w:spacing w:after="0"/>
              <w:rPr>
                <w:sz w:val="24"/>
                <w:szCs w:val="24"/>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r>
      <w:tr>
        <w:trPr>
          <w:trHeight w:val="273"/>
        </w:trPr>
        <w:tc>
          <w:tcPr>
            <w:tcW w:w="7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 xml:space="preserve">Number of </w:t>
            </w:r>
            <w:r>
              <w:rPr>
                <w:rFonts w:ascii="Times New Roman" w:cs="Times New Roman" w:eastAsia="Times New Roman" w:hAnsi="Times New Roman"/>
                <w:sz w:val="16"/>
                <w:szCs w:val="16"/>
                <w:color w:val="auto"/>
              </w:rPr>
              <w:t>Common Shares</w:t>
            </w:r>
            <w:r>
              <w:rPr>
                <w:rFonts w:ascii="Times New Roman" w:cs="Times New Roman" w:eastAsia="Times New Roman" w:hAnsi="Times New Roman"/>
                <w:sz w:val="18"/>
                <w:szCs w:val="18"/>
                <w:color w:val="auto"/>
              </w:rPr>
              <w:t xml:space="preserve"> repurchased for cancellation (in millions)</w:t>
            </w:r>
            <w:r>
              <w:rPr>
                <w:rFonts w:ascii="Times New Roman" w:cs="Times New Roman" w:eastAsia="Times New Roman" w:hAnsi="Times New Roman"/>
                <w:sz w:val="23"/>
                <w:szCs w:val="23"/>
                <w:color w:val="auto"/>
                <w:vertAlign w:val="superscript"/>
              </w:rPr>
              <w:t>(2)</w:t>
            </w: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30"/>
        </w:trPr>
        <w:tc>
          <w:tcPr>
            <w:tcW w:w="7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Weighted average price per share for repurchases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47.15</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13.83</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w:t>
            </w:r>
          </w:p>
        </w:tc>
      </w:tr>
      <w:tr>
        <w:trPr>
          <w:trHeight w:val="180"/>
        </w:trPr>
        <w:tc>
          <w:tcPr>
            <w:tcW w:w="760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 xml:space="preserve">Aggregate cost (including transaction fees) of </w:t>
            </w:r>
            <w:r>
              <w:rPr>
                <w:rFonts w:ascii="Times New Roman" w:cs="Times New Roman" w:eastAsia="Times New Roman" w:hAnsi="Times New Roman"/>
                <w:sz w:val="16"/>
                <w:szCs w:val="16"/>
                <w:color w:val="auto"/>
              </w:rPr>
              <w:t>Common Shares</w:t>
            </w:r>
            <w:r>
              <w:rPr>
                <w:rFonts w:ascii="Times New Roman" w:cs="Times New Roman" w:eastAsia="Times New Roman" w:hAnsi="Times New Roman"/>
                <w:sz w:val="18"/>
                <w:szCs w:val="18"/>
                <w:color w:val="auto"/>
              </w:rPr>
              <w:t xml:space="preserve"> repurchased for delivery under SBC</w:t>
            </w: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262"/>
        </w:trPr>
        <w:tc>
          <w:tcPr>
            <w:tcW w:w="7600" w:type="dxa"/>
            <w:vAlign w:val="bottom"/>
          </w:tcPr>
          <w:p>
            <w:pPr>
              <w:ind w:left="80"/>
              <w:spacing w:after="0" w:line="262" w:lineRule="exact"/>
              <w:rPr>
                <w:sz w:val="20"/>
                <w:szCs w:val="20"/>
                <w:color w:val="auto"/>
              </w:rPr>
            </w:pPr>
            <w:r>
              <w:rPr>
                <w:rFonts w:ascii="Times New Roman" w:cs="Times New Roman" w:eastAsia="Times New Roman" w:hAnsi="Times New Roman"/>
                <w:sz w:val="18"/>
                <w:szCs w:val="18"/>
                <w:color w:val="auto"/>
              </w:rPr>
              <w:t>plans</w:t>
            </w:r>
            <w:r>
              <w:rPr>
                <w:rFonts w:ascii="Times New Roman" w:cs="Times New Roman" w:eastAsia="Times New Roman" w:hAnsi="Times New Roman"/>
                <w:sz w:val="23"/>
                <w:szCs w:val="23"/>
                <w:color w:val="auto"/>
                <w:vertAlign w:val="superscript"/>
              </w:rPr>
              <w:t>(3)</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w:t>
            </w:r>
          </w:p>
        </w:tc>
        <w:tc>
          <w:tcPr>
            <w:tcW w:w="120" w:type="dxa"/>
            <w:vAlign w:val="bottom"/>
          </w:tcPr>
          <w:p>
            <w:pPr>
              <w:spacing w:after="0"/>
              <w:rPr>
                <w:sz w:val="22"/>
                <w:szCs w:val="22"/>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10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w:t>
            </w:r>
          </w:p>
        </w:tc>
      </w:tr>
      <w:tr>
        <w:trPr>
          <w:trHeight w:val="306"/>
        </w:trPr>
        <w:tc>
          <w:tcPr>
            <w:tcW w:w="7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 xml:space="preserve">Number of </w:t>
            </w:r>
            <w:r>
              <w:rPr>
                <w:rFonts w:ascii="Times New Roman" w:cs="Times New Roman" w:eastAsia="Times New Roman" w:hAnsi="Times New Roman"/>
                <w:sz w:val="16"/>
                <w:szCs w:val="16"/>
                <w:color w:val="auto"/>
              </w:rPr>
              <w:t>Common Shares</w:t>
            </w:r>
            <w:r>
              <w:rPr>
                <w:rFonts w:ascii="Times New Roman" w:cs="Times New Roman" w:eastAsia="Times New Roman" w:hAnsi="Times New Roman"/>
                <w:sz w:val="18"/>
                <w:szCs w:val="18"/>
                <w:color w:val="auto"/>
              </w:rPr>
              <w:t xml:space="preserve"> repurchased for delivery under SBC plans (in millions)</w:t>
            </w:r>
            <w:r>
              <w:rPr>
                <w:rFonts w:ascii="Times New Roman" w:cs="Times New Roman" w:eastAsia="Times New Roman" w:hAnsi="Times New Roman"/>
                <w:sz w:val="23"/>
                <w:szCs w:val="23"/>
                <w:color w:val="auto"/>
                <w:vertAlign w:val="superscript"/>
              </w:rPr>
              <w:t>(4)</w:t>
            </w: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bl>
    <w:p>
      <w:pPr>
        <w:spacing w:after="0" w:line="106" w:lineRule="exact"/>
        <w:rPr>
          <w:sz w:val="20"/>
          <w:szCs w:val="20"/>
          <w:color w:val="auto"/>
        </w:rPr>
      </w:pPr>
    </w:p>
    <w:p>
      <w:pPr>
        <w:jc w:val="both"/>
        <w:ind w:left="412" w:right="20" w:hanging="412"/>
        <w:spacing w:after="0" w:line="270" w:lineRule="auto"/>
        <w:tabs>
          <w:tab w:leader="none" w:pos="363"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2023, excludes an accrual of $2.7 million recorded at December 31, 2023 for the estimated contractual maximum number of permitted Common Share repurchases (Contractual Maximum Quantity) under an Automatic Share Purchase Plan (ASPP) entered into in December 2023; for 2024, excludes an accrual of $2.8 million at December 31, 2024 for share buyback taxes.</w:t>
      </w:r>
    </w:p>
    <w:p>
      <w:pPr>
        <w:ind w:left="352" w:hanging="352"/>
        <w:spacing w:after="0"/>
        <w:tabs>
          <w:tab w:leader="none" w:pos="352"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0.5 million, 0.9 million and 2.5 million repurchases of Common Shares for cancellation under ASPPs in 2024, 2023 and 2022, respectively.</w:t>
      </w:r>
    </w:p>
    <w:p>
      <w:pPr>
        <w:spacing w:after="0" w:line="45" w:lineRule="exact"/>
        <w:rPr>
          <w:rFonts w:ascii="Times New Roman" w:cs="Times New Roman" w:eastAsia="Times New Roman" w:hAnsi="Times New Roman"/>
          <w:sz w:val="16"/>
          <w:szCs w:val="16"/>
          <w:color w:val="auto"/>
        </w:rPr>
      </w:pPr>
    </w:p>
    <w:p>
      <w:pPr>
        <w:ind w:left="412" w:hanging="412"/>
        <w:spacing w:after="0" w:line="298" w:lineRule="auto"/>
        <w:tabs>
          <w:tab w:leader="none" w:pos="439"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2023, excludes an accrual of $7.5 million recorded at December 31, 2023 for the estimated Contractual Maximum Quantity under an ASPP entered into in September 2023 for delivery obligations under our SBC plans.</w:t>
      </w:r>
    </w:p>
    <w:p>
      <w:pPr>
        <w:sectPr>
          <w:pgSz w:w="11900" w:h="16838" w:orient="portrait"/>
          <w:cols w:equalWidth="0" w:num="1">
            <w:col w:w="11232"/>
          </w:cols>
          <w:pgMar w:left="328" w:top="118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227330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184" w:right="339" w:bottom="1440" w:gutter="0" w:footer="0" w:header="0"/>
          <w:type w:val="continuous"/>
        </w:sectPr>
      </w:pPr>
    </w:p>
    <w:bookmarkStart w:id="62" w:name="page63"/>
    <w:bookmarkEnd w:id="62"/>
    <w:p>
      <w:pPr>
        <w:spacing w:after="0"/>
        <w:tabs>
          <w:tab w:leader="none" w:pos="340" w:val="left"/>
        </w:tabs>
        <w:rPr>
          <w:sz w:val="20"/>
          <w:szCs w:val="20"/>
          <w:color w:val="auto"/>
        </w:rPr>
      </w:pPr>
      <w:r>
        <w:rPr>
          <w:rFonts w:ascii="Times New Roman" w:cs="Times New Roman" w:eastAsia="Times New Roman" w:hAnsi="Times New Roman"/>
          <w:sz w:val="16"/>
          <w:szCs w:val="16"/>
          <w:color w:val="auto"/>
        </w:rPr>
        <w:t>(4)</w:t>
        <w:tab/>
        <w:t>Consists entirely of Common Share repurchases for SBC delivery obligations under ASPPs for such purpose through an independent broker.</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performance indicators: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addition to the key operating results and financial information described above, management reviews the following measures:</w:t>
      </w:r>
    </w:p>
    <w:p>
      <w:pPr>
        <w:spacing w:after="0" w:line="262"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Cash cycle days:</w:t>
            </w:r>
          </w:p>
        </w:tc>
        <w:tc>
          <w:tcPr>
            <w:tcW w:w="9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Q4 2024</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Q3 2024</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Q2 2024</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Q1 2024</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Q4 2023</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Q3 2023</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Q2 2023</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Q1 2023</w:t>
            </w:r>
          </w:p>
        </w:tc>
        <w:tc>
          <w:tcPr>
            <w:tcW w:w="0" w:type="dxa"/>
            <w:vAlign w:val="bottom"/>
          </w:tcPr>
          <w:p>
            <w:pPr>
              <w:spacing w:after="0"/>
              <w:rPr>
                <w:sz w:val="1"/>
                <w:szCs w:val="1"/>
                <w:color w:val="auto"/>
              </w:rPr>
            </w:pPr>
          </w:p>
        </w:tc>
      </w:tr>
      <w:tr>
        <w:trPr>
          <w:trHeight w:val="205"/>
        </w:trPr>
        <w:tc>
          <w:tcPr>
            <w:tcW w:w="3280" w:type="dxa"/>
            <w:vAlign w:val="bottom"/>
            <w:vMerge w:val="continue"/>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Days in accounts receivable (A/R)</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73</w:t>
            </w:r>
          </w:p>
        </w:tc>
        <w:tc>
          <w:tcPr>
            <w:tcW w:w="8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71</w:t>
            </w:r>
          </w:p>
        </w:tc>
        <w:tc>
          <w:tcPr>
            <w:tcW w:w="10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71</w:t>
            </w:r>
          </w:p>
        </w:tc>
        <w:tc>
          <w:tcPr>
            <w:tcW w:w="10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75</w:t>
            </w:r>
          </w:p>
        </w:tc>
        <w:tc>
          <w:tcPr>
            <w:tcW w:w="10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72</w:t>
            </w:r>
          </w:p>
        </w:tc>
        <w:tc>
          <w:tcPr>
            <w:tcW w:w="10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65</w:t>
            </w:r>
          </w:p>
        </w:tc>
        <w:tc>
          <w:tcPr>
            <w:tcW w:w="10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c>
          <w:tcPr>
            <w:tcW w:w="10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66</w:t>
            </w:r>
          </w:p>
        </w:tc>
        <w:tc>
          <w:tcPr>
            <w:tcW w:w="0" w:type="dxa"/>
            <w:vAlign w:val="bottom"/>
          </w:tcPr>
          <w:p>
            <w:pPr>
              <w:spacing w:after="0"/>
              <w:rPr>
                <w:sz w:val="1"/>
                <w:szCs w:val="1"/>
                <w:color w:val="auto"/>
              </w:rPr>
            </w:pPr>
          </w:p>
        </w:tc>
      </w:tr>
      <w:tr>
        <w:trPr>
          <w:trHeight w:val="229"/>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Days in inventory</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73</w:t>
            </w:r>
          </w:p>
        </w:tc>
        <w:tc>
          <w:tcPr>
            <w:tcW w:w="8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75</w:t>
            </w:r>
          </w:p>
        </w:tc>
        <w:tc>
          <w:tcPr>
            <w:tcW w:w="10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81</w:t>
            </w:r>
          </w:p>
        </w:tc>
        <w:tc>
          <w:tcPr>
            <w:tcW w:w="10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93</w:t>
            </w:r>
          </w:p>
        </w:tc>
        <w:tc>
          <w:tcPr>
            <w:tcW w:w="10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104</w:t>
            </w:r>
          </w:p>
        </w:tc>
        <w:tc>
          <w:tcPr>
            <w:tcW w:w="10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113</w:t>
            </w:r>
          </w:p>
        </w:tc>
        <w:tc>
          <w:tcPr>
            <w:tcW w:w="10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123</w:t>
            </w:r>
          </w:p>
        </w:tc>
        <w:tc>
          <w:tcPr>
            <w:tcW w:w="10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129</w:t>
            </w:r>
          </w:p>
        </w:tc>
        <w:tc>
          <w:tcPr>
            <w:tcW w:w="0" w:type="dxa"/>
            <w:vAlign w:val="bottom"/>
          </w:tcPr>
          <w:p>
            <w:pPr>
              <w:spacing w:after="0"/>
              <w:rPr>
                <w:sz w:val="1"/>
                <w:szCs w:val="1"/>
                <w:color w:val="auto"/>
              </w:rPr>
            </w:pPr>
          </w:p>
        </w:tc>
      </w:tr>
      <w:tr>
        <w:trPr>
          <w:trHeight w:val="230"/>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Days in accounts payable (A/P)</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c>
          <w:tcPr>
            <w:tcW w:w="8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c>
          <w:tcPr>
            <w:tcW w:w="10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(59)</w:t>
            </w:r>
          </w:p>
        </w:tc>
        <w:tc>
          <w:tcPr>
            <w:tcW w:w="10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(62)</w:t>
            </w:r>
          </w:p>
        </w:tc>
        <w:tc>
          <w:tcPr>
            <w:tcW w:w="10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(62)</w:t>
            </w:r>
          </w:p>
        </w:tc>
        <w:tc>
          <w:tcPr>
            <w:tcW w:w="10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(64)</w:t>
            </w:r>
          </w:p>
        </w:tc>
        <w:tc>
          <w:tcPr>
            <w:tcW w:w="10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(68)</w:t>
            </w:r>
          </w:p>
        </w:tc>
        <w:tc>
          <w:tcPr>
            <w:tcW w:w="10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(75)</w:t>
            </w:r>
          </w:p>
        </w:tc>
        <w:tc>
          <w:tcPr>
            <w:tcW w:w="0" w:type="dxa"/>
            <w:vAlign w:val="bottom"/>
          </w:tcPr>
          <w:p>
            <w:pPr>
              <w:spacing w:after="0"/>
              <w:rPr>
                <w:sz w:val="1"/>
                <w:szCs w:val="1"/>
                <w:color w:val="auto"/>
              </w:rPr>
            </w:pPr>
          </w:p>
        </w:tc>
      </w:tr>
      <w:tr>
        <w:trPr>
          <w:trHeight w:val="234"/>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Days in cash deposits*</w:t>
            </w: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(22)</w:t>
            </w:r>
          </w:p>
        </w:tc>
        <w:tc>
          <w:tcPr>
            <w:tcW w:w="80" w:type="dxa"/>
            <w:vAlign w:val="bottom"/>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(24)</w:t>
            </w:r>
          </w:p>
        </w:tc>
        <w:tc>
          <w:tcPr>
            <w:tcW w:w="100" w:type="dxa"/>
            <w:vAlign w:val="bottom"/>
          </w:tcPr>
          <w:p>
            <w:pPr>
              <w:spacing w:after="0"/>
              <w:rPr>
                <w:sz w:val="20"/>
                <w:szCs w:val="20"/>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(29)</w:t>
            </w:r>
          </w:p>
        </w:tc>
        <w:tc>
          <w:tcPr>
            <w:tcW w:w="100" w:type="dxa"/>
            <w:vAlign w:val="bottom"/>
          </w:tcPr>
          <w:p>
            <w:pPr>
              <w:spacing w:after="0"/>
              <w:rPr>
                <w:sz w:val="20"/>
                <w:szCs w:val="20"/>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(38)</w:t>
            </w:r>
          </w:p>
        </w:tc>
        <w:tc>
          <w:tcPr>
            <w:tcW w:w="100" w:type="dxa"/>
            <w:vAlign w:val="bottom"/>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(42)</w:t>
            </w:r>
          </w:p>
        </w:tc>
        <w:tc>
          <w:tcPr>
            <w:tcW w:w="100" w:type="dxa"/>
            <w:vAlign w:val="bottom"/>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(42)</w:t>
            </w:r>
          </w:p>
        </w:tc>
        <w:tc>
          <w:tcPr>
            <w:tcW w:w="100" w:type="dxa"/>
            <w:vAlign w:val="bottom"/>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(42)</w:t>
            </w:r>
          </w:p>
        </w:tc>
        <w:tc>
          <w:tcPr>
            <w:tcW w:w="100" w:type="dxa"/>
            <w:vAlign w:val="bottom"/>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(44)</w:t>
            </w:r>
          </w:p>
        </w:tc>
        <w:tc>
          <w:tcPr>
            <w:tcW w:w="0" w:type="dxa"/>
            <w:vAlign w:val="bottom"/>
          </w:tcPr>
          <w:p>
            <w:pPr>
              <w:spacing w:after="0"/>
              <w:rPr>
                <w:sz w:val="1"/>
                <w:szCs w:val="1"/>
                <w:color w:val="auto"/>
              </w:rPr>
            </w:pPr>
          </w:p>
        </w:tc>
      </w:tr>
      <w:tr>
        <w:trPr>
          <w:trHeight w:val="223"/>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Cash cycle days</w:t>
            </w: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69</w:t>
            </w:r>
          </w:p>
        </w:tc>
        <w:tc>
          <w:tcPr>
            <w:tcW w:w="80" w:type="dxa"/>
            <w:vAlign w:val="bottom"/>
          </w:tcPr>
          <w:p>
            <w:pPr>
              <w:spacing w:after="0"/>
              <w:rPr>
                <w:sz w:val="19"/>
                <w:szCs w:val="19"/>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66</w:t>
            </w:r>
          </w:p>
        </w:tc>
        <w:tc>
          <w:tcPr>
            <w:tcW w:w="100" w:type="dxa"/>
            <w:vAlign w:val="bottom"/>
          </w:tcPr>
          <w:p>
            <w:pPr>
              <w:spacing w:after="0"/>
              <w:rPr>
                <w:sz w:val="19"/>
                <w:szCs w:val="19"/>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64</w:t>
            </w:r>
          </w:p>
        </w:tc>
        <w:tc>
          <w:tcPr>
            <w:tcW w:w="100" w:type="dxa"/>
            <w:vAlign w:val="bottom"/>
          </w:tcPr>
          <w:p>
            <w:pPr>
              <w:spacing w:after="0"/>
              <w:rPr>
                <w:sz w:val="19"/>
                <w:szCs w:val="19"/>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68</w:t>
            </w:r>
          </w:p>
        </w:tc>
        <w:tc>
          <w:tcPr>
            <w:tcW w:w="100" w:type="dxa"/>
            <w:vAlign w:val="bottom"/>
          </w:tcPr>
          <w:p>
            <w:pPr>
              <w:spacing w:after="0"/>
              <w:rPr>
                <w:sz w:val="19"/>
                <w:szCs w:val="19"/>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72</w:t>
            </w:r>
          </w:p>
        </w:tc>
        <w:tc>
          <w:tcPr>
            <w:tcW w:w="100" w:type="dxa"/>
            <w:vAlign w:val="bottom"/>
          </w:tcPr>
          <w:p>
            <w:pPr>
              <w:spacing w:after="0"/>
              <w:rPr>
                <w:sz w:val="19"/>
                <w:szCs w:val="19"/>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72</w:t>
            </w:r>
          </w:p>
        </w:tc>
        <w:tc>
          <w:tcPr>
            <w:tcW w:w="100" w:type="dxa"/>
            <w:vAlign w:val="bottom"/>
          </w:tcPr>
          <w:p>
            <w:pPr>
              <w:spacing w:after="0"/>
              <w:rPr>
                <w:sz w:val="19"/>
                <w:szCs w:val="19"/>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73</w:t>
            </w:r>
          </w:p>
        </w:tc>
        <w:tc>
          <w:tcPr>
            <w:tcW w:w="100" w:type="dxa"/>
            <w:vAlign w:val="bottom"/>
          </w:tcPr>
          <w:p>
            <w:pPr>
              <w:spacing w:after="0"/>
              <w:rPr>
                <w:sz w:val="19"/>
                <w:szCs w:val="19"/>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76</w:t>
            </w:r>
          </w:p>
        </w:tc>
        <w:tc>
          <w:tcPr>
            <w:tcW w:w="0" w:type="dxa"/>
            <w:vAlign w:val="bottom"/>
          </w:tcPr>
          <w:p>
            <w:pPr>
              <w:spacing w:after="0"/>
              <w:rPr>
                <w:sz w:val="1"/>
                <w:szCs w:val="1"/>
                <w:color w:val="auto"/>
              </w:rPr>
            </w:pPr>
          </w:p>
        </w:tc>
      </w:tr>
      <w:tr>
        <w:trPr>
          <w:trHeight w:val="21"/>
        </w:trPr>
        <w:tc>
          <w:tcPr>
            <w:tcW w:w="32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1"/>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Inventory turns</w:t>
            </w:r>
          </w:p>
        </w:tc>
        <w:tc>
          <w:tcPr>
            <w:tcW w:w="9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5"/>
              </w:rPr>
              <w:t>5.0x</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4.9x</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4.5x</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3.9x</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5"/>
              </w:rPr>
              <w:t>3.5x</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5"/>
              </w:rPr>
              <w:t>3.2x</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5"/>
              </w:rPr>
              <w:t>3.0x</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2.8x</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180" w:hanging="172"/>
        <w:spacing w:after="0" w:line="280" w:lineRule="auto"/>
        <w:tabs>
          <w:tab w:leader="none" w:pos="326"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receive cash deposits from certain of our customers primarily to help reduce risks related to excess and/or obsolete inventory. See "Customer cash deposits for inventory" in the table below.</w:t>
      </w:r>
    </w:p>
    <w:p>
      <w:pPr>
        <w:spacing w:after="0" w:line="210"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3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 millions)</w:t>
            </w:r>
          </w:p>
        </w:tc>
        <w:tc>
          <w:tcPr>
            <w:tcW w:w="140" w:type="dxa"/>
            <w:vAlign w:val="bottom"/>
          </w:tcPr>
          <w:p>
            <w:pPr>
              <w:spacing w:after="0"/>
              <w:rPr>
                <w:sz w:val="13"/>
                <w:szCs w:val="13"/>
                <w:color w:val="auto"/>
              </w:rPr>
            </w:pPr>
          </w:p>
        </w:tc>
        <w:tc>
          <w:tcPr>
            <w:tcW w:w="820" w:type="dxa"/>
            <w:vAlign w:val="bottom"/>
          </w:tcPr>
          <w:p>
            <w:pPr>
              <w:jc w:val="right"/>
              <w:ind w:right="13"/>
              <w:spacing w:after="0" w:line="155" w:lineRule="exact"/>
              <w:rPr>
                <w:sz w:val="20"/>
                <w:szCs w:val="20"/>
                <w:color w:val="auto"/>
              </w:rPr>
            </w:pPr>
            <w:r>
              <w:rPr>
                <w:rFonts w:ascii="Times New Roman" w:cs="Times New Roman" w:eastAsia="Times New Roman" w:hAnsi="Times New Roman"/>
                <w:sz w:val="16"/>
                <w:szCs w:val="16"/>
                <w:b w:val="1"/>
                <w:bCs w:val="1"/>
                <w:color w:val="auto"/>
              </w:rPr>
              <w:t>December</w:t>
            </w:r>
          </w:p>
        </w:tc>
        <w:tc>
          <w:tcPr>
            <w:tcW w:w="10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40" w:type="dxa"/>
            <w:vAlign w:val="bottom"/>
          </w:tcPr>
          <w:p>
            <w:pPr>
              <w:spacing w:after="0"/>
              <w:rPr>
                <w:sz w:val="13"/>
                <w:szCs w:val="13"/>
                <w:color w:val="auto"/>
              </w:rPr>
            </w:pPr>
          </w:p>
        </w:tc>
        <w:tc>
          <w:tcPr>
            <w:tcW w:w="620" w:type="dxa"/>
            <w:vAlign w:val="bottom"/>
          </w:tcPr>
          <w:p>
            <w:pPr>
              <w:jc w:val="right"/>
              <w:ind w:right="133"/>
              <w:spacing w:after="0" w:line="155" w:lineRule="exact"/>
              <w:rPr>
                <w:sz w:val="20"/>
                <w:szCs w:val="20"/>
                <w:color w:val="auto"/>
              </w:rPr>
            </w:pPr>
            <w:r>
              <w:rPr>
                <w:rFonts w:ascii="Times New Roman" w:cs="Times New Roman" w:eastAsia="Times New Roman" w:hAnsi="Times New Roman"/>
                <w:sz w:val="16"/>
                <w:szCs w:val="16"/>
                <w:b w:val="1"/>
                <w:bCs w:val="1"/>
                <w:color w:val="auto"/>
              </w:rPr>
              <w:t>June</w:t>
            </w:r>
          </w:p>
        </w:tc>
        <w:tc>
          <w:tcPr>
            <w:tcW w:w="160" w:type="dxa"/>
            <w:vAlign w:val="bottom"/>
          </w:tcPr>
          <w:p>
            <w:pPr>
              <w:spacing w:after="0"/>
              <w:rPr>
                <w:sz w:val="13"/>
                <w:szCs w:val="13"/>
                <w:color w:val="auto"/>
              </w:rPr>
            </w:pPr>
          </w:p>
        </w:tc>
        <w:tc>
          <w:tcPr>
            <w:tcW w:w="680" w:type="dxa"/>
            <w:vAlign w:val="bottom"/>
          </w:tcPr>
          <w:p>
            <w:pPr>
              <w:jc w:val="right"/>
              <w:ind w:right="93"/>
              <w:spacing w:after="0" w:line="155" w:lineRule="exact"/>
              <w:rPr>
                <w:sz w:val="20"/>
                <w:szCs w:val="20"/>
                <w:color w:val="auto"/>
              </w:rPr>
            </w:pPr>
            <w:r>
              <w:rPr>
                <w:rFonts w:ascii="Times New Roman" w:cs="Times New Roman" w:eastAsia="Times New Roman" w:hAnsi="Times New Roman"/>
                <w:sz w:val="16"/>
                <w:szCs w:val="16"/>
                <w:b w:val="1"/>
                <w:bCs w:val="1"/>
                <w:color w:val="auto"/>
              </w:rPr>
              <w:t>March</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jc w:val="right"/>
              <w:ind w:right="33"/>
              <w:spacing w:after="0" w:line="155" w:lineRule="exact"/>
              <w:rPr>
                <w:sz w:val="20"/>
                <w:szCs w:val="20"/>
                <w:color w:val="auto"/>
              </w:rPr>
            </w:pPr>
            <w:r>
              <w:rPr>
                <w:rFonts w:ascii="Times New Roman" w:cs="Times New Roman" w:eastAsia="Times New Roman" w:hAnsi="Times New Roman"/>
                <w:sz w:val="16"/>
                <w:szCs w:val="16"/>
                <w:b w:val="1"/>
                <w:bCs w:val="1"/>
                <w:color w:val="auto"/>
              </w:rPr>
              <w:t>December</w:t>
            </w:r>
          </w:p>
        </w:tc>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60" w:type="dxa"/>
            <w:vAlign w:val="bottom"/>
          </w:tcPr>
          <w:p>
            <w:pPr>
              <w:spacing w:after="0"/>
              <w:rPr>
                <w:sz w:val="13"/>
                <w:szCs w:val="13"/>
                <w:color w:val="auto"/>
              </w:rPr>
            </w:pPr>
          </w:p>
        </w:tc>
        <w:tc>
          <w:tcPr>
            <w:tcW w:w="620" w:type="dxa"/>
            <w:vAlign w:val="bottom"/>
          </w:tcPr>
          <w:p>
            <w:pPr>
              <w:ind w:left="60"/>
              <w:spacing w:after="0" w:line="155" w:lineRule="exact"/>
              <w:rPr>
                <w:sz w:val="20"/>
                <w:szCs w:val="20"/>
                <w:color w:val="auto"/>
              </w:rPr>
            </w:pPr>
            <w:r>
              <w:rPr>
                <w:rFonts w:ascii="Times New Roman" w:cs="Times New Roman" w:eastAsia="Times New Roman" w:hAnsi="Times New Roman"/>
                <w:sz w:val="16"/>
                <w:szCs w:val="16"/>
                <w:b w:val="1"/>
                <w:bCs w:val="1"/>
                <w:color w:val="auto"/>
              </w:rPr>
              <w:t>June</w:t>
            </w:r>
          </w:p>
        </w:tc>
        <w:tc>
          <w:tcPr>
            <w:tcW w:w="160" w:type="dxa"/>
            <w:vAlign w:val="bottom"/>
          </w:tcPr>
          <w:p>
            <w:pPr>
              <w:spacing w:after="0"/>
              <w:rPr>
                <w:sz w:val="13"/>
                <w:szCs w:val="13"/>
                <w:color w:val="auto"/>
              </w:rPr>
            </w:pPr>
          </w:p>
        </w:tc>
        <w:tc>
          <w:tcPr>
            <w:tcW w:w="700" w:type="dxa"/>
            <w:vAlign w:val="bottom"/>
          </w:tcPr>
          <w:p>
            <w:pPr>
              <w:ind w:left="20"/>
              <w:spacing w:after="0" w:line="155" w:lineRule="exact"/>
              <w:rPr>
                <w:sz w:val="20"/>
                <w:szCs w:val="20"/>
                <w:color w:val="auto"/>
              </w:rPr>
            </w:pPr>
            <w:r>
              <w:rPr>
                <w:rFonts w:ascii="Times New Roman" w:cs="Times New Roman" w:eastAsia="Times New Roman" w:hAnsi="Times New Roman"/>
                <w:sz w:val="16"/>
                <w:szCs w:val="16"/>
                <w:b w:val="1"/>
                <w:bCs w:val="1"/>
                <w:color w:val="auto"/>
              </w:rPr>
              <w:t>March</w:t>
            </w:r>
          </w:p>
        </w:tc>
        <w:tc>
          <w:tcPr>
            <w:tcW w:w="0" w:type="dxa"/>
            <w:vAlign w:val="bottom"/>
          </w:tcPr>
          <w:p>
            <w:pPr>
              <w:spacing w:after="0"/>
              <w:rPr>
                <w:sz w:val="1"/>
                <w:szCs w:val="1"/>
                <w:color w:val="auto"/>
              </w:rPr>
            </w:pPr>
          </w:p>
        </w:tc>
      </w:tr>
      <w:tr>
        <w:trPr>
          <w:trHeight w:val="216"/>
        </w:trPr>
        <w:tc>
          <w:tcPr>
            <w:tcW w:w="3220" w:type="dxa"/>
            <w:vAlign w:val="bottom"/>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6"/>
                <w:szCs w:val="16"/>
                <w:b w:val="1"/>
                <w:bCs w:val="1"/>
                <w:color w:val="auto"/>
              </w:rPr>
              <w:t>31</w:t>
            </w:r>
          </w:p>
        </w:tc>
        <w:tc>
          <w:tcPr>
            <w:tcW w:w="1060" w:type="dxa"/>
            <w:vAlign w:val="bottom"/>
            <w:tcBorders>
              <w:bottom w:val="single" w:sz="8" w:color="auto"/>
            </w:tcBorders>
            <w:gridSpan w:val="2"/>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6"/>
                <w:szCs w:val="16"/>
                <w:b w:val="1"/>
                <w:bCs w:val="1"/>
                <w:color w:val="auto"/>
              </w:rPr>
              <w:t>30</w:t>
            </w: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6"/>
                <w:szCs w:val="16"/>
                <w:b w:val="1"/>
                <w:bCs w:val="1"/>
                <w:color w:val="auto"/>
              </w:rPr>
              <w:t>31</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6"/>
                <w:szCs w:val="16"/>
                <w:b w:val="1"/>
                <w:bCs w:val="1"/>
                <w:color w:val="auto"/>
              </w:rPr>
              <w:t>31</w:t>
            </w:r>
          </w:p>
        </w:tc>
        <w:tc>
          <w:tcPr>
            <w:tcW w:w="1040" w:type="dxa"/>
            <w:vAlign w:val="bottom"/>
            <w:tcBorders>
              <w:bottom w:val="single" w:sz="8" w:color="auto"/>
            </w:tcBorders>
            <w:gridSpan w:val="2"/>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b w:val="1"/>
                <w:bCs w:val="1"/>
                <w:color w:val="auto"/>
              </w:rPr>
              <w:t>30</w:t>
            </w: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6"/>
                <w:szCs w:val="16"/>
                <w:b w:val="1"/>
                <w:bCs w:val="1"/>
                <w:color w:val="auto"/>
              </w:rPr>
              <w:t>31</w:t>
            </w:r>
          </w:p>
        </w:tc>
        <w:tc>
          <w:tcPr>
            <w:tcW w:w="0" w:type="dxa"/>
            <w:vAlign w:val="bottom"/>
          </w:tcPr>
          <w:p>
            <w:pPr>
              <w:spacing w:after="0"/>
              <w:rPr>
                <w:sz w:val="1"/>
                <w:szCs w:val="1"/>
                <w:color w:val="auto"/>
              </w:rPr>
            </w:pPr>
          </w:p>
        </w:tc>
      </w:tr>
      <w:tr>
        <w:trPr>
          <w:trHeight w:val="218"/>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A/R Sales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35"/>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13"/>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253.5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282.6</w:t>
            </w:r>
          </w:p>
        </w:tc>
        <w:tc>
          <w:tcPr>
            <w:tcW w:w="0" w:type="dxa"/>
            <w:vAlign w:val="bottom"/>
          </w:tcPr>
          <w:p>
            <w:pPr>
              <w:spacing w:after="0"/>
              <w:rPr>
                <w:sz w:val="1"/>
                <w:szCs w:val="1"/>
                <w:color w:val="auto"/>
              </w:rPr>
            </w:pPr>
          </w:p>
        </w:tc>
      </w:tr>
      <w:tr>
        <w:trPr>
          <w:trHeight w:val="234"/>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Supplier Financing Programs* (SFPs)</w:t>
            </w: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3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1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112.4</w:t>
            </w:r>
          </w:p>
        </w:tc>
        <w:tc>
          <w:tcPr>
            <w:tcW w:w="1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128.2</w:t>
            </w:r>
          </w:p>
        </w:tc>
        <w:tc>
          <w:tcPr>
            <w:tcW w:w="0" w:type="dxa"/>
            <w:vAlign w:val="bottom"/>
          </w:tcPr>
          <w:p>
            <w:pPr>
              <w:spacing w:after="0"/>
              <w:rPr>
                <w:sz w:val="1"/>
                <w:szCs w:val="1"/>
                <w:color w:val="auto"/>
              </w:rPr>
            </w:pPr>
          </w:p>
        </w:tc>
      </w:tr>
      <w:tr>
        <w:trPr>
          <w:trHeight w:val="223"/>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gridSpan w:val="2"/>
          </w:tcPr>
          <w:p>
            <w:pPr>
              <w:jc w:val="right"/>
              <w:ind w:right="135"/>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34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159.0</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365.9</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410.8</w:t>
            </w:r>
          </w:p>
        </w:tc>
        <w:tc>
          <w:tcPr>
            <w:tcW w:w="0" w:type="dxa"/>
            <w:vAlign w:val="bottom"/>
          </w:tcPr>
          <w:p>
            <w:pPr>
              <w:spacing w:after="0"/>
              <w:rPr>
                <w:sz w:val="1"/>
                <w:szCs w:val="1"/>
                <w:color w:val="auto"/>
              </w:rPr>
            </w:pPr>
          </w:p>
        </w:tc>
      </w:tr>
      <w:tr>
        <w:trPr>
          <w:trHeight w:val="21"/>
        </w:trPr>
        <w:tc>
          <w:tcPr>
            <w:tcW w:w="3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4"/>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Customer cash deposits for inventory</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511.6</w:t>
            </w:r>
          </w:p>
        </w:tc>
        <w:tc>
          <w:tcPr>
            <w:tcW w:w="36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521.1</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576.4</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719.4</w:t>
            </w:r>
          </w:p>
        </w:tc>
        <w:tc>
          <w:tcPr>
            <w:tcW w:w="100" w:type="dxa"/>
            <w:vAlign w:val="bottom"/>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904.8</w:t>
            </w:r>
          </w:p>
        </w:tc>
        <w:tc>
          <w:tcPr>
            <w:tcW w:w="34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874.8</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809.7</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810.8</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6"/>
          <w:szCs w:val="16"/>
          <w:color w:val="auto"/>
        </w:rPr>
        <w:t>*</w:t>
        <w:tab/>
        <w:t>Represents A/R sold to third party banks in connection with the uncommitted SFPs of three customers (one CCS segment customer and two ATS segment customers).</w:t>
      </w:r>
    </w:p>
    <w:p>
      <w:pPr>
        <w:spacing w:after="0" w:line="21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The amounts we sell under our A/R sales program and the SFPs can vary from quarter to quarter (and within each quarter) depending on our working capital and other cash requirements, including by geography. See charts above and "Liquidity — </w:t>
      </w:r>
      <w:r>
        <w:rPr>
          <w:rFonts w:ascii="Times New Roman" w:cs="Times New Roman" w:eastAsia="Times New Roman" w:hAnsi="Times New Roman"/>
          <w:sz w:val="18"/>
          <w:szCs w:val="18"/>
          <w:i w:val="1"/>
          <w:iCs w:val="1"/>
          <w:color w:val="auto"/>
        </w:rPr>
        <w:t>Cash requirements</w:t>
      </w:r>
      <w:r>
        <w:rPr>
          <w:rFonts w:ascii="Times New Roman" w:cs="Times New Roman" w:eastAsia="Times New Roman" w:hAnsi="Times New Roman"/>
          <w:sz w:val="18"/>
          <w:szCs w:val="18"/>
          <w:color w:val="auto"/>
        </w:rPr>
        <w:t xml:space="preserve"> — Financing Arrangements" below.</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Days in A/R is defined as the average A/R for the quarter divided by the average daily revenue. Days in inventory, days in A/P and days in cash deposits are calculated by dividing the average balance for each item for the quarter by the average daily cost of sales. Cash cycle days is defined as the sum of days in A/R and days in inventory minus the days in A/P and days in cash deposits. Inventory turns are determined by dividing 365 by the number of days in inventory. A lower number of days in A/R, days in inventory, and cash cycle days, and a higher number of days in A/P, days in cash deposits, and inventory turns generally reflect improved cash management performance.</w:t>
      </w:r>
    </w:p>
    <w:p>
      <w:pPr>
        <w:spacing w:after="0" w:line="183" w:lineRule="exact"/>
        <w:rPr>
          <w:sz w:val="20"/>
          <w:szCs w:val="20"/>
          <w:color w:val="auto"/>
        </w:rPr>
      </w:pPr>
    </w:p>
    <w:p>
      <w:pPr>
        <w:jc w:val="both"/>
        <w:ind w:firstLine="209"/>
        <w:spacing w:after="0" w:line="253" w:lineRule="auto"/>
        <w:rPr>
          <w:sz w:val="20"/>
          <w:szCs w:val="20"/>
          <w:color w:val="auto"/>
        </w:rPr>
      </w:pPr>
      <w:r>
        <w:rPr>
          <w:rFonts w:ascii="Times New Roman" w:cs="Times New Roman" w:eastAsia="Times New Roman" w:hAnsi="Times New Roman"/>
          <w:sz w:val="18"/>
          <w:szCs w:val="18"/>
          <w:color w:val="auto"/>
        </w:rPr>
        <w:t>Cash cycle days decreased by 3 days in Q4 2024 compared to Q4 2023. Days in A/R for Q4 2024 increased 1 day from Q4 2023 to 73 days, primarily due to higher average A/R in Q4 2024, largely offset by the impact of higher revenue in Q4 2024. Our average A/R balance in Q4 2024 increased compared to Q4 2023 primarily due to higher revenue in Q4 2024, as well as timing of revenue and collections. Days in inventory for Q4 2024 decreased 31 days from Q4 2023 to 73 days primarily due to lower average inventory levels and higher cost of sales in Q4 2024 compared to Q4 2023. Lower average inventory levels in Q4 2024 compared to Q4 2023 were due to the alleviation of supply chain constraints, as well as the utilization of inventory in production in response to customer demand. Higher cost of sales in Q4 2024 compared to Q4 2023 was due to our business growth. Days in A/P decreased 7 days from Q4 2023 to 55 days in Q4 2024 primarily due to higher cost of sales in Q4 2024 compared to Q4 2023. Days in cash deposits decreased 20 days from Q4 2023 to 22 days in Q4 2024 primarily due to higher costs of sales and lower average cash deposits in Q4 2024 compared to Q4 2023. We received cash deposits from certain customers to help alleviate the impact of inventory purchases on our cash flows (see chart above). Our customer cash deposit balance fluctuates depending on the levels of inventory we have been asked to procure by certain customers (to secure supply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63" w:name="page64"/>
    <w:bookmarkEnd w:id="63"/>
    <w:p>
      <w:pPr>
        <w:jc w:val="both"/>
        <w:spacing w:after="0" w:line="282" w:lineRule="auto"/>
        <w:rPr>
          <w:sz w:val="20"/>
          <w:szCs w:val="20"/>
          <w:color w:val="auto"/>
        </w:rPr>
      </w:pPr>
      <w:r>
        <w:rPr>
          <w:rFonts w:ascii="Times New Roman" w:cs="Times New Roman" w:eastAsia="Times New Roman" w:hAnsi="Times New Roman"/>
          <w:sz w:val="18"/>
          <w:szCs w:val="18"/>
          <w:color w:val="auto"/>
        </w:rPr>
        <w:t>for future demand), or as we utilize the inventory in production. The decrease in average cash deposits in Q4 2024 compared to Q4 2023 were consistent with the decrease of average inventory levels.</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Cash cycle days increased 3 days in Q4 2024 compared to Q3 2024. Days in A/R for Q4 2024 increased 2 days sequentially primarily due to higher average A/R balances in Q4 2024 compared to Q3 2024, partially offset by the effect of higher revenue in Q4 2024. Our average A/R balance in Q4 2024 increased compared to Q3 2024 due to higher revenue in Q4 2024, as well as timing of revenue and collections. Days in inventory for Q4 2024 decreased 2 days sequentially primarily due to lower average inventory levels in Q4 2024. Average inventory levels decreased in Q4 2024 compared to Q3 2024 due to utilization of inventory in production in response to customer demand. Days in A/P for Q4 2024 decreased 1 day sequentially primarily due to lower average A/P in Q4 2024 compared to Q3 2024 (driven by timing of payments). Days in cash deposits for Q4 2024 decreased 2 days primarily due to lower average cash deposits. The sequential decrease in average cash deposits were consistent with the sequential decrease of average inventory levels.</w:t>
      </w:r>
    </w:p>
    <w:p>
      <w:pPr>
        <w:spacing w:after="0" w:line="189" w:lineRule="exact"/>
        <w:rPr>
          <w:sz w:val="20"/>
          <w:szCs w:val="20"/>
          <w:color w:val="auto"/>
        </w:rPr>
      </w:pPr>
    </w:p>
    <w:p>
      <w:pPr>
        <w:jc w:val="both"/>
        <w:ind w:right="20" w:firstLine="190"/>
        <w:spacing w:after="0" w:line="282" w:lineRule="auto"/>
        <w:rPr>
          <w:sz w:val="20"/>
          <w:szCs w:val="20"/>
          <w:color w:val="auto"/>
        </w:rPr>
      </w:pPr>
      <w:r>
        <w:rPr>
          <w:rFonts w:ascii="Times New Roman" w:cs="Times New Roman" w:eastAsia="Times New Roman" w:hAnsi="Times New Roman"/>
          <w:sz w:val="18"/>
          <w:szCs w:val="18"/>
          <w:color w:val="auto"/>
        </w:rPr>
        <w:t>We believe that cash cycle days (and the components thereof) and inventory turns are useful measures in providing investors with information regarding our cash management performance and are accepted measures of working capital management efficiency in our industry.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judgments, estimates and assumptions that affect the application of accounting policies, the reported amounts of assets, liabilities, revenue and expenses, and related disclosures with respect to contingent assets and liabilities. We base our judgments, estimates and assumptions on current facts, historical experience and various other factors that we believe are reasonable under the circumstances. The economic environment also impacts certain estimates and discount rates necessary to prepare our consolidated financial statements, including significant estimates and discount rates applicable to the determination of the fair value used in the impairment testing of our non-financial assets. Our assessment of these factors forms the basis for our judgments on the carrying values of our assets and liabilities, and the accrual of our costs and expenses. Actual results could differ materially from our estimates and assumptions. We review our estimates and underlying assumptions on an ongoing basis and make revisions as determined necessary by management. Revisions are recognized in the period in which the estimates are revised and may also impact future periods.</w:t>
      </w:r>
    </w:p>
    <w:p>
      <w:pPr>
        <w:spacing w:after="0" w:line="18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review of the estimates, judgments and assumptions used in the preparation of our 2024 AFS included those relating to, among others: our determination of the timing of revenue recognition, the determination of whether indicators of impairment existed for our assets and reporting units, our measurement of deferred tax assets and liabilities, our estimated inventory write-downs and expected credit losses, customer creditworthiness, and the determination of the fair value of assets acquired, liabilities assumed and contingent consideration in connection with a business combination. Any revisions to estimates, judgments or assumptions may result in, among other things, impairments of our assets or reporting units, any of which could have a material impact on our financial performance and financial condition.</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Significant accounting policies and methods used in the preparation of our consolidated financial statements are described in note 2 to our 2024 AFS. The following is a discussion of accounting estimates which management considers to be "critical," defined as accounting estimates made in accordance with GAAP that involve a significant level of estimation uncertainty, and have had, or are reasonably likely to have, a material impact on the Company's financial condition or results of operations.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February 1, 2025, the President of the United States issued three executive orders directing the U.S. to impose new tariffs on imports originating from Canada, Mexico and China. On February 3, 2025, the U.S. announced that the implementation of tariffs on Canada and Mexico would be paused for 30 days. Our review of the estimates, judgments and assumptions also included consideration of the potential impacts of these tariffs, including with respect to the determination of whether indicators of impairment existed for our reporting units.</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Key sources of estimation uncertainty and judgment: </w:t>
      </w:r>
      <w:r>
        <w:rPr>
          <w:rFonts w:ascii="Times New Roman" w:cs="Times New Roman" w:eastAsia="Times New Roman" w:hAnsi="Times New Roman"/>
          <w:sz w:val="18"/>
          <w:szCs w:val="18"/>
          <w:color w:val="auto"/>
        </w:rPr>
        <w:t>We have applied significant estimates, judgments and assumptions in the following areas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we believe could have a significant impact on our reported results and financial position: our determination of the timing of revenue recognition; whether events or changes in circumstances are indicators that an impairment review of our assets or reporting units should be conducted; the measurement of our reporting units' fair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64" w:name="page65"/>
    <w:bookmarkEnd w:id="64"/>
    <w:p>
      <w:pPr>
        <w:jc w:val="both"/>
        <w:spacing w:after="0" w:line="282" w:lineRule="auto"/>
        <w:rPr>
          <w:sz w:val="20"/>
          <w:szCs w:val="20"/>
          <w:color w:val="auto"/>
        </w:rPr>
      </w:pPr>
      <w:r>
        <w:rPr>
          <w:rFonts w:ascii="Times New Roman" w:cs="Times New Roman" w:eastAsia="Times New Roman" w:hAnsi="Times New Roman"/>
          <w:sz w:val="18"/>
          <w:szCs w:val="18"/>
          <w:color w:val="auto"/>
        </w:rPr>
        <w:t>using market participant assumptions, which includes estimating future growth, profitability, and discount and terminal growth rates; and the allocation of the purchase price and other valuations related to our business acquisitions.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227" w:lineRule="exact"/>
        <w:rPr>
          <w:sz w:val="20"/>
          <w:szCs w:val="20"/>
          <w:color w:val="auto"/>
        </w:rPr>
      </w:pPr>
    </w:p>
    <w:p>
      <w:pPr>
        <w:jc w:val="both"/>
        <w:ind w:firstLine="179"/>
        <w:spacing w:after="0" w:line="258" w:lineRule="auto"/>
        <w:rPr>
          <w:sz w:val="20"/>
          <w:szCs w:val="20"/>
          <w:color w:val="auto"/>
        </w:rPr>
      </w:pPr>
      <w:r>
        <w:rPr>
          <w:rFonts w:ascii="Times New Roman" w:cs="Times New Roman" w:eastAsia="Times New Roman" w:hAnsi="Times New Roman"/>
          <w:sz w:val="18"/>
          <w:szCs w:val="18"/>
          <w:color w:val="auto"/>
        </w:rPr>
        <w:t>Where products are custom-made to meet a customer's specific requirements, and such customer is obligated to compensate us for the work performed to date, we recognize revenue over time as production progresses to completion, or as services are rendered. We generally estimate revenue for our work in progress based on costs incurred to date plus a reasonable profit margin for eligible products for which we do not have alternative uses. We apply significant estimates, judgment and assumptions in interpreting our customer contracts, determining the timing of revenue recognition and measuring work in progress.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of goodwill:</w:t>
      </w:r>
    </w:p>
    <w:p>
      <w:pPr>
        <w:spacing w:after="0" w:line="227" w:lineRule="exact"/>
        <w:rPr>
          <w:sz w:val="20"/>
          <w:szCs w:val="20"/>
          <w:color w:val="auto"/>
        </w:rPr>
      </w:pPr>
    </w:p>
    <w:p>
      <w:pPr>
        <w:jc w:val="both"/>
        <w:ind w:firstLine="232"/>
        <w:spacing w:after="0" w:line="258" w:lineRule="auto"/>
        <w:rPr>
          <w:sz w:val="20"/>
          <w:szCs w:val="20"/>
          <w:color w:val="auto"/>
        </w:rPr>
      </w:pPr>
      <w:r>
        <w:rPr>
          <w:rFonts w:ascii="Times New Roman" w:cs="Times New Roman" w:eastAsia="Times New Roman" w:hAnsi="Times New Roman"/>
          <w:sz w:val="18"/>
          <w:szCs w:val="18"/>
          <w:color w:val="auto"/>
        </w:rPr>
        <w:t>For purposes of impairment testing, we allocate goodwill to a reporting unit, which is an operating segment or one level below an operating segment (component), that we expect will benefit from the related acquisition. Goodwill is tested for impairment on an annual basis and whenever events and changes in circumstances suggest that the carrying amount may be impaired. A qualitative assessment is allowed to determine if goodwill is potentially impaired. Based on this qualitative assessment, if we determine that it is more likely than not that the reporting unit’s fair value is less than its carrying value (including goodwill), then we perform a quantitative assessment, otherwise no further analysis is required.</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Recoverability of goodwill is measured at the reporting unit level by comparing the reporting unit's carrying amount, including goodwill, to the fair value of the reporting unit, which is typically measured using a discounted cash flow analysis. Certain of these approaches use significant unobservable inputs and require management to make various judgmental assumptions about revenue growth rates, operating margins, and discount rates. If the carrying amount of any reporting unit exceeds its fair value, we will record an impairment loss based on the difference. The impairment loss will be limited to the amount of goodwill allocated to that reporting unit. We do not reverse impairment losses in future periods.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of long-lived assets:</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Long-lived assets, including property, plant and equipment (PP&amp;E), operating lease right-of-use (ROU) assets and intangible assets with finite lives are reviewed for impairment whenever events or changes in circumstances indicate that the carrying value of an asset may not be recoverable. In order to determine if assets have been impaired, assets are grouped and tested at the lowest level for which identifiable independent cash flows are available (asset group). An impairment loss is recognized when the sum of projected undiscounted cash flows is less than the carrying amount of the asset group. The measurement of the impairment loss to be recognized is based on the difference between the fair value and the carrying amount of the asset group. Fair value may be determined using a market approach or income approach and is based on management’s assumptions, including future revenue and cash flow projections. We do not reverse impairment losses in future periods.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combinations:</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use judgment to determine the estimates used to value identifiable assets acquired, liabilities assumed, and the fair value of contingent consideration and other potential obligations, if applicable, at the acquisition date. We may engage third parties to determine the fair value of certain inventory, PP&amp;E and intangible assets. We use estimates to determine cash flow projections, including the period of expected future benefit, future growth and discount rates, among other factors, to value intangible assets and contingent consideration. The fair value of acquired tangible assets are measured by applying the market, cost or replacement cost, or income approach (using discounted cash flows and forecasts by management), as appropriate. The fair value of acquired intangible assets are measured by applying the income approach using a discounted cash flow model and forecasts based on management's estimates and assumptions.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Results</w:t>
      </w:r>
    </w:p>
    <w:p>
      <w:pPr>
        <w:spacing w:after="0" w:line="229" w:lineRule="exact"/>
        <w:rPr>
          <w:sz w:val="20"/>
          <w:szCs w:val="20"/>
          <w:color w:val="auto"/>
        </w:rPr>
      </w:pPr>
    </w:p>
    <w:p>
      <w:pPr>
        <w:jc w:val="both"/>
        <w:ind w:firstLine="325"/>
        <w:spacing w:after="0" w:line="261" w:lineRule="auto"/>
        <w:rPr>
          <w:sz w:val="20"/>
          <w:szCs w:val="20"/>
          <w:color w:val="auto"/>
        </w:rPr>
      </w:pPr>
      <w:r>
        <w:rPr>
          <w:rFonts w:ascii="Times New Roman" w:cs="Times New Roman" w:eastAsia="Times New Roman" w:hAnsi="Times New Roman"/>
          <w:sz w:val="18"/>
          <w:szCs w:val="18"/>
          <w:color w:val="auto"/>
        </w:rPr>
        <w:t>Our product and service volumes, revenue and annual and quarterly operating results are affected by, among other factors: the level and timing of customer orders; our customer and business mix and the types of products or services we provide; the rate at which, the costs associated with, and the execution of, new program ramps; demand volumes; price competition and other competitive factors; the mix of manufacturing or service value-add; manufacturing capacity, utilization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65" w:name="page66"/>
    <w:bookmarkEnd w:id="65"/>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and efficiency; the degree of automation used in the assembly process; the availability of components or labor; the location of qualified personnel; costs and inefficiencies of transferring programs between sites; program completions or losses, or customer disengagements and the timing and the margin of follow-on business or any replacement business; the impact of foreign exchange fluctuations; the performance of third-party providers; our ability to manage inventory, production location and equipment effectively; our ability to manage changing labor, component, energy and transportation costs effectively; fluctuations in variable compensation costs; the timing of our expenditures in anticipation of forecasted sales levels; and the timing of any acquisitions and related integration costs. Significant period-to-period variations can also result from the timing of new programs reaching full production or programs reaching end-of-life, the timing of follow-on or next generation programs and/or the timing of existing programs being fully or partially transferred internally or to a competitor. See "Overview — </w:t>
      </w:r>
      <w:r>
        <w:rPr>
          <w:rFonts w:ascii="Times New Roman" w:cs="Times New Roman" w:eastAsia="Times New Roman" w:hAnsi="Times New Roman"/>
          <w:sz w:val="18"/>
          <w:szCs w:val="18"/>
          <w:i w:val="1"/>
          <w:iCs w:val="1"/>
          <w:color w:val="auto"/>
        </w:rPr>
        <w:t>Overview of business environment"</w:t>
      </w:r>
      <w:r>
        <w:rPr>
          <w:rFonts w:ascii="Times New Roman" w:cs="Times New Roman" w:eastAsia="Times New Roman" w:hAnsi="Times New Roman"/>
          <w:sz w:val="18"/>
          <w:szCs w:val="18"/>
          <w:color w:val="auto"/>
        </w:rPr>
        <w:t xml:space="preserve"> and "Recent Developments" above for a discussion of the impact of recent market conditions on our segments and businesses.</w:t>
      </w:r>
    </w:p>
    <w:p>
      <w:pPr>
        <w:spacing w:after="0" w:line="186" w:lineRule="exact"/>
        <w:rPr>
          <w:sz w:val="20"/>
          <w:szCs w:val="20"/>
          <w:color w:val="auto"/>
        </w:rPr>
      </w:pPr>
    </w:p>
    <w:tbl>
      <w:tblPr>
        <w:tblLayout w:type="fixed"/>
        <w:tblInd w:w="20" w:type="dxa"/>
        <w:tblCellMar>
          <w:top w:w="0" w:type="dxa"/>
          <w:left w:w="0" w:type="dxa"/>
          <w:bottom w:w="0" w:type="dxa"/>
          <w:right w:w="0" w:type="dxa"/>
        </w:tblCellMar>
      </w:tblPr>
      <w:tr>
        <w:trPr>
          <w:trHeight w:val="236"/>
        </w:trPr>
        <w:tc>
          <w:tcPr>
            <w:tcW w:w="6700" w:type="dxa"/>
            <w:vAlign w:val="bottom"/>
          </w:tcPr>
          <w:p>
            <w:pPr>
              <w:ind w:left="640"/>
              <w:spacing w:after="0"/>
              <w:rPr>
                <w:sz w:val="20"/>
                <w:szCs w:val="20"/>
                <w:color w:val="auto"/>
              </w:rPr>
            </w:pPr>
            <w:r>
              <w:rPr>
                <w:rFonts w:ascii="Times New Roman" w:cs="Times New Roman" w:eastAsia="Times New Roman" w:hAnsi="Times New Roman"/>
                <w:sz w:val="18"/>
                <w:szCs w:val="18"/>
                <w:i w:val="1"/>
                <w:iCs w:val="1"/>
                <w:color w:val="auto"/>
              </w:rPr>
              <w:t>Operating results expressed as a percentage of revenue</w:t>
            </w:r>
            <w:r>
              <w:rPr>
                <w:rFonts w:ascii="Times New Roman" w:cs="Times New Roman" w:eastAsia="Times New Roman" w:hAnsi="Times New Roman"/>
                <w:sz w:val="18"/>
                <w:szCs w:val="18"/>
                <w:color w:val="auto"/>
              </w:rPr>
              <w:t>:</w:t>
            </w: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6700" w:type="dxa"/>
            <w:vAlign w:val="bottom"/>
          </w:tcPr>
          <w:p>
            <w:pPr>
              <w:spacing w:after="0"/>
              <w:rPr>
                <w:sz w:val="22"/>
                <w:szCs w:val="22"/>
                <w:color w:val="auto"/>
              </w:rPr>
            </w:pPr>
          </w:p>
        </w:tc>
        <w:tc>
          <w:tcPr>
            <w:tcW w:w="3420" w:type="dxa"/>
            <w:vAlign w:val="bottom"/>
            <w:tcBorders>
              <w:bottom w:val="single" w:sz="8" w:color="auto"/>
            </w:tcBorders>
            <w:gridSpan w:val="5"/>
          </w:tcPr>
          <w:p>
            <w:pPr>
              <w:ind w:left="13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67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Revenue</w:t>
            </w:r>
          </w:p>
        </w:tc>
        <w:tc>
          <w:tcPr>
            <w:tcW w:w="14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14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18"/>
        </w:trPr>
        <w:tc>
          <w:tcPr>
            <w:tcW w:w="6700" w:type="dxa"/>
            <w:vAlign w:val="bottom"/>
            <w:vMerge w:val="continue"/>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34"/>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4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89.3</w:t>
            </w:r>
          </w:p>
        </w:tc>
        <w:tc>
          <w:tcPr>
            <w:tcW w:w="100" w:type="dxa"/>
            <w:vAlign w:val="bottom"/>
          </w:tcPr>
          <w:p>
            <w:pPr>
              <w:spacing w:after="0"/>
              <w:rPr>
                <w:sz w:val="20"/>
                <w:szCs w:val="20"/>
                <w:color w:val="auto"/>
              </w:rPr>
            </w:pPr>
          </w:p>
        </w:tc>
        <w:tc>
          <w:tcPr>
            <w:tcW w:w="14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90.5</w:t>
            </w: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91.0</w:t>
            </w:r>
          </w:p>
        </w:tc>
        <w:tc>
          <w:tcPr>
            <w:tcW w:w="0" w:type="dxa"/>
            <w:vAlign w:val="bottom"/>
          </w:tcPr>
          <w:p>
            <w:pPr>
              <w:spacing w:after="0"/>
              <w:rPr>
                <w:sz w:val="1"/>
                <w:szCs w:val="1"/>
                <w:color w:val="auto"/>
              </w:rPr>
            </w:pPr>
          </w:p>
        </w:tc>
      </w:tr>
      <w:tr>
        <w:trPr>
          <w:trHeight w:val="218"/>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4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18"/>
                <w:szCs w:val="18"/>
                <w:color w:val="auto"/>
              </w:rPr>
            </w:pPr>
          </w:p>
        </w:tc>
        <w:tc>
          <w:tcPr>
            <w:tcW w:w="14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30"/>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SG&amp;A</w:t>
            </w:r>
          </w:p>
        </w:tc>
        <w:tc>
          <w:tcPr>
            <w:tcW w:w="14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9"/>
                <w:szCs w:val="19"/>
                <w:color w:val="auto"/>
              </w:rPr>
            </w:pPr>
          </w:p>
        </w:tc>
        <w:tc>
          <w:tcPr>
            <w:tcW w:w="14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29"/>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R&amp;D</w:t>
            </w:r>
          </w:p>
        </w:tc>
        <w:tc>
          <w:tcPr>
            <w:tcW w:w="14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19"/>
                <w:szCs w:val="19"/>
                <w:color w:val="auto"/>
              </w:rPr>
            </w:pPr>
          </w:p>
        </w:tc>
        <w:tc>
          <w:tcPr>
            <w:tcW w:w="14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29"/>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4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9"/>
                <w:szCs w:val="19"/>
                <w:color w:val="auto"/>
              </w:rPr>
            </w:pPr>
          </w:p>
        </w:tc>
        <w:tc>
          <w:tcPr>
            <w:tcW w:w="14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34"/>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 and other charges, net of recoveries</w:t>
            </w:r>
          </w:p>
        </w:tc>
        <w:tc>
          <w:tcPr>
            <w:tcW w:w="14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0"/>
                <w:szCs w:val="20"/>
                <w:color w:val="auto"/>
              </w:rPr>
            </w:pPr>
          </w:p>
        </w:tc>
        <w:tc>
          <w:tcPr>
            <w:tcW w:w="14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8"/>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Earnings from operations</w:t>
            </w:r>
          </w:p>
        </w:tc>
        <w:tc>
          <w:tcPr>
            <w:tcW w:w="14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18"/>
                <w:szCs w:val="18"/>
                <w:color w:val="auto"/>
              </w:rPr>
            </w:pPr>
          </w:p>
        </w:tc>
        <w:tc>
          <w:tcPr>
            <w:tcW w:w="14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30"/>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Finance Costs</w:t>
            </w:r>
          </w:p>
        </w:tc>
        <w:tc>
          <w:tcPr>
            <w:tcW w:w="14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9"/>
                <w:szCs w:val="19"/>
                <w:color w:val="auto"/>
              </w:rPr>
            </w:pPr>
          </w:p>
        </w:tc>
        <w:tc>
          <w:tcPr>
            <w:tcW w:w="14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34"/>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Miscellaneous Expense (Income)</w:t>
            </w:r>
          </w:p>
        </w:tc>
        <w:tc>
          <w:tcPr>
            <w:tcW w:w="14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0"/>
                <w:szCs w:val="20"/>
                <w:color w:val="auto"/>
              </w:rPr>
            </w:pPr>
          </w:p>
        </w:tc>
        <w:tc>
          <w:tcPr>
            <w:tcW w:w="14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8"/>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14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18"/>
                <w:szCs w:val="18"/>
                <w:color w:val="auto"/>
              </w:rPr>
            </w:pPr>
          </w:p>
        </w:tc>
        <w:tc>
          <w:tcPr>
            <w:tcW w:w="14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34"/>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4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0"/>
                <w:szCs w:val="20"/>
                <w:color w:val="auto"/>
              </w:rPr>
            </w:pPr>
          </w:p>
        </w:tc>
        <w:tc>
          <w:tcPr>
            <w:tcW w:w="14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23"/>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10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Revenue of $9.6 billion for 2024 increased 21% compared to 2023. Revenue of $8.0 billion for 2023 increased 10% compared to 2022.</w:t>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29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The  following  table  sets</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forth  segment</w:t>
            </w:r>
          </w:p>
        </w:tc>
        <w:tc>
          <w:tcPr>
            <w:tcW w:w="8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revenue</w:t>
            </w:r>
          </w:p>
        </w:tc>
        <w:tc>
          <w:tcPr>
            <w:tcW w:w="134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information  (in</w:t>
            </w:r>
          </w:p>
        </w:tc>
        <w:tc>
          <w:tcPr>
            <w:tcW w:w="150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millions,  except</w:t>
            </w: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percentages)</w:t>
            </w:r>
          </w:p>
        </w:tc>
        <w:tc>
          <w:tcPr>
            <w:tcW w:w="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w:t>
            </w:r>
          </w:p>
        </w:tc>
        <w:tc>
          <w:tcPr>
            <w:tcW w:w="112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the  periods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indicated:</w:t>
            </w:r>
          </w:p>
        </w:tc>
      </w:tr>
      <w:tr>
        <w:trPr>
          <w:trHeight w:val="256"/>
        </w:trPr>
        <w:tc>
          <w:tcPr>
            <w:tcW w:w="29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44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3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r>
      <w:tr>
        <w:trPr>
          <w:trHeight w:val="223"/>
        </w:trPr>
        <w:tc>
          <w:tcPr>
            <w:tcW w:w="29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gridSpan w:val="3"/>
          </w:tcPr>
          <w:p>
            <w:pPr>
              <w:jc w:val="right"/>
              <w:ind w:right="955"/>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2023</w:t>
            </w:r>
          </w:p>
        </w:tc>
        <w:tc>
          <w:tcPr>
            <w:tcW w:w="9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0" w:type="dxa"/>
            <w:vAlign w:val="bottom"/>
            <w:tcBorders>
              <w:bottom w:val="single" w:sz="8" w:color="auto"/>
            </w:tcBorders>
          </w:tcPr>
          <w:p>
            <w:pPr>
              <w:spacing w:after="0"/>
              <w:rPr>
                <w:sz w:val="19"/>
                <w:szCs w:val="19"/>
                <w:color w:val="auto"/>
              </w:rPr>
            </w:pPr>
          </w:p>
        </w:tc>
      </w:tr>
      <w:tr>
        <w:trPr>
          <w:trHeight w:val="204"/>
        </w:trPr>
        <w:tc>
          <w:tcPr>
            <w:tcW w:w="29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8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6"/>
                <w:szCs w:val="16"/>
                <w:color w:val="auto"/>
              </w:rPr>
              <w:t>% of total</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6"/>
                <w:szCs w:val="16"/>
                <w:color w:val="auto"/>
              </w:rPr>
              <w:t>% of total</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60" w:type="dxa"/>
            <w:vAlign w:val="bottom"/>
            <w:tcBorders>
              <w:bottom w:val="single" w:sz="8" w:color="auto"/>
            </w:tcBorders>
            <w:gridSpan w:val="2"/>
          </w:tcPr>
          <w:p>
            <w:pPr>
              <w:jc w:val="right"/>
              <w:ind w:right="170"/>
              <w:spacing w:after="0"/>
              <w:rPr>
                <w:sz w:val="20"/>
                <w:szCs w:val="20"/>
                <w:color w:val="auto"/>
              </w:rPr>
            </w:pPr>
            <w:r>
              <w:rPr>
                <w:rFonts w:ascii="Times New Roman" w:cs="Times New Roman" w:eastAsia="Times New Roman" w:hAnsi="Times New Roman"/>
                <w:sz w:val="16"/>
                <w:szCs w:val="16"/>
                <w:color w:val="auto"/>
              </w:rPr>
              <w:t>% of total</w:t>
            </w:r>
          </w:p>
        </w:tc>
      </w:tr>
      <w:tr>
        <w:trPr>
          <w:trHeight w:val="224"/>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ATS segment revenue</w:t>
            </w:r>
          </w:p>
        </w:tc>
        <w:tc>
          <w:tcPr>
            <w:tcW w:w="13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3,155.5</w:t>
            </w:r>
          </w:p>
        </w:tc>
        <w:tc>
          <w:tcPr>
            <w:tcW w:w="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4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3,319.8</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180" w:type="dxa"/>
            <w:vAlign w:val="bottom"/>
          </w:tcPr>
          <w:p>
            <w:pPr>
              <w:spacing w:after="0"/>
              <w:rPr>
                <w:sz w:val="19"/>
                <w:szCs w:val="19"/>
                <w:color w:val="auto"/>
              </w:rPr>
            </w:pPr>
          </w:p>
        </w:tc>
        <w:tc>
          <w:tcPr>
            <w:tcW w:w="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2,979.0</w:t>
            </w: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41 %</w:t>
            </w:r>
          </w:p>
        </w:tc>
      </w:tr>
      <w:tr>
        <w:trPr>
          <w:trHeight w:val="230"/>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CCS segment revenue</w:t>
            </w: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0"/>
        </w:trPr>
        <w:tc>
          <w:tcPr>
            <w:tcW w:w="2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Communications</w:t>
            </w:r>
          </w:p>
        </w:tc>
        <w:tc>
          <w:tcPr>
            <w:tcW w:w="13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3,946.7</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4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2,675.6</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180" w:type="dxa"/>
            <w:vAlign w:val="bottom"/>
          </w:tcPr>
          <w:p>
            <w:pPr>
              <w:spacing w:after="0"/>
              <w:rPr>
                <w:sz w:val="19"/>
                <w:szCs w:val="19"/>
                <w:color w:val="auto"/>
              </w:rPr>
            </w:pPr>
          </w:p>
        </w:tc>
        <w:tc>
          <w:tcPr>
            <w:tcW w:w="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2,865.0</w:t>
            </w: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40 %</w:t>
            </w:r>
          </w:p>
        </w:tc>
      </w:tr>
      <w:tr>
        <w:trPr>
          <w:trHeight w:val="234"/>
        </w:trPr>
        <w:tc>
          <w:tcPr>
            <w:tcW w:w="2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Enterprise</w:t>
            </w:r>
          </w:p>
        </w:tc>
        <w:tc>
          <w:tcPr>
            <w:tcW w:w="10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2,543.8</w:t>
            </w:r>
          </w:p>
        </w:tc>
        <w:tc>
          <w:tcPr>
            <w:tcW w:w="1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1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1,965.6</w:t>
            </w: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1,406.0</w:t>
            </w:r>
          </w:p>
        </w:tc>
        <w:tc>
          <w:tcPr>
            <w:tcW w:w="3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19 %</w:t>
            </w:r>
          </w:p>
        </w:tc>
      </w:tr>
      <w:tr>
        <w:trPr>
          <w:trHeight w:val="228"/>
        </w:trPr>
        <w:tc>
          <w:tcPr>
            <w:tcW w:w="29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6,490.5</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16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4,641.2</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180" w:type="dxa"/>
            <w:vAlign w:val="bottom"/>
          </w:tcPr>
          <w:p>
            <w:pPr>
              <w:spacing w:after="0"/>
              <w:rPr>
                <w:sz w:val="19"/>
                <w:szCs w:val="19"/>
                <w:color w:val="auto"/>
              </w:rPr>
            </w:pPr>
          </w:p>
        </w:tc>
        <w:tc>
          <w:tcPr>
            <w:tcW w:w="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4,271.0</w:t>
            </w: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59 %</w:t>
            </w:r>
          </w:p>
        </w:tc>
      </w:tr>
      <w:tr>
        <w:trPr>
          <w:trHeight w:val="103"/>
        </w:trPr>
        <w:tc>
          <w:tcPr>
            <w:tcW w:w="2920" w:type="dxa"/>
            <w:vAlign w:val="bottom"/>
          </w:tcPr>
          <w:p>
            <w:pPr>
              <w:spacing w:after="0"/>
              <w:rPr>
                <w:sz w:val="8"/>
                <w:szCs w:val="8"/>
                <w:color w:val="auto"/>
              </w:rPr>
            </w:pPr>
          </w:p>
        </w:tc>
        <w:tc>
          <w:tcPr>
            <w:tcW w:w="1300" w:type="dxa"/>
            <w:vAlign w:val="bottom"/>
            <w:gridSpan w:val="2"/>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480" w:type="dxa"/>
            <w:vAlign w:val="bottom"/>
            <w:gridSpan w:val="2"/>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76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0" w:type="dxa"/>
            <w:vAlign w:val="bottom"/>
          </w:tcPr>
          <w:p>
            <w:pPr>
              <w:spacing w:after="0"/>
              <w:rPr>
                <w:sz w:val="8"/>
                <w:szCs w:val="8"/>
                <w:color w:val="auto"/>
              </w:rPr>
            </w:pPr>
          </w:p>
        </w:tc>
      </w:tr>
      <w:tr>
        <w:trPr>
          <w:trHeight w:val="223"/>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0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9,646.0</w:t>
            </w:r>
          </w:p>
        </w:tc>
        <w:tc>
          <w:tcPr>
            <w:tcW w:w="13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6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7,961.0</w:t>
            </w:r>
          </w:p>
        </w:tc>
        <w:tc>
          <w:tcPr>
            <w:tcW w:w="2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80" w:type="dxa"/>
            <w:vAlign w:val="bottom"/>
          </w:tcPr>
          <w:p>
            <w:pPr>
              <w:spacing w:after="0"/>
              <w:rPr>
                <w:sz w:val="19"/>
                <w:szCs w:val="19"/>
                <w:color w:val="auto"/>
              </w:rPr>
            </w:pPr>
          </w:p>
        </w:tc>
        <w:tc>
          <w:tcPr>
            <w:tcW w:w="3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7,250.0</w:t>
            </w:r>
          </w:p>
        </w:tc>
        <w:tc>
          <w:tcPr>
            <w:tcW w:w="36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29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ATS segment revenue for 2024 decreased $164.3 million (5%) compared to 2023, driven by the anticipated demand softness in our Industrial business, partially offset by strength in our A&amp;D and Capital Equipment businesses.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ATS segment revenue for 2023 increased $340.8 million (11%) compared to 2022, driven by the ramping of new programs in our Industrial business (29% revenue increase), improving demand in our A&amp;D business (32% revenue increase)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color w:val="auto"/>
        </w:rPr>
        <w:t>and solid growth in our HealthTech business (16% revenue increase), partially offset by demand softness in our Capital Equipment business.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CCS segment revenue for 2024 increased $1,849.3 million (40%) compared to 2023. Communications end market revenue for 2024 increased $1,271.1 million (48%) compared to 2023 driven by increased demand for HPS networking products from hyperscaler customers. HPS revenue for 2024 increased 63% (to $2.8 billion) compared to 2023, and accounted for 29% of our total 2024 revenue (compared to 21% of our total 2023 revenue), driven by strong demand for networking products from hyperscaler customers. Enterprise end market revenue for 2024 increased $578.2 million (29%) compared to 2023, driven primarily by stronger demand in our storage business and stronger demand for compute products from our hyperscaler customers.</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CCS segment revenue for 2023 increased $370.2 million (9%) compared to 2022, driven by growth in our Enterprise end market, offset in part by the anticipated demand softness in our Communications end market. Communications end market revenue for 2023 decreased $189.4 million (7%) compared to 2022 driven by anticipated demand softness and strong comparative revenue in 2022. Enterprise end market revenue for 2023 increased $559.6 million (40%) compared to 2022, driven by strong demand for AI/ML compute from our hyperscaler customers. HPS revenue for 2023 decreased 7% (to $1.7 billion) compared to 2022, and accounted for 21% of our total 2023 revenue (compared to 25% of our total 2022 revenue), due to strong comparative revenue in 2022.</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depend on a small number of customers for a substantial portion of our revenue. In the aggregate, our top 10 customers represented 73% of total revenue for 2024, 64% for 2023 and 66% for 2022. Two customers individually represented 10% or more of total revenue in 2024 (28% and 11%). One customer individually represented 10% or more of total revenue in 2023 (22%). Two customers individually represented 10% or more of total revenue in 2022 (11% for each customer).</w:t>
      </w:r>
    </w:p>
    <w:p>
      <w:pPr>
        <w:spacing w:after="0" w:line="18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generally enter into master supply agreements with our customers that provide the framework for our overall relationship, although such agreements do not typically guarantee a particular level of business or fixed pricing. Instead, we bid on a program-by-program basis and receive customer purchase orders for specific quantities and timing of products. We cannot assure that our current customers will continue to award us with follow-on or new business. Customers may also cancel contracts, and volume levels can be changed or delayed, any of which could have a material adverse impact on our results of operations, working capital performance (including requiring us to carry higher than expected levels of inventory, particularly in a supply-constrained environment, to enable us to meet demand requirements), and result in lower asset utilization and lower margins. We cannot assure the replacement of completed, delayed, cancelled or reduced orders, or that our current customers will continue to utilize our services, or renew their long-term manufacturing or services contracts with us on acceptable terms or at all. In addition, in any given quarter, we can experience quality and process variances related to materials, testing or other manufacturing or supply chain activities. Although we are successful in resolving the majority of these issues, the existence of these variances could have a material adverse impact on the demand for our services in future periods from any affected customers. Further, some of our customer agreements require us to provide specific price reductions to our customers over the term of the contracts, which has had, and may continue to have a significant impact on our revenues and margins. Continuing market shifts to disaggregated solutions and open hardware platforms are adversely impacting demand from our traditional OEM Communications customers, but favorably impacting our service provider customers and our HPS business. There can be no assurance that revenue from any of our major customers will continue at historical levels or will not decrease in absolute terms or as a percentage of total revenue. A significant revenue decrease or pricing pressures from these or other customers, or a loss of a major customer or program, could have a material adverse impact on our business, our operating results and our financial 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shows gross profit and gross margin (gross profit as a percentage of total revenue) for the periods indicated:</w:t>
      </w:r>
    </w:p>
    <w:p>
      <w:pPr>
        <w:spacing w:after="0" w:line="262" w:lineRule="exact"/>
        <w:rPr>
          <w:sz w:val="20"/>
          <w:szCs w:val="20"/>
          <w:color w:val="auto"/>
        </w:rPr>
      </w:pPr>
    </w:p>
    <w:p>
      <w:pPr>
        <w:jc w:val="center"/>
        <w:ind w:left="726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4659630</wp:posOffset>
            </wp:positionH>
            <wp:positionV relativeFrom="paragraph">
              <wp:posOffset>19685</wp:posOffset>
            </wp:positionV>
            <wp:extent cx="244284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442845" cy="8255"/>
                    </a:xfrm>
                    <a:prstGeom prst="rect">
                      <a:avLst/>
                    </a:prstGeom>
                    <a:noFill/>
                  </pic:spPr>
                </pic:pic>
              </a:graphicData>
            </a:graphic>
          </wp:anchor>
        </w:drawing>
      </w:r>
    </w:p>
    <w:p>
      <w:pPr>
        <w:spacing w:after="0" w:line="16" w:lineRule="exact"/>
        <w:rPr>
          <w:sz w:val="20"/>
          <w:szCs w:val="20"/>
          <w:color w:val="auto"/>
        </w:rPr>
      </w:pPr>
    </w:p>
    <w:p>
      <w:pPr>
        <w:ind w:left="7800"/>
        <w:spacing w:after="0"/>
        <w:tabs>
          <w:tab w:leader="none" w:pos="9100" w:val="left"/>
          <w:tab w:leader="none" w:pos="10400" w:val="left"/>
        </w:tabs>
        <w:rPr>
          <w:sz w:val="20"/>
          <w:szCs w:val="20"/>
          <w:color w:val="auto"/>
        </w:rPr>
      </w:pPr>
      <w:r>
        <w:rPr>
          <w:rFonts w:ascii="Times New Roman" w:cs="Times New Roman" w:eastAsia="Times New Roman" w:hAnsi="Times New Roman"/>
          <w:sz w:val="18"/>
          <w:szCs w:val="18"/>
          <w:b w:val="1"/>
          <w:bCs w:val="1"/>
          <w:color w:val="auto"/>
        </w:rPr>
        <w:t>2024</w:t>
      </w:r>
      <w:r>
        <w:rPr>
          <w:sz w:val="20"/>
          <w:szCs w:val="20"/>
          <w:color w:val="auto"/>
        </w:rPr>
        <w:tab/>
      </w:r>
      <w:r>
        <w:rPr>
          <w:rFonts w:ascii="Times New Roman" w:cs="Times New Roman" w:eastAsia="Times New Roman" w:hAnsi="Times New Roman"/>
          <w:sz w:val="18"/>
          <w:szCs w:val="18"/>
          <w:b w:val="1"/>
          <w:bCs w:val="1"/>
          <w:color w:val="auto"/>
        </w:rPr>
        <w:t>2023</w:t>
      </w:r>
      <w:r>
        <w:rPr>
          <w:sz w:val="20"/>
          <w:szCs w:val="20"/>
          <w:color w:val="auto"/>
        </w:rPr>
        <w:tab/>
      </w:r>
      <w:r>
        <w:rPr>
          <w:rFonts w:ascii="Times New Roman" w:cs="Times New Roman" w:eastAsia="Times New Roman" w:hAnsi="Times New Roman"/>
          <w:sz w:val="18"/>
          <w:szCs w:val="18"/>
          <w:b w:val="1"/>
          <w:bCs w:val="1"/>
          <w:color w:val="auto"/>
        </w:rPr>
        <w:t>2022</w:t>
      </w:r>
    </w:p>
    <w:p>
      <w:pPr>
        <w:spacing w:after="0" w:line="31" w:lineRule="exact"/>
        <w:rPr>
          <w:sz w:val="20"/>
          <w:szCs w:val="20"/>
          <w:color w:val="auto"/>
        </w:rPr>
      </w:pPr>
    </w:p>
    <w:tbl>
      <w:tblPr>
        <w:tblLayout w:type="fixed"/>
        <w:tblInd w:w="20" w:type="dxa"/>
        <w:tblCellMar>
          <w:top w:w="0" w:type="dxa"/>
          <w:left w:w="0" w:type="dxa"/>
          <w:bottom w:w="0" w:type="dxa"/>
          <w:right w:w="0" w:type="dxa"/>
        </w:tblCellMar>
      </w:tblPr>
      <w:tr>
        <w:trPr>
          <w:trHeight w:val="218"/>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Gross profit (in millions)</w:t>
            </w: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1,033.7</w:t>
            </w:r>
          </w:p>
        </w:tc>
        <w:tc>
          <w:tcPr>
            <w:tcW w:w="80" w:type="dxa"/>
            <w:vAlign w:val="bottom"/>
          </w:tcPr>
          <w:p>
            <w:pPr>
              <w:spacing w:after="0"/>
              <w:rPr>
                <w:sz w:val="18"/>
                <w:szCs w:val="18"/>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754.1</w:t>
            </w:r>
          </w:p>
        </w:tc>
        <w:tc>
          <w:tcPr>
            <w:tcW w:w="120" w:type="dxa"/>
            <w:vAlign w:val="bottom"/>
          </w:tcPr>
          <w:p>
            <w:pPr>
              <w:spacing w:after="0"/>
              <w:rPr>
                <w:sz w:val="18"/>
                <w:szCs w:val="18"/>
                <w:color w:val="auto"/>
              </w:rPr>
            </w:pPr>
          </w:p>
        </w:tc>
        <w:tc>
          <w:tcPr>
            <w:tcW w:w="3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649.7</w:t>
            </w:r>
          </w:p>
        </w:tc>
      </w:tr>
      <w:tr>
        <w:trPr>
          <w:trHeight w:val="234"/>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10.7 %</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9.5 %</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9.0 %</w:t>
            </w:r>
          </w:p>
        </w:tc>
      </w:tr>
    </w:tbl>
    <w:p>
      <w:pPr>
        <w:spacing w:after="0" w:line="2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Gross profit for 2024 increased $279.6 million (37%) compared to 2023, primarily due to our strong revenue growth. Gross margin increased to 10.7% in 2024 from 9.5% in 2023, primarily driven by operating leverage and production efficiencies in our CCS segment. Gross profit for 2024 also included $39.6 million in favorable total return swap fair value adjustments (TRS FVAs) compared to nil for 2023. TRS FVAs for 2023 was recorded in Miscellaneous Expense (Income) (defined in "Non-GAAP Financial Measures" below).</w:t>
      </w:r>
    </w:p>
    <w:p>
      <w:pPr>
        <w:spacing w:after="0" w:line="180"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Gross profit for 2023 increased $104.4 million (16%) compared to 2022, primarily due to the revenue growth in both segments, partially offset by the effect of higher inventory write-downs in 2023 ($59.9 million) compared to 2022 ($32.1 million). Increases in inventory write-downs in 2023 compared to 2022 resulted from reduced demand for certain aged inventory. Gross margin increased to 9.5% in 2023 from 9.0% in 2022, primarily driven by volume leverage in both segments, improved mix and production efficiencies.</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Certain of our customer agreements require us to provide specific price reductions over the contract term, which has significantly impacted revenue and margins. This adverse impact is expected to continue. In general, multiple factors can cause gross margin to fluctuate from period to period including, among others: volume and mix of products or services; higher/lower revenue concentration in lower gross margin products and businesses; pricing pressures; contract terms and conditions; production management; utilization of manufacturing capacity; changing material and labor costs, including variable labor costs associated with direct manufacturing employees and other costs that we cannot recover from our customers; manufacturing and transportation costs; start-up and ramp-up activities; new product introductions; disruption in production at individual sites, including as a result of program transfers; cost structures at individual sites; foreign exchange volatility; and the availability of components and materials. Order cancellations and delays could also lower our asset utilization, resulting in lower margins. Significant period-to-period changes in margins can also occur if new program wins or follow-on business are more competitively priced than past programs. In addition, customers from time to time shift programs to us from other service providers, including some for lower complexity, light touch programs that are aggressively priced, which can adversely impact future operating results. Our gross profit and SG&amp;A expenses (discussed below) are also impacted by the level of variable compensation expense (including awards under our incentive and SBC plans) we record in each period.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SG&amp;A:</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SG&amp;A for 2024 of $293.5 million (3.0% of total revenue) decreased $9.7 million compared to $303.2 million (3.8% of total revenue) for 2023. The decrease in SG&amp;A for 2024 compared to 2023 was primarily due to the $51.4 million favorable TRS FVAs related to our total return swap agreement (TRS Agreement) recorded in 2024, offset by higher variable compensation and variable spend.</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SG&amp;A for 2023 of $303.2 million (3.8% of total revenue) increased $35.9 million compared to $267.3 million (3.7% of total revenue) for 2022, primarily due to higher variable compensation and higher foreign exchange losses in 2023 compared to 2022, as well as an audit settlement recorded in 2023 of certain historical value-added tax filings for one of our subsidiaries in Asia.</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 income and margin:</w:t>
      </w:r>
    </w:p>
    <w:p>
      <w:pPr>
        <w:spacing w:after="0" w:line="227" w:lineRule="exact"/>
        <w:rPr>
          <w:sz w:val="20"/>
          <w:szCs w:val="20"/>
          <w:color w:val="auto"/>
        </w:rPr>
      </w:pPr>
    </w:p>
    <w:p>
      <w:pPr>
        <w:jc w:val="both"/>
        <w:ind w:firstLine="182"/>
        <w:spacing w:after="0" w:line="261" w:lineRule="auto"/>
        <w:rPr>
          <w:sz w:val="20"/>
          <w:szCs w:val="20"/>
          <w:color w:val="auto"/>
        </w:rPr>
      </w:pPr>
      <w:r>
        <w:rPr>
          <w:rFonts w:ascii="Times New Roman" w:cs="Times New Roman" w:eastAsia="Times New Roman" w:hAnsi="Times New Roman"/>
          <w:sz w:val="18"/>
          <w:szCs w:val="18"/>
          <w:color w:val="auto"/>
        </w:rPr>
        <w:t>Segment performance is evaluated based on segment revenue (set forth above), segment income and segment margin (segment income as a percentage of segment revenue). Revenue is attributed to the segment in which the product is manufactured or the service is performed. Segment income is defined as a segment's revenue less its cost of sales and its allocatable portion of SG&amp;A and R&amp;D expenses (collectively, Segment Costs). Identifiable Segment Costs are allocated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5" w:right="339" w:bottom="1440" w:gutter="0" w:footer="0" w:header="0"/>
        </w:sectPr>
      </w:pPr>
    </w:p>
    <w:bookmarkStart w:id="68" w:name="page69"/>
    <w:bookmarkEnd w:id="68"/>
    <w:p>
      <w:pPr>
        <w:jc w:val="both"/>
        <w:spacing w:after="0" w:line="254" w:lineRule="auto"/>
        <w:rPr>
          <w:sz w:val="20"/>
          <w:szCs w:val="20"/>
          <w:color w:val="auto"/>
        </w:rPr>
      </w:pPr>
      <w:r>
        <w:rPr>
          <w:rFonts w:ascii="Times New Roman" w:cs="Times New Roman" w:eastAsia="Times New Roman" w:hAnsi="Times New Roman"/>
          <w:sz w:val="18"/>
          <w:szCs w:val="18"/>
          <w:color w:val="auto"/>
        </w:rPr>
        <w:t>directly to the applicable segment while other Segment Costs, including indirect costs and certain corporate charges, are allocated to our segments based on an analysis of the relative usage or benefit derived by each segment from such costs. Segment income excludes employee SBC expense, amortization of intangible assets (excluding computer software), Restructuring and Other charges (Recoveries), TRS FVAs related to our TRS Agreement, Miscellaneous Expense (Income) and transitional hedge reclassifications and adjustments related to foreign currency forward exchange contracts (FCC Transitional ADJ) (each defined in "Non-GAAP Financial Measures" below), as well as finance costs, as these costs, charges/recoveries and adjustments are managed and reviewed by our chief executive officer at the company level. See the reconciliation of segment income to our earnings before income taxes for 2022 — 2024 in note 22 to the 2024 AFS. Our segments do not record inter-segment revenue. Although segment income and segment margin are used to evaluate the performance of our segments, we may incur operating costs in one segment that may also benefit the other segment. Our accounting policies for segment reporting are the same as those applied to the Company as a whole.</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ATS segment income for 2024 decreased $10.9 million (7%) compared to 2023, due primarily to ATS revenue decrease in 2024 compared to 2023. ATS segment margin decreased to 4.6% from 4.7% in 2023 primarily driven by a reduction in operating leverage in our Industrial business, partially offset by improved profitability in our Capital Equipment and A&amp;D businesses.</w:t>
      </w:r>
    </w:p>
    <w:p>
      <w:pPr>
        <w:spacing w:after="0" w:line="176"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ATS segment income for 2023 increased $14.7 million (10%) compared to 2022, due primarily to ATS revenue increase in 2023 compared to 2022. ATS segment margin remained flat at 4.7% in 2023 compared to 2022 as the benefits of operating leverage and program ramps in our Industrial business were offset by softness in our Capital Equipment business. Both ATS segment income and segment margin were also negatively impacted by the higher inventory write-downs in 2023 compared to 2022 noted above.</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CCS segment income for 2024 increased $191.9 million (67%) compared to 2023 as a result of the revenue increase described above. CCS segment margin increased to 7.4% in 2024 from 6.2% in 2023, primarily driven by greater operating leverage, as well as improved mix.</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CCS segment income for 2023 increased $69.0 million (32%) compared to 2022 as a result of the revenue increase described above. CCS segment margin increased to 6.2% in 2023 from 5.1% in 2022, primarily driven by higher volumes and improved mix. The increase in CCS segment income and margin was partially offset by the impact of the higher inventory write-downs in 2023 compared to 2022 noted above.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SBC expense and TRS FVAs:</w:t>
      </w:r>
    </w:p>
    <w:p>
      <w:pPr>
        <w:spacing w:after="0" w:line="22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Unless a grantee has been authorized, and elects, to settle these awards in cash, Celestica intends to settle all outstanding restricted share units (RSUs) and performance share units (PSUs) with Common Shares. Accordingly, we account for these share unit awards as equity-settled awards.</w:t>
      </w:r>
    </w:p>
    <w:p>
      <w:pPr>
        <w:spacing w:after="0" w:line="162"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Our SBC expense may fluctuate from period to period to account for, among other things, new grants, forfeitures resulting from employee terminations or resignations, and the recognition of accelerated SBC expense for employees eligible for retirement (generally in the first quarter of the year associated with our annual grants). The portion of our employee SBC expense that relates to performance-based compensation is subject to adjustment in any period to reflect changes in the estimated level of achievement of pre-determined performance goals and financial targets.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In December 2022, we entered into the TRS Agreement to manage our cash flow requirements and exposure to fluctuations in the share price of our Common Shares in connection with the settlement of certain outstanding equity awards under our SBC plans. See "Liquidity — </w:t>
      </w:r>
      <w:r>
        <w:rPr>
          <w:rFonts w:ascii="Times New Roman" w:cs="Times New Roman" w:eastAsia="Times New Roman" w:hAnsi="Times New Roman"/>
          <w:sz w:val="18"/>
          <w:szCs w:val="18"/>
          <w:i w:val="1"/>
          <w:iCs w:val="1"/>
          <w:color w:val="auto"/>
        </w:rPr>
        <w:t>Cash requirements</w:t>
      </w:r>
      <w:r>
        <w:rPr>
          <w:rFonts w:ascii="Times New Roman" w:cs="Times New Roman" w:eastAsia="Times New Roman" w:hAnsi="Times New Roman"/>
          <w:sz w:val="18"/>
          <w:szCs w:val="18"/>
          <w:color w:val="auto"/>
        </w:rPr>
        <w:t xml:space="preserve"> — TRS" below for further detail.</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The following table shows employee SBC expense (with respect to stock options, RSUs and PSUs granted to employees), TRS FVAs, and director</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SBC expense (with respect to deferred share units (DSUs) and RSUs issued to directors as compensation) for the periods indicated (in millions):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69" w:name="page70"/>
    <w:bookmarkEnd w:id="69"/>
    <w:p>
      <w:pPr>
        <w:spacing w:after="0" w:line="200" w:lineRule="exact"/>
        <w:rPr>
          <w:sz w:val="20"/>
          <w:szCs w:val="20"/>
          <w:color w:val="auto"/>
        </w:rPr>
      </w:pPr>
    </w:p>
    <w:p>
      <w:pPr>
        <w:spacing w:after="0" w:line="2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Employee SBC expense in cost of sales</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Employee SBC expense in SG&amp;A</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 employee SBC expense</w:t>
      </w:r>
    </w:p>
    <w:p>
      <w:pPr>
        <w:spacing w:after="0" w:line="1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TRS FVAs (gains) in cost of sales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TRS FVAs (gains) in SG&amp;A</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TRS FVAs (gains) in Miscellaneous Expense (Income)</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 TRS FVAs (gains)</w:t>
      </w:r>
    </w:p>
    <w:p>
      <w:pPr>
        <w:spacing w:after="0" w:line="1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Combined effect of employee SBC expense and TRS FVAs: expenses (recoveries)</w:t>
      </w:r>
    </w:p>
    <w:p>
      <w:pPr>
        <w:spacing w:after="0" w:line="20" w:lineRule="exact"/>
        <w:rPr>
          <w:sz w:val="20"/>
          <w:szCs w:val="20"/>
          <w:color w:val="auto"/>
        </w:rPr>
      </w:pPr>
      <w:r>
        <w:rPr>
          <w:sz w:val="20"/>
          <w:szCs w:val="20"/>
          <w:color w:val="auto"/>
        </w:rPr>
        <w:br w:type="column"/>
      </w:r>
    </w:p>
    <w:p>
      <w:pPr>
        <w:ind w:left="84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18"/>
        </w:trPr>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r>
      <w:tr>
        <w:trPr>
          <w:trHeight w:val="234"/>
        </w:trPr>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w:t>
            </w:r>
          </w:p>
        </w:tc>
      </w:tr>
      <w:tr>
        <w:trPr>
          <w:trHeight w:val="228"/>
        </w:trPr>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w:t>
            </w:r>
          </w:p>
        </w:tc>
      </w:tr>
      <w:tr>
        <w:trPr>
          <w:trHeight w:val="314"/>
        </w:trPr>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90"/>
        </w:trPr>
        <w:tc>
          <w:tcPr>
            <w:tcW w:w="26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r>
      <w:tr>
        <w:trPr>
          <w:trHeight w:val="223"/>
        </w:trPr>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w:t>
            </w:r>
          </w:p>
        </w:tc>
      </w:tr>
      <w:tr>
        <w:trPr>
          <w:trHeight w:val="21"/>
        </w:trPr>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59" w:lineRule="exact"/>
        <w:rPr>
          <w:sz w:val="20"/>
          <w:szCs w:val="20"/>
          <w:color w:val="auto"/>
        </w:rPr>
      </w:pPr>
    </w:p>
    <w:p>
      <w:pPr>
        <w:sectPr>
          <w:pgSz w:w="11900" w:h="16838" w:orient="portrait"/>
          <w:cols w:equalWidth="0" w:num="2">
            <w:col w:w="6920" w:space="720"/>
            <w:col w:w="3600"/>
          </w:cols>
          <w:pgMar w:left="320" w:top="1184" w:right="339" w:bottom="1440" w:gutter="0" w:footer="0" w:header="0"/>
        </w:sectPr>
      </w:pPr>
    </w:p>
    <w:p>
      <w:pPr>
        <w:ind w:left="20"/>
        <w:spacing w:after="0"/>
        <w:tabs>
          <w:tab w:leader="none" w:pos="7640" w:val="left"/>
          <w:tab w:leader="none" w:pos="8520" w:val="left"/>
          <w:tab w:leader="none" w:pos="9720" w:val="left"/>
          <w:tab w:leader="none" w:pos="10920" w:val="left"/>
        </w:tabs>
        <w:rPr>
          <w:sz w:val="20"/>
          <w:szCs w:val="20"/>
          <w:color w:val="auto"/>
        </w:rPr>
      </w:pPr>
      <w:r>
        <w:rPr>
          <w:rFonts w:ascii="Times New Roman" w:cs="Times New Roman" w:eastAsia="Times New Roman" w:hAnsi="Times New Roman"/>
          <w:sz w:val="18"/>
          <w:szCs w:val="18"/>
          <w:color w:val="auto"/>
        </w:rPr>
        <w:t>Director SBC expense in SG&amp;A</w:t>
      </w:r>
      <w:r>
        <w:rPr>
          <w:rFonts w:ascii="Times New Roman" w:cs="Times New Roman" w:eastAsia="Times New Roman" w:hAnsi="Times New Roman"/>
          <w:sz w:val="23"/>
          <w:szCs w:val="23"/>
          <w:color w:val="auto"/>
          <w:vertAlign w:val="superscript"/>
        </w:rPr>
        <w:t>(1)</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2.4 $</w:t>
      </w:r>
      <w:r>
        <w:rPr>
          <w:sz w:val="20"/>
          <w:szCs w:val="20"/>
          <w:color w:val="auto"/>
        </w:rPr>
        <w:tab/>
      </w:r>
      <w:r>
        <w:rPr>
          <w:rFonts w:ascii="Times New Roman" w:cs="Times New Roman" w:eastAsia="Times New Roman" w:hAnsi="Times New Roman"/>
          <w:sz w:val="18"/>
          <w:szCs w:val="18"/>
          <w:color w:val="auto"/>
        </w:rPr>
        <w:t>2.4 $</w:t>
      </w:r>
      <w:r>
        <w:rPr>
          <w:sz w:val="20"/>
          <w:szCs w:val="20"/>
          <w:color w:val="auto"/>
        </w:rPr>
        <w:tab/>
      </w:r>
      <w:r>
        <w:rPr>
          <w:rFonts w:ascii="Times New Roman" w:cs="Times New Roman" w:eastAsia="Times New Roman" w:hAnsi="Times New Roman"/>
          <w:sz w:val="17"/>
          <w:szCs w:val="17"/>
          <w:color w:val="auto"/>
        </w:rPr>
        <w:t>2.2</w:t>
      </w:r>
    </w:p>
    <w:p>
      <w:pPr>
        <w:spacing w:after="0" w:line="121" w:lineRule="exact"/>
        <w:rPr>
          <w:sz w:val="20"/>
          <w:szCs w:val="20"/>
          <w:color w:val="auto"/>
        </w:rPr>
      </w:pPr>
    </w:p>
    <w:p>
      <w:pPr>
        <w:ind w:left="400" w:hanging="392"/>
        <w:spacing w:after="0"/>
        <w:tabs>
          <w:tab w:leader="none" w:pos="40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Expense consists of director compensation to be settled with Common Shares, or Common Shares and cash, as elected by each director.</w:t>
      </w:r>
    </w:p>
    <w:p>
      <w:pPr>
        <w:spacing w:after="0" w:line="21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 xml:space="preserve">The increase in favorable TRS FVAs in 2024 compared to 2023 was due to fluctuations in our Common Share price. TRS FVAs in 2022 was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Restructuring and other charges, net of recoveries:</w:t>
      </w:r>
    </w:p>
    <w:p>
      <w:pPr>
        <w:spacing w:after="0" w:line="227" w:lineRule="exact"/>
        <w:rPr>
          <w:sz w:val="20"/>
          <w:szCs w:val="20"/>
          <w:color w:val="auto"/>
        </w:rPr>
      </w:pPr>
    </w:p>
    <w:p>
      <w:pPr>
        <w:jc w:val="both"/>
        <w:ind w:firstLine="238"/>
        <w:spacing w:after="0" w:line="258" w:lineRule="auto"/>
        <w:rPr>
          <w:sz w:val="20"/>
          <w:szCs w:val="20"/>
          <w:color w:val="auto"/>
        </w:rPr>
      </w:pPr>
      <w:r>
        <w:rPr>
          <w:rFonts w:ascii="Times New Roman" w:cs="Times New Roman" w:eastAsia="Times New Roman" w:hAnsi="Times New Roman"/>
          <w:sz w:val="18"/>
          <w:szCs w:val="18"/>
          <w:color w:val="auto"/>
        </w:rPr>
        <w:t>In addition to the items set forth below, other charges, net of recoveries for 2022 included approximately $95 million in aggregate charges representing write-downs to inventories, a building and equipment resulting from a fire accrued in June 2022 at our Batam facility in Indonesia, as well as equivalent amounts in recoveries, as we expected to fully recover the written-down amounts pursuant to the terms and conditions of our insurance policies. As a result, such event had no net impact on other charges, net of recoveries during 2022. See note 14 to the 2024 AFS. To date, we have recovered substantially all of our tangible asset losses through insurance proceeds.</w:t>
      </w:r>
    </w:p>
    <w:p>
      <w:pPr>
        <w:spacing w:after="0" w:line="183" w:lineRule="exact"/>
        <w:rPr>
          <w:sz w:val="20"/>
          <w:szCs w:val="20"/>
          <w:color w:val="auto"/>
        </w:rPr>
      </w:pPr>
    </w:p>
    <w:p>
      <w:pPr>
        <w:ind w:left="400" w:hanging="392"/>
        <w:spacing w:after="0"/>
        <w:tabs>
          <w:tab w:leader="none" w:pos="4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Restructuring charges: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perform ongoing evaluations of our business, operational efficiency and cost structure, and implement restructuring actions as we deem necessary. Our restructuring activities consisted primarily of actions to adjust our cost base to address reduced levels of demand in certain of our businesses and geographies.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2024, we recorded $11.6 million of restructuring charges, consisting primarily of cash charges related to employee terminations (2023 — $11.2 million; 2022 — $8.4 million).</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restructuring provision at December 31, 2024 was $2.9 million (December 31, 2023 — $3.6 million), which we recorded in the current portion of provisions on our consolidated balance sheet.</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may also implement additional future restructuring actions or divestitures as a result of changes in our business, the marketplace and/or our exit from less profitable, under-performing, non-core or non-strategic operations. In addition, an increase in the frequency of customers transferring business to our competitors, changes in the volumes they outsource, pricing pressures, or requests to transfer their programs among our sites or to lower-cost locations, may also result in our taking future restructuring actions. We may incur higher operating expenses during periods of transitioning programs within our network or to our competitors. Any such restructuring activities, if undertaken, could adversely impact our operating and financial results, and may require us to further adjust our operations.</w:t>
      </w:r>
    </w:p>
    <w:p>
      <w:pPr>
        <w:spacing w:after="0" w:line="187" w:lineRule="exact"/>
        <w:rPr>
          <w:sz w:val="20"/>
          <w:szCs w:val="20"/>
          <w:color w:val="auto"/>
        </w:rPr>
      </w:pPr>
    </w:p>
    <w:p>
      <w:pPr>
        <w:ind w:left="440" w:hanging="432"/>
        <w:spacing w:after="0"/>
        <w:tabs>
          <w:tab w:leader="none" w:pos="4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Transition Costs (Recoveries):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Transition Costs (Recoveries) are defined under "Non-GAAP Financial Measures" below. In March 2019, as part of our Toronto real property sale, we entered into a 10-year lease with the purchaser of such property for our then-anticipated headquarters, to be built by such purchaser on the site of our former location (Purchaser Lease). Due to a number of construction-related commencement date delays, in November 2022, we extended (on a long-term basis) the lease on our current corporate headquarters, and in Q3 2023, we executed a sublease for a portion of the leased space under the Purchaser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4" w:right="339" w:bottom="1440" w:gutter="0" w:footer="0" w:header="0"/>
          <w:type w:val="continuous"/>
        </w:sectPr>
      </w:pPr>
    </w:p>
    <w:bookmarkStart w:id="70" w:name="page71"/>
    <w:bookmarkEnd w:id="70"/>
    <w:p>
      <w:pPr>
        <w:jc w:val="both"/>
        <w:spacing w:after="0" w:line="261" w:lineRule="auto"/>
        <w:rPr>
          <w:sz w:val="20"/>
          <w:szCs w:val="20"/>
          <w:color w:val="auto"/>
        </w:rPr>
      </w:pPr>
      <w:r>
        <w:rPr>
          <w:rFonts w:ascii="Times New Roman" w:cs="Times New Roman" w:eastAsia="Times New Roman" w:hAnsi="Times New Roman"/>
          <w:sz w:val="18"/>
          <w:szCs w:val="18"/>
          <w:color w:val="auto"/>
        </w:rPr>
        <w:t>Lease (Sublease). The Purchaser Lease commenced in June 2024 and related ROU assets and lease liabilities were recognized in our consolidated financial statements. Consistent with our prior treatment as Transition Costs of duplicate and idle premises costs incurred as a result of our 2019 Toronto real property sale, we recorded Transition Costs of $4.3 million in 2024 and $0.8 million in 2023 related to the sublet of the Purchaser Lease. We incurred no Transition Recoveries in 2024 or 2023.</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2022, we recorded $1.5 million of Transition Costs, related primarily to the disposal of assets reclassified as held for sale in Q1 2022, and $3.6 million of Transition Recoveries, reflecting the gain on the subsequent disposal of such assets held for sale.</w:t>
      </w:r>
    </w:p>
    <w:p>
      <w:pPr>
        <w:spacing w:after="0" w:line="162" w:lineRule="exact"/>
        <w:rPr>
          <w:sz w:val="20"/>
          <w:szCs w:val="20"/>
          <w:color w:val="auto"/>
        </w:rPr>
      </w:pPr>
    </w:p>
    <w:p>
      <w:pPr>
        <w:ind w:left="500" w:hanging="492"/>
        <w:spacing w:after="0"/>
        <w:tabs>
          <w:tab w:leader="none" w:pos="5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 impairment:</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Long-lived assets are reviewed for impairment whenever events or changes in circumstances (triggering events) indicate that the carrying amount of an asset may not be recoverable. Goodwill is tested for impairment on an annual basis and whenever triggering events suggest that the carrying amount may be impaired. See "Critical Accounting Estimates" above and note 2(j) to our 2024 AFS. We did not identify any triggering events during 2024, 2023 or 2022 indicating that the carrying amount of our long-lived assets or goodwill may not be recoverable. We conduct the annual impairment of goodwill in the fourth quarter of each year (Annual Impairment Assessment). No impairments to our goodwill were recorded as a result of our 2024, 2023 or 2022 Annual Impairment Assessments.</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See notes 2(j) and 8 to our 2024 AFS for a discussion of when impairment losses for our long-lived assets and goodwill are recognized, and how we determine our cash flow projections for our Annual Impairment Assessment, including the cash flow projection periods, growth rates, and discount rates. Assumptions for our 2024 Annual Impairment Assessment for: (i) our Capital Equipment reporting unit include expected continued stable market demand in the near term with strong business growth over the long term; (ii) our A&amp;D reporting unit include expected demand increases in line with industry expectations; and (iii) our PCI reporting unit include expected demand improvements from various customers and benefits from our continued execution of synergistic programs.</w:t>
      </w:r>
    </w:p>
    <w:p>
      <w:pPr>
        <w:spacing w:after="0" w:line="18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8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Our goodwill balance is allocated to the following reporting units (in millions):</w:t>
            </w: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56"/>
        </w:trPr>
        <w:tc>
          <w:tcPr>
            <w:tcW w:w="87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140" w:type="dxa"/>
            <w:vAlign w:val="bottom"/>
            <w:tcBorders>
              <w:bottom w:val="single" w:sz="8" w:color="auto"/>
            </w:tcBorders>
            <w:gridSpan w:val="3"/>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23"/>
        </w:trPr>
        <w:tc>
          <w:tcPr>
            <w:tcW w:w="87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8"/>
        </w:trPr>
        <w:tc>
          <w:tcPr>
            <w:tcW w:w="8780" w:type="dxa"/>
            <w:vAlign w:val="bottom"/>
          </w:tcPr>
          <w:p>
            <w:pPr>
              <w:spacing w:after="0"/>
              <w:rPr>
                <w:sz w:val="20"/>
                <w:szCs w:val="20"/>
                <w:color w:val="auto"/>
              </w:rPr>
            </w:pPr>
            <w:r>
              <w:rPr>
                <w:rFonts w:ascii="Times New Roman" w:cs="Times New Roman" w:eastAsia="Times New Roman" w:hAnsi="Times New Roman"/>
                <w:sz w:val="18"/>
                <w:szCs w:val="18"/>
                <w:color w:val="auto"/>
              </w:rPr>
              <w:t>Capital Equipment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131.0</w:t>
            </w:r>
          </w:p>
        </w:tc>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131.6</w:t>
            </w:r>
          </w:p>
        </w:tc>
      </w:tr>
      <w:tr>
        <w:trPr>
          <w:trHeight w:val="230"/>
        </w:trPr>
        <w:tc>
          <w:tcPr>
            <w:tcW w:w="8780" w:type="dxa"/>
            <w:vAlign w:val="bottom"/>
          </w:tcPr>
          <w:p>
            <w:pPr>
              <w:spacing w:after="0"/>
              <w:rPr>
                <w:sz w:val="20"/>
                <w:szCs w:val="20"/>
                <w:color w:val="auto"/>
              </w:rPr>
            </w:pPr>
            <w:r>
              <w:rPr>
                <w:rFonts w:ascii="Times New Roman" w:cs="Times New Roman" w:eastAsia="Times New Roman" w:hAnsi="Times New Roman"/>
                <w:sz w:val="18"/>
                <w:szCs w:val="18"/>
                <w:color w:val="auto"/>
              </w:rPr>
              <w:t>A&amp;D</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w:t>
            </w:r>
          </w:p>
        </w:tc>
      </w:tr>
      <w:tr>
        <w:trPr>
          <w:trHeight w:val="229"/>
        </w:trPr>
        <w:tc>
          <w:tcPr>
            <w:tcW w:w="8780" w:type="dxa"/>
            <w:vAlign w:val="bottom"/>
          </w:tcPr>
          <w:p>
            <w:pPr>
              <w:spacing w:after="0"/>
              <w:rPr>
                <w:sz w:val="20"/>
                <w:szCs w:val="20"/>
                <w:color w:val="auto"/>
              </w:rPr>
            </w:pPr>
            <w:r>
              <w:rPr>
                <w:rFonts w:ascii="Times New Roman" w:cs="Times New Roman" w:eastAsia="Times New Roman" w:hAnsi="Times New Roman"/>
                <w:sz w:val="18"/>
                <w:szCs w:val="18"/>
                <w:color w:val="auto"/>
              </w:rPr>
              <w:t>PCI Private Limited (PCI)</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123.8</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123.8</w:t>
            </w:r>
          </w:p>
        </w:tc>
      </w:tr>
      <w:tr>
        <w:trPr>
          <w:trHeight w:val="234"/>
        </w:trPr>
        <w:tc>
          <w:tcPr>
            <w:tcW w:w="8780" w:type="dxa"/>
            <w:vAlign w:val="bottom"/>
          </w:tcPr>
          <w:p>
            <w:pPr>
              <w:spacing w:after="0"/>
              <w:rPr>
                <w:sz w:val="20"/>
                <w:szCs w:val="20"/>
                <w:color w:val="auto"/>
              </w:rPr>
            </w:pPr>
            <w:r>
              <w:rPr>
                <w:rFonts w:ascii="Times New Roman" w:cs="Times New Roman" w:eastAsia="Times New Roman" w:hAnsi="Times New Roman"/>
                <w:sz w:val="18"/>
                <w:szCs w:val="18"/>
                <w:color w:val="auto"/>
              </w:rPr>
              <w:t>NCS Global Services LLC (NCS), acquired in 2024</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78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340.5</w:t>
            </w:r>
          </w:p>
        </w:tc>
        <w:tc>
          <w:tcPr>
            <w:tcW w:w="2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321.7</w:t>
            </w:r>
          </w:p>
        </w:tc>
      </w:tr>
      <w:tr>
        <w:trPr>
          <w:trHeight w:val="20"/>
        </w:trPr>
        <w:tc>
          <w:tcPr>
            <w:tcW w:w="8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480" w:hanging="472"/>
        <w:spacing w:after="0"/>
        <w:tabs>
          <w:tab w:leader="none" w:pos="4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 costs:</w:t>
      </w:r>
    </w:p>
    <w:p>
      <w:pPr>
        <w:spacing w:after="0" w:line="225" w:lineRule="exact"/>
        <w:rPr>
          <w:sz w:val="20"/>
          <w:szCs w:val="20"/>
          <w:color w:val="auto"/>
        </w:rPr>
      </w:pPr>
    </w:p>
    <w:p>
      <w:pPr>
        <w:jc w:val="both"/>
        <w:ind w:firstLine="208"/>
        <w:spacing w:after="0" w:line="266" w:lineRule="auto"/>
        <w:rPr>
          <w:sz w:val="20"/>
          <w:szCs w:val="20"/>
          <w:color w:val="auto"/>
        </w:rPr>
      </w:pPr>
      <w:r>
        <w:rPr>
          <w:rFonts w:ascii="Times New Roman" w:cs="Times New Roman" w:eastAsia="Times New Roman" w:hAnsi="Times New Roman"/>
          <w:sz w:val="18"/>
          <w:szCs w:val="18"/>
          <w:color w:val="auto"/>
        </w:rPr>
        <w:t>We incur consulting, transaction and integration costs relating to potential and completed acquisitions. We recorded acquisition costs of $2.5 million in 2024, related to potential acquisitions and our acquisition of NCS. We recorded $1.0 million of acquisition costs in 2023, all related to potential acquisitions, and $0.4 million of acquisition costs in 2022, all related to our PCI acquisition.</w:t>
      </w:r>
    </w:p>
    <w:p>
      <w:pPr>
        <w:spacing w:after="0" w:line="176" w:lineRule="exact"/>
        <w:rPr>
          <w:sz w:val="20"/>
          <w:szCs w:val="20"/>
          <w:color w:val="auto"/>
        </w:rPr>
      </w:pPr>
    </w:p>
    <w:p>
      <w:pPr>
        <w:ind w:left="500" w:hanging="492"/>
        <w:spacing w:after="0"/>
        <w:tabs>
          <w:tab w:leader="none" w:pos="5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charges (recoveries):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2024, we recorded other charges of $2.3 million related to our transition as a U.S. domestic filer, offset by other recoveries of $1.3 million consisting of legal recoveries in connection with the settlement of class action lawsuits (for component parts purchased in prior periods) in which we were a plaintiff (Parts Recoveries). In 2023, we recorded Parts Recoveries of $2.7 million, offset in part by an aggregate of $1.8 million of costs, substantially all of which consisted of fees and expenses of the two underwritten secondary public offerings by Onex, our then-controlling shareholder, completed in June 2023 and August 2023 (Secondary Offerings).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i w:val="1"/>
          <w:iCs w:val="1"/>
          <w:color w:val="auto"/>
        </w:rPr>
        <w:t>Finance Costs: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Finance Costs consist of interest expense and fees related to our credit facility (including debt issuance and related amortization costs), our interest rate swap agreements, our TRS Agreement, our A/R sales program, customer SFPs, and interest expense on our finance lease obligations, net of interest income earned. During 2024, we recorded Finance Costs of $52.1 million (2023 — $78.9 million; 2022 — $51.7 million).</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We recorded $26.8 million in lower Finance Costs in 2024 compared to 2023, primarily due to $15.1 million in lower charges incurred under our A/R sales program and customer SFPs and $11.1 million of favorable impact from our interest rate swaps recorded in 2024, offset by $2.8 million in third party fees and costs incurred in connection with the amendment of our credit facility in June 2024 (June 2024 Amendment) (see "Liquidity — </w:t>
      </w:r>
      <w:r>
        <w:rPr>
          <w:rFonts w:ascii="Times New Roman" w:cs="Times New Roman" w:eastAsia="Times New Roman" w:hAnsi="Times New Roman"/>
          <w:sz w:val="18"/>
          <w:szCs w:val="18"/>
          <w:i w:val="1"/>
          <w:iCs w:val="1"/>
          <w:color w:val="auto"/>
        </w:rPr>
        <w:t>Cash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provided by and used in financing activities </w:t>
      </w:r>
      <w:r>
        <w:rPr>
          <w:rFonts w:ascii="Times New Roman" w:cs="Times New Roman" w:eastAsia="Times New Roman" w:hAnsi="Times New Roman"/>
          <w:sz w:val="18"/>
          <w:szCs w:val="18"/>
          <w:color w:val="auto"/>
        </w:rPr>
        <w:t>— Financing and Finance Costs" below).</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incurred lower Finance Costs in 2024 under our A/R sales agreement and customer SFPs compared to 2023, primarily as a result of lower aggregate amounts sold under these arrangements in 2024 (approximately $182 million) compared to 2023 (approximately $1,959 million). We recorded $11.1 million of favorable impact in Finance Costs related to our interest rate swaps in 2024, and recorded no such impact in 2023 and 2022 in Finance Costs. We have entered into interest rate swaps to hedge the floating rate risks related to our term loans. As described in "</w:t>
      </w:r>
      <w:r>
        <w:rPr>
          <w:rFonts w:ascii="Times New Roman" w:cs="Times New Roman" w:eastAsia="Times New Roman" w:hAnsi="Times New Roman"/>
          <w:sz w:val="18"/>
          <w:szCs w:val="18"/>
          <w:i w:val="1"/>
          <w:iCs w:val="1"/>
          <w:color w:val="auto"/>
        </w:rPr>
        <w:t>Miscellaneous Expense (Income)</w:t>
      </w:r>
      <w:r>
        <w:rPr>
          <w:rFonts w:ascii="Times New Roman" w:cs="Times New Roman" w:eastAsia="Times New Roman" w:hAnsi="Times New Roman"/>
          <w:sz w:val="18"/>
          <w:szCs w:val="18"/>
          <w:color w:val="auto"/>
        </w:rPr>
        <w:t>" below, our interest rate swaps did not qualify for hedge accounting prior to 2024, and as a result, the effects of our interest rate swaps were excluded from Finance Costs in 2023 and 2022 but included in Finance Costs in 2024. See note 15 to our 2024 AFS for the impacts of interest rate swaps we recorded in Miscellaneous Expense (Income).</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We recorded $27.2 million in higher Finance Costs in 2023 compared to 2022, primarily due to $5.5 million in higher charges incurred under our A/R sales program and customer SFPs, and $20.5 million in higher interest incurred under our credit facility (excluding the impacts of interest rate swaps in both 2023 and 2022). We incurred higher Finance Costs under our A/R sales program and customer SFPs due to higher interest rates in 2023 compared to 2022, offset in part by the effect of selling lower aggregate amounts of A/R in 2023 compared to 2022 under these arrangements (aggregate of approximately $1,959 million sold during 2023 compared to approximately $2,218 million sold during 2022). We incurred higher interest under our credit facility due to higher interest rates, partially offset by lower average intra-quarter borrowings under our revolving loan facility in 2023 compared to 2022. See the credit facility activity table in "Liquidity — </w:t>
      </w:r>
      <w:r>
        <w:rPr>
          <w:rFonts w:ascii="Times New Roman" w:cs="Times New Roman" w:eastAsia="Times New Roman" w:hAnsi="Times New Roman"/>
          <w:sz w:val="18"/>
          <w:szCs w:val="18"/>
          <w:i w:val="1"/>
          <w:iCs w:val="1"/>
          <w:color w:val="auto"/>
        </w:rPr>
        <w:t>Cash provided by and used in financing activities</w:t>
      </w:r>
      <w:r>
        <w:rPr>
          <w:rFonts w:ascii="Times New Roman" w:cs="Times New Roman" w:eastAsia="Times New Roman" w:hAnsi="Times New Roman"/>
          <w:sz w:val="18"/>
          <w:szCs w:val="18"/>
          <w:color w:val="auto"/>
        </w:rPr>
        <w:t xml:space="preserve"> — Financing and Finance Costs" for cumulative aggregate intra-quarter borrowings and repayments under our revolving loan facility in each quarter in 2024, 2023 and 2022. Also see "Liquidity — </w:t>
      </w:r>
      <w:r>
        <w:rPr>
          <w:rFonts w:ascii="Times New Roman" w:cs="Times New Roman" w:eastAsia="Times New Roman" w:hAnsi="Times New Roman"/>
          <w:sz w:val="18"/>
          <w:szCs w:val="18"/>
          <w:i w:val="1"/>
          <w:iCs w:val="1"/>
          <w:color w:val="auto"/>
        </w:rPr>
        <w:t>Cash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requirements </w:t>
      </w:r>
      <w:r>
        <w:rPr>
          <w:rFonts w:ascii="Times New Roman" w:cs="Times New Roman" w:eastAsia="Times New Roman" w:hAnsi="Times New Roman"/>
          <w:sz w:val="18"/>
          <w:szCs w:val="18"/>
          <w:color w:val="auto"/>
        </w:rPr>
        <w:t>— Financing Arrangements."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Miscellaneous Expense (Income):</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Miscellaneous Expense (Income) consists primarily of: (i) certain net periodic benefit costs (credits) related to our pension and post-employment benefit plans, consisting of interest costs and expected returns on pension balances, and amortization of actuarial gains or losses and (ii) gains or losses related to our TRS Agreement and foreign currency forward exchange contracts and interest rate swaps that we entered into prior to 2024. Those derivative instruments were accounted for as either cash flow hedges (qualifying for hedge accounting) or economic hedges under IFRS. However, those contracts were not accounted for as such under GAAP until January 1, 2024. Certain gains and losses related to those contracts were recorded in Miscellaneous Expense (Income).</w:t>
      </w:r>
    </w:p>
    <w:p>
      <w:pPr>
        <w:spacing w:after="0" w:line="21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recorded $15.0 million in net miscellaneous expense in 2024, compared to $46.6 million in net miscellaneous income in 2023 and $1.5 million in net miscellaneous income in 2022. In 2023, we recorded $45.6 million in favorable TRS FVAs in Miscellaneous Expense (Income). See note 15 to our 2024 AFS for details of Miscellaneous Expense (Income). See "</w:t>
      </w:r>
      <w:r>
        <w:rPr>
          <w:rFonts w:ascii="Times New Roman" w:cs="Times New Roman" w:eastAsia="Times New Roman" w:hAnsi="Times New Roman"/>
          <w:sz w:val="18"/>
          <w:szCs w:val="18"/>
          <w:i w:val="1"/>
          <w:iCs w:val="1"/>
          <w:color w:val="auto"/>
        </w:rPr>
        <w:t>SBC expense and TRS FVAs</w:t>
      </w:r>
      <w:r>
        <w:rPr>
          <w:rFonts w:ascii="Times New Roman" w:cs="Times New Roman" w:eastAsia="Times New Roman" w:hAnsi="Times New Roman"/>
          <w:sz w:val="18"/>
          <w:szCs w:val="18"/>
          <w:color w:val="auto"/>
        </w:rPr>
        <w:t>" above for the TRS FVAs we recorded in each of 2024, 2023 and 2022.</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2024, we had a net income tax expense of $104.2 million on earnings before tax of $532.2 million, compared to a net income tax expense of $61.6 million on earnings before tax of $306.0 million for 2023, and a net income tax expense of $59.0 million on earnings before tax of $239.1 million for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5" w:right="339" w:bottom="1440" w:gutter="0" w:footer="0" w:header="0"/>
        </w:sectPr>
      </w:pPr>
    </w:p>
    <w:bookmarkStart w:id="72" w:name="page73"/>
    <w:bookmarkEnd w:id="72"/>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net income tax expense for 2024 included a $22.3 million withholding tax expense incurred to minimize the impact of the enactment of Pillar Two (global minimum tax) legislation in Canada, a $14.0 million tax expense for tax uncertainties relating to one of our Asian subsidiaries (Tax Uncertainties) and a $3.9 million tax expense arising from taxable temporary differences associated with the anticipated repatriation of undistributed earnings (Repatriation Expense) from certain of our Asian subsidiaries, offset in part by the recognition of $23.8 million of previously unrecognized deferred tax assets arising from both our NCS acquisition in our U.S. group of subsidiaries and deductible temporary differences in one of our Asian subsidiaries (DTA Recognition), and $11.8 million of reversals of tax uncertainties (Reversals) relating to certain of our Asian subsidiaries. Our functional and reporting currency is the U.S. dollar; however, our income tax expense is based in certain jurisdictions on taxable income determined in the currency of the country of origin. As a result, the impact of taxable foreign exchange affects our income tax expense from period to period. Taxable foreign exchange impacts were not significant in 2024.</w:t>
      </w:r>
    </w:p>
    <w:p>
      <w:pPr>
        <w:spacing w:after="0" w:line="18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net income tax expense for 2023 included an $11.3 million tax expense arising from both the repatriation of undistributed earnings and taxable temporary differences associated with anticipated repatriation of undistributed earnings from certain of our Asian subsidiaries and a $4.8 million in Tax Uncertainties, partially offset by the favorable impact of $5.5 million in Reversals in another of our Asian subsidiaries. Withholding tax of $5.8 million associated with the repatriation of undistributed earnings from certain of our Asian subsidiaries in 2023 (realized as current tax) was fully offset by the reversal of previously-accrued deferred taxes from the then-anticipated repatriation of such undistributed earnings. Taxable foreign exchange impacts were not significant in 2023.</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net income tax expense for 2022 included an adverse $3.5 million taxable foreign exchange impact arising primarily from the weakening of the Chinese renminbi relative to the U.S. dollar and a $3.3 million Repatriation Expense related to certain of our Chinese subsidiaries, offset in part by $4.9 million in favorable Reversals in one of our Asian subsidiaries. The withholding tax of $10.3 million associated with the repatriation of undistributed earnings from our certain Chinese subsidiaries in 2022 (realized as current tax) was fully offset by the reversal of previously accrued deferred taxes from the then-anticipated repatriation of such undistributed earnings.</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conduct business operations in a number of countries, including countries where tax incentives have been extended to encourage foreign investment or where income tax rates are low. Our effective tax rate can vary significantly from period to period for various reasons, including as a result of the mix and volume of business in various tax jurisdictions, and in jurisdictions with tax holidays, and tax incentives that have been negotiated with the respective tax authorities (see discussion below). Our effective tax rate can also vary due to the impact of restructuring charges, foreign exchange fluctuations, operating losses, cash repatriations, certain tax exposures, the time period in which losses may be used under tax laws and whether management believes it is probable that future taxable profit will be available to allow us to recognize deferred income tax assets.</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Certain countries in which we do business grant tax incentives to attract and retain our business. Our tax expense could increase if certain tax incentives from which we benefit are retracted or exhausted. A retraction could occur if we fail to satisfy the conditions on which these tax incentives are based, or if they are not renewed or replaced upon expiration. Our tax expense could also increase if tax rates applicable to us in such jurisdictions are otherwise increased, or due to changes in legislation or administrative practices. Changes in our outlook in any particular country could impact our ability to meet the required conditions.</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tax incentives currently consist of tax exemptions for the profits of our Thailand and Laos subsidiaries. We have the following four income tax incentives in Thailand: (i) a 5-year 50% income tax exemption that expires in 2027; (ii) an 8-year 100% income tax and distribution tax exemption that expires in 2028; (iii) a 6-year 100% income tax and distribution tax exemption that expires in 2028 (6-year 2028 Thailand tax incentive) and (iv) a 6-year 100% income tax and distribution tax exemption that expires in 2029. Our Thailand tax incentives are capped at our investments in Thailand. We have reached the limit in 2024 for the 6-year 2028 Thailand tax incentive. Our tax incentive in Laos allows for a 100% income tax exemption until 2025, and a reduced income tax rate of 8% thereafter. Upon full expiry of each of the incentives, taxable profits associated with such incentives become fully taxable. The aggregate tax benefit arising from all of our tax incentives was approximately $44 million for 2024 (2023 — $40 million; 2022 — $21 million).</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certain jurisdictions, primarily in the Americas and Europe, we currently have significant net operating losses and other deductible temporary differences, some of which we expect will be used to reduce taxable income in these jurisdictions in future periods, although not all are currently recognized as deferred tax assets. In addition, the tax benefits we are able to record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73" w:name="page74"/>
    <w:bookmarkEnd w:id="73"/>
    <w:p>
      <w:pPr>
        <w:jc w:val="both"/>
        <w:spacing w:after="0" w:line="261" w:lineRule="auto"/>
        <w:rPr>
          <w:sz w:val="20"/>
          <w:szCs w:val="20"/>
          <w:color w:val="auto"/>
        </w:rPr>
      </w:pPr>
      <w:r>
        <w:rPr>
          <w:rFonts w:ascii="Times New Roman" w:cs="Times New Roman" w:eastAsia="Times New Roman" w:hAnsi="Times New Roman"/>
          <w:sz w:val="18"/>
          <w:szCs w:val="18"/>
          <w:color w:val="auto"/>
        </w:rPr>
        <w:t>related to restructuring charges and SBC expenses may be limited, as a significant portion of such amounts are incurred in jurisdictions with unrecognized loss carryforwards. Tax benefits we are able to record related to the accounting amortization of intangible assets are also limited based on the structure of our acquisitions. We review our deferred income tax assets at each reporting date and reduce them to the extent we believe it is no longer probable that we will realize the related tax benefits.</w:t>
      </w:r>
    </w:p>
    <w:p>
      <w:pPr>
        <w:spacing w:after="0" w:line="180" w:lineRule="exact"/>
        <w:rPr>
          <w:sz w:val="20"/>
          <w:szCs w:val="20"/>
          <w:color w:val="auto"/>
        </w:rPr>
      </w:pPr>
    </w:p>
    <w:p>
      <w:pPr>
        <w:jc w:val="both"/>
        <w:ind w:firstLine="695"/>
        <w:spacing w:after="0" w:line="255" w:lineRule="auto"/>
        <w:rPr>
          <w:sz w:val="20"/>
          <w:szCs w:val="20"/>
          <w:color w:val="auto"/>
        </w:rPr>
      </w:pPr>
      <w:r>
        <w:rPr>
          <w:rFonts w:ascii="Times New Roman" w:cs="Times New Roman" w:eastAsia="Times New Roman" w:hAnsi="Times New Roman"/>
          <w:sz w:val="18"/>
          <w:szCs w:val="18"/>
          <w:color w:val="auto"/>
        </w:rPr>
        <w:t>We develop our tax filing positions based upon the anticipated nature and structure of our business and the tax laws, administrative practices and judicial decisions currently in effect in the jurisdictions in which we have assets or conduct business, all of which are subject to change or differing interpretations, some of which with retroactive effect (e.g., Canada's Pillar Two legislation). We are subject to tax audits in various jurisdictions which could result in additional tax expense in future periods relating to prior results. Reviews by tax authorities generally focus on, but are not limited to, the validity of our inter-company transactions, including financing and transfer pricing policies which generally involve subjective areas of taxation and significant judgment. Any such increase in our income tax expense and related interest and/or penalties could have a significant adverse impact on our future earnings and future cash flows.</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2021, the Romanian tax authorities issued a final assessment in the aggregate amount of approximately 31 million Romanian leu (approximately $6 million at 2024 year-end exchange rates), for additional income and value-added taxes for one of our Romanian subsidiaries for the 2014 to 2018 tax years. In order to advance our case to the appeals phase and reduce or eliminate potential interest and penalties, we paid the Romanian tax authorities the full amount assessed in 2021 (without agreement to all or any portion of such assessment). We believe that our originally-filed tax return positions are in compliance with applicable Romanian tax laws and regulations, and intend to vigorously defend our position through all necessary appeals or other judicial processes.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Q4 2024, the Thailand tax authorities issued an assessment letter seeking to impose additional value-added taxes and surcharges in the aggregate amount of approximately 403 million Thai baht (approximately $12 million at 2024 year-end exchange rates) for our Thai subsidiary for the 2019 tax year. We believe that our original positions with respect to the value-added taxes are in compliance with applicable Thai tax laws and regulations, and intend to vigorously defend our position through all necessary appeals or other judicial processes.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successful pursuit of assertions made by any government authority, including tax authorities, could result in our owing significant amounts of tax or other reimbursements, interest and possibly penalties. We believe we adequately accrue for any probable potential adverse ruling. However, there can be no assurance as to the final resolution of any claims and any resulting proceedings. If any claims and any ensuing proceedings are determined adversely to us, the amounts we may be required to pay could be material, and in excess of amounts accrued.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earnings:</w:t>
      </w:r>
    </w:p>
    <w:p>
      <w:pPr>
        <w:spacing w:after="0" w:line="227" w:lineRule="exact"/>
        <w:rPr>
          <w:sz w:val="20"/>
          <w:szCs w:val="20"/>
          <w:color w:val="auto"/>
        </w:rPr>
      </w:pPr>
    </w:p>
    <w:p>
      <w:pPr>
        <w:jc w:val="both"/>
        <w:ind w:firstLine="220"/>
        <w:spacing w:after="0" w:line="266" w:lineRule="auto"/>
        <w:rPr>
          <w:sz w:val="20"/>
          <w:szCs w:val="20"/>
          <w:color w:val="auto"/>
        </w:rPr>
      </w:pPr>
      <w:r>
        <w:rPr>
          <w:rFonts w:ascii="Times New Roman" w:cs="Times New Roman" w:eastAsia="Times New Roman" w:hAnsi="Times New Roman"/>
          <w:sz w:val="18"/>
          <w:szCs w:val="18"/>
          <w:color w:val="auto"/>
        </w:rPr>
        <w:t>Net earnings for 2024 increased $183.6 million compared to 2023. The increase was primarily due to $279.6 million in higher gross profit and $26.8 million in lower Finance Cost, offset in part by $61.6 million in higher Miscellaneous Expense (Income), $42.6 million in higher income tax expense and $17.1 million in higher R&amp;D costs (to support the growth of our HPS business).</w:t>
      </w:r>
    </w:p>
    <w:p>
      <w:pPr>
        <w:spacing w:after="0" w:line="176" w:lineRule="exact"/>
        <w:rPr>
          <w:sz w:val="20"/>
          <w:szCs w:val="20"/>
          <w:color w:val="auto"/>
        </w:rPr>
      </w:pPr>
    </w:p>
    <w:p>
      <w:pPr>
        <w:jc w:val="both"/>
        <w:ind w:firstLine="244"/>
        <w:spacing w:after="0" w:line="266" w:lineRule="auto"/>
        <w:rPr>
          <w:sz w:val="20"/>
          <w:szCs w:val="20"/>
          <w:color w:val="auto"/>
        </w:rPr>
      </w:pPr>
      <w:r>
        <w:rPr>
          <w:rFonts w:ascii="Times New Roman" w:cs="Times New Roman" w:eastAsia="Times New Roman" w:hAnsi="Times New Roman"/>
          <w:sz w:val="18"/>
          <w:szCs w:val="18"/>
          <w:color w:val="auto"/>
        </w:rPr>
        <w:t>Net earnings for 2023 increased $64.3 million compared to 2022. The increase was primarily due to $104.4 million in higher gross profit and $45.1 million in higher net miscellaneous income, offset in part by $35.9 million in higher SG&amp;A, $27.2 million in higher Finance Costs and $14.6 million in higher R&amp;D costs (to support the growth of our HPS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Transactions</w:t>
      </w:r>
    </w:p>
    <w:p>
      <w:pPr>
        <w:spacing w:after="0" w:line="2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For a discussion of prior related party arrangements and transactions involving the Company and Onex, our former controlling shareholder, see "Recent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Developments — </w:t>
      </w:r>
      <w:r>
        <w:rPr>
          <w:rFonts w:ascii="Times New Roman" w:cs="Times New Roman" w:eastAsia="Times New Roman" w:hAnsi="Times New Roman"/>
          <w:sz w:val="18"/>
          <w:szCs w:val="18"/>
          <w:i w:val="1"/>
          <w:iCs w:val="1"/>
          <w:color w:val="auto"/>
        </w:rPr>
        <w:t>Secondary Offerings and Related Matters</w:t>
      </w:r>
      <w:r>
        <w:rPr>
          <w:rFonts w:ascii="Times New Roman" w:cs="Times New Roman" w:eastAsia="Times New Roman" w:hAnsi="Times New Roman"/>
          <w:sz w:val="18"/>
          <w:szCs w:val="18"/>
          <w:color w:val="auto"/>
        </w:rPr>
        <w:t>" and "Related Party Transactions" in Item 5 of our 2023 Form 20-F and note 16 to the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AFS. All arrangements and transactions with Onex have terminated, and Onex is no longer a related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238"/>
        </w:trPr>
        <w:tc>
          <w:tcPr>
            <w:tcW w:w="7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Liquidity</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3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following tables set forth key liquidity metrics for the periods indicated (in millions):</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7380" w:type="dxa"/>
            <w:vAlign w:val="bottom"/>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gridSpan w:val="4"/>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73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18"/>
        </w:trPr>
        <w:tc>
          <w:tcPr>
            <w:tcW w:w="7380" w:type="dxa"/>
            <w:vAlign w:val="bottom"/>
            <w:vMerge w:val="continue"/>
          </w:tcPr>
          <w:p>
            <w:pPr>
              <w:spacing w:after="0"/>
              <w:rPr>
                <w:sz w:val="18"/>
                <w:szCs w:val="18"/>
                <w:color w:val="auto"/>
              </w:rPr>
            </w:pPr>
          </w:p>
        </w:tc>
        <w:tc>
          <w:tcPr>
            <w:tcW w:w="2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374.5</w:t>
            </w:r>
          </w:p>
        </w:tc>
        <w:tc>
          <w:tcPr>
            <w:tcW w:w="0" w:type="dxa"/>
            <w:vAlign w:val="bottom"/>
          </w:tcPr>
          <w:p>
            <w:pPr>
              <w:spacing w:after="0"/>
              <w:rPr>
                <w:sz w:val="1"/>
                <w:szCs w:val="1"/>
                <w:color w:val="auto"/>
              </w:rPr>
            </w:pPr>
          </w:p>
        </w:tc>
      </w:tr>
      <w:tr>
        <w:trPr>
          <w:trHeight w:val="234"/>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Borrowings under credit facility*</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608.9</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627.2</w:t>
            </w:r>
          </w:p>
        </w:tc>
        <w:tc>
          <w:tcPr>
            <w:tcW w:w="0" w:type="dxa"/>
            <w:vAlign w:val="bottom"/>
          </w:tcPr>
          <w:p>
            <w:pPr>
              <w:spacing w:after="0"/>
              <w:rPr>
                <w:sz w:val="1"/>
                <w:szCs w:val="1"/>
                <w:color w:val="auto"/>
              </w:rPr>
            </w:pPr>
          </w:p>
        </w:tc>
      </w:tr>
      <w:tr>
        <w:trPr>
          <w:trHeight w:val="372"/>
        </w:trPr>
        <w:tc>
          <w:tcPr>
            <w:tcW w:w="73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 excluding ordinary course L/Cs.</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8"/>
        </w:trPr>
        <w:tc>
          <w:tcPr>
            <w:tcW w:w="7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10"/>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73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Cash provided by operating activities</w:t>
            </w:r>
          </w:p>
        </w:tc>
        <w:tc>
          <w:tcPr>
            <w:tcW w:w="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18"/>
        </w:trPr>
        <w:tc>
          <w:tcPr>
            <w:tcW w:w="738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211.1</w:t>
            </w:r>
          </w:p>
        </w:tc>
        <w:tc>
          <w:tcPr>
            <w:tcW w:w="0" w:type="dxa"/>
            <w:vAlign w:val="bottom"/>
          </w:tcPr>
          <w:p>
            <w:pPr>
              <w:spacing w:after="0"/>
              <w:rPr>
                <w:sz w:val="1"/>
                <w:szCs w:val="1"/>
                <w:color w:val="auto"/>
              </w:rPr>
            </w:pPr>
          </w:p>
        </w:tc>
      </w:tr>
      <w:tr>
        <w:trPr>
          <w:trHeight w:val="230"/>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used in investing activities</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(212.5)</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w:t>
            </w:r>
          </w:p>
        </w:tc>
        <w:tc>
          <w:tcPr>
            <w:tcW w:w="0" w:type="dxa"/>
            <w:vAlign w:val="bottom"/>
          </w:tcPr>
          <w:p>
            <w:pPr>
              <w:spacing w:after="0"/>
              <w:rPr>
                <w:sz w:val="1"/>
                <w:szCs w:val="1"/>
                <w:color w:val="auto"/>
              </w:rPr>
            </w:pPr>
          </w:p>
        </w:tc>
      </w:tr>
      <w:tr>
        <w:trPr>
          <w:trHeight w:val="234"/>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used in financing activities</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(208.5)</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(207.9)</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(121.7)</w:t>
            </w:r>
          </w:p>
        </w:tc>
        <w:tc>
          <w:tcPr>
            <w:tcW w:w="0" w:type="dxa"/>
            <w:vAlign w:val="bottom"/>
          </w:tcPr>
          <w:p>
            <w:pPr>
              <w:spacing w:after="0"/>
              <w:rPr>
                <w:sz w:val="1"/>
                <w:szCs w:val="1"/>
                <w:color w:val="auto"/>
              </w:rPr>
            </w:pPr>
          </w:p>
        </w:tc>
      </w:tr>
      <w:tr>
        <w:trPr>
          <w:trHeight w:val="333"/>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non-cash working capital items (included in operating activities above):</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A/R</w:t>
            </w:r>
          </w:p>
        </w:tc>
        <w:tc>
          <w:tcPr>
            <w:tcW w:w="2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(270.7)</w:t>
            </w:r>
          </w:p>
        </w:tc>
        <w:tc>
          <w:tcPr>
            <w:tcW w:w="80" w:type="dxa"/>
            <w:vAlign w:val="bottom"/>
          </w:tcPr>
          <w:p>
            <w:pPr>
              <w:spacing w:after="0"/>
              <w:rPr>
                <w:sz w:val="19"/>
                <w:szCs w:val="19"/>
                <w:color w:val="auto"/>
              </w:rPr>
            </w:pPr>
          </w:p>
        </w:tc>
        <w:tc>
          <w:tcPr>
            <w:tcW w:w="2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(133.3)</w:t>
            </w:r>
          </w:p>
        </w:tc>
        <w:tc>
          <w:tcPr>
            <w:tcW w:w="0" w:type="dxa"/>
            <w:vAlign w:val="bottom"/>
          </w:tcPr>
          <w:p>
            <w:pPr>
              <w:spacing w:after="0"/>
              <w:rPr>
                <w:sz w:val="1"/>
                <w:szCs w:val="1"/>
                <w:color w:val="auto"/>
              </w:rPr>
            </w:pPr>
          </w:p>
        </w:tc>
      </w:tr>
      <w:tr>
        <w:trPr>
          <w:trHeight w:val="229"/>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(717.2)</w:t>
            </w:r>
          </w:p>
        </w:tc>
        <w:tc>
          <w:tcPr>
            <w:tcW w:w="0" w:type="dxa"/>
            <w:vAlign w:val="bottom"/>
          </w:tcPr>
          <w:p>
            <w:pPr>
              <w:spacing w:after="0"/>
              <w:rPr>
                <w:sz w:val="1"/>
                <w:szCs w:val="1"/>
                <w:color w:val="auto"/>
              </w:rPr>
            </w:pPr>
          </w:p>
        </w:tc>
      </w:tr>
      <w:tr>
        <w:trPr>
          <w:trHeight w:val="229"/>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0" w:type="dxa"/>
            <w:vAlign w:val="bottom"/>
          </w:tcPr>
          <w:p>
            <w:pPr>
              <w:spacing w:after="0"/>
              <w:rPr>
                <w:sz w:val="1"/>
                <w:szCs w:val="1"/>
                <w:color w:val="auto"/>
              </w:rPr>
            </w:pPr>
          </w:p>
        </w:tc>
      </w:tr>
      <w:tr>
        <w:trPr>
          <w:trHeight w:val="234"/>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 accrued and other current liabilities, provisions and income taxes payable</w:t>
            </w:r>
          </w:p>
        </w:tc>
        <w:tc>
          <w:tcPr>
            <w:tcW w:w="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(188.8)</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87.4</w:t>
            </w:r>
          </w:p>
        </w:tc>
        <w:tc>
          <w:tcPr>
            <w:tcW w:w="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831.4</w:t>
            </w:r>
          </w:p>
        </w:tc>
        <w:tc>
          <w:tcPr>
            <w:tcW w:w="0" w:type="dxa"/>
            <w:vAlign w:val="bottom"/>
          </w:tcPr>
          <w:p>
            <w:pPr>
              <w:spacing w:after="0"/>
              <w:rPr>
                <w:sz w:val="1"/>
                <w:szCs w:val="1"/>
                <w:color w:val="auto"/>
              </w:rPr>
            </w:pPr>
          </w:p>
        </w:tc>
      </w:tr>
      <w:tr>
        <w:trPr>
          <w:trHeight w:val="223"/>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Working capital changes</w:t>
            </w:r>
          </w:p>
        </w:tc>
        <w:tc>
          <w:tcPr>
            <w:tcW w:w="4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(70.7)</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0" w:type="dxa"/>
            <w:vAlign w:val="bottom"/>
          </w:tcPr>
          <w:p>
            <w:pPr>
              <w:spacing w:after="0"/>
              <w:rPr>
                <w:sz w:val="1"/>
                <w:szCs w:val="1"/>
                <w:color w:val="auto"/>
              </w:rPr>
            </w:pPr>
          </w:p>
        </w:tc>
      </w:tr>
      <w:tr>
        <w:trPr>
          <w:trHeight w:val="21"/>
        </w:trPr>
        <w:tc>
          <w:tcPr>
            <w:tcW w:w="7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provided by operating activities:</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In 2024, we generated $473.9 million of cash from operating activities compared to $326.2 million in 2023. The $147.7 million increase in cash from operating activities in 2024 as compared to 2023 was primarily due to $183.6 million in higher net earnings in 2024 compared to 2023 (described in "Operating Results — Net earnings" above) and $21.1 million in higher depreciation and amortization (as a non-cash add-back to net earnings, due to our increased capital expenditures in 2024 compared to 2023 as described in "Cash used in investing activities" below), partially offset by the following non-cash deductions from net earnings: (i) $45.4 million in higher favorable TRS FVAs (described in "Operating Results — </w:t>
      </w:r>
      <w:r>
        <w:rPr>
          <w:rFonts w:ascii="Times New Roman" w:cs="Times New Roman" w:eastAsia="Times New Roman" w:hAnsi="Times New Roman"/>
          <w:sz w:val="18"/>
          <w:szCs w:val="18"/>
          <w:i w:val="1"/>
          <w:iCs w:val="1"/>
          <w:color w:val="auto"/>
        </w:rPr>
        <w:t>SBC expense and TRS FVAs</w:t>
      </w:r>
      <w:r>
        <w:rPr>
          <w:rFonts w:ascii="Times New Roman" w:cs="Times New Roman" w:eastAsia="Times New Roman" w:hAnsi="Times New Roman"/>
          <w:sz w:val="18"/>
          <w:szCs w:val="18"/>
          <w:color w:val="auto"/>
        </w:rPr>
        <w:t>" above) and $28.3 million in higher deferred income tax recovery (primarily driven by recognition in 2024 of previously unrecognized deferred tax asset in our U.S. group of subsidiaries and in one of our Asian subsidiaries).</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working capital requirements in 2024 increased by $9.6 million compared to 2023, due to a $276.2 million decrease in A/P cash flows, substantially offset by a $131.5 million increase in A/R cash flows, a $98.6 million increase in inventory cash flows and a $36.5 million increase in other assets cash flows. The decrease in A/P cash flows was primarily due to lower customer deposits we collected as of December 31, 2024 from certain customers to help alleviate the impact of inventory purchases on our cash flows (see "Summary of Key Operating Results and Financial Information" above), as well as timing of payments. The increase in A/R cash flows was due to timing of collections and revenue. Inventory cash flows increased in 2024 compared to 2023 due to a lower inventory level at December 31, 2024 (driven by improvements in the availability of materials and our utilization of inventory in production in response to customer demand). Other current assets cash flow increased in 2024 compared to 2023 due to receipt of certain insurance proceeds and recovery of indirect taxes in certain jurisdictions in 2024.</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2023, we generated $326.2 million of cash from operating activities compared to $211.1 million in 2022. The $115.1 million increase in cash from operating activities in 2023 compared to 2022 was primarily due to $64.3 million in higher net earnings in 2023 compared to 2022 (described in "Operating Results — Net earnings" above), $39.6 million in adjustments related to certain derivative instruments ($6.3 million unrealized loss on hedge derivatives in 2023, as a non-cash add-back to net earnings; $33.3 million unrealized gain on hedge derivatives in 2022, as a non-cash deduction from net earnings), $24.3 million in lower deferred income tax recovery (as a non-cash deduction from net earnings, primarily driven by revaluation of deferred taxes using the then-expected effective tax rate of one of our Asian subsidiaries) and $14.9 million in higher</w:t>
      </w:r>
    </w:p>
    <w:p>
      <w:pPr>
        <w:sectPr>
          <w:pgSz w:w="11900" w:h="16838" w:orient="portrait"/>
          <w:cols w:equalWidth="0" w:num="1">
            <w:col w:w="11240"/>
          </w:cols>
          <w:pgMar w:left="320" w:top="114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type w:val="continuous"/>
        </w:sectPr>
      </w:pPr>
    </w:p>
    <w:bookmarkStart w:id="75" w:name="page76"/>
    <w:bookmarkEnd w:id="75"/>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depreciation and amortization (as a non-cash add-back to net earnings, due to our increased capital expenditures in 2023 compared to 2022 as described in "Cash used in investing activities" below), offset in part by $45.6 million in favorable TRS FVAs recorded in 2023 (as a non-cash deduction from net earnings, described in "Operating Results — </w:t>
      </w:r>
      <w:r>
        <w:rPr>
          <w:rFonts w:ascii="Times New Roman" w:cs="Times New Roman" w:eastAsia="Times New Roman" w:hAnsi="Times New Roman"/>
          <w:sz w:val="18"/>
          <w:szCs w:val="18"/>
          <w:i w:val="1"/>
          <w:iCs w:val="1"/>
          <w:color w:val="auto"/>
        </w:rPr>
        <w:t>SBC expense and TRS FVAs</w:t>
      </w:r>
      <w:r>
        <w:rPr>
          <w:rFonts w:ascii="Times New Roman" w:cs="Times New Roman" w:eastAsia="Times New Roman" w:hAnsi="Times New Roman"/>
          <w:sz w:val="18"/>
          <w:szCs w:val="18"/>
          <w:color w:val="auto"/>
        </w:rPr>
        <w:t>" above). We recorded $6.3 million unrealized loss on hedge derivatives in 2023, compared to $33.3 million unrealized gain on hedge derivatives in 2022, primarily due to fair value fluctuations of our interest rate swaps (mainly driven by fluctuation of market interest rates).</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working capital requirements in 2023 decreased by $9.2 million compared to 2022 were due to a $962.3 million improvement in inventory cash flows and a $59.8 million increase in other current assets cash flows, substantially offset by a $744.0 million decrease in A/P cash flows and a $268.9 million decrease in A/R cash flows. Inventory cash flows improved in 2023 compared to 2022, due to lower inventory levels at December 31, 2023 compared to December 31, 2022 (driven by improvements in the availability of materials). The increase in other current assets cash flows in 2023 compared to 2022 was due to the timing of vendor deposits and a delay in the recovery of indirect taxes in certain jurisdictions in 2022. The decrease in A/R cash flows was due to a higher A/R balance at December 31, 2023 compared to December 31, 2022 (driven by higher revenue in Q4 2023 compared to Q4 2022 and lower A/R sold through our A/R sales program and customer SFPs at December 31, 2023 compared to December 31, 2022). The decrease in A/P cash flows in 2023 compared to 2022 was due to the timing of payments and smaller increases in customer deposits (customer deposits increased approximately $392 million from December 31, 2021 to December 31, 2022 and approximately $79 million from December 31, 2022 to December 31, 2023). See "Summary of Key Operating Results and Financial Information" above. Customer deposit increases waned due to improvements in the availability of materials in 2023.</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Non-GAAP free cash flow:</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Non-GAAP free cash flow is a non-GAAP financial measure without a standardized meaning and may not be comparable to similar measures presented by other companies. We define non-GAAP free cash flow as cash provided by or used in operations after the purchase of property, plant and equipment (net of proceeds from the sale of certain surplus equipment and property, when applicable). Non-GAAP free cash flow does not represent residual cash flow available to Celestica for discretionary expenditures. Management uses non-GAAP free cash flow as a measure, in addition to GAAP cash provided by or used in operations (described above), to assess our operational cash flow performance. We believe non-GAAP free cash flow provides another level of transparency to our ability to generate cash from normal business operations.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reconciliation of non-GAAP free cash flow to cash provided by operating activities measured under GAAP is set forth below:</w:t>
      </w:r>
    </w:p>
    <w:p>
      <w:pPr>
        <w:spacing w:after="0" w:line="46"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73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6"/>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860" w:type="dxa"/>
            <w:vAlign w:val="bottom"/>
            <w:tcBorders>
              <w:bottom w:val="single" w:sz="8" w:color="auto"/>
            </w:tcBorders>
          </w:tcPr>
          <w:p>
            <w:pPr>
              <w:spacing w:after="0"/>
              <w:rPr>
                <w:sz w:val="20"/>
                <w:szCs w:val="20"/>
                <w:color w:val="auto"/>
              </w:rPr>
            </w:pPr>
          </w:p>
        </w:tc>
      </w:tr>
      <w:tr>
        <w:trPr>
          <w:trHeight w:val="223"/>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(in millions)</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18"/>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GAAP cash provided by operations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8"/>
              </w:rPr>
              <w:t>473.9</w:t>
            </w:r>
          </w:p>
        </w:tc>
        <w:tc>
          <w:tcPr>
            <w:tcW w:w="10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8"/>
              </w:rPr>
              <w:t>326.2</w:t>
            </w:r>
          </w:p>
        </w:tc>
        <w:tc>
          <w:tcPr>
            <w:tcW w:w="10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8"/>
              </w:rPr>
              <w:t>211.1</w:t>
            </w:r>
          </w:p>
        </w:tc>
      </w:tr>
      <w:tr>
        <w:trPr>
          <w:trHeight w:val="234"/>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Purchase of property, plant and equipment, net of sales proceeds</w:t>
            </w: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left="270"/>
              <w:spacing w:after="0"/>
              <w:rPr>
                <w:sz w:val="20"/>
                <w:szCs w:val="20"/>
                <w:color w:val="auto"/>
              </w:rPr>
            </w:pPr>
            <w:r>
              <w:rPr>
                <w:rFonts w:ascii="Times New Roman" w:cs="Times New Roman" w:eastAsia="Times New Roman" w:hAnsi="Times New Roman"/>
                <w:sz w:val="18"/>
                <w:szCs w:val="18"/>
                <w:color w:val="auto"/>
              </w:rPr>
              <w:t>(168.0)</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left="270"/>
              <w:spacing w:after="0"/>
              <w:rPr>
                <w:sz w:val="20"/>
                <w:szCs w:val="20"/>
                <w:color w:val="auto"/>
              </w:rPr>
            </w:pPr>
            <w:r>
              <w:rPr>
                <w:rFonts w:ascii="Times New Roman" w:cs="Times New Roman" w:eastAsia="Times New Roman" w:hAnsi="Times New Roman"/>
                <w:sz w:val="18"/>
                <w:szCs w:val="18"/>
                <w:color w:val="auto"/>
              </w:rPr>
              <w:t>(122.4)</w:t>
            </w: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left="170"/>
              <w:spacing w:after="0"/>
              <w:rPr>
                <w:sz w:val="20"/>
                <w:szCs w:val="20"/>
                <w:color w:val="auto"/>
              </w:rPr>
            </w:pPr>
            <w:r>
              <w:rPr>
                <w:rFonts w:ascii="Times New Roman" w:cs="Times New Roman" w:eastAsia="Times New Roman" w:hAnsi="Times New Roman"/>
                <w:sz w:val="18"/>
                <w:szCs w:val="18"/>
                <w:color w:val="auto"/>
                <w:w w:val="98"/>
              </w:rPr>
              <w:t>(108.9)</w:t>
            </w:r>
          </w:p>
        </w:tc>
      </w:tr>
      <w:tr>
        <w:trPr>
          <w:trHeight w:val="223"/>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Non-GAAP free cash flow</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center"/>
              <w:ind w:left="290"/>
              <w:spacing w:after="0"/>
              <w:rPr>
                <w:sz w:val="20"/>
                <w:szCs w:val="20"/>
                <w:color w:val="auto"/>
              </w:rPr>
            </w:pPr>
            <w:r>
              <w:rPr>
                <w:rFonts w:ascii="Times New Roman" w:cs="Times New Roman" w:eastAsia="Times New Roman" w:hAnsi="Times New Roman"/>
                <w:sz w:val="18"/>
                <w:szCs w:val="18"/>
                <w:color w:val="auto"/>
                <w:w w:val="98"/>
              </w:rPr>
              <w:t>305.9</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center"/>
              <w:ind w:left="290"/>
              <w:spacing w:after="0"/>
              <w:rPr>
                <w:sz w:val="20"/>
                <w:szCs w:val="20"/>
                <w:color w:val="auto"/>
              </w:rPr>
            </w:pPr>
            <w:r>
              <w:rPr>
                <w:rFonts w:ascii="Times New Roman" w:cs="Times New Roman" w:eastAsia="Times New Roman" w:hAnsi="Times New Roman"/>
                <w:sz w:val="18"/>
                <w:szCs w:val="18"/>
                <w:color w:val="auto"/>
                <w:w w:val="98"/>
              </w:rPr>
              <w:t>203.8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center"/>
              <w:ind w:left="210"/>
              <w:spacing w:after="0"/>
              <w:rPr>
                <w:sz w:val="20"/>
                <w:szCs w:val="20"/>
                <w:color w:val="auto"/>
              </w:rPr>
            </w:pPr>
            <w:r>
              <w:rPr>
                <w:rFonts w:ascii="Times New Roman" w:cs="Times New Roman" w:eastAsia="Times New Roman" w:hAnsi="Times New Roman"/>
                <w:sz w:val="18"/>
                <w:szCs w:val="18"/>
                <w:color w:val="auto"/>
                <w:w w:val="98"/>
              </w:rPr>
              <w:t>102.2</w:t>
            </w:r>
          </w:p>
        </w:tc>
      </w:tr>
      <w:tr>
        <w:trPr>
          <w:trHeight w:val="20"/>
        </w:trPr>
        <w:tc>
          <w:tcPr>
            <w:tcW w:w="7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non-GAAP free cash flow of $305.9 million for 2024 increased $102.1 million compared to 2023, due to $147.7 million in higher cash generated from operations (as described above), offset by a $45.6 million increase in cash flows used to purchase property, plant and equipment, net of sales proceeds (as described below).</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non-GAAP free cash flow of $203.8 million for 2023 increased $101.6 million compared to 2022, due to $115.1 million in higher cash generated from operations (as described above), offset by $13.5 million increase in cash flows used to purchase property, plant and equipment, net of sales proceeds (as described below).</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used in investing activities: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capital expenditures for 2024 were $170.9 million (2023 — $125.1 million), primarily to enhance our manufacturing capabilities in various geographies (including expansion of our Thailand and Malaysia facilities) and to support new customer programs. Our capital expenditures in 2022 of $109.0 million supported growth in our HPS business and our ATS segment, including expansion of our footprint at certain of our U.S., Southeast Asia and Mexico facilities. Most of the 2024 capital expenditures pertained to our CCS segment. In each of 2023 and 2022, our capital expenditures were split approximately evenly between our segments. We fund our capital expenditures from cash on hand and through the financing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76" w:name="page77"/>
    <w:bookmarkEnd w:id="76"/>
    <w:p>
      <w:pPr>
        <w:jc w:val="both"/>
        <w:spacing w:after="0" w:line="284" w:lineRule="auto"/>
        <w:rPr>
          <w:sz w:val="20"/>
          <w:szCs w:val="20"/>
          <w:color w:val="auto"/>
        </w:rPr>
      </w:pPr>
      <w:r>
        <w:rPr>
          <w:rFonts w:ascii="Times New Roman" w:cs="Times New Roman" w:eastAsia="Times New Roman" w:hAnsi="Times New Roman"/>
          <w:sz w:val="18"/>
          <w:szCs w:val="18"/>
          <w:color w:val="auto"/>
        </w:rPr>
        <w:t>arrangements described below. See footnote (ii) to the "</w:t>
      </w:r>
      <w:r>
        <w:rPr>
          <w:rFonts w:ascii="Times New Roman" w:cs="Times New Roman" w:eastAsia="Times New Roman" w:hAnsi="Times New Roman"/>
          <w:sz w:val="18"/>
          <w:szCs w:val="18"/>
          <w:i w:val="1"/>
          <w:iCs w:val="1"/>
          <w:color w:val="auto"/>
        </w:rPr>
        <w:t>Additional Commitments</w:t>
      </w:r>
      <w:r>
        <w:rPr>
          <w:rFonts w:ascii="Times New Roman" w:cs="Times New Roman" w:eastAsia="Times New Roman" w:hAnsi="Times New Roman"/>
          <w:sz w:val="18"/>
          <w:szCs w:val="18"/>
          <w:color w:val="auto"/>
        </w:rPr>
        <w:t>" table below for information with respect to commitments for capital expenditures as of December 31, 2024.</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April 2024, we completed the acquisition of NCS. The purchase price for NCS was $39.6 million, including acquired cash of $3.5 million.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provided by and used in financing activities: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Common Share repurchases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206"/>
        <w:spacing w:after="0" w:line="282" w:lineRule="auto"/>
        <w:rPr>
          <w:sz w:val="20"/>
          <w:szCs w:val="20"/>
          <w:color w:val="auto"/>
        </w:rPr>
      </w:pPr>
      <w:r>
        <w:rPr>
          <w:rFonts w:ascii="Times New Roman" w:cs="Times New Roman" w:eastAsia="Times New Roman" w:hAnsi="Times New Roman"/>
          <w:sz w:val="18"/>
          <w:szCs w:val="18"/>
          <w:color w:val="auto"/>
        </w:rPr>
        <w:t>See "Summary of Key Operating Results and Financial Information" above for a table detailing Common Share repurchases during each of 2022, 2023 and 2024.</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Financing and Finance Costs</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Credit Agreement</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are party to a credit agreement (Credit Facility) with Bank of America, N.A., as Administrative Agent, and the other lenders party thereto, which as of the June 2024 Amendment, includes a term loan in the original principal amount of $250.0 million (Term A Loan), a term loan in the original principal amount of $500.0 million (Term B Loan, and collectively with the Term A Loan, the New Term Loans), and a $750.0 million revolving credit facility (Revolver). Prior to the June 2024 Amendment, the Credit Facility included a term loan in the original principal amount of $350.0 million (Initial Term Loan) and a term loan in the original principal amount of $365.0 million (Incremental Term Loan), the outstanding borrowings under each of which were fully repaid with a substantial portion of the proceeds of the New Term Loans, and commitments of $600.0 million under the Revolver. Notwithstanding (i) the repayment of the Incremental Term Loan in full and its replacement with the Term A Loan and (ii) the repayment of the Initial Term Loan in full and its replacement with the Term B Loan, for accounting purposes, such transactions were treated as non-substantial modifications of the Incremental Term Loan and the Initial Term Loan, respectively.</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June 2023 (effective for all new interest periods for existing borrowings and all new subsequent borrowings), we amended our Credit Facility (June 2023 Amendment) to replace LIBOR with the term Secured Overnight Financing Rate (SOFR) plus 0.1% (Adjusted Term SOFR). The June 2023 Amendment did not have a significant impact on our consolidated financial statements.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Prior to the June 2024 Amendment, the Initial Term Loan was scheduled to mature in June 2025; the Incremental Term Loan and the Revolver each were scheduled to mature in March 2025, unless either (i) the Initial Term Loan would have been prepaid or refinanced or (ii) commitments under the Revolver would be available and have been reserved to repay the Initial Term Loan in full, in which case such obligations mature in December 2026. Subsequent to the June 2024 Amendment, the Term A Loan and the Revolver each mature in June 2029. The Term B Loan matures in June 2031.</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Prior to the June 2024 Amendment, the Initial Term Loan required quarterly principal repayments of $0.875 million (all repaid in prior years) and the Incremental Term Loan required quarterly principal repayments of $4.5625 million. Subsequent to the June 2024 Amendment, the Term A Loan and the Term B Loan require quarterly principal repayments of $3.125 million and $1.250 million, respectively (each commencing in September 2024), and each of the New Term Loans requires a lump sum repayment of the remainder outstanding at maturity. We are also required to make annual prepayments of outstanding obligations under the Credit Facility (applied first to the New Term Loans, then to the Revolver, in the manner set forth in the Credit Facility) ranging from 0% — 50% (based on a defined leverage ratio) of specified excess cash flow for the prior fiscal year. No prepayments based on excess cash flow were required in 2022, 2023, 2024, or will be required in 2025. In addition, prepayments of outstanding obligations under the Credit Facility (applied as described above) may also be required in the amount of specified net cash proceeds received above a specified annual threshold (including proceeds from the disposal of certain assets). No prepayments based on net cash proceeds were required in 2022, 2023, 2024, or will be required in 2025. Any outstanding amounts under the Revolver are due at maturity.</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Activity under our Credit Facility for the periods indicated is set forth below (in millions):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5" w:right="339" w:bottom="1440" w:gutter="0" w:footer="0" w:header="0"/>
        </w:sectPr>
      </w:pPr>
    </w:p>
    <w:bookmarkStart w:id="77" w:name="page78"/>
    <w:bookmarkEnd w:id="77"/>
    <w:tbl>
      <w:tblPr>
        <w:tblLayout w:type="fixed"/>
        <w:tblInd w:w="20" w:type="dxa"/>
        <w:tblCellMar>
          <w:top w:w="0" w:type="dxa"/>
          <w:left w:w="0" w:type="dxa"/>
          <w:bottom w:w="0" w:type="dxa"/>
          <w:right w:w="0" w:type="dxa"/>
        </w:tblCellMar>
      </w:tblPr>
      <w:tr>
        <w:trPr>
          <w:trHeight w:val="207"/>
        </w:trPr>
        <w:tc>
          <w:tcPr>
            <w:tcW w:w="7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Revolver</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Term loans</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7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80" w:type="dxa"/>
            <w:vAlign w:val="bottom"/>
            <w:gridSpan w:val="4"/>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(excluding L/C)</w:t>
            </w:r>
          </w:p>
        </w:tc>
        <w:tc>
          <w:tcPr>
            <w:tcW w:w="1160" w:type="dxa"/>
            <w:vAlign w:val="bottom"/>
            <w:vMerge w:val="continue"/>
          </w:tcPr>
          <w:p>
            <w:pPr>
              <w:spacing w:after="0"/>
              <w:rPr>
                <w:sz w:val="21"/>
                <w:szCs w:val="21"/>
                <w:color w:val="auto"/>
              </w:rPr>
            </w:pP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Outstanding balances as of December 31, 2021</w:t>
            </w: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660.4</w:t>
            </w:r>
          </w:p>
        </w:tc>
        <w:tc>
          <w:tcPr>
            <w:tcW w:w="3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Amount borrowed in Q1 2022</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228.0</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Amount repaid in Q1 2022</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(228.0)</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20" w:type="dxa"/>
            <w:vAlign w:val="bottom"/>
            <w:gridSpan w:val="2"/>
          </w:tcPr>
          <w:p>
            <w:pPr>
              <w:jc w:val="right"/>
              <w:ind w:right="122"/>
              <w:spacing w:after="0" w:line="233" w:lineRule="exact"/>
              <w:rPr>
                <w:sz w:val="20"/>
                <w:szCs w:val="20"/>
                <w:color w:val="auto"/>
              </w:rPr>
            </w:pPr>
            <w:r>
              <w:rPr>
                <w:rFonts w:ascii="Times New Roman" w:cs="Times New Roman" w:eastAsia="Times New Roman" w:hAnsi="Times New Roman"/>
                <w:sz w:val="18"/>
                <w:szCs w:val="18"/>
                <w:color w:val="auto"/>
              </w:rPr>
              <w:t xml:space="preserve">(4.5625) </w:t>
            </w:r>
            <w:r>
              <w:rPr>
                <w:rFonts w:ascii="Times New Roman" w:cs="Times New Roman" w:eastAsia="Times New Roman" w:hAnsi="Times New Roman"/>
                <w:sz w:val="23"/>
                <w:szCs w:val="23"/>
                <w:color w:val="auto"/>
                <w:vertAlign w:val="superscript"/>
              </w:rPr>
              <w:t>(1)</w:t>
            </w:r>
          </w:p>
        </w:tc>
        <w:tc>
          <w:tcPr>
            <w:tcW w:w="0" w:type="dxa"/>
            <w:vAlign w:val="bottom"/>
          </w:tcPr>
          <w:p>
            <w:pPr>
              <w:spacing w:after="0"/>
              <w:rPr>
                <w:sz w:val="1"/>
                <w:szCs w:val="1"/>
                <w:color w:val="auto"/>
              </w:rPr>
            </w:pPr>
          </w:p>
        </w:tc>
      </w:tr>
      <w:tr>
        <w:trPr>
          <w:trHeight w:val="226"/>
        </w:trPr>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Amount borrowed in Q2 2022</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348.0</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Amount repaid in Q2 2022</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(348.0)</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20" w:type="dxa"/>
            <w:vAlign w:val="bottom"/>
            <w:gridSpan w:val="2"/>
          </w:tcPr>
          <w:p>
            <w:pPr>
              <w:jc w:val="right"/>
              <w:ind w:right="122"/>
              <w:spacing w:after="0" w:line="233" w:lineRule="exact"/>
              <w:rPr>
                <w:sz w:val="20"/>
                <w:szCs w:val="20"/>
                <w:color w:val="auto"/>
              </w:rPr>
            </w:pPr>
            <w:r>
              <w:rPr>
                <w:rFonts w:ascii="Times New Roman" w:cs="Times New Roman" w:eastAsia="Times New Roman" w:hAnsi="Times New Roman"/>
                <w:sz w:val="18"/>
                <w:szCs w:val="18"/>
                <w:color w:val="auto"/>
              </w:rPr>
              <w:t xml:space="preserve">(4.5625) </w:t>
            </w:r>
            <w:r>
              <w:rPr>
                <w:rFonts w:ascii="Times New Roman" w:cs="Times New Roman" w:eastAsia="Times New Roman" w:hAnsi="Times New Roman"/>
                <w:sz w:val="23"/>
                <w:szCs w:val="23"/>
                <w:color w:val="auto"/>
                <w:vertAlign w:val="superscript"/>
              </w:rPr>
              <w:t>(1)</w:t>
            </w:r>
          </w:p>
        </w:tc>
        <w:tc>
          <w:tcPr>
            <w:tcW w:w="0" w:type="dxa"/>
            <w:vAlign w:val="bottom"/>
          </w:tcPr>
          <w:p>
            <w:pPr>
              <w:spacing w:after="0"/>
              <w:rPr>
                <w:sz w:val="1"/>
                <w:szCs w:val="1"/>
                <w:color w:val="auto"/>
              </w:rPr>
            </w:pPr>
          </w:p>
        </w:tc>
      </w:tr>
      <w:tr>
        <w:trPr>
          <w:trHeight w:val="226"/>
        </w:trPr>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Amount borrowed in Q3 2022</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359.0</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Amount repaid in Q3 2022</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(359.0)</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20" w:type="dxa"/>
            <w:vAlign w:val="bottom"/>
            <w:gridSpan w:val="2"/>
          </w:tcPr>
          <w:p>
            <w:pPr>
              <w:jc w:val="right"/>
              <w:ind w:right="122"/>
              <w:spacing w:after="0" w:line="233" w:lineRule="exact"/>
              <w:rPr>
                <w:sz w:val="20"/>
                <w:szCs w:val="20"/>
                <w:color w:val="auto"/>
              </w:rPr>
            </w:pPr>
            <w:r>
              <w:rPr>
                <w:rFonts w:ascii="Times New Roman" w:cs="Times New Roman" w:eastAsia="Times New Roman" w:hAnsi="Times New Roman"/>
                <w:sz w:val="18"/>
                <w:szCs w:val="18"/>
                <w:color w:val="auto"/>
              </w:rPr>
              <w:t xml:space="preserve">(4.5625) </w:t>
            </w:r>
            <w:r>
              <w:rPr>
                <w:rFonts w:ascii="Times New Roman" w:cs="Times New Roman" w:eastAsia="Times New Roman" w:hAnsi="Times New Roman"/>
                <w:sz w:val="23"/>
                <w:szCs w:val="23"/>
                <w:color w:val="auto"/>
                <w:vertAlign w:val="superscript"/>
              </w:rPr>
              <w:t>(1)</w:t>
            </w:r>
          </w:p>
        </w:tc>
        <w:tc>
          <w:tcPr>
            <w:tcW w:w="0" w:type="dxa"/>
            <w:vAlign w:val="bottom"/>
          </w:tcPr>
          <w:p>
            <w:pPr>
              <w:spacing w:after="0"/>
              <w:rPr>
                <w:sz w:val="1"/>
                <w:szCs w:val="1"/>
                <w:color w:val="auto"/>
              </w:rPr>
            </w:pPr>
          </w:p>
        </w:tc>
      </w:tr>
      <w:tr>
        <w:trPr>
          <w:trHeight w:val="226"/>
        </w:trPr>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Amount borrowed in Q4 2022</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Amount repaid in Q4 2022</w:t>
            </w: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3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2"/>
          </w:tcPr>
          <w:p>
            <w:pPr>
              <w:jc w:val="right"/>
              <w:ind w:right="122"/>
              <w:spacing w:after="0" w:line="237" w:lineRule="exact"/>
              <w:rPr>
                <w:sz w:val="20"/>
                <w:szCs w:val="20"/>
                <w:color w:val="auto"/>
              </w:rPr>
            </w:pPr>
            <w:r>
              <w:rPr>
                <w:rFonts w:ascii="Times New Roman" w:cs="Times New Roman" w:eastAsia="Times New Roman" w:hAnsi="Times New Roman"/>
                <w:sz w:val="18"/>
                <w:szCs w:val="18"/>
                <w:color w:val="auto"/>
              </w:rPr>
              <w:t xml:space="preserve">(19.5625) </w:t>
            </w:r>
            <w:r>
              <w:rPr>
                <w:rFonts w:ascii="Times New Roman" w:cs="Times New Roman" w:eastAsia="Times New Roman" w:hAnsi="Times New Roman"/>
                <w:sz w:val="23"/>
                <w:szCs w:val="23"/>
                <w:color w:val="auto"/>
                <w:vertAlign w:val="superscript"/>
              </w:rPr>
              <w:t>(2)</w:t>
            </w:r>
          </w:p>
        </w:tc>
        <w:tc>
          <w:tcPr>
            <w:tcW w:w="0" w:type="dxa"/>
            <w:vAlign w:val="bottom"/>
          </w:tcPr>
          <w:p>
            <w:pPr>
              <w:spacing w:after="0"/>
              <w:rPr>
                <w:sz w:val="1"/>
                <w:szCs w:val="1"/>
                <w:color w:val="auto"/>
              </w:rPr>
            </w:pPr>
          </w:p>
        </w:tc>
      </w:tr>
      <w:tr>
        <w:trPr>
          <w:trHeight w:val="218"/>
        </w:trPr>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Outstanding balances as of December 31, 2022</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627.2</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Amount borrowed in Q1 2023</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281.0</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Amount repaid in Q1 2023</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(281.0)</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20" w:type="dxa"/>
            <w:vAlign w:val="bottom"/>
            <w:gridSpan w:val="2"/>
          </w:tcPr>
          <w:p>
            <w:pPr>
              <w:jc w:val="right"/>
              <w:ind w:right="122"/>
              <w:spacing w:after="0" w:line="233" w:lineRule="exact"/>
              <w:rPr>
                <w:sz w:val="20"/>
                <w:szCs w:val="20"/>
                <w:color w:val="auto"/>
              </w:rPr>
            </w:pPr>
            <w:r>
              <w:rPr>
                <w:rFonts w:ascii="Times New Roman" w:cs="Times New Roman" w:eastAsia="Times New Roman" w:hAnsi="Times New Roman"/>
                <w:sz w:val="18"/>
                <w:szCs w:val="18"/>
                <w:color w:val="auto"/>
              </w:rPr>
              <w:t xml:space="preserve">(4.5625) </w:t>
            </w:r>
            <w:r>
              <w:rPr>
                <w:rFonts w:ascii="Times New Roman" w:cs="Times New Roman" w:eastAsia="Times New Roman" w:hAnsi="Times New Roman"/>
                <w:sz w:val="23"/>
                <w:szCs w:val="23"/>
                <w:color w:val="auto"/>
                <w:vertAlign w:val="superscript"/>
              </w:rPr>
              <w:t>(1)</w:t>
            </w:r>
          </w:p>
        </w:tc>
        <w:tc>
          <w:tcPr>
            <w:tcW w:w="0" w:type="dxa"/>
            <w:vAlign w:val="bottom"/>
          </w:tcPr>
          <w:p>
            <w:pPr>
              <w:spacing w:after="0"/>
              <w:rPr>
                <w:sz w:val="1"/>
                <w:szCs w:val="1"/>
                <w:color w:val="auto"/>
              </w:rPr>
            </w:pPr>
          </w:p>
        </w:tc>
      </w:tr>
      <w:tr>
        <w:trPr>
          <w:trHeight w:val="226"/>
        </w:trPr>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Amount borrowed in Q2 2023</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Amount repaid in Q2 2023</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20" w:type="dxa"/>
            <w:vAlign w:val="bottom"/>
            <w:gridSpan w:val="2"/>
          </w:tcPr>
          <w:p>
            <w:pPr>
              <w:jc w:val="right"/>
              <w:ind w:right="122"/>
              <w:spacing w:after="0" w:line="233" w:lineRule="exact"/>
              <w:rPr>
                <w:sz w:val="20"/>
                <w:szCs w:val="20"/>
                <w:color w:val="auto"/>
              </w:rPr>
            </w:pPr>
            <w:r>
              <w:rPr>
                <w:rFonts w:ascii="Times New Roman" w:cs="Times New Roman" w:eastAsia="Times New Roman" w:hAnsi="Times New Roman"/>
                <w:sz w:val="18"/>
                <w:szCs w:val="18"/>
                <w:color w:val="auto"/>
              </w:rPr>
              <w:t xml:space="preserve">(4.5625) </w:t>
            </w:r>
            <w:r>
              <w:rPr>
                <w:rFonts w:ascii="Times New Roman" w:cs="Times New Roman" w:eastAsia="Times New Roman" w:hAnsi="Times New Roman"/>
                <w:sz w:val="23"/>
                <w:szCs w:val="23"/>
                <w:color w:val="auto"/>
                <w:vertAlign w:val="superscript"/>
              </w:rPr>
              <w:t>(1)</w:t>
            </w:r>
          </w:p>
        </w:tc>
        <w:tc>
          <w:tcPr>
            <w:tcW w:w="0" w:type="dxa"/>
            <w:vAlign w:val="bottom"/>
          </w:tcPr>
          <w:p>
            <w:pPr>
              <w:spacing w:after="0"/>
              <w:rPr>
                <w:sz w:val="1"/>
                <w:szCs w:val="1"/>
                <w:color w:val="auto"/>
              </w:rPr>
            </w:pPr>
          </w:p>
        </w:tc>
      </w:tr>
      <w:tr>
        <w:trPr>
          <w:trHeight w:val="226"/>
        </w:trPr>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Amount borrowed in Q3 2023</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Amount repaid in Q3 2023</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20" w:type="dxa"/>
            <w:vAlign w:val="bottom"/>
            <w:gridSpan w:val="2"/>
          </w:tcPr>
          <w:p>
            <w:pPr>
              <w:jc w:val="right"/>
              <w:ind w:right="122"/>
              <w:spacing w:after="0" w:line="233" w:lineRule="exact"/>
              <w:rPr>
                <w:sz w:val="20"/>
                <w:szCs w:val="20"/>
                <w:color w:val="auto"/>
              </w:rPr>
            </w:pPr>
            <w:r>
              <w:rPr>
                <w:rFonts w:ascii="Times New Roman" w:cs="Times New Roman" w:eastAsia="Times New Roman" w:hAnsi="Times New Roman"/>
                <w:sz w:val="18"/>
                <w:szCs w:val="18"/>
                <w:color w:val="auto"/>
              </w:rPr>
              <w:t xml:space="preserve">(4.5625) </w:t>
            </w:r>
            <w:r>
              <w:rPr>
                <w:rFonts w:ascii="Times New Roman" w:cs="Times New Roman" w:eastAsia="Times New Roman" w:hAnsi="Times New Roman"/>
                <w:sz w:val="23"/>
                <w:szCs w:val="23"/>
                <w:color w:val="auto"/>
                <w:vertAlign w:val="superscript"/>
              </w:rPr>
              <w:t>(1)</w:t>
            </w:r>
          </w:p>
        </w:tc>
        <w:tc>
          <w:tcPr>
            <w:tcW w:w="0" w:type="dxa"/>
            <w:vAlign w:val="bottom"/>
          </w:tcPr>
          <w:p>
            <w:pPr>
              <w:spacing w:after="0"/>
              <w:rPr>
                <w:sz w:val="1"/>
                <w:szCs w:val="1"/>
                <w:color w:val="auto"/>
              </w:rPr>
            </w:pPr>
          </w:p>
        </w:tc>
      </w:tr>
      <w:tr>
        <w:trPr>
          <w:trHeight w:val="226"/>
        </w:trPr>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Amount borrowed in Q4 2023</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270.0</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Amount repaid in Q4 2023</w:t>
            </w: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(270.0)</w:t>
            </w:r>
          </w:p>
        </w:tc>
        <w:tc>
          <w:tcPr>
            <w:tcW w:w="3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2"/>
          </w:tcPr>
          <w:p>
            <w:pPr>
              <w:jc w:val="right"/>
              <w:ind w:right="122"/>
              <w:spacing w:after="0" w:line="237" w:lineRule="exact"/>
              <w:rPr>
                <w:sz w:val="20"/>
                <w:szCs w:val="20"/>
                <w:color w:val="auto"/>
              </w:rPr>
            </w:pPr>
            <w:r>
              <w:rPr>
                <w:rFonts w:ascii="Times New Roman" w:cs="Times New Roman" w:eastAsia="Times New Roman" w:hAnsi="Times New Roman"/>
                <w:sz w:val="18"/>
                <w:szCs w:val="18"/>
                <w:color w:val="auto"/>
              </w:rPr>
              <w:t xml:space="preserve">(4.5625) </w:t>
            </w:r>
            <w:r>
              <w:rPr>
                <w:rFonts w:ascii="Times New Roman" w:cs="Times New Roman" w:eastAsia="Times New Roman" w:hAnsi="Times New Roman"/>
                <w:sz w:val="23"/>
                <w:szCs w:val="23"/>
                <w:color w:val="auto"/>
                <w:vertAlign w:val="superscript"/>
              </w:rPr>
              <w:t>(1)</w:t>
            </w:r>
          </w:p>
        </w:tc>
        <w:tc>
          <w:tcPr>
            <w:tcW w:w="0" w:type="dxa"/>
            <w:vAlign w:val="bottom"/>
          </w:tcPr>
          <w:p>
            <w:pPr>
              <w:spacing w:after="0"/>
              <w:rPr>
                <w:sz w:val="1"/>
                <w:szCs w:val="1"/>
                <w:color w:val="auto"/>
              </w:rPr>
            </w:pPr>
          </w:p>
        </w:tc>
      </w:tr>
      <w:tr>
        <w:trPr>
          <w:trHeight w:val="218"/>
        </w:trPr>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Outstanding balances as of December 31, 2023</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608.9</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Amount borrowed in Q1 2024</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285.0</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Amount repaid in Q1 2024</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(257.0)</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gridSpan w:val="2"/>
          </w:tcPr>
          <w:p>
            <w:pPr>
              <w:jc w:val="right"/>
              <w:ind w:right="122"/>
              <w:spacing w:after="0" w:line="230" w:lineRule="exact"/>
              <w:rPr>
                <w:sz w:val="20"/>
                <w:szCs w:val="20"/>
                <w:color w:val="auto"/>
              </w:rPr>
            </w:pPr>
            <w:r>
              <w:rPr>
                <w:rFonts w:ascii="Times New Roman" w:cs="Times New Roman" w:eastAsia="Times New Roman" w:hAnsi="Times New Roman"/>
                <w:sz w:val="18"/>
                <w:szCs w:val="18"/>
                <w:color w:val="auto"/>
              </w:rPr>
              <w:t xml:space="preserve">(4.5625) </w:t>
            </w:r>
            <w:r>
              <w:rPr>
                <w:rFonts w:ascii="Times New Roman" w:cs="Times New Roman" w:eastAsia="Times New Roman" w:hAnsi="Times New Roman"/>
                <w:sz w:val="23"/>
                <w:szCs w:val="23"/>
                <w:color w:val="auto"/>
                <w:vertAlign w:val="superscript"/>
              </w:rPr>
              <w:t>(1)</w:t>
            </w:r>
          </w:p>
        </w:tc>
        <w:tc>
          <w:tcPr>
            <w:tcW w:w="0" w:type="dxa"/>
            <w:vAlign w:val="bottom"/>
          </w:tcPr>
          <w:p>
            <w:pPr>
              <w:spacing w:after="0"/>
              <w:rPr>
                <w:sz w:val="1"/>
                <w:szCs w:val="1"/>
                <w:color w:val="auto"/>
              </w:rPr>
            </w:pPr>
          </w:p>
        </w:tc>
      </w:tr>
      <w:tr>
        <w:trPr>
          <w:trHeight w:val="229"/>
        </w:trPr>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Amount borrowed in Q2 2024</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340" w:type="dxa"/>
            <w:vAlign w:val="bottom"/>
          </w:tcPr>
          <w:p>
            <w:pPr>
              <w:jc w:val="right"/>
              <w:ind w:right="122"/>
              <w:spacing w:after="0"/>
              <w:rPr>
                <w:sz w:val="20"/>
                <w:szCs w:val="20"/>
                <w:color w:val="auto"/>
              </w:rPr>
            </w:pPr>
            <w:r>
              <w:rPr>
                <w:rFonts w:ascii="Times New Roman" w:cs="Times New Roman" w:eastAsia="Times New Roman" w:hAnsi="Times New Roman"/>
                <w:sz w:val="12"/>
                <w:szCs w:val="12"/>
                <w:color w:val="auto"/>
                <w:w w:val="99"/>
              </w:rPr>
              <w:t>(3)</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360" w:type="dxa"/>
            <w:vAlign w:val="bottom"/>
          </w:tcPr>
          <w:p>
            <w:pPr>
              <w:jc w:val="right"/>
              <w:ind w:right="122"/>
              <w:spacing w:after="0"/>
              <w:rPr>
                <w:sz w:val="20"/>
                <w:szCs w:val="20"/>
                <w:color w:val="auto"/>
              </w:rPr>
            </w:pPr>
            <w:r>
              <w:rPr>
                <w:rFonts w:ascii="Times New Roman" w:cs="Times New Roman" w:eastAsia="Times New Roman" w:hAnsi="Times New Roman"/>
                <w:sz w:val="12"/>
                <w:szCs w:val="12"/>
                <w:color w:val="auto"/>
              </w:rPr>
              <w:t>(4)</w:t>
            </w:r>
          </w:p>
        </w:tc>
        <w:tc>
          <w:tcPr>
            <w:tcW w:w="0" w:type="dxa"/>
            <w:vAlign w:val="bottom"/>
          </w:tcPr>
          <w:p>
            <w:pPr>
              <w:spacing w:after="0"/>
              <w:rPr>
                <w:sz w:val="1"/>
                <w:szCs w:val="1"/>
                <w:color w:val="auto"/>
              </w:rPr>
            </w:pPr>
          </w:p>
        </w:tc>
      </w:tr>
      <w:tr>
        <w:trPr>
          <w:trHeight w:val="233"/>
        </w:trPr>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Amount repaid in Q2 2024</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(208.0)</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20" w:type="dxa"/>
            <w:vAlign w:val="bottom"/>
            <w:gridSpan w:val="2"/>
          </w:tcPr>
          <w:p>
            <w:pPr>
              <w:jc w:val="right"/>
              <w:ind w:right="122"/>
              <w:spacing w:after="0" w:line="233" w:lineRule="exact"/>
              <w:rPr>
                <w:sz w:val="20"/>
                <w:szCs w:val="20"/>
                <w:color w:val="auto"/>
              </w:rPr>
            </w:pPr>
            <w:r>
              <w:rPr>
                <w:rFonts w:ascii="Times New Roman" w:cs="Times New Roman" w:eastAsia="Times New Roman" w:hAnsi="Times New Roman"/>
                <w:sz w:val="18"/>
                <w:szCs w:val="18"/>
                <w:color w:val="auto"/>
              </w:rPr>
              <w:t xml:space="preserve">(604.3) </w:t>
            </w:r>
            <w:r>
              <w:rPr>
                <w:rFonts w:ascii="Times New Roman" w:cs="Times New Roman" w:eastAsia="Times New Roman" w:hAnsi="Times New Roman"/>
                <w:sz w:val="23"/>
                <w:szCs w:val="23"/>
                <w:color w:val="auto"/>
                <w:vertAlign w:val="superscript"/>
              </w:rPr>
              <w:t>(5)</w:t>
            </w:r>
          </w:p>
        </w:tc>
        <w:tc>
          <w:tcPr>
            <w:tcW w:w="0" w:type="dxa"/>
            <w:vAlign w:val="bottom"/>
          </w:tcPr>
          <w:p>
            <w:pPr>
              <w:spacing w:after="0"/>
              <w:rPr>
                <w:sz w:val="1"/>
                <w:szCs w:val="1"/>
                <w:color w:val="auto"/>
              </w:rPr>
            </w:pPr>
          </w:p>
        </w:tc>
      </w:tr>
      <w:tr>
        <w:trPr>
          <w:trHeight w:val="226"/>
        </w:trPr>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Amount borrowed in Q3 2024</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Amount repaid in Q3 2024</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20" w:type="dxa"/>
            <w:vAlign w:val="bottom"/>
            <w:gridSpan w:val="2"/>
          </w:tcPr>
          <w:p>
            <w:pPr>
              <w:jc w:val="right"/>
              <w:ind w:right="122"/>
              <w:spacing w:after="0" w:line="233" w:lineRule="exact"/>
              <w:rPr>
                <w:sz w:val="20"/>
                <w:szCs w:val="20"/>
                <w:color w:val="auto"/>
              </w:rPr>
            </w:pPr>
            <w:r>
              <w:rPr>
                <w:rFonts w:ascii="Times New Roman" w:cs="Times New Roman" w:eastAsia="Times New Roman" w:hAnsi="Times New Roman"/>
                <w:sz w:val="18"/>
                <w:szCs w:val="18"/>
                <w:color w:val="auto"/>
              </w:rPr>
              <w:t xml:space="preserve">(4.375) </w:t>
            </w:r>
            <w:r>
              <w:rPr>
                <w:rFonts w:ascii="Times New Roman" w:cs="Times New Roman" w:eastAsia="Times New Roman" w:hAnsi="Times New Roman"/>
                <w:sz w:val="23"/>
                <w:szCs w:val="23"/>
                <w:color w:val="auto"/>
                <w:vertAlign w:val="superscript"/>
              </w:rPr>
              <w:t>(6)</w:t>
            </w:r>
          </w:p>
        </w:tc>
        <w:tc>
          <w:tcPr>
            <w:tcW w:w="0" w:type="dxa"/>
            <w:vAlign w:val="bottom"/>
          </w:tcPr>
          <w:p>
            <w:pPr>
              <w:spacing w:after="0"/>
              <w:rPr>
                <w:sz w:val="1"/>
                <w:szCs w:val="1"/>
                <w:color w:val="auto"/>
              </w:rPr>
            </w:pPr>
          </w:p>
        </w:tc>
      </w:tr>
      <w:tr>
        <w:trPr>
          <w:trHeight w:val="226"/>
        </w:trPr>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Amount borrowed in Q4 2024</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313.0</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Amount repaid in Q4 2024</w:t>
            </w: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(313.0)</w:t>
            </w:r>
          </w:p>
        </w:tc>
        <w:tc>
          <w:tcPr>
            <w:tcW w:w="3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2"/>
          </w:tcPr>
          <w:p>
            <w:pPr>
              <w:jc w:val="right"/>
              <w:ind w:right="122"/>
              <w:spacing w:after="0" w:line="237" w:lineRule="exact"/>
              <w:rPr>
                <w:sz w:val="20"/>
                <w:szCs w:val="20"/>
                <w:color w:val="auto"/>
              </w:rPr>
            </w:pPr>
            <w:r>
              <w:rPr>
                <w:rFonts w:ascii="Times New Roman" w:cs="Times New Roman" w:eastAsia="Times New Roman" w:hAnsi="Times New Roman"/>
                <w:sz w:val="18"/>
                <w:szCs w:val="18"/>
                <w:color w:val="auto"/>
              </w:rPr>
              <w:t xml:space="preserve">(4.375) </w:t>
            </w:r>
            <w:r>
              <w:rPr>
                <w:rFonts w:ascii="Times New Roman" w:cs="Times New Roman" w:eastAsia="Times New Roman" w:hAnsi="Times New Roman"/>
                <w:sz w:val="23"/>
                <w:szCs w:val="23"/>
                <w:color w:val="auto"/>
                <w:vertAlign w:val="superscript"/>
              </w:rPr>
              <w:t>(6)</w:t>
            </w:r>
          </w:p>
        </w:tc>
        <w:tc>
          <w:tcPr>
            <w:tcW w:w="0" w:type="dxa"/>
            <w:vAlign w:val="bottom"/>
          </w:tcPr>
          <w:p>
            <w:pPr>
              <w:spacing w:after="0"/>
              <w:rPr>
                <w:sz w:val="1"/>
                <w:szCs w:val="1"/>
                <w:color w:val="auto"/>
              </w:rPr>
            </w:pPr>
          </w:p>
        </w:tc>
      </w:tr>
      <w:tr>
        <w:trPr>
          <w:trHeight w:val="223"/>
        </w:trPr>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Outstanding balances as of December 31, 2024</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741.2</w:t>
            </w:r>
          </w:p>
        </w:tc>
        <w:tc>
          <w:tcPr>
            <w:tcW w:w="3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360" w:hanging="352"/>
        <w:spacing w:after="0"/>
        <w:tabs>
          <w:tab w:leader="none" w:pos="36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scheduled quarterly principal repayment under the Incremental Term Loan.</w:t>
      </w:r>
    </w:p>
    <w:p>
      <w:pPr>
        <w:spacing w:after="0" w:line="45" w:lineRule="exact"/>
        <w:rPr>
          <w:rFonts w:ascii="Times New Roman" w:cs="Times New Roman" w:eastAsia="Times New Roman" w:hAnsi="Times New Roman"/>
          <w:sz w:val="16"/>
          <w:szCs w:val="16"/>
          <w:color w:val="auto"/>
        </w:rPr>
      </w:pPr>
    </w:p>
    <w:p>
      <w:pPr>
        <w:ind w:left="360" w:hanging="352"/>
        <w:spacing w:after="0"/>
        <w:tabs>
          <w:tab w:leader="none" w:pos="36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scheduled quarterly principal repayment under the Incremental Term Loan and a $15.0 million voluntary prepayment under the Initial Term Loan.</w:t>
      </w:r>
    </w:p>
    <w:p>
      <w:pPr>
        <w:spacing w:after="0" w:line="45" w:lineRule="exact"/>
        <w:rPr>
          <w:rFonts w:ascii="Times New Roman" w:cs="Times New Roman" w:eastAsia="Times New Roman" w:hAnsi="Times New Roman"/>
          <w:sz w:val="16"/>
          <w:szCs w:val="16"/>
          <w:color w:val="auto"/>
        </w:rPr>
      </w:pPr>
    </w:p>
    <w:p>
      <w:pPr>
        <w:ind w:left="360" w:hanging="352"/>
        <w:spacing w:after="0"/>
        <w:tabs>
          <w:tab w:leader="none" w:pos="36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portion was used to fund the NCS purchase price.</w:t>
      </w:r>
    </w:p>
    <w:p>
      <w:pPr>
        <w:spacing w:after="0" w:line="45" w:lineRule="exact"/>
        <w:rPr>
          <w:rFonts w:ascii="Times New Roman" w:cs="Times New Roman" w:eastAsia="Times New Roman" w:hAnsi="Times New Roman"/>
          <w:sz w:val="16"/>
          <w:szCs w:val="16"/>
          <w:color w:val="auto"/>
        </w:rPr>
      </w:pPr>
    </w:p>
    <w:p>
      <w:pPr>
        <w:ind w:left="360" w:hanging="352"/>
        <w:spacing w:after="0"/>
        <w:tabs>
          <w:tab w:leader="none" w:pos="36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borrowings under the New Term Loans.</w:t>
      </w:r>
    </w:p>
    <w:p>
      <w:pPr>
        <w:spacing w:after="0" w:line="45" w:lineRule="exact"/>
        <w:rPr>
          <w:rFonts w:ascii="Times New Roman" w:cs="Times New Roman" w:eastAsia="Times New Roman" w:hAnsi="Times New Roman"/>
          <w:sz w:val="16"/>
          <w:szCs w:val="16"/>
          <w:color w:val="auto"/>
        </w:rPr>
      </w:pPr>
    </w:p>
    <w:p>
      <w:pPr>
        <w:ind w:left="360" w:hanging="352"/>
        <w:spacing w:after="0"/>
        <w:tabs>
          <w:tab w:leader="none" w:pos="36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repayment and termination of the Initial Term Loan and Incremental Term Loan.</w:t>
      </w:r>
    </w:p>
    <w:p>
      <w:pPr>
        <w:spacing w:after="0" w:line="45" w:lineRule="exact"/>
        <w:rPr>
          <w:rFonts w:ascii="Times New Roman" w:cs="Times New Roman" w:eastAsia="Times New Roman" w:hAnsi="Times New Roman"/>
          <w:sz w:val="16"/>
          <w:szCs w:val="16"/>
          <w:color w:val="auto"/>
        </w:rPr>
      </w:pPr>
    </w:p>
    <w:p>
      <w:pPr>
        <w:ind w:left="360" w:hanging="352"/>
        <w:spacing w:after="0"/>
        <w:tabs>
          <w:tab w:leader="none" w:pos="36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scheduled quarterly principal repayments under the New Term Loans.</w:t>
      </w:r>
    </w:p>
    <w:p>
      <w:pPr>
        <w:spacing w:after="0" w:line="23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Interest we paid under the Credit Facility, including the impact of our interest rate swap agreements (described below), was $44.6 million in 2024 (2023 — $45.3 million; 2022 — $36.3 million). Interest we paid under the Credit Facility in 2024 was relatively consistent with 2023. We paid higher interest under our Credit Facility in 2023 compared to 2022 as a result of higher interest rates, partially offset by lower average intra-quarter borrowings during 2023 compared to 2022 (see the table above). Finance Costs we paid in 2024 under our A/R sales agreement and customer SFPs was $1.2 million (2023 — $16.3 million; 2022 — $10.8 million). We paid lower Finance Costs under our A/R sales program and customer SFPs in 2024 compared to 2023, primarily due to lower aggregate amounts of A/R sold in 2024 (approximately $182 million) compared to 2023 (approximately $1,959 million). We paid higher Finance Costs under our A/R sales program and customer SFPs in 2023 compared to 2022 due to higher interest rates, offset in part by the effect of lower aggregate amounts of A/R sold in 2023 compared to 2022 under these arrangements (aggregate of approximately $1,959 million during 2023 compared to approximately $2,218 million during 2022). See "Operating Results — </w:t>
      </w:r>
      <w:r>
        <w:rPr>
          <w:rFonts w:ascii="Times New Roman" w:cs="Times New Roman" w:eastAsia="Times New Roman" w:hAnsi="Times New Roman"/>
          <w:sz w:val="18"/>
          <w:szCs w:val="18"/>
          <w:i w:val="1"/>
          <w:iCs w:val="1"/>
          <w:color w:val="auto"/>
        </w:rPr>
        <w:t>Finance Costs</w:t>
      </w:r>
      <w:r>
        <w:rPr>
          <w:rFonts w:ascii="Times New Roman" w:cs="Times New Roman" w:eastAsia="Times New Roman" w:hAnsi="Times New Roman"/>
          <w:sz w:val="18"/>
          <w:szCs w:val="18"/>
          <w:color w:val="auto"/>
        </w:rPr>
        <w:t>" above for a description of Finance Costs incurred in 2024, 2023 and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5" w:right="339" w:bottom="1440" w:gutter="0" w:footer="0" w:header="0"/>
        </w:sectPr>
      </w:pPr>
    </w:p>
    <w:bookmarkStart w:id="78" w:name="page79"/>
    <w:bookmarkEnd w:id="78"/>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Any increase in prevailing interest rates, margins, or amounts borrowed, would cause our interest expense to increase. Interest rates for outstanding borrowings under the Credit Facility at December 31, 2024, are described under "Capital Resources" below.</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Under the Credit Facility, we are required to pay a commitment fee on the unused portion of the Revolver, which is calculated based on a defined consolidated leverage ratio and the daily balance outstanding. Commitment fees paid during 2024 were $2.0 million (2023 — $1.6 million; 2022 — $1.4 million). We paid debt issuance costs of $11.1 million in 2024 (2023 — $0.4 million; 2022 — $0.8 million) in connection with security arrangements under, and/or the amendment of, the Credit Facility. We paid higher debt issuance costs in 2024 compared to 2023 and 2022 due to the June 2024 Amendment.</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Principal payments of finance leases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During 2024, we paid $9.7 million (2023 — $9.9 million; 2022 — $8.4 million) in principal payment of finance leases.</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Proceeds from partial TRS settlement</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September 2023, we terminated a portion of the TRS Agreement by reducing the notional amount thereunder by 0.5 million Common Shares. In connection therewith, we received $5.0 million from the relevant counterparty. In February 2024, we terminated a further portion of the TRS Agreement by reducing the notional amount thereunder by an additional 1.25 million Common Shares, and received $32.3 million from the relevant counterparty in connection therewith. See note 19 to the 2024 AFS for further detail.</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SBC cash settlement:</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2024, we made a cash payment of $84.6 million (2023 — $7.7 million) for the withholding taxes in connection with the RSUs and PSUs that vested during the year. In 2023, we also settled a portion of RSUs and PSUs that vested during the year with a cash payment of $49.8 million.</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Prior to September 2023, we were party to a services agreement with Onex for the services of an Onex officer as a member of our Board, pursuant to which Onex received compensation. This agreement terminated automatically in September 2023, and in accordance with its provisions, we paid Onex approximately $9.2 million in cash in October 2023 to settle Onex's then-outstanding DSUs. The Onex officer resigned from our Board in September 2023.</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requirements:</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working capital requirements can vary significantly from month-to-month due to a range of business factors, including the ramping of new programs, expansion of our services and business operations, timing of purchases, higher levels of inventory for new programs and anticipated customer demand, timing of payments and A/R collections, and customer forecasting variations. The international scope of our operations may also create working capital requirements in certain countries while other countries generate cash in excess of working capital needs. Moving cash between countries on a short-term basis to fund working capital is not always expedient due to local currency regulations, tax considerations, and other factors. As a result, we make intra-quarter borrowings and repayments under the Revolver (Intra-Quarter B/Rs, see the Credit Facility activity table under "Financing and Finance Costs</w:t>
      </w:r>
    </w:p>
    <w:p>
      <w:pPr>
        <w:spacing w:after="0" w:line="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Credit Agreement</w:t>
      </w:r>
      <w:r>
        <w:rPr>
          <w:rFonts w:ascii="Times New Roman" w:cs="Times New Roman" w:eastAsia="Times New Roman" w:hAnsi="Times New Roman"/>
          <w:sz w:val="18"/>
          <w:szCs w:val="18"/>
          <w:color w:val="auto"/>
        </w:rPr>
        <w:t>" above for Intra-Quarter B/Rs during recent periods), sell A/R through our A/R sales program, and/or participate in available customer SFPs, when deemed necessary or desirable to effectively manage our short-term liquidity and working capital requirements. The timing and the amounts we borrow or repay under these facilities can vary significantly from month-to-month depending upon our cash requirements. As our operating activities provided funding for a substantial portion of our working capital needs, we sold fewer A/R under our A/R sales program and customer SFPs in 2024 compared to 2023, and made smaller Intra-Quarter B/Rs in 2024 compared to 2023. See "</w:t>
      </w:r>
      <w:r>
        <w:rPr>
          <w:rFonts w:ascii="Times New Roman" w:cs="Times New Roman" w:eastAsia="Times New Roman" w:hAnsi="Times New Roman"/>
          <w:sz w:val="18"/>
          <w:szCs w:val="18"/>
          <w:i w:val="1"/>
          <w:iCs w:val="1"/>
          <w:color w:val="auto"/>
        </w:rPr>
        <w:t>Cash provided by and used in financing activities</w:t>
      </w:r>
      <w:r>
        <w:rPr>
          <w:rFonts w:ascii="Times New Roman" w:cs="Times New Roman" w:eastAsia="Times New Roman" w:hAnsi="Times New Roman"/>
          <w:sz w:val="18"/>
          <w:szCs w:val="18"/>
          <w:color w:val="auto"/>
        </w:rPr>
        <w:t xml:space="preserve"> — Financing and Finance Costs" above and "Financing Arrangements" below.</w:t>
      </w:r>
    </w:p>
    <w:p>
      <w:pPr>
        <w:spacing w:after="0" w:line="19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Based on our current cash flow budgets and forecasts of our short-term and long-term liquidity needs, we continue to believe that our current and projected sources of liquidity will be sufficient to fund our anticipated liquidity needs for the next twelve months and beyond. Specifically, we believe that cash flow from operating activities, together with cash on hand, availability under the Revolver ($738.9 million at December 31, 2024), potential availability under uncommitted intraday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79" w:name="page80"/>
    <w:bookmarkEnd w:id="79"/>
    <w:p>
      <w:pPr>
        <w:jc w:val="both"/>
        <w:spacing w:after="0" w:line="254" w:lineRule="auto"/>
        <w:rPr>
          <w:sz w:val="20"/>
          <w:szCs w:val="20"/>
          <w:color w:val="auto"/>
        </w:rPr>
      </w:pPr>
      <w:r>
        <w:rPr>
          <w:rFonts w:ascii="Times New Roman" w:cs="Times New Roman" w:eastAsia="Times New Roman" w:hAnsi="Times New Roman"/>
          <w:sz w:val="18"/>
          <w:szCs w:val="18"/>
          <w:color w:val="auto"/>
        </w:rPr>
        <w:t>overnight bank overdraft facilities, and cash from accepted sales of A/R, will be sufficient to fund our anticipated working capital needs, planned capital spending, contractual obligations and other cash requirements (including any required SBC share repurchases, debt repayments and Finance Costs). See "Capital Resources" below. Notwithstanding the foregoing, although we anticipate that we will be able to repay or refinance outstanding obligations under our Credit Facility when they mature (our primary current long-term cash liquidity requirement), there can be no assurance we will be able to do so, or that the terms of any refinancing will be favorable. In addition, we may require additional capital in the future to fund capital expenditures, acquisitions (including contingent consideration payments), strategic transactions or other investments. We will continue to assess our liquidity position and potential sources of supplemental liquidity in view of our objectives, operating performance, economic and capital market conditions and other relevant circumstances. Our operating performance may also be affected by matters discussed under the Risk Factors section of this Annual Report, of which this MD&amp;A forms a part. These risks and uncertainties may adversely affect our long-term liquidity.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Contractual Obligations: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at December 31, 2024, we had known contractual obligations that require future payments as follows (in millions):</w:t>
      </w:r>
    </w:p>
    <w:p>
      <w:pPr>
        <w:spacing w:after="0" w:line="46"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4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0" w:type="dxa"/>
            <w:vAlign w:val="bottom"/>
          </w:tcPr>
          <w:p>
            <w:pPr>
              <w:spacing w:after="0"/>
              <w:rPr>
                <w:sz w:val="20"/>
                <w:szCs w:val="20"/>
                <w:color w:val="auto"/>
              </w:rPr>
            </w:pPr>
          </w:p>
        </w:tc>
        <w:tc>
          <w:tcPr>
            <w:tcW w:w="7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Thereafter</w:t>
            </w:r>
          </w:p>
        </w:tc>
      </w:tr>
      <w:tr>
        <w:trPr>
          <w:trHeight w:val="215"/>
        </w:trPr>
        <w:tc>
          <w:tcPr>
            <w:tcW w:w="4040" w:type="dxa"/>
            <w:vAlign w:val="bottom"/>
          </w:tcPr>
          <w:p>
            <w:pPr>
              <w:spacing w:after="0" w:line="214" w:lineRule="exact"/>
              <w:rPr>
                <w:sz w:val="20"/>
                <w:szCs w:val="20"/>
                <w:color w:val="auto"/>
              </w:rPr>
            </w:pPr>
            <w:r>
              <w:rPr>
                <w:rFonts w:ascii="Times New Roman" w:cs="Times New Roman" w:eastAsia="Times New Roman" w:hAnsi="Times New Roman"/>
                <w:sz w:val="18"/>
                <w:szCs w:val="18"/>
                <w:color w:val="auto"/>
              </w:rPr>
              <w:t>Borrowings under Credit Facility</w:t>
            </w:r>
            <w:r>
              <w:rPr>
                <w:rFonts w:ascii="Times New Roman" w:cs="Times New Roman" w:eastAsia="Times New Roman" w:hAnsi="Times New Roman"/>
                <w:sz w:val="23"/>
                <w:szCs w:val="23"/>
                <w:color w:val="auto"/>
                <w:vertAlign w:val="superscript"/>
              </w:rPr>
              <w:t>(i)</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741.2</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198.7</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472.5</w:t>
            </w:r>
          </w:p>
        </w:tc>
      </w:tr>
      <w:tr>
        <w:trPr>
          <w:trHeight w:val="233"/>
        </w:trPr>
        <w:tc>
          <w:tcPr>
            <w:tcW w:w="4040" w:type="dxa"/>
            <w:vAlign w:val="bottom"/>
          </w:tcPr>
          <w:p>
            <w:pPr>
              <w:spacing w:after="0" w:line="233" w:lineRule="exact"/>
              <w:rPr>
                <w:sz w:val="20"/>
                <w:szCs w:val="20"/>
                <w:color w:val="auto"/>
              </w:rPr>
            </w:pPr>
            <w:r>
              <w:rPr>
                <w:rFonts w:ascii="Times New Roman" w:cs="Times New Roman" w:eastAsia="Times New Roman" w:hAnsi="Times New Roman"/>
                <w:sz w:val="18"/>
                <w:szCs w:val="18"/>
                <w:color w:val="auto"/>
              </w:rPr>
              <w:t>Lease obligations</w:t>
            </w:r>
            <w:r>
              <w:rPr>
                <w:rFonts w:ascii="Times New Roman" w:cs="Times New Roman" w:eastAsia="Times New Roman" w:hAnsi="Times New Roman"/>
                <w:sz w:val="23"/>
                <w:szCs w:val="23"/>
                <w:color w:val="auto"/>
                <w:vertAlign w:val="superscript"/>
              </w:rPr>
              <w:t>(ii)</w:t>
            </w: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w:t>
            </w:r>
          </w:p>
        </w:tc>
      </w:tr>
      <w:tr>
        <w:trPr>
          <w:trHeight w:val="180"/>
        </w:trPr>
        <w:tc>
          <w:tcPr>
            <w:tcW w:w="404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Pension and non-pension post-employment plan</w:t>
            </w: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35"/>
        </w:trPr>
        <w:tc>
          <w:tcPr>
            <w:tcW w:w="4040" w:type="dxa"/>
            <w:vAlign w:val="bottom"/>
          </w:tcPr>
          <w:p>
            <w:pPr>
              <w:ind w:left="80"/>
              <w:spacing w:after="0" w:line="235" w:lineRule="exact"/>
              <w:rPr>
                <w:sz w:val="20"/>
                <w:szCs w:val="20"/>
                <w:color w:val="auto"/>
              </w:rPr>
            </w:pPr>
            <w:r>
              <w:rPr>
                <w:rFonts w:ascii="Times New Roman" w:cs="Times New Roman" w:eastAsia="Times New Roman" w:hAnsi="Times New Roman"/>
                <w:sz w:val="18"/>
                <w:szCs w:val="18"/>
                <w:color w:val="auto"/>
              </w:rPr>
              <w:t>estimated contributions</w:t>
            </w:r>
            <w:r>
              <w:rPr>
                <w:rFonts w:ascii="Times New Roman" w:cs="Times New Roman" w:eastAsia="Times New Roman" w:hAnsi="Times New Roman"/>
                <w:sz w:val="23"/>
                <w:szCs w:val="23"/>
                <w:color w:val="auto"/>
                <w:vertAlign w:val="superscript"/>
              </w:rPr>
              <w:t>(iii)</w:t>
            </w: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3"/>
        </w:trPr>
        <w:tc>
          <w:tcPr>
            <w:tcW w:w="4040" w:type="dxa"/>
            <w:vAlign w:val="bottom"/>
          </w:tcPr>
          <w:p>
            <w:pPr>
              <w:spacing w:after="0" w:line="233" w:lineRule="exact"/>
              <w:rPr>
                <w:sz w:val="20"/>
                <w:szCs w:val="20"/>
                <w:color w:val="auto"/>
              </w:rPr>
            </w:pPr>
            <w:r>
              <w:rPr>
                <w:rFonts w:ascii="Times New Roman" w:cs="Times New Roman" w:eastAsia="Times New Roman" w:hAnsi="Times New Roman"/>
                <w:sz w:val="18"/>
                <w:szCs w:val="18"/>
                <w:color w:val="auto"/>
              </w:rPr>
              <w:t>Binding purchase order obligations</w:t>
            </w:r>
            <w:r>
              <w:rPr>
                <w:rFonts w:ascii="Times New Roman" w:cs="Times New Roman" w:eastAsia="Times New Roman" w:hAnsi="Times New Roman"/>
                <w:sz w:val="23"/>
                <w:szCs w:val="23"/>
                <w:color w:val="auto"/>
                <w:vertAlign w:val="superscript"/>
              </w:rPr>
              <w:t>(iv)</w:t>
            </w: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4,288.2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4,222.4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80"/>
        </w:trPr>
        <w:tc>
          <w:tcPr>
            <w:tcW w:w="404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Purchase obligations under IT support</w:t>
            </w: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43"/>
        </w:trPr>
        <w:tc>
          <w:tcPr>
            <w:tcW w:w="4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agreements</w:t>
            </w:r>
          </w:p>
        </w:tc>
        <w:tc>
          <w:tcPr>
            <w:tcW w:w="1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23"/>
        </w:trPr>
        <w:tc>
          <w:tcPr>
            <w:tcW w:w="4040" w:type="dxa"/>
            <w:vAlign w:val="bottom"/>
          </w:tcPr>
          <w:p>
            <w:pPr>
              <w:spacing w:after="0" w:line="223" w:lineRule="exact"/>
              <w:rPr>
                <w:sz w:val="20"/>
                <w:szCs w:val="20"/>
                <w:color w:val="auto"/>
              </w:rPr>
            </w:pPr>
            <w:r>
              <w:rPr>
                <w:rFonts w:ascii="Times New Roman" w:cs="Times New Roman" w:eastAsia="Times New Roman" w:hAnsi="Times New Roman"/>
                <w:sz w:val="18"/>
                <w:szCs w:val="18"/>
                <w:color w:val="auto"/>
              </w:rPr>
              <w:t>Total</w:t>
            </w:r>
            <w:r>
              <w:rPr>
                <w:rFonts w:ascii="Times New Roman" w:cs="Times New Roman" w:eastAsia="Times New Roman" w:hAnsi="Times New Roman"/>
                <w:sz w:val="23"/>
                <w:szCs w:val="23"/>
                <w:color w:val="auto"/>
                <w:vertAlign w:val="superscript"/>
              </w:rPr>
              <w:t>(v)</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5,395.1</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4,336.1</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141.4</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230.7</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561.9</w:t>
            </w:r>
          </w:p>
        </w:tc>
      </w:tr>
      <w:tr>
        <w:trPr>
          <w:trHeight w:val="21"/>
        </w:trPr>
        <w:tc>
          <w:tcPr>
            <w:tcW w:w="4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660" w:hanging="652"/>
        <w:spacing w:after="0" w:line="258" w:lineRule="auto"/>
        <w:tabs>
          <w:tab w:leader="none" w:pos="346"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Represents annual amortization of the New Term Loans, as well as principal repayment obligations at maturity (June 2029 for borrowings under the Term A Loan and June 2031 for the Term B Loan), based on amounts outstanding as of December 31, 2024, but excludes related interest and fees. See "Liquidity — </w:t>
      </w:r>
      <w:r>
        <w:rPr>
          <w:rFonts w:ascii="Times New Roman" w:cs="Times New Roman" w:eastAsia="Times New Roman" w:hAnsi="Times New Roman"/>
          <w:sz w:val="16"/>
          <w:szCs w:val="16"/>
          <w:i w:val="1"/>
          <w:iCs w:val="1"/>
          <w:color w:val="auto"/>
        </w:rPr>
        <w:t>Cash 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by and used in financing activities </w:t>
      </w:r>
      <w:r>
        <w:rPr>
          <w:rFonts w:ascii="Times New Roman" w:cs="Times New Roman" w:eastAsia="Times New Roman" w:hAnsi="Times New Roman"/>
          <w:sz w:val="16"/>
          <w:szCs w:val="16"/>
          <w:color w:val="auto"/>
        </w:rPr>
        <w:t>— Financing and Finance Costs" above for maturity dates, prepayment obligations, and annual interest and commitment fees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paid under the Credit Facility in 2022 — 2024. See "Capital Resources" below and note 11 to our 2024 AFS for a description of the Credit Facility, including amounts outstanding thereunder, and applicable interest rates, commitment fee rates and margins. No mandatory principal prepayments of the New Term Loans based on specified excess cash flow or net cash proceeds will be required in 2025, but we are currently unable to determine whether any such prepayments will be required thereafter. Payment defaults under the Credit Facility will incur interest on unpaid amounts at an annual rate equal to the sum of (i) 2%, plus (ii) the rate per annum otherwise applicable to such unpaid amounts, or if no rate is specified or available, the rate per annum applicable to Base Rate revolving loans. If an event of default occurs and is continuing (and is not waived), the Administrative Agent may declare all amounts under the Credit Facility to be immediately due and payable, and may cancel the lenders' commitments to make further advances thereunder.</w:t>
      </w:r>
    </w:p>
    <w:p>
      <w:pPr>
        <w:spacing w:after="0" w:line="6" w:lineRule="exact"/>
        <w:rPr>
          <w:rFonts w:ascii="Times New Roman" w:cs="Times New Roman" w:eastAsia="Times New Roman" w:hAnsi="Times New Roman"/>
          <w:sz w:val="16"/>
          <w:szCs w:val="16"/>
          <w:color w:val="auto"/>
        </w:rPr>
      </w:pPr>
    </w:p>
    <w:p>
      <w:pPr>
        <w:ind w:left="660" w:hanging="652"/>
        <w:spacing w:after="0" w:line="263" w:lineRule="auto"/>
        <w:tabs>
          <w:tab w:leader="none" w:pos="375"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lease payments associated with lease liabilities recognized on our consolidated balance sheet as of December 31, 2024, as well as lease payments under our lease of certain space in Richardson, Texas (Texas Lease) from April 2027 through March 2032 ($0.9 million in 2027, $1.3 million in 2028, $1.3 million in 2029 and $3.0 million thereafter). The Texas Lease was not recognized as liabilities at December 31, 2024 on our consolidated balance sheet because such lease has not yet commenced. See note 7 to our 2024 AFS.</w:t>
      </w:r>
    </w:p>
    <w:p>
      <w:pPr>
        <w:spacing w:after="0" w:line="3" w:lineRule="exact"/>
        <w:rPr>
          <w:rFonts w:ascii="Times New Roman" w:cs="Times New Roman" w:eastAsia="Times New Roman" w:hAnsi="Times New Roman"/>
          <w:sz w:val="16"/>
          <w:szCs w:val="16"/>
          <w:color w:val="auto"/>
        </w:rPr>
      </w:pPr>
    </w:p>
    <w:p>
      <w:pPr>
        <w:ind w:left="660" w:hanging="652"/>
        <w:spacing w:after="0" w:line="265" w:lineRule="auto"/>
        <w:tabs>
          <w:tab w:leader="none" w:pos="448"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funding requirement for 2025 was based on our latest actuarial valuations. See note 17 to our 2024 AFS. A significant deterioration in the asset values or asset returns could lead to higher than expected future contributions. Adjustments to actuarial valuation measurements may also result in higher future cash contributions. We fund our pension and </w:t>
      </w:r>
      <w:r>
        <w:rPr>
          <w:rFonts w:ascii="Times New Roman" w:cs="Times New Roman" w:eastAsia="Times New Roman" w:hAnsi="Times New Roman"/>
          <w:sz w:val="17"/>
          <w:szCs w:val="17"/>
          <w:color w:val="auto"/>
        </w:rPr>
        <w:t>non-pension post-employment plan</w:t>
      </w:r>
      <w:r>
        <w:rPr>
          <w:rFonts w:ascii="Times New Roman" w:cs="Times New Roman" w:eastAsia="Times New Roman" w:hAnsi="Times New Roman"/>
          <w:sz w:val="16"/>
          <w:szCs w:val="16"/>
          <w:color w:val="auto"/>
        </w:rPr>
        <w:t xml:space="preserve"> contributions from cash on hand. Although we have defined benefit plans that are currently in a net unfunded position, we do not expect our pension obligations will have a material adverse impact on our future results of operations, cash flows or liquidity.</w:t>
      </w:r>
    </w:p>
    <w:p>
      <w:pPr>
        <w:spacing w:after="0" w:line="200" w:lineRule="exact"/>
        <w:rPr>
          <w:rFonts w:ascii="Times New Roman" w:cs="Times New Roman" w:eastAsia="Times New Roman" w:hAnsi="Times New Roman"/>
          <w:sz w:val="16"/>
          <w:szCs w:val="16"/>
          <w:color w:val="auto"/>
        </w:rPr>
      </w:pPr>
    </w:p>
    <w:p>
      <w:pPr>
        <w:ind w:left="660" w:hanging="652"/>
        <w:spacing w:after="0" w:line="260" w:lineRule="auto"/>
        <w:tabs>
          <w:tab w:leader="none" w:pos="439"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anticipated payments for purchase obligations recognized on our consolidated balance sheet as of December 31, 2024 ($1,294.8 million recorded in A/P and $805.4 million recorded in accrued and other current liabilities, both included in the amount for 2025) and $2,188.0 million in outstanding purchase orders not recognized on our consolidated balance sheet as of December 31, 2024, as the related services or purchases were not rendered or received (as applicable) as of December 31, 2024. A substantial portion of these purchase orders are for standard inventory items which we have procured for specific customers based on their purchase orders or forecasts, under which such customers have contractually assumed liability for such material, if not consumed. In some cases, we have cash deposits from customers to help mitigate our exposure in connection with acquired inventory.</w:t>
      </w:r>
    </w:p>
    <w:p>
      <w:pPr>
        <w:spacing w:after="0" w:line="5" w:lineRule="exact"/>
        <w:rPr>
          <w:rFonts w:ascii="Times New Roman" w:cs="Times New Roman" w:eastAsia="Times New Roman" w:hAnsi="Times New Roman"/>
          <w:sz w:val="16"/>
          <w:szCs w:val="16"/>
          <w:color w:val="auto"/>
        </w:rPr>
      </w:pPr>
    </w:p>
    <w:p>
      <w:pPr>
        <w:ind w:left="660" w:hanging="652"/>
        <w:spacing w:after="0" w:line="272" w:lineRule="auto"/>
        <w:tabs>
          <w:tab w:leader="none" w:pos="391"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table excludes $49.4 million of long-term deferred income tax liabilities and $58.0 million of provisions and other non-current liabilities primarily pertaining to warranties, as we are unable to reliably estimate the timing of any future payments related thereto. However, long-term liabilities included on our consolidated balance sheet at December 31, 2024 include these items. In addition, 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80" w:name="page81"/>
    <w:bookmarkEnd w:id="80"/>
    <w:p>
      <w:pPr>
        <w:jc w:val="both"/>
        <w:ind w:left="660"/>
        <w:spacing w:after="0" w:line="254" w:lineRule="auto"/>
        <w:rPr>
          <w:sz w:val="20"/>
          <w:szCs w:val="20"/>
          <w:color w:val="auto"/>
        </w:rPr>
      </w:pPr>
      <w:r>
        <w:rPr>
          <w:rFonts w:ascii="Times New Roman" w:cs="Times New Roman" w:eastAsia="Times New Roman" w:hAnsi="Times New Roman"/>
          <w:sz w:val="16"/>
          <w:szCs w:val="16"/>
          <w:color w:val="auto"/>
        </w:rPr>
        <w:t>December 31, 2024, our interest rate swap agreements require us to pay a fixed rate of interest with respect to an aggregate of $330.0 million outstanding under the New Term Loans. These payments, however, are partially offset by related interest we receive, based on the variable interest rates swapped. As the offsets are not determinable and vary from quarter to quarter, this table also excludes the interest payments on our interest rate swap agreements. Further, we are party to the TRS Agreement to manage our cash flow requirements and exposure to fluctuations in the price of our Common Shares in connection with the settlement of certain outstanding equity awards under our SBC plans. Under the TRS Agreement, the counterparty is obligated to make a payment to us upon its termination (in whole or in part) or expiration (Settlement) based on the increase (if any) in the value of the TRS (as defined in such agreement) over the agreement's term, in exchange for periodic payments made by us based on the counterparty's Common Share purchase costs and SOFR plus a specified margin. Similarly, if the value of the TRS decreases over the term of such agreement, we are obligated to pay the counterparty the amount of such decrease upon Settlement. See "Financing Arrangements</w:t>
      </w:r>
    </w:p>
    <w:p>
      <w:pPr>
        <w:spacing w:after="0" w:line="3" w:lineRule="exact"/>
        <w:rPr>
          <w:sz w:val="20"/>
          <w:szCs w:val="20"/>
          <w:color w:val="auto"/>
        </w:rPr>
      </w:pPr>
    </w:p>
    <w:p>
      <w:pPr>
        <w:jc w:val="both"/>
        <w:ind w:left="660" w:right="20"/>
        <w:spacing w:after="0" w:line="267" w:lineRule="auto"/>
        <w:rPr>
          <w:sz w:val="20"/>
          <w:szCs w:val="20"/>
          <w:color w:val="auto"/>
        </w:rPr>
      </w:pPr>
      <w:r>
        <w:rPr>
          <w:rFonts w:ascii="Times New Roman" w:cs="Times New Roman" w:eastAsia="Times New Roman" w:hAnsi="Times New Roman"/>
          <w:sz w:val="16"/>
          <w:szCs w:val="16"/>
          <w:color w:val="auto"/>
        </w:rPr>
        <w:t>— TRS" below for a description of a partial Settlement of the TRS Agreement in each of Q3 2023 and Q1 2024, and payments to us by the counterparty in connection therewith. As the interest payments will vary from period to period and the value of our Common Shares upon further Settlement cannot be determined at this time, this table also excludes the interest and or other payments that may be payable by us with respect to the TRS Agreement.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Commitments:</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As at December 31, 2024, we had additional commitments that expire as follows (in millions):</w:t>
      </w:r>
    </w:p>
    <w:p>
      <w:pPr>
        <w:spacing w:after="0" w:line="46"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40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Foreign currency forward contracts and swaps notional</w:t>
            </w:r>
          </w:p>
        </w:tc>
        <w:tc>
          <w:tcPr>
            <w:tcW w:w="180" w:type="dxa"/>
            <w:vAlign w:val="bottom"/>
          </w:tcPr>
          <w:p>
            <w:pPr>
              <w:spacing w:after="0"/>
              <w:rPr>
                <w:sz w:val="20"/>
                <w:szCs w:val="20"/>
                <w:color w:val="auto"/>
              </w:rPr>
            </w:pP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0" w:type="dxa"/>
            <w:vAlign w:val="bottom"/>
          </w:tcPr>
          <w:p>
            <w:pPr>
              <w:spacing w:after="0"/>
              <w:rPr>
                <w:sz w:val="20"/>
                <w:szCs w:val="20"/>
                <w:color w:val="auto"/>
              </w:rPr>
            </w:pPr>
          </w:p>
        </w:tc>
        <w:tc>
          <w:tcPr>
            <w:tcW w:w="74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2028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98"/>
              </w:rPr>
              <w:t>Thereafter</w:t>
            </w:r>
          </w:p>
        </w:tc>
        <w:tc>
          <w:tcPr>
            <w:tcW w:w="0" w:type="dxa"/>
            <w:vAlign w:val="bottom"/>
          </w:tcPr>
          <w:p>
            <w:pPr>
              <w:spacing w:after="0"/>
              <w:rPr>
                <w:sz w:val="1"/>
                <w:szCs w:val="1"/>
                <w:color w:val="auto"/>
              </w:rPr>
            </w:pPr>
          </w:p>
        </w:tc>
      </w:tr>
      <w:tr>
        <w:trPr>
          <w:trHeight w:val="156"/>
        </w:trPr>
        <w:tc>
          <w:tcPr>
            <w:tcW w:w="4060" w:type="dxa"/>
            <w:vAlign w:val="bottom"/>
            <w:vMerge w:val="continue"/>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5"/>
        </w:trPr>
        <w:tc>
          <w:tcPr>
            <w:tcW w:w="4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amounts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748.0</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748.0</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060" w:type="dxa"/>
            <w:vAlign w:val="bottom"/>
          </w:tcPr>
          <w:p>
            <w:pPr>
              <w:spacing w:after="0" w:line="230" w:lineRule="exact"/>
              <w:rPr>
                <w:sz w:val="20"/>
                <w:szCs w:val="20"/>
                <w:color w:val="auto"/>
              </w:rPr>
            </w:pPr>
            <w:r>
              <w:rPr>
                <w:rFonts w:ascii="Times New Roman" w:cs="Times New Roman" w:eastAsia="Times New Roman" w:hAnsi="Times New Roman"/>
                <w:sz w:val="18"/>
                <w:szCs w:val="18"/>
                <w:color w:val="auto"/>
              </w:rPr>
              <w:t>L/Cs, letters of guarantee and surety bonds</w:t>
            </w:r>
            <w:r>
              <w:rPr>
                <w:rFonts w:ascii="Times New Roman" w:cs="Times New Roman" w:eastAsia="Times New Roman" w:hAnsi="Times New Roman"/>
                <w:sz w:val="23"/>
                <w:szCs w:val="23"/>
                <w:color w:val="auto"/>
                <w:vertAlign w:val="superscript"/>
              </w:rPr>
              <w:t>(i)</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38"/>
        </w:trPr>
        <w:tc>
          <w:tcPr>
            <w:tcW w:w="4060" w:type="dxa"/>
            <w:vAlign w:val="bottom"/>
          </w:tcPr>
          <w:p>
            <w:pPr>
              <w:spacing w:after="0" w:line="237" w:lineRule="exact"/>
              <w:rPr>
                <w:sz w:val="20"/>
                <w:szCs w:val="20"/>
                <w:color w:val="auto"/>
              </w:rPr>
            </w:pPr>
            <w:r>
              <w:rPr>
                <w:rFonts w:ascii="Times New Roman" w:cs="Times New Roman" w:eastAsia="Times New Roman" w:hAnsi="Times New Roman"/>
                <w:sz w:val="18"/>
                <w:szCs w:val="18"/>
                <w:color w:val="auto"/>
              </w:rPr>
              <w:t>Capital expenditures</w:t>
            </w:r>
            <w:r>
              <w:rPr>
                <w:rFonts w:ascii="Times New Roman" w:cs="Times New Roman" w:eastAsia="Times New Roman" w:hAnsi="Times New Roman"/>
                <w:sz w:val="23"/>
                <w:szCs w:val="23"/>
                <w:color w:val="auto"/>
                <w:vertAlign w:val="superscript"/>
              </w:rPr>
              <w:t>(ii)</w:t>
            </w: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7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831.3</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807.8</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1"/>
        </w:trPr>
        <w:tc>
          <w:tcPr>
            <w:tcW w:w="4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6" w:lineRule="exact"/>
        <w:rPr>
          <w:sz w:val="20"/>
          <w:szCs w:val="20"/>
          <w:color w:val="auto"/>
        </w:rPr>
      </w:pPr>
    </w:p>
    <w:p>
      <w:pPr>
        <w:ind w:left="660" w:hanging="652"/>
        <w:spacing w:after="0" w:line="274" w:lineRule="auto"/>
        <w:tabs>
          <w:tab w:leader="none" w:pos="411"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Includes $11.1 million in L/Cs issued under our Revolver, which matures in June 2029. See "Liquidity — </w:t>
      </w:r>
      <w:r>
        <w:rPr>
          <w:rFonts w:ascii="Times New Roman" w:cs="Times New Roman" w:eastAsia="Times New Roman" w:hAnsi="Times New Roman"/>
          <w:sz w:val="16"/>
          <w:szCs w:val="16"/>
          <w:i w:val="1"/>
          <w:iCs w:val="1"/>
          <w:color w:val="auto"/>
        </w:rPr>
        <w:t>Cash provided by and used in financing activities</w:t>
      </w:r>
      <w:r>
        <w:rPr>
          <w:rFonts w:ascii="Times New Roman" w:cs="Times New Roman" w:eastAsia="Times New Roman" w:hAnsi="Times New Roman"/>
          <w:sz w:val="16"/>
          <w:szCs w:val="16"/>
          <w:color w:val="auto"/>
        </w:rPr>
        <w:t xml:space="preserve"> — Financing and Finance Costs" above for the maturity dates of obligations under the Credit Facility.</w:t>
      </w:r>
    </w:p>
    <w:p>
      <w:pPr>
        <w:ind w:left="660" w:hanging="652"/>
        <w:spacing w:after="0" w:line="261" w:lineRule="auto"/>
        <w:tabs>
          <w:tab w:leader="none" w:pos="419"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at December 31, 2024, management had approved $74.6 million for capital expenditures, primarily to increase manufacturing space at certain facilities and for machinery and equipment to support new customer programs (approximately 38% of which is committed for the Americas, approximately 53% of which is committed for Asia, and the remainder of which is committed for Europe). Of such approved amount, $49.2 million in purchase orders were issued to third-party vendors as of December 31, 2024. Our capital spending varies each period based on, among other things, the timing of new business wins and forecasted sales levels. Based on our current plans, we anticipate capital spending for 2025 to be between 1.5% to 2.0% of revenue, and expect to fund these expenditures from cash on hand and through the financing agreements described below under "Capital Resources." Our intended 2025 capital spending is geared towards capacity expansion at certain sites in support of demand for AI/ML compute and HPS programs.</w:t>
      </w:r>
    </w:p>
    <w:p>
      <w:pPr>
        <w:spacing w:after="0" w:line="17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Cash outlays for our contractual obligations and commitments identified in the tables above are expected to be funded from cash on hand and through the financing arrangements described below under "Capital Resources."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Financing Arrangements:</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The Term A Loan and the Term B Loan require quarterly principal repayments of $3.125 million and $1.250 million, respectively, and each of the New Term Loans requires a lump sum repayment of the remainder outstanding at maturity. As described above, we are also required to make annual prepayments of outstanding obligations under the Credit Facility based on specified excess cash flow and net cash proceeds. Although no such prepayments will be required in 2025, such prepayments may be required in future years. Any outstanding amounts under the Revolver are due at maturity. </w:t>
      </w:r>
      <w:r>
        <w:rPr>
          <w:rFonts w:ascii="Times New Roman" w:cs="Times New Roman" w:eastAsia="Times New Roman" w:hAnsi="Times New Roman"/>
          <w:sz w:val="16"/>
          <w:szCs w:val="16"/>
          <w:color w:val="auto"/>
        </w:rPr>
        <w:t>S</w:t>
      </w:r>
      <w:r>
        <w:rPr>
          <w:rFonts w:ascii="Times New Roman" w:cs="Times New Roman" w:eastAsia="Times New Roman" w:hAnsi="Times New Roman"/>
          <w:sz w:val="17"/>
          <w:szCs w:val="17"/>
          <w:color w:val="auto"/>
        </w:rPr>
        <w:t>ee "Liquidity —</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7"/>
          <w:szCs w:val="17"/>
          <w:i w:val="1"/>
          <w:iCs w:val="1"/>
          <w:color w:val="auto"/>
        </w:rPr>
        <w:t>Cash provided by and used in financing activities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7"/>
          <w:szCs w:val="17"/>
          <w:color w:val="auto"/>
        </w:rPr>
        <w:t>— Financing and Finance Costs" above for annual interest and commitment fees paid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7"/>
          <w:szCs w:val="17"/>
          <w:color w:val="auto"/>
        </w:rPr>
        <w:t>under the Credit Facility, as well as a description of Intra-Quarter B/Rs. Interest rates applicable to borrowings under the Credit Facility are described under "Capital Resources" below.</w:t>
      </w:r>
    </w:p>
    <w:p>
      <w:pPr>
        <w:spacing w:after="0" w:line="18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do not believe that the aggregate amounts outstanding under our Credit Facility as at December 31, 2024 ($741.2 million under the New Term Loans, and $11.1 million in ordinary course L/Cs), had or will have a material adverse impact on our liquidity, our results of operations or financial condition (unless our debt obligations mature without refinancing). In addition, we do not believe that Intra-Quarter B/Rs have had (or future Intra-Quarter B/Rs will have) a material adverse impact on our liquidity, results of operations or financial condition. See "Capital Resources" below for a description of our available sources of liquidity.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81" w:name="page82"/>
    <w:bookmarkEnd w:id="81"/>
    <w:p>
      <w:pPr>
        <w:jc w:val="both"/>
        <w:ind w:firstLine="223"/>
        <w:spacing w:after="0" w:line="254" w:lineRule="auto"/>
        <w:rPr>
          <w:sz w:val="20"/>
          <w:szCs w:val="20"/>
          <w:color w:val="auto"/>
        </w:rPr>
      </w:pPr>
      <w:r>
        <w:rPr>
          <w:rFonts w:ascii="Times New Roman" w:cs="Times New Roman" w:eastAsia="Times New Roman" w:hAnsi="Times New Roman"/>
          <w:sz w:val="18"/>
          <w:szCs w:val="18"/>
          <w:color w:val="auto"/>
        </w:rPr>
        <w:t>However, our current outstanding indebtedness, and the mandatory prepayment provisions of the Credit Facility (described above), require us to use a portion of our cash flow to service such debt, and may reduce our ability to fund future acquisitions and/or to respond to unexpected capital requirements; limit our ability to obtain additional financing for future investments, working capital, or other corporate purposes; limit our ability to refinance our indebtedness on terms acceptable to us or at all; limit our flexibility to plan for and adjust to changing business and market conditions; increase our vulnerability to general adverse economic and industry conditions; and/or reduce our debt agency ratings. Existing or increased third-party indebtedness could have a variety of other adverse effects, including: (i) default and foreclosure on our assets if refinancing is unavailable on acceptable terms and we have insufficient funds to repay the debt obligations when due; and (ii) acceleration of such indebtedness or cross-defaults if we breach applicable financial or other covenants and such breaches are not waived.</w:t>
      </w:r>
    </w:p>
    <w:p>
      <w:pPr>
        <w:spacing w:after="0" w:line="192" w:lineRule="exact"/>
        <w:rPr>
          <w:sz w:val="20"/>
          <w:szCs w:val="20"/>
          <w:color w:val="auto"/>
        </w:rPr>
      </w:pPr>
    </w:p>
    <w:p>
      <w:pPr>
        <w:jc w:val="both"/>
        <w:ind w:firstLine="267"/>
        <w:spacing w:after="0" w:line="256" w:lineRule="auto"/>
        <w:rPr>
          <w:sz w:val="20"/>
          <w:szCs w:val="20"/>
          <w:color w:val="auto"/>
        </w:rPr>
      </w:pPr>
      <w:r>
        <w:rPr>
          <w:rFonts w:ascii="Times New Roman" w:cs="Times New Roman" w:eastAsia="Times New Roman" w:hAnsi="Times New Roman"/>
          <w:sz w:val="18"/>
          <w:szCs w:val="18"/>
          <w:color w:val="auto"/>
        </w:rPr>
        <w:t>The Credit Facility contains restrictive covenants that limit our ability to engage in specified types of transactions, and limit share repurchases for cancellation if our consolidated secured leverage ratio (as defined in such facility) exceeds a specified amount, as well as specified financial covenants (described in "Capital Resources" below). Currently, we expect to remain in compliance with our Credit Facility covenants. However, our ability to maintain compliance with applicable financial covenants will depend on our ongoing financial and operating performance, which, in turn, may be impacted by economic conditions and financial, market, and competitive factors, many of which are beyond our control. A breach of any such covenants could result in a default under the instruments governing our indebtedness.</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As at December 31, 2024 and December 31, 2023, other than ordinary course L/Cs, no amounts were outstanding under the Revolver (however, see the Credit Facility activity table under "Financing and Finance Costs — </w:t>
      </w:r>
      <w:r>
        <w:rPr>
          <w:rFonts w:ascii="Times New Roman" w:cs="Times New Roman" w:eastAsia="Times New Roman" w:hAnsi="Times New Roman"/>
          <w:sz w:val="18"/>
          <w:szCs w:val="18"/>
          <w:i w:val="1"/>
          <w:iCs w:val="1"/>
          <w:color w:val="auto"/>
        </w:rPr>
        <w:t>Credit Agreement</w:t>
      </w:r>
      <w:r>
        <w:rPr>
          <w:rFonts w:ascii="Times New Roman" w:cs="Times New Roman" w:eastAsia="Times New Roman" w:hAnsi="Times New Roman"/>
          <w:sz w:val="18"/>
          <w:szCs w:val="18"/>
          <w:color w:val="auto"/>
        </w:rPr>
        <w:t>" above for Intra-Quarter B/Rs during recent periods). At December 31, 2024, nil of A/R were sold under our A/R sales program (December 31, 2023 — nil). In addition, to offset the impact of extended payment terms for particular customers on our working capital, we also participate in three customer SFPs, pursuant to which we sell A/R from such customers to third-party banks on an uncommitted basis to receive earlier payment. At December 31, 2024, an aggregate of nil of A/R were sold under the SFPs (December 31, 2023 — $18.6 million). During 2024, we sold an aggregate of approximately $182 million under our A/R sales program and customer SFPs (2023 — $1,959 million; 2022 — $2,218 million). See "Capital Resources" below for a description of our A/R sales program and SFPs. We vary the amounts we offer to sell under our A/R sales program and customer SFPs depending on our short-term ordinary course cash requirements.</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expect to fund our Finance Costs with cash on hand.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TRS:</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December 2022, we entered into the TRS Agreement with a third-party bank with respect to an original notional amount of 3.0 million of our Common Shares (Original Notional Amount) to manage our cash flow requirements and exposure to fluctuations in the price of our Common Shares in connection with the settlement of certain outstanding equity awards under our SBC plans. The counterparty under the TRS Agreement is obligated to make a payment to us upon its termination (in whole or in part) or expiration (Settlement) based on the increase (if any) in the value of the TRS (as defined in the TRS Agreement) over the agreement's term, in exchange for periodic payments made by us based on the counterparty's Common Share purchase costs and the SOFR plus a specified margin. Similarly, if the value of the TRS (as defined in the TRS Agreement) decreases over the term of the TRS Agreement, we are obligated to pay the counterparty the amount of such decrease upon Settlement. The change in value of the TRS is determined by comparing the average amount realized by the counterparty upon the disposition of purchased Common Shares to the average amount paid for such Common Shares. In each of September 2023 and February 2024, we terminated a portion of the TRS Agreement by reducing the Original Notional Amount by 0.5 million Common Shares and 1.25 million Common Shares, respectively, and received $5.0 million and $32.3 million, respectively, from the counterparty in connection therewith, which we recorded as cash provided by financing activities in our consolidated statement of cash flows. As the interest payments under the TRS Agreement will vary from period to period and the value of our Common Shares upon further Settlement cannot be ascertained in advance, we cannot determine future interest and/or other payments that may be payable by (or to) us with respect to our TRS Agreement. We expect to fund required payments under our TRS Agreement from cash on hand.</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Repatriations: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at December 31, 2024, a significant portion of our cash and cash equivalents was held by foreign subsidiaries outside of Canada, a large part of which may be subject to withholding taxes upon repatriation under current tax laws. Cash and cash equivalents held by subsidiaries, which we do not intend to repatriate in the foreseeable future, are not subject to these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82" w:name="page83"/>
    <w:bookmarkEnd w:id="82"/>
    <w:p>
      <w:pPr>
        <w:jc w:val="both"/>
        <w:spacing w:after="0" w:line="254" w:lineRule="auto"/>
        <w:rPr>
          <w:sz w:val="20"/>
          <w:szCs w:val="20"/>
          <w:color w:val="auto"/>
        </w:rPr>
      </w:pPr>
      <w:r>
        <w:rPr>
          <w:rFonts w:ascii="Times New Roman" w:cs="Times New Roman" w:eastAsia="Times New Roman" w:hAnsi="Times New Roman"/>
          <w:sz w:val="18"/>
          <w:szCs w:val="18"/>
          <w:color w:val="auto"/>
        </w:rPr>
        <w:t>withholding taxes. We repatriated approximately $422 million of cash in 2024 from various of our foreign subsidiaries, and remitted withholding taxes of approximately $23 million. We currently expect to repatriate an aggregate of approximately $85 million of cash in the foreseeable future from various foreign subsidiaries, and have recorded anticipated related withholding taxes as deferred income tax liabilities (approximately $5 million). While some of our subsidiaries are subject to local governmental restrictions on the flow of capital into and out of their jurisdictions (including in the form of cash dividends, loans or advances to us), which is required or desirable from time to time to meet our international working capital needs and other business objectives (as described above), these restrictions have not had (and are not reasonably likely to have) a material impact on our ability to meet our cash obligations. At December 31, 2024, we had approximately $300 million (December 31, 2023 — $285 million) of cash and cash equivalents held by foreign subsidiaries outside of Canada that we do not intend to repatriate in the foreseeable future.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 Expenditures: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capital spending varies each period based on, among other things, the timing of new business wins and forecasted sales levels. See footnote</w:t>
      </w:r>
    </w:p>
    <w:p>
      <w:pPr>
        <w:spacing w:after="0" w:line="27" w:lineRule="exact"/>
        <w:rPr>
          <w:sz w:val="20"/>
          <w:szCs w:val="20"/>
          <w:color w:val="auto"/>
        </w:rPr>
      </w:pPr>
    </w:p>
    <w:p>
      <w:pPr>
        <w:jc w:val="both"/>
        <w:ind w:firstLine="8"/>
        <w:spacing w:after="0" w:line="255" w:lineRule="auto"/>
        <w:tabs>
          <w:tab w:leader="none" w:pos="332"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"Additional Commitments" table above for a description of approved capital expenditure amounts as of December 31, 2024, and anticipated capital expenditures for 2025. We expect to fund these expenditures from cash on hand and through the financing arrangements described below under "Capital Resources."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Share Repurchases:</w:t>
      </w:r>
    </w:p>
    <w:p>
      <w:pPr>
        <w:spacing w:after="0" w:line="225" w:lineRule="exact"/>
        <w:rPr>
          <w:sz w:val="20"/>
          <w:szCs w:val="20"/>
          <w:color w:val="auto"/>
        </w:rPr>
      </w:pPr>
    </w:p>
    <w:p>
      <w:pPr>
        <w:jc w:val="both"/>
        <w:ind w:firstLine="190"/>
        <w:spacing w:after="0" w:line="261" w:lineRule="auto"/>
        <w:rPr>
          <w:sz w:val="20"/>
          <w:szCs w:val="20"/>
          <w:color w:val="auto"/>
        </w:rPr>
      </w:pPr>
      <w:r>
        <w:rPr>
          <w:rFonts w:ascii="Times New Roman" w:cs="Times New Roman" w:eastAsia="Times New Roman" w:hAnsi="Times New Roman"/>
          <w:sz w:val="18"/>
          <w:szCs w:val="18"/>
          <w:color w:val="auto"/>
        </w:rPr>
        <w:t>We have funded and intend to continue to fund our Common Share repurchases under our NCIBs from cash on hand, borrowings under the Revolver, or a combination thereof. We have funded, and expect to continue to fund, Common Share repurchases to satisfy delivery obligations under SBC plan awards from cash on hand. The timing of, and the amounts paid for, these repurchases can vary from period to period. See "Summary of Key Operating Results and Financial Information" above.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Lease Obligations: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At December 31, 2024, we recognized a total of $196.8 million of finance lease and operating lease obligations (December 31, 2023 — $176.5 million). Also see footnote (ii) to the "Contractual Obligations" table above. All lease obligations are expected to be funded with cash on hand and through the financing arrangements described below under "Capital Resources."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Litigation and contingencies (including indemnities):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In the normal course of our operations, we may be subject to litigation, investigations and other claims, including legal, regulatory and tax proceedings. Management believes that adequate provisions have been recorded where required. Although it is not always possible to estimate the extent of potential costs, if any, management believes that the ultimate resolution of all such currently pending matters will not have a material adverse impact on our financial performance, financial position or liquidity. See "Operating Results —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above for a description of the ongoing Romanian income and value-added tax matter and Thailand value-added tax matter.</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provide routine indemnifications, the terms of which range in duration and scope, and often are not explicitly defined, including for third-party intellectual property infringement, certain negligence claims, and for our directors and officers. We have also provided indemnifications in connection with the sale of certain assets or business and each of the Secondary Offerings. The maximum potential liability from these indemnifications cannot be reasonably estimated. In some cases, we have recourse against other parties or insurance to mitigate our risk of loss from these indemnifications. Historically, we have not made significant payments relating to these types of indemnifications.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Resources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capital resources consist of cash provided by operating activities, access to the Revolver, uncommitted intraday and overnight bank overdraft facilities, an uncommitted A/R sales program, three uncommitted SFPs, and our ability to issue debt or equity securities. We regularly review our borrowing capacity and make adjustments, as permitted, for changes in economic conditions and changes in our requirements. We centrally manage our funding and treasury activities in accordance with corporate policies, and our main objectives are to ensure appropriate levels of liquidity, to have funds available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83" w:name="page84"/>
    <w:bookmarkEnd w:id="83"/>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working capital or other investments we determine are required to grow our business, to comply with debt covenants, to maintain adequate levels of insurance, and to balance our exposures to market risks.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At December 31, 2024, we had cash and cash equivalents of $423.3 million (December 31, 2023 — $370.4 million), the majority of which was denominated in U.S. dollars. We also held cash and cash equivalents in the following currencies: British pound sterling, Brazilian real, Canadian dollar, Chinese renminbi, Czech koruna, Euro, Hong Kong dollar, Indian rupee, Indonesian rupiah, Japanese yen, Korean won, Lao kip, Malaysian ringgit, Mexican peso, Philippine peso, Romanian leu, Singapore dollar, Taiwan dollar, and Thai baht. Our cash and cash equivalents are subject to intra-quarter swings, generally related to the timing of A/R collections, inventory purchases and payments, and other capital uses.</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As of December 31, 2024, an aggregate of $741.2 million was outstanding under the New Term Loans, and other than ordinary course L/Cs, no amounts were outstanding under the Revolver (December 31, 2023 — $608.9 million outstanding under our prior term loans, and other than ordinary course L/Cs, no amounts outstanding under the Revolver). See "Liquidity — </w:t>
      </w:r>
      <w:r>
        <w:rPr>
          <w:rFonts w:ascii="Times New Roman" w:cs="Times New Roman" w:eastAsia="Times New Roman" w:hAnsi="Times New Roman"/>
          <w:sz w:val="18"/>
          <w:szCs w:val="18"/>
          <w:i w:val="1"/>
          <w:iCs w:val="1"/>
          <w:color w:val="auto"/>
        </w:rPr>
        <w:t>Cash provided by and used in financing activities — Financing and Finance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Costs</w:t>
      </w:r>
      <w:r>
        <w:rPr>
          <w:rFonts w:ascii="Times New Roman" w:cs="Times New Roman" w:eastAsia="Times New Roman" w:hAnsi="Times New Roman"/>
          <w:sz w:val="18"/>
          <w:szCs w:val="18"/>
          <w:color w:val="auto"/>
        </w:rPr>
        <w:t>" above for a discussion of amounts borrowed and repaid under our Credit Facility during 2022, 2023 and 2024. Except under specified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circumstances, and subject to the payment of breakage costs (if any), we are generally permitted to make voluntary prepayments of outstanding amounts under the Revolver and the New Term Loans without any other premium or penalty. Repaid amounts on the New Term Loans may not be re-borrowed. Repaid amounts on the Revolver may be re-borrowed. At December 31, 2024, we had $738.9 million available under the Revolver for future borrowings, reflecting outstanding L/Cs issued under the Credit Facility (December 31, 2023 — $589.5 million of availability).</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Credit Facility has an accordion feature that allows us to increase the New Term Loans and/or commitments under the Revolver by $200.0 million, plus an unlimited amount to the extent that a specified leverage ratio on a pro forma basis does not exceed specified limits, in each case on an uncommitted basis and subject to the satisfaction of certain terms and conditions. The Revolver also includes a $50.0 million sub-limit for swing-line loans, providing for short-term borrowings up to a maximum of ten business days, and a $150.0 million sub-limit for L/Cs, in each case subject to the overall Revolver credit limit. The Revolver permits us and certain designated subsidiaries to borrow funds (subject to specified conditions) for general corporate purposes, including for capital expenditures, certain acquisitions, and working capital needs.</w:t>
      </w:r>
    </w:p>
    <w:p>
      <w:pPr>
        <w:spacing w:after="0" w:line="18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amended our Credit Facility in June 2023 to replace LIBOR with Adjusted Term SOFR (</w:t>
      </w:r>
      <w:r>
        <w:rPr>
          <w:rFonts w:ascii="Times New Roman" w:cs="Times New Roman" w:eastAsia="Times New Roman" w:hAnsi="Times New Roman"/>
          <w:sz w:val="16"/>
          <w:szCs w:val="16"/>
          <w:color w:val="auto"/>
        </w:rPr>
        <w:t>S</w:t>
      </w:r>
      <w:r>
        <w:rPr>
          <w:rFonts w:ascii="Times New Roman" w:cs="Times New Roman" w:eastAsia="Times New Roman" w:hAnsi="Times New Roman"/>
          <w:sz w:val="18"/>
          <w:szCs w:val="18"/>
          <w:color w:val="auto"/>
        </w:rPr>
        <w:t xml:space="preserve">ee "Liquidity — </w:t>
      </w:r>
      <w:r>
        <w:rPr>
          <w:rFonts w:ascii="Times New Roman" w:cs="Times New Roman" w:eastAsia="Times New Roman" w:hAnsi="Times New Roman"/>
          <w:sz w:val="18"/>
          <w:szCs w:val="18"/>
          <w:i w:val="1"/>
          <w:iCs w:val="1"/>
          <w:color w:val="auto"/>
        </w:rPr>
        <w:t>Cash provided by and used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financing activities </w:t>
      </w:r>
      <w:r>
        <w:rPr>
          <w:rFonts w:ascii="Times New Roman" w:cs="Times New Roman" w:eastAsia="Times New Roman" w:hAnsi="Times New Roman"/>
          <w:sz w:val="18"/>
          <w:szCs w:val="18"/>
          <w:color w:val="auto"/>
        </w:rPr>
        <w:t>— Financing and Finance Costs" above). Subsequent to the June 2023 Amendment and prior to the June 2024 Amendment, borrowings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the Revolver bore interest, depending on the currency of the borrowing and our election for such currency, at: (i) Adjusted Term SOFR, (ii) Base Rate, (iii) Canadian Prime, (iv) an Alternative Currency Daily Rate or (v) an Alternative Currency Term Rate (each as defined in the Credit Facility prior to the June 2024 Amendment) plus a specified margin. The margin for borrowings under the Revolver and the Incremental Term Loan ranges from 1.50% to 2.25% for Adjusted Term SOFR borrowings (as applicable) and Alternative Currency borrowings, and from 0.50% to 1.25% for Base Rate and Canadian Prime borrowings, in each case depending on the rate we select and our consolidated leverage ratio (as defined in the Credit Facility prior to the June 2024 Amendment). Commitment fees range from 0.30% to 0.45% depending on our consolidated leverage ratio.</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Subsequent to the June 2024 Amendment, borrowings under the Revolver bear interest, depending on the currency of the borrowing and our election for such currency, at: (i) Adjusted Term SOFR, (ii) Base Rate, (iii) Canadian Prime, (iv) an Alternative Currency Daily Rate or (v) an Alternative Currency Term Rate (each as defined in the Credit Facility subsequent to the June 2024 Amendment) plus a specified margin. The margin for borrowings under the Revolver ranges from 1.50% to 2.25% for Adjusted Term SOFR, Alternative Currency Daily Rate or Alternative Currency Term Rate borrowings, and from 0.50% to 1.25% for Base Rate and Canadian Prime borrowings, in each case depending on the rate we select and a defined net leverage ratio. Commitment fees range from 0.30% to 0.45%, depending on our defined net leverage ratio. Outstanding amounts under the Term A Loan bear interest at Adjusted Term SOFR or Base Rate, plus a margin ranging from 1.50% — 2.25% for Adjusted Term SOFR borrowings and from 0.50% — 1.25% for Base Rate borrowings, in each case depending on the rate we select and our defined net leverage ratio. Outstanding amounts under the Term B Loan bear interest at Term SOFR plus 1.75% or the Base Rate plus 0.75%, depending on the rate we select. At December 31, 2024, outstanding amounts under the Term A Loan bore interest at Adjusted Term SOFR plus 1.75%; outstanding amounts under the Term B Loan bore interest at Term SOFR plus 1.75%; and no amounts were outstanding under the Revolver.</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order to partially hedge against our exposure to interest rate variability on our New Term Loans, we are party to various agreements with third-party banks to swap the variable interest rate with a fixed rate of interest. At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84" w:name="page85"/>
    <w:bookmarkEnd w:id="84"/>
    <w:p>
      <w:pPr>
        <w:jc w:val="both"/>
        <w:spacing w:after="0" w:line="256" w:lineRule="auto"/>
        <w:rPr>
          <w:sz w:val="20"/>
          <w:szCs w:val="20"/>
          <w:color w:val="auto"/>
        </w:rPr>
      </w:pPr>
      <w:r>
        <w:rPr>
          <w:rFonts w:ascii="Times New Roman" w:cs="Times New Roman" w:eastAsia="Times New Roman" w:hAnsi="Times New Roman"/>
          <w:sz w:val="18"/>
          <w:szCs w:val="18"/>
          <w:color w:val="auto"/>
        </w:rPr>
        <w:t>we had interest rate swaps hedging the interest rate risk associated with $130.0 million of our Term A Loan borrowings and $200.0 million of our Term B Loan borrowings, each of which expire in December 2025. Prior to the June 2024 Amendment, these interest rate swaps were used to hedge $100.0 million of our Initial Term Loan borrowings and $230.0 million of our Incremental Term Loan borrowings. We continue to apply hedge accounting to our interest rate swaps, as the term loan borrowings prior to and subsequent to the June 2024 Amendment share the same floating interest rate risk. The option to cancel up to $50.0 million of the notional amount of the interest rate swaps on the Incremental Term Loan from January 2024 through October 2025 was terminated in January 2024.</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we amended our Credit Facility in June 2023 to replace LIBOR with Adjusted Term SOFR, all of our interest rate swap agreements were similarly amended in June 2023 (which constituted our remaining agreements indexed to LIBOR). None of these amendments (individually or in the aggregate) had a significant impact on our consolidated financial statements. We continued to apply hedge accounting on our interest rate swaps.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At December 31, 2024, the interest rate risk related to $411.2 million of borrowings under the Credit Facility was unhedged, consisting of $411.2 million of unhedged amounts outstanding under the New Term Loans (December 31, 2023 — aggregate of $278.9 million under the Initial Term Loan and the Incremental Term Loan). A one-percentage point increase in applicable interest rates would increase interest expense, based on outstanding borrowings under the Credit Facility at December 31, 2024, and including the impact of our interest rate swap agreements, by $4.1 million annually. See note 19 to our 2024 AFS for further information regarding our interest rate swap agreements.</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required to comply with certain restrictive covenants under the Credit Facility, including those relating to the incurrence of certain indebtedness, the existence of certain liens, the sale of certain assets, specified investments and payments, sale and leaseback transactions, and certain financial covenants relating to a defined interest coverage ratio and leverage ratio that are tested on a quarterly basis. At December 31, 2024, we were in compliance with all restrictive and financial covenants under the Credit Facility. Our Credit Facility also limits share repurchases for cancellation if our consolidated secured leverage ratio (as defined in such facility) exceeds a specified amount (Repurchase Restriction). The Repurchase Restriction did not prohibit Common Share purchases during 2022 to 2024. The obligations under the Credit Facility are guaranteed by us and certain specified subsidiaries. Subject to specified exemptions and limitations, all assets of the guarantors are pledged as security for the obligations under the Credit Facility. The Credit Facility contains customary events of default. If an event of default occurs and is continuing (and is not waived), the Administrative Agent may declare all amounts outstanding under the Credit Facility to be immediately due and payable and may cancel the lenders' commitments to make further advances thereunder. In the event of a payment or other specified defaults, outstanding obligations accrue interest at a specified default rate.</w:t>
      </w:r>
    </w:p>
    <w:p>
      <w:pPr>
        <w:spacing w:after="0" w:line="19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At December 31, 2024, we had $11.1 million outstanding in L/Cs under the Revolver (December 31, 2023 — $10.5 million). We also arrange bank guarantees and surety bonds outside of the Revolver. At December 31, 2024, we had $23.0 million of bank guarantees and surety bonds outstanding (December 31, 2023 — $16.5 million).</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At December 31, 2024, we also had a total of $198.5 million in uncommitted bank overdraft facilities available for intraday and overnight operating requirements (December 31, 2023 — $198.5 million). There were no amounts outstanding under these overdraft facilities at December 31, 2024 or December 31, 2023.</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We are party to an agreement with a third-party bank to sell up to $450.0 million in A/R on an uncommitted, revolving basis, subject to pre-determined limits by customer. This agreement provides for automatic annual one-year extensions. This agreement may be terminated at any time by the bank or by us upon 3 months' prior notice, or by the bank upon specified defaults. We also participate in three customer SFPs, pursuant to which we sell A/R from the relevant customer to third-party banks on an uncommitted basis to receive earlier payment (substantially offsetting the effect of such customer's extended payment terms on our working capital for the period). The SFPs have indefinite terms and may be terminated at any time by the customer or by us upon specified prior notice. A/R are sold under these arrangements net of discount charges. As our A/R sales program and the SFPs are on an uncommitted basis, there can be no assurance that any of the banks will purchase any of the A/R we intend to sell to them thereunder. However, as the A/R that we offer to sell under these programs are largely from customers we deem to be creditworthy, we believe that such offers will continue to be accepted. See "Liquidity — </w:t>
      </w:r>
      <w:r>
        <w:rPr>
          <w:rFonts w:ascii="Times New Roman" w:cs="Times New Roman" w:eastAsia="Times New Roman" w:hAnsi="Times New Roman"/>
          <w:sz w:val="18"/>
          <w:szCs w:val="18"/>
          <w:i w:val="1"/>
          <w:iCs w:val="1"/>
          <w:color w:val="auto"/>
        </w:rPr>
        <w:t>Cash requirements</w:t>
      </w:r>
      <w:r>
        <w:rPr>
          <w:rFonts w:ascii="Times New Roman" w:cs="Times New Roman" w:eastAsia="Times New Roman" w:hAnsi="Times New Roman"/>
          <w:sz w:val="18"/>
          <w:szCs w:val="18"/>
          <w:color w:val="auto"/>
        </w:rPr>
        <w:t xml:space="preserve"> — Financing Arrangements" above for a description of A/R amounts sold under these arrangements during recent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85" w:name="page86"/>
    <w:bookmarkEnd w:id="85"/>
    <w:p>
      <w:pPr>
        <w:ind w:right="20" w:firstLine="211"/>
        <w:spacing w:after="0" w:line="261" w:lineRule="auto"/>
        <w:rPr>
          <w:sz w:val="20"/>
          <w:szCs w:val="20"/>
          <w:color w:val="auto"/>
        </w:rPr>
      </w:pPr>
      <w:r>
        <w:rPr>
          <w:rFonts w:ascii="Times New Roman" w:cs="Times New Roman" w:eastAsia="Times New Roman" w:hAnsi="Times New Roman"/>
          <w:sz w:val="18"/>
          <w:szCs w:val="18"/>
          <w:color w:val="auto"/>
        </w:rPr>
        <w:t>The timing and the amounts we borrow and repay under our Revolver (including Intra-Quarter B/Rs) and overdraft facilities, or sell under the SFPs or our A/R sales program, can vary significantly from month-to-month depending on our working capital and other cash requirements. See "Operating Results</w:t>
      </w:r>
    </w:p>
    <w:p>
      <w:pPr>
        <w:spacing w:after="0" w:line="260" w:lineRule="auto"/>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Finance Costs</w:t>
      </w:r>
      <w:r>
        <w:rPr>
          <w:rFonts w:ascii="Times New Roman" w:cs="Times New Roman" w:eastAsia="Times New Roman" w:hAnsi="Times New Roman"/>
          <w:sz w:val="18"/>
          <w:szCs w:val="18"/>
          <w:color w:val="auto"/>
        </w:rPr>
        <w:t xml:space="preserve">" and "Liquidity — </w:t>
      </w:r>
      <w:r>
        <w:rPr>
          <w:rFonts w:ascii="Times New Roman" w:cs="Times New Roman" w:eastAsia="Times New Roman" w:hAnsi="Times New Roman"/>
          <w:sz w:val="18"/>
          <w:szCs w:val="18"/>
          <w:i w:val="1"/>
          <w:iCs w:val="1"/>
          <w:color w:val="auto"/>
        </w:rPr>
        <w:t>Cash provided by and used in financing activities</w:t>
      </w:r>
      <w:r>
        <w:rPr>
          <w:rFonts w:ascii="Times New Roman" w:cs="Times New Roman" w:eastAsia="Times New Roman" w:hAnsi="Times New Roman"/>
          <w:sz w:val="18"/>
          <w:szCs w:val="18"/>
          <w:color w:val="auto"/>
        </w:rPr>
        <w:t xml:space="preserve"> — Financing and Finance Costs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and "Liquidity — </w:t>
      </w:r>
      <w:r>
        <w:rPr>
          <w:rFonts w:ascii="Times New Roman" w:cs="Times New Roman" w:eastAsia="Times New Roman" w:hAnsi="Times New Roman"/>
          <w:sz w:val="18"/>
          <w:szCs w:val="18"/>
          <w:i w:val="1"/>
          <w:iCs w:val="1"/>
          <w:color w:val="auto"/>
        </w:rPr>
        <w:t>Cash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requirements — </w:t>
      </w:r>
      <w:r>
        <w:rPr>
          <w:rFonts w:ascii="Times New Roman" w:cs="Times New Roman" w:eastAsia="Times New Roman" w:hAnsi="Times New Roman"/>
          <w:sz w:val="18"/>
          <w:szCs w:val="18"/>
          <w:color w:val="auto"/>
        </w:rPr>
        <w:t>Financing Arrangements" above.</w:t>
      </w:r>
    </w:p>
    <w:p>
      <w:pPr>
        <w:spacing w:after="0" w:line="181" w:lineRule="exact"/>
        <w:rPr>
          <w:sz w:val="20"/>
          <w:szCs w:val="20"/>
          <w:color w:val="auto"/>
        </w:rPr>
      </w:pPr>
    </w:p>
    <w:p>
      <w:pPr>
        <w:jc w:val="both"/>
        <w:ind w:firstLine="303"/>
        <w:spacing w:after="0" w:line="261" w:lineRule="auto"/>
        <w:rPr>
          <w:sz w:val="20"/>
          <w:szCs w:val="20"/>
          <w:color w:val="auto"/>
        </w:rPr>
      </w:pPr>
      <w:r>
        <w:rPr>
          <w:rFonts w:ascii="Times New Roman" w:cs="Times New Roman" w:eastAsia="Times New Roman" w:hAnsi="Times New Roman"/>
          <w:sz w:val="18"/>
          <w:szCs w:val="18"/>
          <w:color w:val="auto"/>
        </w:rPr>
        <w:t>Our strategy on capital risk management has not changed significantly since the end of 2023. Other than the restrictive and financial covenants associated with our Credit Facility noted above, we are not subject to any contractual or regulatory capital requirements. While some of our international operations are subject to government restrictions on the flow of capital into and out of their jurisdictions, these restrictions have not had a material impact on our operations or cash flows.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instruments and financial risks: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are exposed to a variety of risks associated with financial instruments and otherwise.</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Currency risk: Due to the global nature of our operations, we are exposed to exchange rate fluctuations on our financial instruments denominated in various currencies. Although the majority of our cash balances, pricing to customers, and materials costs are denominated in U.S. dollars, a significant portion of our non-materials costs (including payroll, pensions, site costs, costs of locally sourced supplies and inventory, and income taxes) are denominated in various other currencies. As a result, we may experience foreign exchange gains or losses on translation or transactions due to currency fluctuations. The majority of our currency risk is driven by such costs, incurred in local currencies by our subsidiaries. As part of our risk management program, we attempt to mitigate currency risk through a hedging program using forecasts of our anticipated future cash flows and monetary assets and monetary liabilities denominated in foreign currencies. We enter into foreign currency forward contracts to hedge our cash flow exposures and swaps to hedge our exposures of monetary assets and monetary liabilities (Economic Hedges), generally for periods of up to 12 months, to lock in the exchange rates for future foreign currency transactions, which is intended to reduce the foreign currency risk related to our operating costs and future cash flows denominated in local currencies. Economic Hedges are based on our forecasts of the future position of anticipated monetary assets and monetary liabilities denominated in foreign currencies, and therefore may not mitigate the full impact of any translation impacts in the future. As for our cash flow hedges, while these contracts are intended to reduce the effects of fluctuations in foreign currency exchange rates on our operating costs and cash flows, our hedging strategy does not mitigate the longer-term impacts of changes to foreign exchange rates. Although our functional currency is the U.S. dollar, currency risk on our income tax expense arises as we are generally required to file our tax returns in the local currency for each particular country in which we have operations. While our hedging program is designed to mitigate currency risk vis-à-vis the U.S. dollar, we remain subject to taxable foreign exchange impacts in our translated local currency financial results relevant for tax reporting purposes. We do not use derivative financial instruments for speculative purposes.</w:t>
      </w:r>
    </w:p>
    <w:p>
      <w:pPr>
        <w:spacing w:after="0" w:line="193" w:lineRule="exact"/>
        <w:rPr>
          <w:sz w:val="20"/>
          <w:szCs w:val="20"/>
          <w:color w:val="auto"/>
        </w:rPr>
      </w:pPr>
    </w:p>
    <w:p>
      <w:pPr>
        <w:jc w:val="both"/>
        <w:ind w:firstLine="202"/>
        <w:spacing w:after="0" w:line="261" w:lineRule="auto"/>
        <w:rPr>
          <w:sz w:val="20"/>
          <w:szCs w:val="20"/>
          <w:color w:val="auto"/>
        </w:rPr>
      </w:pPr>
      <w:r>
        <w:rPr>
          <w:rFonts w:ascii="Times New Roman" w:cs="Times New Roman" w:eastAsia="Times New Roman" w:hAnsi="Times New Roman"/>
          <w:sz w:val="18"/>
          <w:szCs w:val="18"/>
          <w:color w:val="auto"/>
        </w:rPr>
        <w:t>See Item 7A, Quantitative and Qualitative Disclosures About Market Risk for a listing of our foreign currency forwards and swaps to trade U.S. dollars in exchange for specified currencies at December 31, 2024. The fair value of the outstanding contracts at December 31, 2024 was a net unrealized loss of $18.5 million (December 31, 2023 — net unrealized gain of $6.5 million), resulting from fluctuations in foreign exchange rates between the contract execution and the period-end date. There can be no assurance that our hedging transactions will be successful in mitigating our foreign exchange risk.</w:t>
      </w:r>
    </w:p>
    <w:p>
      <w:pPr>
        <w:spacing w:after="0" w:line="180" w:lineRule="exact"/>
        <w:rPr>
          <w:sz w:val="20"/>
          <w:szCs w:val="20"/>
          <w:color w:val="auto"/>
        </w:rPr>
      </w:pPr>
    </w:p>
    <w:p>
      <w:pPr>
        <w:jc w:val="both"/>
        <w:ind w:firstLine="193"/>
        <w:spacing w:after="0" w:line="266" w:lineRule="auto"/>
        <w:rPr>
          <w:sz w:val="20"/>
          <w:szCs w:val="20"/>
          <w:color w:val="auto"/>
        </w:rPr>
      </w:pPr>
      <w:r>
        <w:rPr>
          <w:rFonts w:ascii="Times New Roman" w:cs="Times New Roman" w:eastAsia="Times New Roman" w:hAnsi="Times New Roman"/>
          <w:sz w:val="18"/>
          <w:szCs w:val="18"/>
          <w:color w:val="auto"/>
        </w:rPr>
        <w:t>We cannot predict changes in currency exchange rates, the impact of exchange rate changes on our operating results, nor the degree to which we will be able to manage the impact of currency exchange rate changes. Such changes could have a material effect on our business, results of operations and financial condition.</w:t>
      </w:r>
    </w:p>
    <w:p>
      <w:pPr>
        <w:spacing w:after="0" w:line="176" w:lineRule="exact"/>
        <w:rPr>
          <w:sz w:val="20"/>
          <w:szCs w:val="20"/>
          <w:color w:val="auto"/>
        </w:rPr>
      </w:pPr>
    </w:p>
    <w:p>
      <w:pPr>
        <w:jc w:val="both"/>
        <w:ind w:firstLine="698"/>
        <w:spacing w:after="0" w:line="255" w:lineRule="auto"/>
        <w:rPr>
          <w:sz w:val="20"/>
          <w:szCs w:val="20"/>
          <w:color w:val="auto"/>
        </w:rPr>
      </w:pPr>
      <w:r>
        <w:rPr>
          <w:rFonts w:ascii="Times New Roman" w:cs="Times New Roman" w:eastAsia="Times New Roman" w:hAnsi="Times New Roman"/>
          <w:sz w:val="18"/>
          <w:szCs w:val="18"/>
          <w:color w:val="auto"/>
        </w:rPr>
        <w:t>Interest rate risk: Borrowings under the Credit Facility bear interest at specified rates, plus specified margins (described above). We have entered into agreements to swap the variable interest rates with fixed rates of interest with respect to a portion of the amounts outstanding under the New Term Loans (described above). Unhedged borrowings ($411.2 million at December 31, 2024) expose us to interest rate risk due to the potential variability in market interest rates. A one-percentage point increase in applicable interest rates would increase interest expense, based on outstanding borrowings under the Credit Facility and interest rate swap agreements at December 31, 2024, by $4.1 million annually, and by $7.4 million annually, without accounting for such swap agreements. At December 31, 2024, the fair value of our interest rate swap agreements was an unrealized gain of $6.6 million (December 31, 2023 — an unrealized gain of $13.2 million). A downward shift of the forward interest rate curve would decrease the amount of the gain.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86" w:name="page87"/>
    <w:bookmarkEnd w:id="86"/>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See "Liquidity — </w:t>
      </w:r>
      <w:r>
        <w:rPr>
          <w:rFonts w:ascii="Times New Roman" w:cs="Times New Roman" w:eastAsia="Times New Roman" w:hAnsi="Times New Roman"/>
          <w:sz w:val="18"/>
          <w:szCs w:val="18"/>
          <w:i w:val="1"/>
          <w:iCs w:val="1"/>
          <w:color w:val="auto"/>
        </w:rPr>
        <w:t>Cash requirements</w:t>
      </w:r>
      <w:r>
        <w:rPr>
          <w:rFonts w:ascii="Times New Roman" w:cs="Times New Roman" w:eastAsia="Times New Roman" w:hAnsi="Times New Roman"/>
          <w:sz w:val="18"/>
          <w:szCs w:val="18"/>
          <w:color w:val="auto"/>
        </w:rPr>
        <w:t xml:space="preserve"> — TRS" above for a description of the TRS Agreement. Interest payments under the TRS Agreement are based on SOFR. A one-percentage point increase in relevant interest rates would cause an insignificant increase of our annual interest expense.</w:t>
      </w:r>
    </w:p>
    <w:p>
      <w:pPr>
        <w:spacing w:after="0" w:line="15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Equity price risk: See "Liquidity — </w:t>
      </w:r>
      <w:r>
        <w:rPr>
          <w:rFonts w:ascii="Times New Roman" w:cs="Times New Roman" w:eastAsia="Times New Roman" w:hAnsi="Times New Roman"/>
          <w:sz w:val="18"/>
          <w:szCs w:val="18"/>
          <w:i w:val="1"/>
          <w:iCs w:val="1"/>
          <w:color w:val="auto"/>
        </w:rPr>
        <w:t>Cash requirements</w:t>
      </w:r>
      <w:r>
        <w:rPr>
          <w:rFonts w:ascii="Times New Roman" w:cs="Times New Roman" w:eastAsia="Times New Roman" w:hAnsi="Times New Roman"/>
          <w:sz w:val="18"/>
          <w:szCs w:val="18"/>
          <w:color w:val="auto"/>
        </w:rPr>
        <w:t xml:space="preserve"> — TRS" above for a description of the TRS Agreement. If the value of the TRS (as defined in the TRS Agreement) decreases over the term of the TRS Agreement, we are obligated to pay the counterparty the amount of such decrease upon Settlement. As a result, the TRS Agreement is subject to equity price risk. The counterparty acquired the entire Original Notional Amount (3.0 million Common Shares) at a weighted average price of $12.73 per share. As described above, the Original Notional Amount was reduced to 1.25 million Common Shares as of February 2024. At December 31, 2024, the fair value of the TRS Agreement was an unrealized gain of $99.4 million (December 31, 2023 — $40.6 million), which we recorded in other current assets on our consolidated balance sheet. A one dollar decrease in our Common Share price would decrease the value of the TRS as of December 31, 2024 by $1.3 million.</w:t>
      </w:r>
    </w:p>
    <w:p>
      <w:pPr>
        <w:spacing w:after="0" w:line="18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Credit risk: Credit risk refers to the risk that a counterparty may default on its contractual obligations resulting in a financial loss to us. We believe our credit risk of counterparty non-performance continues to be relatively low. We are in regular contact with our customers, suppliers and logistics providers, and have not experienced significant counterparty credit-related non-performance during 2024 or to date. However, if a key supplier (or any company within such supplier's supply chain) or customer fails to comply with their contractual obligations, this could result in a significant financial loss to us. We would also suffer a significant financial loss if an institution from which we purchased foreign currency exchange contracts or swaps, interest rate swaps, or annuities for our pension plans, or the counterparty to our TRS Agreement defaults on their contractual obligations (with respect to pension obligations, we retain ultimate responsibility for the payment of benefits to plan participants unless and until such pension plans are wound-up). With respect to our financial market activities, we have adopted a policy of dealing only with counterparties we deem to be creditworthy to help mitigate the risk of financial loss from defaults. We monitor the credit risk of the counterparties with whom we conduct business, through a combined process of credit rating reviews and portfolio reviews.</w:t>
      </w:r>
    </w:p>
    <w:p>
      <w:pPr>
        <w:spacing w:after="0" w:line="19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also provide unsecured credit to our customers in the normal course of business. Customer exposures that potentially subject us to credit risk include our A/R, inventory on hand, and non-cancellable purchase orders in support of customer demand. From time to time, we extend the payment terms applicable to certain customers and/or provide longer payment terms when deemed commercially reasonable. Longer payment terms could adversely impact our working capital requirements, and increase our financial exposure and credit risk. We attempt to mitigate customer credit risk by monitoring our customers' financial condition and performing ongoing credit evaluations as appropriate. In certain instances, we obtain L/Cs or other forms of security from our customers. We may also purchase credit insurance from a financial institution to reduce our credit exposure to certain customers. We consider credit risk in determining our allowance for credit losses, and we believe that such allowance, as adjusted from time to time, is adequate. No significant adjustments were made to our allowance for credit losses during 2024 in connection with our on-going assessments and monitoring activities. At December 31, 2024, less than 1% of our gross A/R were over 90 days past due (December 31, 2023 — less than 1%). A/R are net of an allowance for credit losses of $10.1 million at December 31, 2024 (December 31, 2023 — $8.4 million).</w:t>
      </w:r>
    </w:p>
    <w:p>
      <w:pPr>
        <w:spacing w:after="0" w:line="19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Liquidity risk: Liquidity risk is the risk that we may not have cash available to satisfy our financial obligations as they come due. We manage liquidity risk by maintaining a portfolio of liquid funds and investments and having access to a revolving credit facility, uncommitted intraday and overnight bank overdraft facilities, an A/R sales program and three customer SFPs. Since our A/R sales program and customer SFPs are each uncommitted, there can be no assurance that any participant bank will purchase any of the A/R that we wish to sell. We believe, however, that cash flow from operating activities, together with cash on hand, cash from accepted sales of A/R, and borrowings available under the Revolver and potentially available under uncommitted intraday and overnight bank overdraft facilities are sufficient to fund our currently anticipated financial obligations, and will remain available in the current environment. See "</w:t>
      </w:r>
      <w:r>
        <w:rPr>
          <w:rFonts w:ascii="Times New Roman" w:cs="Times New Roman" w:eastAsia="Times New Roman" w:hAnsi="Times New Roman"/>
          <w:sz w:val="18"/>
          <w:szCs w:val="18"/>
          <w:i w:val="1"/>
          <w:iCs w:val="1"/>
          <w:color w:val="auto"/>
        </w:rPr>
        <w:t>Cash requirements</w:t>
      </w:r>
      <w:r>
        <w:rPr>
          <w:rFonts w:ascii="Times New Roman" w:cs="Times New Roman" w:eastAsia="Times New Roman" w:hAnsi="Times New Roman"/>
          <w:sz w:val="18"/>
          <w:szCs w:val="18"/>
          <w:color w:val="auto"/>
        </w:rPr>
        <w:t>" above.</w:t>
      </w:r>
    </w:p>
    <w:p>
      <w:pPr>
        <w:spacing w:after="0" w:line="189" w:lineRule="exact"/>
        <w:rPr>
          <w:sz w:val="20"/>
          <w:szCs w:val="20"/>
          <w:color w:val="auto"/>
        </w:rPr>
      </w:pPr>
    </w:p>
    <w:p>
      <w:pPr>
        <w:jc w:val="both"/>
        <w:ind w:firstLine="180"/>
        <w:spacing w:after="0" w:line="255" w:lineRule="auto"/>
        <w:rPr>
          <w:sz w:val="20"/>
          <w:szCs w:val="20"/>
          <w:color w:val="auto"/>
        </w:rPr>
      </w:pPr>
      <w:r>
        <w:rPr>
          <w:rFonts w:ascii="Times New Roman" w:cs="Times New Roman" w:eastAsia="Times New Roman" w:hAnsi="Times New Roman"/>
          <w:sz w:val="18"/>
          <w:szCs w:val="18"/>
          <w:color w:val="auto"/>
        </w:rPr>
        <w:t>Commodity price risk: We are exposed to market risk with respect to commodity price fluctuations for components used in the products we manufacture. These components are impacted by global pricing pressures, general economic conditions, market conditions, geopolitical issues, weather, changes in tariff rates, and other factors which are neither predictable nor within our control. While generally we have been able to offset inflation and other changes in the costs of key operating resources through price increases, productivity improvements, greater economies of scale, supplier negotiations and global sourcing initiatives, there can be no assurance that we will be able to continue to do so in the future. We do not engage in hedging activities for commodity price risk. Competitive conditions may limit our pricing flexibility, and macroeconomic conditions may make additional price increases imprudent. Increases in commodity prices that we cannot recover from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5" w:right="339" w:bottom="1440" w:gutter="0" w:footer="0" w:header="0"/>
        </w:sectPr>
      </w:pPr>
    </w:p>
    <w:bookmarkStart w:id="87" w:name="page88"/>
    <w:bookmarkEnd w:id="87"/>
    <w:p>
      <w:pPr>
        <w:jc w:val="both"/>
        <w:spacing w:after="0" w:line="266" w:lineRule="auto"/>
        <w:rPr>
          <w:sz w:val="20"/>
          <w:szCs w:val="20"/>
          <w:color w:val="auto"/>
        </w:rPr>
      </w:pPr>
      <w:r>
        <w:rPr>
          <w:rFonts w:ascii="Times New Roman" w:cs="Times New Roman" w:eastAsia="Times New Roman" w:hAnsi="Times New Roman"/>
          <w:sz w:val="18"/>
          <w:szCs w:val="18"/>
          <w:color w:val="auto"/>
        </w:rPr>
        <w:t>customers would adversely impact our operating results. We are also exposed to fluctuations in transportation costs, which may increase based on freight carrier capacity and fuel prices. We manage transportation costs by optimizing logistics and supply chain planning. We continue to invest in supply chain initiatives to address industry-wide capacity challenges.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note 19 to the 2024 AFS for further detail.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Share Data</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February 20, 2025, we had 115,959,118 outstanding Common Shares. As of such date, we also had 70,888 outstanding stock options, 1,428,604 outstanding RSUs, 2,208,045 outstanding PSUs assuming vesting of 100% of the target amount granted (PSUs that will vest range from 0% to 200% of the target amount granted), and 725,757 outstanding DSUs; each vested option or unit entitling the holder thereof to receive one Common Shares (or in certain cases, cash) pursuant to the terms thereof, subject to certain time or performance-based vesting conditions.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Quarterly Financial Highlights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Q4 2024 compared to Q4 2023:</w:t>
      </w:r>
    </w:p>
    <w:p>
      <w:pPr>
        <w:spacing w:after="0" w:line="227" w:lineRule="exact"/>
        <w:rPr>
          <w:sz w:val="20"/>
          <w:szCs w:val="20"/>
          <w:color w:val="auto"/>
        </w:rPr>
      </w:pPr>
    </w:p>
    <w:p>
      <w:pPr>
        <w:jc w:val="both"/>
        <w:ind w:firstLine="185"/>
        <w:spacing w:after="0" w:line="252" w:lineRule="auto"/>
        <w:rPr>
          <w:sz w:val="20"/>
          <w:szCs w:val="20"/>
          <w:color w:val="auto"/>
        </w:rPr>
      </w:pPr>
      <w:r>
        <w:rPr>
          <w:rFonts w:ascii="Times New Roman" w:cs="Times New Roman" w:eastAsia="Times New Roman" w:hAnsi="Times New Roman"/>
          <w:sz w:val="18"/>
          <w:szCs w:val="18"/>
          <w:color w:val="auto"/>
        </w:rPr>
        <w:t xml:space="preserve">Revenue of $2.55 billion for Q4 2024 increased $405.2 million, or 19% compared to Q4 2023. ATS segment revenue remained relatively flat in Q4 2024 compared to Q4 2023, as lower revenue in our Industrial business was offset by strength in our Capital Equipment and A&amp;D businesses. Compared to Q4 2023, CCS segment revenue in Q4 2024 increased $402.3 million (30%). Our Communications end market revenue increased $462.4 million (64%) in Q4 2024 as compared to the prior year period due to stronger demand from our hyperscaler customers for our networking products. HPS revenue for Q4 2024 was $807 million (32% of total Q4 2024 revenue), and increased approximately 65% from Q4 2023. The increase in HPS revenue was driven by hyperscaler customer demand for our networking switches, as well as program ramps. Our Enterprise end market revenue decreased $60.1 million (10%) in Q4 2024 compared to Q4 2023 due to the anticipated technology transition in an AI/ML compute program with one of our hyperscaler customers, partially offset by demand increase in certain storage programs. Gross profit increased $74.0 million in Q4 2024 compared to Q4 2023 mainly due to higher revenue in Q4 2024 compared to Q4 2023 as well as $22.4 million in favorable TRS FVAs recorded in Q4 2024. Gross margin for Q4 2024 increased to 11.7% compared to 10.4% for Q4 2023 due to higher volume and favorable mix. CCS segment income for Q4 2024 increased to $136.6 million from $90.6 million in Q4 2023 due to higher CCS segment revenue in Q4 2024 compared to Q4 2023. CCS segment margin for Q4 2024 increased to 7.9% of segment revenue compared to 6.8% for Q4 2023, driven by increased operating leverage and a higher mix of HPS revenues. ATS segment income of $37.0 million for Q4 2024 remained relatively flat compared to Q4 2023. ATS segment margin decreased from 4.7% of segment revenue for Q4 2023 to 4.6% for Q4 2024, primarily due to reduced operating leverage in our Industrial business, partly offset by increased margins in our Capital Equipment business. Net earnings increased to $151.7 million for Q4 2024 compared to net earnings of $91.6 million for Q4 2023, due primarily to the $74.0 million in higher gross profit and $27.5 million in lower SG&amp;A expense in Q4 2024, partially offset by $22.2 million in higher unfavorable changes in Miscellaneous Expense (Income), $14.7 million in higher income tax expense (driven by higher earnings before income taxes in Q4 2024) and $5.8 million in higher R&amp;D expenses in Q4 2024 (to support growth of our HPS business). Lower SG&amp;A expense in Q4 2024 compared to Q4 2023 was primarily due to $29.1 million favorable TRS FVAs recorded in Q4 2024. Unfavorable changes in Miscellaneous Expense (Income) in Q4 2024 compared to Q4 2023 were mainly due to favorable TRS FVAs and gains from our foreign currency forward exchange contracts recorded in Q4 2023. See "Operating Results — </w:t>
      </w:r>
      <w:r>
        <w:rPr>
          <w:rFonts w:ascii="Times New Roman" w:cs="Times New Roman" w:eastAsia="Times New Roman" w:hAnsi="Times New Roman"/>
          <w:sz w:val="18"/>
          <w:szCs w:val="18"/>
          <w:i w:val="1"/>
          <w:iCs w:val="1"/>
          <w:color w:val="auto"/>
        </w:rPr>
        <w:t>Miscellaneous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Expense (Income)" </w:t>
      </w:r>
      <w:r>
        <w:rPr>
          <w:rFonts w:ascii="Times New Roman" w:cs="Times New Roman" w:eastAsia="Times New Roman" w:hAnsi="Times New Roman"/>
          <w:sz w:val="18"/>
          <w:szCs w:val="18"/>
          <w:color w:val="auto"/>
        </w:rPr>
        <w:t>for components of Miscellaneous Expense (Income).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Q4 2024 compared to Q3 2024:</w:t>
      </w:r>
    </w:p>
    <w:p>
      <w:pPr>
        <w:spacing w:after="0" w:line="227" w:lineRule="exact"/>
        <w:rPr>
          <w:sz w:val="20"/>
          <w:szCs w:val="20"/>
          <w:color w:val="auto"/>
        </w:rPr>
      </w:pPr>
    </w:p>
    <w:p>
      <w:pPr>
        <w:jc w:val="both"/>
        <w:ind w:firstLine="207"/>
        <w:spacing w:after="0" w:line="254" w:lineRule="auto"/>
        <w:rPr>
          <w:sz w:val="20"/>
          <w:szCs w:val="20"/>
          <w:color w:val="auto"/>
        </w:rPr>
      </w:pPr>
      <w:r>
        <w:rPr>
          <w:rFonts w:ascii="Times New Roman" w:cs="Times New Roman" w:eastAsia="Times New Roman" w:hAnsi="Times New Roman"/>
          <w:sz w:val="18"/>
          <w:szCs w:val="18"/>
          <w:color w:val="auto"/>
        </w:rPr>
        <w:t>Revenue for Q4 2024 increased $46.2 million, or 2% compared to Q3 2024. ATS segment revenue decreased $8.3 million (1%) sequentially, primarily driven by decreased demand across several of our ATS businesses. CCS segment revenue increased $54.5 million (3%) sequentially. Communications end market revenue increased $112.7 million (11%) in Q4 2024 compared to Q3 2024, primarily due to increased demand for networking products from hyperscaler customers. Enterprise end market revenue decreased $58.2 million (9%) sequentially, due to the anticipated technology transition in an AI/ML compute program with one of our hyperscaler customers. Gross profit increased $36.6 million in Q4 2024 as compared to Q3 2024 and gross margin increased to 11.7% in Q4 2024 compared to 10.4% in Q3 2024, driven primarily by operating leverage in our CCS segment, as well as approximately $25 million favorable change in TRS FVAs recorded in cost of sales. CCS segment income increased sequentially by $7.9 million to $136.6 million primarily due to CCS segment revenue increase. CCS segment margin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88" w:name="page89"/>
    <w:bookmarkEnd w:id="88"/>
    <w:p>
      <w:pPr>
        <w:jc w:val="both"/>
        <w:spacing w:after="0" w:line="256" w:lineRule="auto"/>
        <w:rPr>
          <w:sz w:val="20"/>
          <w:szCs w:val="20"/>
          <w:color w:val="auto"/>
        </w:rPr>
      </w:pPr>
      <w:r>
        <w:rPr>
          <w:rFonts w:ascii="Times New Roman" w:cs="Times New Roman" w:eastAsia="Times New Roman" w:hAnsi="Times New Roman"/>
          <w:sz w:val="18"/>
          <w:szCs w:val="18"/>
          <w:color w:val="auto"/>
        </w:rPr>
        <w:t>for Q4 2024 increased to 7.9% compared to 7.6% for Q3 2024, driven by operating leverage and improved mix. ATS segment income decreased sequentially by $3.1 million to $37.0 million in Q4 2024, and ATS segment margin decreased from 4.9% in Q3 2024 to 4.6% for Q4 2024, in each case primarily due to lower volume leverage. Net earnings of $151.7 million for Q4 2024 increased $62.2 million from net earnings of $89.5 million for Q3 2024, due primarily to $36.6 million in higher gross profit and $34.2 million in lower SG&amp;A expense, partially offset by $4.7 million in higher R&amp;D expense (to support growth of our HPS business). Lower sequential SG&amp;A expense was primarily due to approximately $34 million favorable change in TRS FVAs recorded in SG&amp;A.</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308"/>
        </w:trPr>
        <w:tc>
          <w:tcPr>
            <w:tcW w:w="68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Summary of Selected Q4 2024 GAAP Results</w:t>
            </w:r>
            <w:r>
              <w:rPr>
                <w:rFonts w:ascii="Times New Roman" w:cs="Times New Roman" w:eastAsia="Times New Roman" w:hAnsi="Times New Roman"/>
                <w:sz w:val="23"/>
                <w:szCs w:val="23"/>
                <w:i w:val="1"/>
                <w:iCs w:val="1"/>
                <w:color w:val="auto"/>
                <w:vertAlign w:val="superscript"/>
              </w:rPr>
              <w:t>(1)</w:t>
            </w:r>
            <w:r>
              <w:rPr>
                <w:rFonts w:ascii="Times New Roman" w:cs="Times New Roman" w:eastAsia="Times New Roman" w:hAnsi="Times New Roman"/>
                <w:sz w:val="18"/>
                <w:szCs w:val="18"/>
                <w:i w:val="1"/>
                <w:iCs w:val="1"/>
                <w:color w:val="auto"/>
              </w:rPr>
              <w:t>:</w:t>
            </w:r>
          </w:p>
        </w:tc>
        <w:tc>
          <w:tcPr>
            <w:tcW w:w="3920" w:type="dxa"/>
            <w:vAlign w:val="bottom"/>
          </w:tcPr>
          <w:p>
            <w:pPr>
              <w:spacing w:after="0"/>
              <w:rPr>
                <w:sz w:val="24"/>
                <w:szCs w:val="24"/>
                <w:color w:val="auto"/>
              </w:rPr>
            </w:pPr>
          </w:p>
        </w:tc>
      </w:tr>
      <w:tr>
        <w:trPr>
          <w:trHeight w:val="291"/>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 (in billions)</w:t>
            </w:r>
          </w:p>
        </w:tc>
        <w:tc>
          <w:tcPr>
            <w:tcW w:w="3920" w:type="dxa"/>
            <w:vAlign w:val="bottom"/>
          </w:tcPr>
          <w:p>
            <w:pPr>
              <w:jc w:val="center"/>
              <w:ind w:left="3310"/>
              <w:spacing w:after="0"/>
              <w:rPr>
                <w:sz w:val="20"/>
                <w:szCs w:val="20"/>
                <w:color w:val="auto"/>
              </w:rPr>
            </w:pPr>
            <w:r>
              <w:rPr>
                <w:rFonts w:ascii="Times New Roman" w:cs="Times New Roman" w:eastAsia="Times New Roman" w:hAnsi="Times New Roman"/>
                <w:sz w:val="18"/>
                <w:szCs w:val="18"/>
                <w:color w:val="auto"/>
                <w:w w:val="98"/>
              </w:rPr>
              <w:t>$2.55</w:t>
            </w:r>
          </w:p>
        </w:tc>
      </w:tr>
      <w:tr>
        <w:trPr>
          <w:trHeight w:val="229"/>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from operations (in millions)</w:t>
            </w:r>
          </w:p>
        </w:tc>
        <w:tc>
          <w:tcPr>
            <w:tcW w:w="3920" w:type="dxa"/>
            <w:vAlign w:val="bottom"/>
          </w:tcPr>
          <w:p>
            <w:pPr>
              <w:jc w:val="center"/>
              <w:ind w:left="3330"/>
              <w:spacing w:after="0"/>
              <w:rPr>
                <w:sz w:val="20"/>
                <w:szCs w:val="20"/>
                <w:color w:val="auto"/>
              </w:rPr>
            </w:pPr>
            <w:r>
              <w:rPr>
                <w:rFonts w:ascii="Times New Roman" w:cs="Times New Roman" w:eastAsia="Times New Roman" w:hAnsi="Times New Roman"/>
                <w:sz w:val="18"/>
                <w:szCs w:val="18"/>
                <w:color w:val="auto"/>
              </w:rPr>
              <w:t>$202.6</w:t>
            </w:r>
          </w:p>
        </w:tc>
      </w:tr>
      <w:tr>
        <w:trPr>
          <w:trHeight w:val="229"/>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from operations as a % of revenue</w:t>
            </w:r>
          </w:p>
        </w:tc>
        <w:tc>
          <w:tcPr>
            <w:tcW w:w="3920" w:type="dxa"/>
            <w:vAlign w:val="bottom"/>
          </w:tcPr>
          <w:p>
            <w:pPr>
              <w:jc w:val="center"/>
              <w:ind w:left="3330"/>
              <w:spacing w:after="0"/>
              <w:rPr>
                <w:sz w:val="20"/>
                <w:szCs w:val="20"/>
                <w:color w:val="auto"/>
              </w:rPr>
            </w:pPr>
            <w:r>
              <w:rPr>
                <w:rFonts w:ascii="Times New Roman" w:cs="Times New Roman" w:eastAsia="Times New Roman" w:hAnsi="Times New Roman"/>
                <w:sz w:val="18"/>
                <w:szCs w:val="18"/>
                <w:color w:val="auto"/>
              </w:rPr>
              <w:t>8.0%</w:t>
            </w:r>
          </w:p>
        </w:tc>
      </w:tr>
      <w:tr>
        <w:trPr>
          <w:trHeight w:val="230"/>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SG&amp;A (in millions)</w:t>
            </w:r>
          </w:p>
        </w:tc>
        <w:tc>
          <w:tcPr>
            <w:tcW w:w="3920" w:type="dxa"/>
            <w:vAlign w:val="bottom"/>
          </w:tcPr>
          <w:p>
            <w:pPr>
              <w:jc w:val="center"/>
              <w:ind w:left="3310"/>
              <w:spacing w:after="0"/>
              <w:rPr>
                <w:sz w:val="20"/>
                <w:szCs w:val="20"/>
                <w:color w:val="auto"/>
              </w:rPr>
            </w:pPr>
            <w:r>
              <w:rPr>
                <w:rFonts w:ascii="Times New Roman" w:cs="Times New Roman" w:eastAsia="Times New Roman" w:hAnsi="Times New Roman"/>
                <w:sz w:val="18"/>
                <w:szCs w:val="18"/>
                <w:color w:val="auto"/>
                <w:w w:val="98"/>
              </w:rPr>
              <w:t>$57.6</w:t>
            </w:r>
          </w:p>
        </w:tc>
      </w:tr>
      <w:tr>
        <w:trPr>
          <w:trHeight w:val="226"/>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earnings (in millions)</w:t>
            </w:r>
          </w:p>
        </w:tc>
        <w:tc>
          <w:tcPr>
            <w:tcW w:w="3920" w:type="dxa"/>
            <w:vAlign w:val="bottom"/>
          </w:tcPr>
          <w:p>
            <w:pPr>
              <w:jc w:val="center"/>
              <w:ind w:left="3330"/>
              <w:spacing w:after="0"/>
              <w:rPr>
                <w:sz w:val="20"/>
                <w:szCs w:val="20"/>
                <w:color w:val="auto"/>
              </w:rPr>
            </w:pPr>
            <w:r>
              <w:rPr>
                <w:rFonts w:ascii="Times New Roman" w:cs="Times New Roman" w:eastAsia="Times New Roman" w:hAnsi="Times New Roman"/>
                <w:sz w:val="18"/>
                <w:szCs w:val="18"/>
                <w:color w:val="auto"/>
              </w:rPr>
              <w:t>$151.7</w:t>
            </w:r>
          </w:p>
        </w:tc>
      </w:tr>
      <w:tr>
        <w:trPr>
          <w:trHeight w:val="306"/>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EPS</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 xml:space="preserve"> (diluted)</w:t>
            </w:r>
          </w:p>
        </w:tc>
        <w:tc>
          <w:tcPr>
            <w:tcW w:w="3920" w:type="dxa"/>
            <w:vAlign w:val="bottom"/>
          </w:tcPr>
          <w:p>
            <w:pPr>
              <w:jc w:val="center"/>
              <w:ind w:left="3310"/>
              <w:spacing w:after="0"/>
              <w:rPr>
                <w:sz w:val="20"/>
                <w:szCs w:val="20"/>
                <w:color w:val="auto"/>
              </w:rPr>
            </w:pPr>
            <w:r>
              <w:rPr>
                <w:rFonts w:ascii="Times New Roman" w:cs="Times New Roman" w:eastAsia="Times New Roman" w:hAnsi="Times New Roman"/>
                <w:sz w:val="18"/>
                <w:szCs w:val="18"/>
                <w:color w:val="auto"/>
                <w:w w:val="98"/>
              </w:rPr>
              <w:t>$1.29</w:t>
            </w:r>
          </w:p>
        </w:tc>
      </w:tr>
    </w:tbl>
    <w:p>
      <w:pPr>
        <w:spacing w:after="0" w:line="120" w:lineRule="exact"/>
        <w:rPr>
          <w:sz w:val="20"/>
          <w:szCs w:val="20"/>
          <w:color w:val="auto"/>
        </w:rPr>
      </w:pPr>
    </w:p>
    <w:p>
      <w:pPr>
        <w:ind w:left="660" w:hanging="652"/>
        <w:spacing w:after="0" w:line="280" w:lineRule="auto"/>
        <w:tabs>
          <w:tab w:leader="none" w:pos="385"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conversion from IFRS to GAAP did not have a material impact on our overall financial results for Q4 2024. Our Q4 2024 results were in line with, or exceeded, our previously provided guidance.</w:t>
      </w:r>
    </w:p>
    <w:p>
      <w:pPr>
        <w:spacing w:after="0" w:line="57" w:lineRule="exact"/>
        <w:rPr>
          <w:sz w:val="20"/>
          <w:szCs w:val="20"/>
          <w:color w:val="auto"/>
        </w:rPr>
      </w:pPr>
    </w:p>
    <w:p>
      <w:pPr>
        <w:jc w:val="both"/>
        <w:ind w:left="660"/>
        <w:spacing w:after="0" w:line="260" w:lineRule="auto"/>
        <w:rPr>
          <w:sz w:val="20"/>
          <w:szCs w:val="20"/>
          <w:color w:val="auto"/>
        </w:rPr>
      </w:pPr>
      <w:r>
        <w:rPr>
          <w:rFonts w:ascii="Times New Roman" w:cs="Times New Roman" w:eastAsia="Times New Roman" w:hAnsi="Times New Roman"/>
          <w:sz w:val="16"/>
          <w:szCs w:val="16"/>
          <w:color w:val="auto"/>
        </w:rPr>
        <w:t>Upon transitioning from IFRS to GAAP, we were required to re-present our previously issued comparative results. The most significant transitional adjustments to our financial statements were related to the accounting treatment of the derivative instruments we entered into prior to 2024. These adjustments were driven specifically by the transition, and on the condensed consolidated statements of operations, impacted GAAP cost of sales, SG&amp;A, finance costs and miscellaneous expense (income). As the nature of the derivatives have not changed in the transition, we have excluded such transitional adjustments in our GAAP to non-GAAP reconciliations. Reconciling items from our GAAP to non-GAAP measures are explained in "Non-GAAP Financial Measures" below. These transitional adjustments do not impact our non-GAAP results and will not impact our operating results reported under GAAP going forward.</w:t>
      </w:r>
    </w:p>
    <w:p>
      <w:pPr>
        <w:spacing w:after="0" w:line="87" w:lineRule="exact"/>
        <w:rPr>
          <w:sz w:val="20"/>
          <w:szCs w:val="20"/>
          <w:color w:val="auto"/>
        </w:rPr>
      </w:pPr>
    </w:p>
    <w:p>
      <w:pPr>
        <w:jc w:val="both"/>
        <w:ind w:left="660"/>
        <w:spacing w:after="0" w:line="259" w:lineRule="auto"/>
        <w:rPr>
          <w:sz w:val="20"/>
          <w:szCs w:val="20"/>
          <w:color w:val="auto"/>
        </w:rPr>
      </w:pPr>
      <w:r>
        <w:rPr>
          <w:rFonts w:ascii="Times New Roman" w:cs="Times New Roman" w:eastAsia="Times New Roman" w:hAnsi="Times New Roman"/>
          <w:sz w:val="16"/>
          <w:szCs w:val="16"/>
          <w:color w:val="auto"/>
        </w:rPr>
        <w:t>For Q4 2024, our revenue was near the high end of our guidance range. Our non-GAAP adjusted operating margin for Q4 2024 exceeded the mid-point of our revenue and non-IFRS adjusted EPS guidance ranges and our Q4 2024 adjusted EPS exceeded the high end of our guidance range, primarily driven by unanticipated operating leverage in our CCS segment. Our adjusted SG&amp;A for Q4 2024 came in just over our guidance range due to higher than anticipated variable spend. Our GAAP effective tax rate for Q4 2024 was 20%. Our adjusted effective tax rate (non-GAAP) for Q4 2024 was 19%, lower than our anticipated estimate of approximately 21%, mainly due to non-routine tax events, offset partially by unfavorable jurisdictional profit mix.</w:t>
      </w:r>
    </w:p>
    <w:p>
      <w:pPr>
        <w:spacing w:after="0" w:line="87" w:lineRule="exact"/>
        <w:rPr>
          <w:sz w:val="20"/>
          <w:szCs w:val="20"/>
          <w:color w:val="auto"/>
        </w:rPr>
      </w:pPr>
    </w:p>
    <w:p>
      <w:pPr>
        <w:ind w:left="660" w:hanging="652"/>
        <w:spacing w:after="0" w:line="272" w:lineRule="auto"/>
        <w:tabs>
          <w:tab w:leader="none" w:pos="387"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GAAP EPS for Q4 2024 included an aggregate charge of $0.17 (pre-tax) per share for employee SBC expense, amortization of intangible assets (excluding computer software), and restructuring charges. See "Operating Results" above and "Non-GAAP Financial Measures" below for per-item charges. This aggregate charge was at the low end of our Q4 2024 GAAP guidance range of between $0.17 to $0.23 per share for these items.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Non-GAAP Financial Measures:</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Management uses non-GAAP financial measures (including ratios based on GAAP financial measures) described herein to (i) assess operating performance, financial leverage and the effective use and allocation of resources, (ii) provide more normalized period-to-period comparisons of operating results, (iii) enhance investors' understanding of the core operating results of our business and (iv) set management incentive targets. We believe the non-GAAP financial measures enable investors to evaluate and compare our results from operations by excluding specific items that we do not consider to be reflective of our core operations, to evaluate cash resources that we generate from our business each period, to analyze operating results using the same measures our chief operating decision makers use to measure performance, and to help compare our results with those of our competitors. In addition, management believes that the use of adjusted tax expense and adjusted effective tax rate provides additional transparency into the tax effects of our core operations, and are useful to management and investors for historical comparisons and forecasting. These non-GAAP financial measures reflect management’s belief that the excluded items are not indicative of our core operations.</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Non-GAAP financial measures do not have any standardized meaning prescribed by GAAP and therefore may not be directly comparable to similar measures presented by other companies. Non-GAAP financial measures are not measures of performance under GAAP and should not be considered in isolation or as a substitute for any GAAP financial measure. Reconciliations of the non-GAAP financial measures to the most directly comparable GAAP financial measures are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89" w:name="page90"/>
    <w:bookmarkEnd w:id="89"/>
    <w:p>
      <w:pPr>
        <w:jc w:val="both"/>
        <w:ind w:firstLine="290"/>
        <w:spacing w:after="0" w:line="250" w:lineRule="auto"/>
        <w:rPr>
          <w:sz w:val="20"/>
          <w:szCs w:val="20"/>
          <w:color w:val="auto"/>
        </w:rPr>
      </w:pPr>
      <w:r>
        <w:rPr>
          <w:rFonts w:ascii="Times New Roman" w:cs="Times New Roman" w:eastAsia="Times New Roman" w:hAnsi="Times New Roman"/>
          <w:sz w:val="18"/>
          <w:szCs w:val="18"/>
          <w:color w:val="auto"/>
        </w:rPr>
        <w:t>The following non-GAAP financial measures are included in this MD&amp;A: adjusted gross profit, adjusted SG&amp;A, adjusted operating earnings (or adjusted EBIAT), adjusted operating margin (or adjusted EBIAT), and each of the foregoing measures as a percentage of revenue, adjusted net earnings, adjusted EPS, adjusted ROIC, free cash flow, adjusted tax expense and adjusted effective tax rate.</w:t>
      </w:r>
    </w:p>
    <w:p>
      <w:pPr>
        <w:spacing w:after="0" w:line="2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non-GAAP financial measures are calculated by making the following adjustments (as applicable) to our GAAP financial measures:</w:t>
      </w:r>
    </w:p>
    <w:p>
      <w:pPr>
        <w:spacing w:after="0" w:line="22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Employee SBC expense</w:t>
      </w:r>
      <w:r>
        <w:rPr>
          <w:rFonts w:ascii="Times New Roman" w:cs="Times New Roman" w:eastAsia="Times New Roman" w:hAnsi="Times New Roman"/>
          <w:sz w:val="18"/>
          <w:szCs w:val="18"/>
          <w:color w:val="auto"/>
        </w:rPr>
        <w:t>, which represents the estimated fair value of stock options, restricted share units and performance share units granted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employees, is excluded because grant activities vary significantly from quarter-to-quarter in both quantity and fair value. We believe excluding this expense allows us to compare core operating results with those of our competitors, who also generally exclude employee SBC expense in assessing operating performance, and may have different granting patterns, equity awards and valuation assumptions.</w:t>
      </w:r>
    </w:p>
    <w:p>
      <w:pPr>
        <w:spacing w:after="0" w:line="18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Total return swap fair value adjustments (TRS FVAs) </w:t>
      </w:r>
      <w:r>
        <w:rPr>
          <w:rFonts w:ascii="Times New Roman" w:cs="Times New Roman" w:eastAsia="Times New Roman" w:hAnsi="Times New Roman"/>
          <w:sz w:val="18"/>
          <w:szCs w:val="18"/>
          <w:color w:val="auto"/>
        </w:rPr>
        <w:t>represent mark-to-market adjustments to our TRS Agreement, as the TRS Agreement is re-measured at fair value at each quarter end. We exclude the impact of these non-cash fair value adjustments (which reflect fluctuations in the market price of our Common Shares recorded in cost of sales, SG&amp;A, or Miscellaneous Expenses (Income)) from period to period as such fluctuations do not represent our ongoing operating performance. In addition, we believe that excluding these non-cash adjustments permits a helpful comparison of our core operating results to our competitors. In accordance with GAAP, TRS FVAs prior to 2024 were recorded in Miscellaneous Expense (Income). Commencing in 2024, the TRS Agreement was treated as an economic hedge with the TRS FVAs recorded in cost of sales and SG&amp;A.</w:t>
      </w:r>
    </w:p>
    <w:p>
      <w:pPr>
        <w:spacing w:after="0" w:line="20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Transitional hedge reclassifications and adjustments related to foreign currency forward exchange contracts (FCC Transitional ADJ) and interest rate swaps (IRS Transitional ADJ) </w:t>
      </w:r>
      <w:r>
        <w:rPr>
          <w:rFonts w:ascii="Times New Roman" w:cs="Times New Roman" w:eastAsia="Times New Roman" w:hAnsi="Times New Roman"/>
          <w:sz w:val="18"/>
          <w:szCs w:val="18"/>
          <w:color w:val="auto"/>
        </w:rPr>
        <w:t>were both specifically driven by our transition from IFRS to GAAP. For the purpose of determining our non-GAAP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measures, FCC Transitional ADJ were made to cost of sales and SG&amp;A and IRS Transitional ADJ are made to finance costs. Our foreign currency forward exchange contracts and interest rate swaps that we entered prior to 2024 were accounted for as either cash flow hedges (qualified for hedge accounting) or economic hedges under IFRS. However, those contracts were not accounted for as such under GAAP until January 1, 2024, resulting in FCC Transitional ADJ and IRS Transitional ADJ. Had we been able to designate those foreign currency forward exchange contracts and interest rate swaps under GAAP from their inception, they would have qualified as cash flow or economic hedges under GAAP, and no FCC Transitional ADJ or IRS Transitional ADJ would have been required under GAAP. FCC Transitional ADJ and IRS transitional ADJ are not reflective of the on-going operational impacts of our hedging activities and are excluded in assessing operating performance.</w:t>
      </w:r>
    </w:p>
    <w:p>
      <w:pPr>
        <w:spacing w:after="0" w:line="21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Amortization of intangible assets (excluding computer software) </w:t>
      </w:r>
      <w:r>
        <w:rPr>
          <w:rFonts w:ascii="Times New Roman" w:cs="Times New Roman" w:eastAsia="Times New Roman" w:hAnsi="Times New Roman"/>
          <w:sz w:val="18"/>
          <w:szCs w:val="18"/>
          <w:color w:val="auto"/>
        </w:rPr>
        <w:t>consist of non-cash charges for intangible assets that are impacted by the timing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magnitude of acquired businesses. Amortization of intangible assets varies among our competitors, and we believe that excluding these charges permits a helpful comparison of core operating results to our competitors who also generally exclude amortization charges in assessing operating performance.</w:t>
      </w:r>
    </w:p>
    <w:p>
      <w:pPr>
        <w:spacing w:after="0" w:line="20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Restructuring and Other Charges (Recoveries) </w:t>
      </w:r>
      <w:r>
        <w:rPr>
          <w:rFonts w:ascii="Times New Roman" w:cs="Times New Roman" w:eastAsia="Times New Roman" w:hAnsi="Times New Roman"/>
          <w:sz w:val="18"/>
          <w:szCs w:val="18"/>
          <w:color w:val="auto"/>
        </w:rPr>
        <w:t>consist of, when applicable: Restructuring Charges (Recoveries) (defined below); Transition Costs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(Recoveries) (defined below); consulting, transaction and integration costs related to potential and completed acquisitions; legal settlements (recoveries); in Q2 2023 and Q3 2023, costs associated with the conversion and underwritten public sale of our shares by Onex Corporation (Onex), our then-controlling shareholder, and commencing in Q2 2023, related costs pertaining to our transition as a U.S. domestic filer. We exclude these charges and recoveries because we believe that they are not directly related to ongoing operating results and do not reflect our expected future operating expenses after completion of the relevant actions. Our competitors may record similar items at different times, and we believe these exclusions permit a helpful comparison of our core operating results with those of our competitors who also generally exclude these items in assessing operating performance.</w:t>
      </w:r>
    </w:p>
    <w:p>
      <w:pPr>
        <w:spacing w:after="0" w:line="210" w:lineRule="exact"/>
        <w:rPr>
          <w:sz w:val="20"/>
          <w:szCs w:val="20"/>
          <w:color w:val="auto"/>
        </w:rPr>
      </w:pPr>
    </w:p>
    <w:p>
      <w:pPr>
        <w:jc w:val="both"/>
        <w:ind w:right="2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Restructuring Charges (Recoveries)</w:t>
      </w:r>
      <w:r>
        <w:rPr>
          <w:rFonts w:ascii="Times New Roman" w:cs="Times New Roman" w:eastAsia="Times New Roman" w:hAnsi="Times New Roman"/>
          <w:sz w:val="18"/>
          <w:szCs w:val="18"/>
          <w:color w:val="auto"/>
        </w:rPr>
        <w:t>, consist of costs or recoveries relating to: employee severance, lease terminations, site closings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consolidations, accelerated depreciation of owned property and equipment which are no longer used and are available for sale, and reductions in infrastructure.</w:t>
      </w:r>
    </w:p>
    <w:p>
      <w:pPr>
        <w:spacing w:after="0" w:line="200"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Transition Costs (Recoveries) </w:t>
      </w:r>
      <w:r>
        <w:rPr>
          <w:rFonts w:ascii="Times New Roman" w:cs="Times New Roman" w:eastAsia="Times New Roman" w:hAnsi="Times New Roman"/>
          <w:sz w:val="18"/>
          <w:szCs w:val="18"/>
          <w:color w:val="auto"/>
        </w:rPr>
        <w:t>consist of costs and recoveries in connection with: (i) the transfer of manufacturing lines from closed sites to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sites within our global network; (ii) the sale of real properties unrelated to restructuring actions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90" w:name="page91"/>
    <w:bookmarkEnd w:id="90"/>
    <w:p>
      <w:pPr>
        <w:jc w:val="both"/>
        <w:spacing w:after="0" w:line="254" w:lineRule="auto"/>
        <w:rPr>
          <w:sz w:val="20"/>
          <w:szCs w:val="20"/>
          <w:color w:val="auto"/>
        </w:rPr>
      </w:pPr>
      <w:r>
        <w:rPr>
          <w:rFonts w:ascii="Times New Roman" w:cs="Times New Roman" w:eastAsia="Times New Roman" w:hAnsi="Times New Roman"/>
          <w:sz w:val="18"/>
          <w:szCs w:val="18"/>
          <w:color w:val="auto"/>
        </w:rPr>
        <w:t>(Property Dispositions); and (iii) specified charges or recoveries related to the Purchaser Lease (defined below). Transition Costs consist of direct relocation and duplicate costs (such as rent expense, utility costs, depreciation charges, and personnel costs) incurred during the transition periods, as well as cease-use and other costs incurred in connection with idle or vacated portions of the relevant premises that we would not have incurred but for these relocations, transfers and dispositions. As part of our 2019 Toronto real property sale, we entered into a related 10-year lease for our then-anticipated headquarters (Purchaser Lease). In November 2022, we extended the lease (on a long-term basis) on our current corporate headquarters due to several Purchaser Lease commencement date delays. In Q3 2023, we executed a sublease for a portion of the leased space under the Purchaser Lease. We record charges related to the sublet of the Purchaser Lease (which commenced in June 2024) as Transition Costs. We believe that excluding Transition Costs and Recoveries permits a helpful comparison of our core operating results from period-to-period, as they do not reflect our ongoing operations once these specified events are complete.</w:t>
      </w:r>
    </w:p>
    <w:p>
      <w:pPr>
        <w:spacing w:after="0" w:line="21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Miscellaneous Expense (Income) </w:t>
      </w:r>
      <w:r>
        <w:rPr>
          <w:rFonts w:ascii="Times New Roman" w:cs="Times New Roman" w:eastAsia="Times New Roman" w:hAnsi="Times New Roman"/>
          <w:sz w:val="18"/>
          <w:szCs w:val="18"/>
          <w:color w:val="auto"/>
        </w:rPr>
        <w:t>consists primarily of: (i) certain net periodic benefit costs (credits) related to our pension and post-employment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benefit plans consisting of interest costs and expected returns on pension balances, and amortization of actuarial gains or losses; and (ii) gains or losses related to our TRS Agreement and foreign currency forward exchange contracts and interest rate swaps that we entered into prior to 2024. Those derivative instruments were accounted for as either cash flow hedges (qualifying for hedge accounting) or economic hedges under IFRS. However, those contracts were not accounted for as such under GAAP until January 1, 2024. Certain gains and losses related to those contracts were recorded in Miscellaneous Expense (Income)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See FCC Transitional ADJ, IRS Transitional ADJ and TRS FVAs above. We exclude such items because we believe they are not directly related to our ongoing operating results.</w:t>
      </w:r>
    </w:p>
    <w:p>
      <w:pPr>
        <w:spacing w:after="0" w:line="21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Non-core tax impacts are excluded, as we do not believe these costs or recoveries reflect our core operating performance and vary significantly among our competitors who also generally exclude such items in assessing operating performance. In addition, in calculating adjusted net earnings, adjusted EPS, adjusted tax expense and adjusted effective tax rate for the 2024 periods, management also excluded the one-time Q1 2024 portion of the negative tax impact arising from the enactment of Pillar Two (global minimum tax) legislation in Canada recorded in Q2 2024 and incremental withholding tax accrued in such quarter to minimize its impact (Pillar Two Tax Adjustments), as such portion is not attributable to our on-going operations for subsequent periods.</w:t>
      </w: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non-GAAP financial measures include the following:</w:t>
      </w:r>
    </w:p>
    <w:p>
      <w:pPr>
        <w:spacing w:after="0" w:line="2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Adjusted operating earnings (Adjusted EBIAT) </w:t>
      </w:r>
      <w:r>
        <w:rPr>
          <w:rFonts w:ascii="Times New Roman" w:cs="Times New Roman" w:eastAsia="Times New Roman" w:hAnsi="Times New Roman"/>
          <w:sz w:val="18"/>
          <w:szCs w:val="18"/>
          <w:color w:val="auto"/>
        </w:rPr>
        <w:t>is defined as GAAP earnings from operations excluding the impact of Employee SBC expense,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TRS FVAs, FCC Transitional ADJ, Amortization of intangible assets (excluding computer software), and Restructuring and Other Charges (Recoveries).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Adjusted operating margin is adjusted operating earnings as a percentage of GAAP revenue. Management uses adjusted operating earnings (adjusted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EBIAT) as a measure to assess performance related to our core operations.</w:t>
      </w:r>
    </w:p>
    <w:p>
      <w:pPr>
        <w:spacing w:after="0" w:line="23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Adjusted net earnings </w:t>
      </w:r>
      <w:r>
        <w:rPr>
          <w:rFonts w:ascii="Times New Roman" w:cs="Times New Roman" w:eastAsia="Times New Roman" w:hAnsi="Times New Roman"/>
          <w:sz w:val="18"/>
          <w:szCs w:val="18"/>
          <w:color w:val="auto"/>
        </w:rPr>
        <w:t>is defined as GAAP net earnings before the impact of Employee SBC expense, TRS FVAs, FCC Transitional ADJ,</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amortization of intangible assets (excluding computer software), Restructuring and Other Charges (Recoveries), IRS Transitional ADJ, Miscellaneous Expense (Income) and adjustment for taxes. Adjusted net earnings per share is calculated by dividing adjusted net earnings by the number of diluted weighted average shares outstanding. Management uses adjusted net earnings as a measure to assess performance related to our core operations.</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Non-GAAP free cash flow </w:t>
      </w:r>
      <w:r>
        <w:rPr>
          <w:rFonts w:ascii="Times New Roman" w:cs="Times New Roman" w:eastAsia="Times New Roman" w:hAnsi="Times New Roman"/>
          <w:sz w:val="18"/>
          <w:szCs w:val="18"/>
          <w:color w:val="auto"/>
        </w:rPr>
        <w:t>is defined as cash provided by (used in) operations after the purchase of property, plant and equipment (net of proceeds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the sale of certain surplus equipment and property, when applicable). Free cash flow does not represent residual cash flow available to Celestica for discretionary expenditures. Management uses free cash flow as a measure, in addition to GAAP cash provided by (used in) operations, to assess our operational cash flow performance. We believe free cash flow provides another level of transparency to our ability to generate cash from normal business operations.</w:t>
      </w:r>
    </w:p>
    <w:p>
      <w:pPr>
        <w:spacing w:after="0" w:line="21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Adjusted ROIC </w:t>
      </w:r>
      <w:r>
        <w:rPr>
          <w:rFonts w:ascii="Times New Roman" w:cs="Times New Roman" w:eastAsia="Times New Roman" w:hAnsi="Times New Roman"/>
          <w:sz w:val="18"/>
          <w:szCs w:val="18"/>
          <w:color w:val="auto"/>
        </w:rPr>
        <w:t>is calculated by dividing annualized adjusted EBIAT by average net invested capital for the period. Net invested capital (calculated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the tables below) is derived from GAAP financial measures, and is defined as total assets less: cash, ROU assets (operating and finance leases), accounts payable, accrued and other current liabilities (excluding finance and operating lease liabilities), provisions, and income taxes payable. Management uses adjusted ROIC as a measure to assess the effectiveness of the invested capital we employ to build products or provide services to our customers, by quantifying how well we generate earnings relative to the capital we have invested in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91" w:name="page92"/>
    <w:bookmarkEnd w:id="91"/>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determination of our adjusted effective tax expense (non-GAAP) and adjusted effective tax rate (non-GAAP) is described in footnote 1 to the table below.</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sets forth, for the periods indicated, the various non-GAAP financial measures discussed above, and a reconciliation of non-GAAP financial measures to the most directly comparable financial measures determined under GAAP (in millions, except percentages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92" w:name="page93"/>
    <w:bookmarkEnd w:id="92"/>
    <w:tbl>
      <w:tblPr>
        <w:tblLayout w:type="fixed"/>
        <w:tblInd w:w="2400" w:type="dxa"/>
        <w:tblCellMar>
          <w:top w:w="0" w:type="dxa"/>
          <w:left w:w="0" w:type="dxa"/>
          <w:bottom w:w="0" w:type="dxa"/>
          <w:right w:w="0" w:type="dxa"/>
        </w:tblCellMar>
      </w:tblPr>
      <w:tr>
        <w:trPr>
          <w:trHeight w:val="215"/>
        </w:trPr>
        <w:tc>
          <w:tcPr>
            <w:tcW w:w="3620" w:type="dxa"/>
            <w:vAlign w:val="bottom"/>
            <w:tcBorders>
              <w:bottom w:val="single" w:sz="8" w:color="auto"/>
            </w:tcBorders>
            <w:gridSpan w:val="4"/>
          </w:tcPr>
          <w:p>
            <w:pPr>
              <w:ind w:left="560"/>
              <w:spacing w:after="0"/>
              <w:rPr>
                <w:sz w:val="20"/>
                <w:szCs w:val="20"/>
                <w:color w:val="auto"/>
              </w:rPr>
            </w:pPr>
            <w:r>
              <w:rPr>
                <w:rFonts w:ascii="Times New Roman" w:cs="Times New Roman" w:eastAsia="Times New Roman" w:hAnsi="Times New Roman"/>
                <w:sz w:val="16"/>
                <w:szCs w:val="16"/>
                <w:b w:val="1"/>
                <w:bCs w:val="1"/>
                <w:color w:val="auto"/>
              </w:rPr>
              <w:t>Three months ended December 31</w:t>
            </w:r>
          </w:p>
        </w:tc>
        <w:tc>
          <w:tcPr>
            <w:tcW w:w="3500" w:type="dxa"/>
            <w:vAlign w:val="bottom"/>
            <w:tcBorders>
              <w:bottom w:val="single" w:sz="8" w:color="auto"/>
            </w:tcBorders>
            <w:gridSpan w:val="3"/>
          </w:tcPr>
          <w:p>
            <w:pPr>
              <w:jc w:val="right"/>
              <w:ind w:right="79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211"/>
        </w:trPr>
        <w:tc>
          <w:tcPr>
            <w:tcW w:w="170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8"/>
                <w:szCs w:val="18"/>
                <w:color w:val="auto"/>
              </w:rPr>
            </w:pPr>
          </w:p>
        </w:tc>
        <w:tc>
          <w:tcPr>
            <w:tcW w:w="168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8"/>
                <w:szCs w:val="18"/>
                <w:color w:val="auto"/>
              </w:rPr>
            </w:pPr>
          </w:p>
        </w:tc>
        <w:tc>
          <w:tcPr>
            <w:tcW w:w="170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Pr>
          <w:p>
            <w:pPr>
              <w:spacing w:after="0"/>
              <w:rPr>
                <w:sz w:val="18"/>
                <w:szCs w:val="18"/>
                <w:color w:val="auto"/>
              </w:rPr>
            </w:pPr>
          </w:p>
        </w:tc>
        <w:tc>
          <w:tcPr>
            <w:tcW w:w="166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57"/>
        </w:trPr>
        <w:tc>
          <w:tcPr>
            <w:tcW w:w="1700" w:type="dxa"/>
            <w:vAlign w:val="bottom"/>
          </w:tcPr>
          <w:p>
            <w:pPr>
              <w:jc w:val="center"/>
              <w:ind w:left="819"/>
              <w:spacing w:after="0" w:line="158" w:lineRule="exact"/>
              <w:rPr>
                <w:sz w:val="20"/>
                <w:szCs w:val="20"/>
                <w:color w:val="auto"/>
              </w:rPr>
            </w:pPr>
            <w:r>
              <w:rPr>
                <w:rFonts w:ascii="Times New Roman" w:cs="Times New Roman" w:eastAsia="Times New Roman" w:hAnsi="Times New Roman"/>
                <w:sz w:val="16"/>
                <w:szCs w:val="16"/>
                <w:color w:val="auto"/>
              </w:rPr>
              <w:t>% of</w:t>
            </w:r>
          </w:p>
        </w:tc>
        <w:tc>
          <w:tcPr>
            <w:tcW w:w="120" w:type="dxa"/>
            <w:vAlign w:val="bottom"/>
          </w:tcPr>
          <w:p>
            <w:pPr>
              <w:spacing w:after="0"/>
              <w:rPr>
                <w:sz w:val="13"/>
                <w:szCs w:val="13"/>
                <w:color w:val="auto"/>
              </w:rPr>
            </w:pPr>
          </w:p>
        </w:tc>
        <w:tc>
          <w:tcPr>
            <w:tcW w:w="1680" w:type="dxa"/>
            <w:vAlign w:val="bottom"/>
          </w:tcPr>
          <w:p>
            <w:pPr>
              <w:jc w:val="center"/>
              <w:ind w:left="839"/>
              <w:spacing w:after="0" w:line="158" w:lineRule="exact"/>
              <w:rPr>
                <w:sz w:val="20"/>
                <w:szCs w:val="20"/>
                <w:color w:val="auto"/>
              </w:rPr>
            </w:pPr>
            <w:r>
              <w:rPr>
                <w:rFonts w:ascii="Times New Roman" w:cs="Times New Roman" w:eastAsia="Times New Roman" w:hAnsi="Times New Roman"/>
                <w:sz w:val="16"/>
                <w:szCs w:val="16"/>
                <w:color w:val="auto"/>
              </w:rPr>
              <w:t>% of</w:t>
            </w:r>
          </w:p>
        </w:tc>
        <w:tc>
          <w:tcPr>
            <w:tcW w:w="120" w:type="dxa"/>
            <w:vAlign w:val="bottom"/>
          </w:tcPr>
          <w:p>
            <w:pPr>
              <w:spacing w:after="0"/>
              <w:rPr>
                <w:sz w:val="13"/>
                <w:szCs w:val="13"/>
                <w:color w:val="auto"/>
              </w:rPr>
            </w:pPr>
          </w:p>
        </w:tc>
        <w:tc>
          <w:tcPr>
            <w:tcW w:w="1700" w:type="dxa"/>
            <w:vAlign w:val="bottom"/>
          </w:tcPr>
          <w:p>
            <w:pPr>
              <w:jc w:val="center"/>
              <w:ind w:left="839"/>
              <w:spacing w:after="0" w:line="158" w:lineRule="exact"/>
              <w:rPr>
                <w:sz w:val="20"/>
                <w:szCs w:val="20"/>
                <w:color w:val="auto"/>
              </w:rPr>
            </w:pPr>
            <w:r>
              <w:rPr>
                <w:rFonts w:ascii="Times New Roman" w:cs="Times New Roman" w:eastAsia="Times New Roman" w:hAnsi="Times New Roman"/>
                <w:sz w:val="16"/>
                <w:szCs w:val="16"/>
                <w:color w:val="auto"/>
                <w:w w:val="97"/>
              </w:rPr>
              <w:t>% of</w:t>
            </w:r>
          </w:p>
        </w:tc>
        <w:tc>
          <w:tcPr>
            <w:tcW w:w="140" w:type="dxa"/>
            <w:vAlign w:val="bottom"/>
          </w:tcPr>
          <w:p>
            <w:pPr>
              <w:spacing w:after="0"/>
              <w:rPr>
                <w:sz w:val="13"/>
                <w:szCs w:val="13"/>
                <w:color w:val="auto"/>
              </w:rPr>
            </w:pPr>
          </w:p>
        </w:tc>
        <w:tc>
          <w:tcPr>
            <w:tcW w:w="1660" w:type="dxa"/>
            <w:vAlign w:val="bottom"/>
          </w:tcPr>
          <w:p>
            <w:pPr>
              <w:jc w:val="center"/>
              <w:ind w:left="839"/>
              <w:spacing w:after="0" w:line="158" w:lineRule="exact"/>
              <w:rPr>
                <w:sz w:val="20"/>
                <w:szCs w:val="20"/>
                <w:color w:val="auto"/>
              </w:rPr>
            </w:pPr>
            <w:r>
              <w:rPr>
                <w:rFonts w:ascii="Times New Roman" w:cs="Times New Roman" w:eastAsia="Times New Roman" w:hAnsi="Times New Roman"/>
                <w:sz w:val="16"/>
                <w:szCs w:val="16"/>
                <w:color w:val="auto"/>
                <w:w w:val="97"/>
              </w:rPr>
              <w:t>% of</w:t>
            </w:r>
          </w:p>
        </w:tc>
      </w:tr>
      <w:tr>
        <w:trPr>
          <w:trHeight w:val="210"/>
        </w:trPr>
        <w:tc>
          <w:tcPr>
            <w:tcW w:w="1820" w:type="dxa"/>
            <w:vAlign w:val="bottom"/>
            <w:gridSpan w:val="2"/>
          </w:tcPr>
          <w:p>
            <w:pPr>
              <w:jc w:val="center"/>
              <w:ind w:left="699"/>
              <w:spacing w:after="0"/>
              <w:rPr>
                <w:sz w:val="20"/>
                <w:szCs w:val="20"/>
                <w:color w:val="auto"/>
              </w:rPr>
            </w:pPr>
            <w:r>
              <w:rPr>
                <w:rFonts w:ascii="Times New Roman" w:cs="Times New Roman" w:eastAsia="Times New Roman" w:hAnsi="Times New Roman"/>
                <w:sz w:val="16"/>
                <w:szCs w:val="16"/>
                <w:color w:val="auto"/>
              </w:rPr>
              <w:t>revenue</w:t>
            </w:r>
          </w:p>
        </w:tc>
        <w:tc>
          <w:tcPr>
            <w:tcW w:w="1800" w:type="dxa"/>
            <w:vAlign w:val="bottom"/>
            <w:gridSpan w:val="2"/>
          </w:tcPr>
          <w:p>
            <w:pPr>
              <w:jc w:val="center"/>
              <w:ind w:left="719"/>
              <w:spacing w:after="0"/>
              <w:rPr>
                <w:sz w:val="20"/>
                <w:szCs w:val="20"/>
                <w:color w:val="auto"/>
              </w:rPr>
            </w:pPr>
            <w:r>
              <w:rPr>
                <w:rFonts w:ascii="Times New Roman" w:cs="Times New Roman" w:eastAsia="Times New Roman" w:hAnsi="Times New Roman"/>
                <w:sz w:val="16"/>
                <w:szCs w:val="16"/>
                <w:color w:val="auto"/>
              </w:rPr>
              <w:t>revenue</w:t>
            </w:r>
          </w:p>
        </w:tc>
        <w:tc>
          <w:tcPr>
            <w:tcW w:w="1840" w:type="dxa"/>
            <w:vAlign w:val="bottom"/>
            <w:gridSpan w:val="2"/>
          </w:tcPr>
          <w:p>
            <w:pPr>
              <w:jc w:val="center"/>
              <w:ind w:left="679"/>
              <w:spacing w:after="0"/>
              <w:rPr>
                <w:sz w:val="20"/>
                <w:szCs w:val="20"/>
                <w:color w:val="auto"/>
              </w:rPr>
            </w:pPr>
            <w:r>
              <w:rPr>
                <w:rFonts w:ascii="Times New Roman" w:cs="Times New Roman" w:eastAsia="Times New Roman" w:hAnsi="Times New Roman"/>
                <w:sz w:val="16"/>
                <w:szCs w:val="16"/>
                <w:color w:val="auto"/>
              </w:rPr>
              <w:t>revenue</w:t>
            </w:r>
          </w:p>
        </w:tc>
        <w:tc>
          <w:tcPr>
            <w:tcW w:w="1660" w:type="dxa"/>
            <w:vAlign w:val="bottom"/>
          </w:tcPr>
          <w:p>
            <w:pPr>
              <w:jc w:val="center"/>
              <w:ind w:left="839"/>
              <w:spacing w:after="0"/>
              <w:rPr>
                <w:sz w:val="20"/>
                <w:szCs w:val="20"/>
                <w:color w:val="auto"/>
              </w:rPr>
            </w:pPr>
            <w:r>
              <w:rPr>
                <w:rFonts w:ascii="Times New Roman" w:cs="Times New Roman" w:eastAsia="Times New Roman" w:hAnsi="Times New Roman"/>
                <w:sz w:val="16"/>
                <w:szCs w:val="16"/>
                <w:color w:val="auto"/>
                <w:w w:val="98"/>
              </w:rPr>
              <w:t>revenue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4986020</wp:posOffset>
            </wp:positionH>
            <wp:positionV relativeFrom="paragraph">
              <wp:posOffset>3810</wp:posOffset>
            </wp:positionV>
            <wp:extent cx="106299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ectPr>
          <w:pgSz w:w="11900" w:h="16838" w:orient="portrait"/>
          <w:cols w:equalWidth="0" w:num="1">
            <w:col w:w="9520"/>
          </w:cols>
          <w:pgMar w:left="1440" w:top="974" w:right="939" w:bottom="771" w:gutter="0" w:footer="0" w:header="0"/>
        </w:sectPr>
      </w:pPr>
    </w:p>
    <w:tbl>
      <w:tblPr>
        <w:tblLayout w:type="fixed"/>
        <w:tblInd w:w="160" w:type="dxa"/>
        <w:tblCellMar>
          <w:top w:w="0" w:type="dxa"/>
          <w:left w:w="0" w:type="dxa"/>
          <w:bottom w:w="0" w:type="dxa"/>
          <w:right w:w="0" w:type="dxa"/>
        </w:tblCellMar>
      </w:tblPr>
      <w:tr>
        <w:trPr>
          <w:trHeight w:val="232"/>
        </w:trPr>
        <w:tc>
          <w:tcPr>
            <w:tcW w:w="22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GAAP revenue</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2,545.7</w:t>
            </w:r>
          </w:p>
        </w:tc>
        <w:tc>
          <w:tcPr>
            <w:tcW w:w="7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2,140.5</w:t>
            </w:r>
          </w:p>
        </w:tc>
        <w:tc>
          <w:tcPr>
            <w:tcW w:w="7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9,646.0</w:t>
            </w:r>
          </w:p>
        </w:tc>
        <w:tc>
          <w:tcPr>
            <w:tcW w:w="78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7,961.0</w:t>
            </w:r>
          </w:p>
        </w:tc>
        <w:tc>
          <w:tcPr>
            <w:tcW w:w="0" w:type="dxa"/>
            <w:vAlign w:val="bottom"/>
          </w:tcPr>
          <w:p>
            <w:pPr>
              <w:spacing w:after="0"/>
              <w:rPr>
                <w:sz w:val="1"/>
                <w:szCs w:val="1"/>
                <w:color w:val="auto"/>
              </w:rPr>
            </w:pPr>
          </w:p>
        </w:tc>
      </w:tr>
      <w:tr>
        <w:trPr>
          <w:trHeight w:val="341"/>
        </w:trPr>
        <w:tc>
          <w:tcPr>
            <w:tcW w:w="22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GAAP gross profit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297.2</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11.7 %</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223.2</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10.4 %</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1,033.7</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10.7 %</w:t>
            </w:r>
          </w:p>
        </w:tc>
        <w:tc>
          <w:tcPr>
            <w:tcW w:w="14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754.1</w:t>
            </w:r>
          </w:p>
        </w:tc>
        <w:tc>
          <w:tcPr>
            <w:tcW w:w="0" w:type="dxa"/>
            <w:vAlign w:val="bottom"/>
          </w:tcPr>
          <w:p>
            <w:pPr>
              <w:spacing w:after="0"/>
              <w:rPr>
                <w:sz w:val="1"/>
                <w:szCs w:val="1"/>
                <w:color w:val="auto"/>
              </w:rPr>
            </w:pPr>
          </w:p>
        </w:tc>
      </w:tr>
      <w:tr>
        <w:trPr>
          <w:trHeight w:val="216"/>
        </w:trPr>
        <w:tc>
          <w:tcPr>
            <w:tcW w:w="22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Employee SBC expense</w:t>
            </w:r>
          </w:p>
        </w:tc>
        <w:tc>
          <w:tcPr>
            <w:tcW w:w="160" w:type="dxa"/>
            <w:vAlign w:val="bottom"/>
          </w:tcPr>
          <w:p>
            <w:pPr>
              <w:spacing w:after="0"/>
              <w:rPr>
                <w:sz w:val="18"/>
                <w:szCs w:val="18"/>
                <w:color w:val="auto"/>
              </w:rPr>
            </w:pPr>
          </w:p>
        </w:tc>
        <w:tc>
          <w:tcPr>
            <w:tcW w:w="7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4.6</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4.2</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24.8</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22.6</w:t>
            </w:r>
          </w:p>
        </w:tc>
        <w:tc>
          <w:tcPr>
            <w:tcW w:w="0" w:type="dxa"/>
            <w:vAlign w:val="bottom"/>
          </w:tcPr>
          <w:p>
            <w:pPr>
              <w:spacing w:after="0"/>
              <w:rPr>
                <w:sz w:val="1"/>
                <w:szCs w:val="1"/>
                <w:color w:val="auto"/>
              </w:rPr>
            </w:pPr>
          </w:p>
        </w:tc>
      </w:tr>
      <w:tr>
        <w:trPr>
          <w:trHeight w:val="256"/>
        </w:trPr>
        <w:tc>
          <w:tcPr>
            <w:tcW w:w="22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TRS FVAs: (gains)</w:t>
            </w:r>
          </w:p>
        </w:tc>
        <w:tc>
          <w:tcPr>
            <w:tcW w:w="160" w:type="dxa"/>
            <w:vAlign w:val="bottom"/>
          </w:tcPr>
          <w:p>
            <w:pPr>
              <w:spacing w:after="0"/>
              <w:rPr>
                <w:sz w:val="22"/>
                <w:szCs w:val="22"/>
                <w:color w:val="auto"/>
              </w:rPr>
            </w:pPr>
          </w:p>
        </w:tc>
        <w:tc>
          <w:tcPr>
            <w:tcW w:w="7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(22.4)</w:t>
            </w: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(39.6)</w:t>
            </w:r>
          </w:p>
        </w:tc>
        <w:tc>
          <w:tcPr>
            <w:tcW w:w="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0"/>
        </w:trPr>
        <w:tc>
          <w:tcPr>
            <w:tcW w:w="22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FCC Transitional ADJ</w:t>
            </w: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0.4</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(3.6)</w:t>
            </w: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0.1</w:t>
            </w: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3.6</w:t>
            </w:r>
          </w:p>
        </w:tc>
        <w:tc>
          <w:tcPr>
            <w:tcW w:w="0" w:type="dxa"/>
            <w:vAlign w:val="bottom"/>
          </w:tcPr>
          <w:p>
            <w:pPr>
              <w:spacing w:after="0"/>
              <w:rPr>
                <w:sz w:val="1"/>
                <w:szCs w:val="1"/>
                <w:color w:val="auto"/>
              </w:rPr>
            </w:pPr>
          </w:p>
        </w:tc>
      </w:tr>
      <w:tr>
        <w:trPr>
          <w:trHeight w:val="159"/>
        </w:trPr>
        <w:tc>
          <w:tcPr>
            <w:tcW w:w="2240" w:type="dxa"/>
            <w:vAlign w:val="bottom"/>
          </w:tcPr>
          <w:p>
            <w:pPr>
              <w:spacing w:after="0" w:line="159" w:lineRule="exact"/>
              <w:rPr>
                <w:sz w:val="20"/>
                <w:szCs w:val="20"/>
                <w:color w:val="auto"/>
              </w:rPr>
            </w:pPr>
            <w:r>
              <w:rPr>
                <w:rFonts w:ascii="Times New Roman" w:cs="Times New Roman" w:eastAsia="Times New Roman" w:hAnsi="Times New Roman"/>
                <w:sz w:val="16"/>
                <w:szCs w:val="16"/>
                <w:b w:val="1"/>
                <w:bCs w:val="1"/>
                <w:color w:val="auto"/>
              </w:rPr>
              <w:t>Adjusted gross profit (non-</w:t>
            </w: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22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GAAP)</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279.8</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11.0 %</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223.8</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10.5 %</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1,019.0</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10.6 %</w:t>
            </w:r>
          </w:p>
        </w:tc>
        <w:tc>
          <w:tcPr>
            <w:tcW w:w="1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780.3</w:t>
            </w:r>
          </w:p>
        </w:tc>
        <w:tc>
          <w:tcPr>
            <w:tcW w:w="0" w:type="dxa"/>
            <w:vAlign w:val="bottom"/>
          </w:tcPr>
          <w:p>
            <w:pPr>
              <w:spacing w:after="0"/>
              <w:rPr>
                <w:sz w:val="1"/>
                <w:szCs w:val="1"/>
                <w:color w:val="auto"/>
              </w:rPr>
            </w:pPr>
          </w:p>
        </w:tc>
      </w:tr>
      <w:tr>
        <w:trPr>
          <w:trHeight w:val="21"/>
        </w:trPr>
        <w:tc>
          <w:tcPr>
            <w:tcW w:w="22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GAAP SG&amp;A</w:t>
            </w: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25"/>
        </w:trPr>
        <w:tc>
          <w:tcPr>
            <w:tcW w:w="2240" w:type="dxa"/>
            <w:vAlign w:val="bottom"/>
            <w:vMerge w:val="continue"/>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57.6</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2.3 %</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85.1</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4.0 %</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293.5</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3.0 %</w:t>
            </w:r>
          </w:p>
        </w:tc>
        <w:tc>
          <w:tcPr>
            <w:tcW w:w="14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303.2</w:t>
            </w:r>
          </w:p>
        </w:tc>
        <w:tc>
          <w:tcPr>
            <w:tcW w:w="0" w:type="dxa"/>
            <w:vAlign w:val="bottom"/>
          </w:tcPr>
          <w:p>
            <w:pPr>
              <w:spacing w:after="0"/>
              <w:rPr>
                <w:sz w:val="1"/>
                <w:szCs w:val="1"/>
                <w:color w:val="auto"/>
              </w:rPr>
            </w:pPr>
          </w:p>
        </w:tc>
      </w:tr>
      <w:tr>
        <w:trPr>
          <w:trHeight w:val="216"/>
        </w:trPr>
        <w:tc>
          <w:tcPr>
            <w:tcW w:w="22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Employee SBC expense</w:t>
            </w:r>
          </w:p>
        </w:tc>
        <w:tc>
          <w:tcPr>
            <w:tcW w:w="160" w:type="dxa"/>
            <w:vAlign w:val="bottom"/>
          </w:tcPr>
          <w:p>
            <w:pPr>
              <w:spacing w:after="0"/>
              <w:rPr>
                <w:sz w:val="18"/>
                <w:szCs w:val="18"/>
                <w:color w:val="auto"/>
              </w:rPr>
            </w:pPr>
          </w:p>
        </w:tc>
        <w:tc>
          <w:tcPr>
            <w:tcW w:w="7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(5.5)</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(5.6)</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(32.6)</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(33.0)</w:t>
            </w:r>
          </w:p>
        </w:tc>
        <w:tc>
          <w:tcPr>
            <w:tcW w:w="0" w:type="dxa"/>
            <w:vAlign w:val="bottom"/>
          </w:tcPr>
          <w:p>
            <w:pPr>
              <w:spacing w:after="0"/>
              <w:rPr>
                <w:sz w:val="1"/>
                <w:szCs w:val="1"/>
                <w:color w:val="auto"/>
              </w:rPr>
            </w:pPr>
          </w:p>
        </w:tc>
      </w:tr>
      <w:tr>
        <w:trPr>
          <w:trHeight w:val="216"/>
        </w:trPr>
        <w:tc>
          <w:tcPr>
            <w:tcW w:w="22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TRS FVAs (gains)</w:t>
            </w:r>
          </w:p>
        </w:tc>
        <w:tc>
          <w:tcPr>
            <w:tcW w:w="160" w:type="dxa"/>
            <w:vAlign w:val="bottom"/>
          </w:tcPr>
          <w:p>
            <w:pPr>
              <w:spacing w:after="0"/>
              <w:rPr>
                <w:sz w:val="18"/>
                <w:szCs w:val="18"/>
                <w:color w:val="auto"/>
              </w:rPr>
            </w:pPr>
          </w:p>
        </w:tc>
        <w:tc>
          <w:tcPr>
            <w:tcW w:w="7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29.1</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51.4</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22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FCC Transitional ADJ</w:t>
            </w: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(2.2)</w:t>
            </w: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1.4</w:t>
            </w: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4.8</w:t>
            </w:r>
          </w:p>
        </w:tc>
        <w:tc>
          <w:tcPr>
            <w:tcW w:w="0" w:type="dxa"/>
            <w:vAlign w:val="bottom"/>
          </w:tcPr>
          <w:p>
            <w:pPr>
              <w:spacing w:after="0"/>
              <w:rPr>
                <w:sz w:val="1"/>
                <w:szCs w:val="1"/>
                <w:color w:val="auto"/>
              </w:rPr>
            </w:pPr>
          </w:p>
        </w:tc>
      </w:tr>
      <w:tr>
        <w:trPr>
          <w:trHeight w:val="212"/>
        </w:trPr>
        <w:tc>
          <w:tcPr>
            <w:tcW w:w="22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Adjusted SG&amp;A (non-GAAP)</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81.2</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3.2 %</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77.3</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3.6 %</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313.7</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3.3 %</w:t>
            </w:r>
          </w:p>
        </w:tc>
        <w:tc>
          <w:tcPr>
            <w:tcW w:w="1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275.0</w:t>
            </w:r>
          </w:p>
        </w:tc>
        <w:tc>
          <w:tcPr>
            <w:tcW w:w="0" w:type="dxa"/>
            <w:vAlign w:val="bottom"/>
          </w:tcPr>
          <w:p>
            <w:pPr>
              <w:spacing w:after="0"/>
              <w:rPr>
                <w:sz w:val="1"/>
                <w:szCs w:val="1"/>
                <w:color w:val="auto"/>
              </w:rPr>
            </w:pPr>
          </w:p>
        </w:tc>
      </w:tr>
      <w:tr>
        <w:trPr>
          <w:trHeight w:val="21"/>
        </w:trPr>
        <w:tc>
          <w:tcPr>
            <w:tcW w:w="22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GAAP earnings from</w:t>
            </w: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7"/>
        </w:trPr>
        <w:tc>
          <w:tcPr>
            <w:tcW w:w="2240" w:type="dxa"/>
            <w:vAlign w:val="bottom"/>
            <w:vMerge w:val="continue"/>
          </w:tcPr>
          <w:p>
            <w:pPr>
              <w:spacing w:after="0"/>
              <w:rPr>
                <w:sz w:val="24"/>
                <w:szCs w:val="24"/>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vMerge w:val="restart"/>
          </w:tcPr>
          <w:p>
            <w:pPr>
              <w:jc w:val="right"/>
              <w:ind w:right="139"/>
              <w:spacing w:after="0"/>
              <w:rPr>
                <w:sz w:val="20"/>
                <w:szCs w:val="20"/>
                <w:color w:val="auto"/>
              </w:rPr>
            </w:pPr>
            <w:r>
              <w:rPr>
                <w:rFonts w:ascii="Times New Roman" w:cs="Times New Roman" w:eastAsia="Times New Roman" w:hAnsi="Times New Roman"/>
                <w:sz w:val="16"/>
                <w:szCs w:val="16"/>
                <w:color w:val="auto"/>
              </w:rPr>
              <w:t>202.6</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8.0 %</w:t>
            </w:r>
          </w:p>
        </w:tc>
        <w:tc>
          <w:tcPr>
            <w:tcW w:w="120" w:type="dxa"/>
            <w:vAlign w:val="bottom"/>
          </w:tcPr>
          <w:p>
            <w:pPr>
              <w:spacing w:after="0"/>
              <w:rPr>
                <w:sz w:val="24"/>
                <w:szCs w:val="24"/>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vMerge w:val="restart"/>
          </w:tcPr>
          <w:p>
            <w:pPr>
              <w:jc w:val="right"/>
              <w:ind w:right="139"/>
              <w:spacing w:after="0"/>
              <w:rPr>
                <w:sz w:val="20"/>
                <w:szCs w:val="20"/>
                <w:color w:val="auto"/>
              </w:rPr>
            </w:pPr>
            <w:r>
              <w:rPr>
                <w:rFonts w:ascii="Times New Roman" w:cs="Times New Roman" w:eastAsia="Times New Roman" w:hAnsi="Times New Roman"/>
                <w:sz w:val="16"/>
                <w:szCs w:val="16"/>
                <w:color w:val="auto"/>
              </w:rPr>
              <w:t>109.2</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5.1 %</w:t>
            </w:r>
          </w:p>
        </w:tc>
        <w:tc>
          <w:tcPr>
            <w:tcW w:w="120" w:type="dxa"/>
            <w:vAlign w:val="bottom"/>
          </w:tcPr>
          <w:p>
            <w:pPr>
              <w:spacing w:after="0"/>
              <w:rPr>
                <w:sz w:val="24"/>
                <w:szCs w:val="24"/>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599.3</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6.2 %</w:t>
            </w:r>
          </w:p>
        </w:tc>
        <w:tc>
          <w:tcPr>
            <w:tcW w:w="140" w:type="dxa"/>
            <w:vAlign w:val="bottom"/>
          </w:tcPr>
          <w:p>
            <w:pPr>
              <w:spacing w:after="0"/>
              <w:rPr>
                <w:sz w:val="24"/>
                <w:szCs w:val="24"/>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338.3</w:t>
            </w:r>
          </w:p>
        </w:tc>
        <w:tc>
          <w:tcPr>
            <w:tcW w:w="0" w:type="dxa"/>
            <w:vAlign w:val="bottom"/>
          </w:tcPr>
          <w:p>
            <w:pPr>
              <w:spacing w:after="0"/>
              <w:rPr>
                <w:sz w:val="1"/>
                <w:szCs w:val="1"/>
                <w:color w:val="auto"/>
              </w:rPr>
            </w:pPr>
          </w:p>
        </w:tc>
      </w:tr>
      <w:tr>
        <w:trPr>
          <w:trHeight w:val="212"/>
        </w:trPr>
        <w:tc>
          <w:tcPr>
            <w:tcW w:w="22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operations</w:t>
            </w:r>
          </w:p>
        </w:tc>
        <w:tc>
          <w:tcPr>
            <w:tcW w:w="160" w:type="dxa"/>
            <w:vAlign w:val="bottom"/>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7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2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Employee SBC expense</w:t>
            </w:r>
          </w:p>
        </w:tc>
        <w:tc>
          <w:tcPr>
            <w:tcW w:w="160" w:type="dxa"/>
            <w:vAlign w:val="bottom"/>
          </w:tcPr>
          <w:p>
            <w:pPr>
              <w:spacing w:after="0"/>
              <w:rPr>
                <w:sz w:val="18"/>
                <w:szCs w:val="18"/>
                <w:color w:val="auto"/>
              </w:rPr>
            </w:pPr>
          </w:p>
        </w:tc>
        <w:tc>
          <w:tcPr>
            <w:tcW w:w="7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10.1</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9.8</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57.4</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55.6</w:t>
            </w:r>
          </w:p>
        </w:tc>
        <w:tc>
          <w:tcPr>
            <w:tcW w:w="0" w:type="dxa"/>
            <w:vAlign w:val="bottom"/>
          </w:tcPr>
          <w:p>
            <w:pPr>
              <w:spacing w:after="0"/>
              <w:rPr>
                <w:sz w:val="1"/>
                <w:szCs w:val="1"/>
                <w:color w:val="auto"/>
              </w:rPr>
            </w:pPr>
          </w:p>
        </w:tc>
      </w:tr>
      <w:tr>
        <w:trPr>
          <w:trHeight w:val="216"/>
        </w:trPr>
        <w:tc>
          <w:tcPr>
            <w:tcW w:w="22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TRS FVAs: (gains)</w:t>
            </w:r>
          </w:p>
        </w:tc>
        <w:tc>
          <w:tcPr>
            <w:tcW w:w="160" w:type="dxa"/>
            <w:vAlign w:val="bottom"/>
          </w:tcPr>
          <w:p>
            <w:pPr>
              <w:spacing w:after="0"/>
              <w:rPr>
                <w:sz w:val="18"/>
                <w:szCs w:val="18"/>
                <w:color w:val="auto"/>
              </w:rPr>
            </w:pPr>
          </w:p>
        </w:tc>
        <w:tc>
          <w:tcPr>
            <w:tcW w:w="7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(51.5)</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(91.0)</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2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FCC Transitional ADJ</w:t>
            </w:r>
          </w:p>
        </w:tc>
        <w:tc>
          <w:tcPr>
            <w:tcW w:w="160" w:type="dxa"/>
            <w:vAlign w:val="bottom"/>
          </w:tcPr>
          <w:p>
            <w:pPr>
              <w:spacing w:after="0"/>
              <w:rPr>
                <w:sz w:val="18"/>
                <w:szCs w:val="18"/>
                <w:color w:val="auto"/>
              </w:rPr>
            </w:pPr>
          </w:p>
        </w:tc>
        <w:tc>
          <w:tcPr>
            <w:tcW w:w="7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0.4</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(1.4)</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(1.3)</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168"/>
        </w:trPr>
        <w:tc>
          <w:tcPr>
            <w:tcW w:w="2240" w:type="dxa"/>
            <w:vAlign w:val="bottom"/>
          </w:tcPr>
          <w:p>
            <w:pPr>
              <w:ind w:left="120"/>
              <w:spacing w:after="0" w:line="168" w:lineRule="exact"/>
              <w:rPr>
                <w:sz w:val="20"/>
                <w:szCs w:val="20"/>
                <w:color w:val="auto"/>
              </w:rPr>
            </w:pPr>
            <w:r>
              <w:rPr>
                <w:rFonts w:ascii="Times New Roman" w:cs="Times New Roman" w:eastAsia="Times New Roman" w:hAnsi="Times New Roman"/>
                <w:sz w:val="16"/>
                <w:szCs w:val="16"/>
                <w:color w:val="auto"/>
              </w:rPr>
              <w:t>Amortization of intangible</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40" w:type="dxa"/>
            <w:vAlign w:val="bottom"/>
          </w:tcPr>
          <w:p>
            <w:pPr>
              <w:ind w:left="120"/>
              <w:spacing w:after="0" w:line="162" w:lineRule="exact"/>
              <w:rPr>
                <w:sz w:val="20"/>
                <w:szCs w:val="20"/>
                <w:color w:val="auto"/>
              </w:rPr>
            </w:pPr>
            <w:r>
              <w:rPr>
                <w:rFonts w:ascii="Times New Roman" w:cs="Times New Roman" w:eastAsia="Times New Roman" w:hAnsi="Times New Roman"/>
                <w:sz w:val="16"/>
                <w:szCs w:val="16"/>
                <w:color w:val="auto"/>
              </w:rPr>
              <w:t>assets (excluding computer</w:t>
            </w:r>
          </w:p>
        </w:tc>
        <w:tc>
          <w:tcPr>
            <w:tcW w:w="160" w:type="dxa"/>
            <w:vAlign w:val="bottom"/>
          </w:tcPr>
          <w:p>
            <w:pPr>
              <w:spacing w:after="0"/>
              <w:rPr>
                <w:sz w:val="14"/>
                <w:szCs w:val="14"/>
                <w:color w:val="auto"/>
              </w:rPr>
            </w:pPr>
          </w:p>
        </w:tc>
        <w:tc>
          <w:tcPr>
            <w:tcW w:w="760" w:type="dxa"/>
            <w:vAlign w:val="bottom"/>
            <w:vMerge w:val="restart"/>
          </w:tcPr>
          <w:p>
            <w:pPr>
              <w:jc w:val="right"/>
              <w:ind w:right="139"/>
              <w:spacing w:after="0"/>
              <w:rPr>
                <w:sz w:val="20"/>
                <w:szCs w:val="20"/>
                <w:color w:val="auto"/>
              </w:rPr>
            </w:pPr>
            <w:r>
              <w:rPr>
                <w:rFonts w:ascii="Times New Roman" w:cs="Times New Roman" w:eastAsia="Times New Roman" w:hAnsi="Times New Roman"/>
                <w:sz w:val="16"/>
                <w:szCs w:val="16"/>
                <w:color w:val="auto"/>
              </w:rPr>
              <w:t>9.9</w:t>
            </w: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vMerge w:val="restart"/>
          </w:tcPr>
          <w:p>
            <w:pPr>
              <w:jc w:val="right"/>
              <w:ind w:right="139"/>
              <w:spacing w:after="0"/>
              <w:rPr>
                <w:sz w:val="20"/>
                <w:szCs w:val="20"/>
                <w:color w:val="auto"/>
              </w:rPr>
            </w:pPr>
            <w:r>
              <w:rPr>
                <w:rFonts w:ascii="Times New Roman" w:cs="Times New Roman" w:eastAsia="Times New Roman" w:hAnsi="Times New Roman"/>
                <w:sz w:val="16"/>
                <w:szCs w:val="16"/>
                <w:color w:val="auto"/>
              </w:rPr>
              <w:t>9.2</w:t>
            </w: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38.8</w:t>
            </w: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36.8</w:t>
            </w:r>
          </w:p>
        </w:tc>
        <w:tc>
          <w:tcPr>
            <w:tcW w:w="0" w:type="dxa"/>
            <w:vAlign w:val="bottom"/>
          </w:tcPr>
          <w:p>
            <w:pPr>
              <w:spacing w:after="0"/>
              <w:rPr>
                <w:sz w:val="1"/>
                <w:szCs w:val="1"/>
                <w:color w:val="auto"/>
              </w:rPr>
            </w:pPr>
          </w:p>
        </w:tc>
      </w:tr>
      <w:tr>
        <w:trPr>
          <w:trHeight w:val="210"/>
        </w:trPr>
        <w:tc>
          <w:tcPr>
            <w:tcW w:w="22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software)</w:t>
            </w:r>
          </w:p>
        </w:tc>
        <w:tc>
          <w:tcPr>
            <w:tcW w:w="16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2240" w:type="dxa"/>
            <w:vAlign w:val="bottom"/>
          </w:tcPr>
          <w:p>
            <w:pPr>
              <w:ind w:left="120"/>
              <w:spacing w:after="0" w:line="168" w:lineRule="exact"/>
              <w:rPr>
                <w:sz w:val="20"/>
                <w:szCs w:val="20"/>
                <w:color w:val="auto"/>
              </w:rPr>
            </w:pPr>
            <w:r>
              <w:rPr>
                <w:rFonts w:ascii="Times New Roman" w:cs="Times New Roman" w:eastAsia="Times New Roman" w:hAnsi="Times New Roman"/>
                <w:sz w:val="16"/>
                <w:szCs w:val="16"/>
                <w:color w:val="auto"/>
              </w:rPr>
              <w:t>Restructuring and other</w:t>
            </w:r>
          </w:p>
        </w:tc>
        <w:tc>
          <w:tcPr>
            <w:tcW w:w="160" w:type="dxa"/>
            <w:vAlign w:val="bottom"/>
          </w:tcPr>
          <w:p>
            <w:pPr>
              <w:spacing w:after="0"/>
              <w:rPr>
                <w:sz w:val="14"/>
                <w:szCs w:val="14"/>
                <w:color w:val="auto"/>
              </w:rPr>
            </w:pPr>
          </w:p>
        </w:tc>
        <w:tc>
          <w:tcPr>
            <w:tcW w:w="760" w:type="dxa"/>
            <w:vAlign w:val="bottom"/>
            <w:vMerge w:val="restart"/>
          </w:tcPr>
          <w:p>
            <w:pPr>
              <w:jc w:val="right"/>
              <w:ind w:right="139"/>
              <w:spacing w:after="0"/>
              <w:rPr>
                <w:sz w:val="20"/>
                <w:szCs w:val="20"/>
                <w:color w:val="auto"/>
              </w:rPr>
            </w:pPr>
            <w:r>
              <w:rPr>
                <w:rFonts w:ascii="Times New Roman" w:cs="Times New Roman" w:eastAsia="Times New Roman" w:hAnsi="Times New Roman"/>
                <w:sz w:val="16"/>
                <w:szCs w:val="16"/>
                <w:color w:val="auto"/>
              </w:rPr>
              <w:t>2.1</w:t>
            </w: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vMerge w:val="restart"/>
          </w:tcPr>
          <w:p>
            <w:pPr>
              <w:jc w:val="right"/>
              <w:ind w:right="139"/>
              <w:spacing w:after="0"/>
              <w:rPr>
                <w:sz w:val="20"/>
                <w:szCs w:val="20"/>
                <w:color w:val="auto"/>
              </w:rPr>
            </w:pPr>
            <w:r>
              <w:rPr>
                <w:rFonts w:ascii="Times New Roman" w:cs="Times New Roman" w:eastAsia="Times New Roman" w:hAnsi="Times New Roman"/>
                <w:sz w:val="16"/>
                <w:szCs w:val="16"/>
                <w:color w:val="auto"/>
              </w:rPr>
              <w:t>1.5</w:t>
            </w: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19.4</w:t>
            </w: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12.1</w:t>
            </w:r>
          </w:p>
        </w:tc>
        <w:tc>
          <w:tcPr>
            <w:tcW w:w="0" w:type="dxa"/>
            <w:vAlign w:val="bottom"/>
          </w:tcPr>
          <w:p>
            <w:pPr>
              <w:spacing w:after="0"/>
              <w:rPr>
                <w:sz w:val="1"/>
                <w:szCs w:val="1"/>
                <w:color w:val="auto"/>
              </w:rPr>
            </w:pPr>
          </w:p>
        </w:tc>
      </w:tr>
      <w:tr>
        <w:trPr>
          <w:trHeight w:val="210"/>
        </w:trPr>
        <w:tc>
          <w:tcPr>
            <w:tcW w:w="22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charges, net of recoveries</w:t>
            </w: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2240" w:type="dxa"/>
            <w:vAlign w:val="bottom"/>
          </w:tcPr>
          <w:p>
            <w:pPr>
              <w:spacing w:after="0" w:line="159" w:lineRule="exact"/>
              <w:rPr>
                <w:sz w:val="20"/>
                <w:szCs w:val="20"/>
                <w:color w:val="auto"/>
              </w:rPr>
            </w:pPr>
            <w:r>
              <w:rPr>
                <w:rFonts w:ascii="Times New Roman" w:cs="Times New Roman" w:eastAsia="Times New Roman" w:hAnsi="Times New Roman"/>
                <w:sz w:val="16"/>
                <w:szCs w:val="16"/>
                <w:b w:val="1"/>
                <w:bCs w:val="1"/>
                <w:color w:val="auto"/>
              </w:rPr>
              <w:t>Adjusted operating earnings</w:t>
            </w: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22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(adjusted EBIAT) (non-GAAP)</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173.6</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6.8 %</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128.3</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6.0 %</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622.6</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6.5 %</w:t>
            </w:r>
          </w:p>
        </w:tc>
        <w:tc>
          <w:tcPr>
            <w:tcW w:w="1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441.6</w:t>
            </w:r>
          </w:p>
        </w:tc>
        <w:tc>
          <w:tcPr>
            <w:tcW w:w="0" w:type="dxa"/>
            <w:vAlign w:val="bottom"/>
          </w:tcPr>
          <w:p>
            <w:pPr>
              <w:spacing w:after="0"/>
              <w:rPr>
                <w:sz w:val="1"/>
                <w:szCs w:val="1"/>
                <w:color w:val="auto"/>
              </w:rPr>
            </w:pPr>
          </w:p>
        </w:tc>
      </w:tr>
      <w:tr>
        <w:trPr>
          <w:trHeight w:val="20"/>
        </w:trPr>
        <w:tc>
          <w:tcPr>
            <w:tcW w:w="22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GAAP net earnings</w:t>
            </w: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25"/>
        </w:trPr>
        <w:tc>
          <w:tcPr>
            <w:tcW w:w="2240" w:type="dxa"/>
            <w:vAlign w:val="bottom"/>
            <w:vMerge w:val="continue"/>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151.7</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6.0 %</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91.6</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4.3 %</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428.0</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4.4 %</w:t>
            </w:r>
          </w:p>
        </w:tc>
        <w:tc>
          <w:tcPr>
            <w:tcW w:w="14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244.4</w:t>
            </w:r>
          </w:p>
        </w:tc>
        <w:tc>
          <w:tcPr>
            <w:tcW w:w="0" w:type="dxa"/>
            <w:vAlign w:val="bottom"/>
          </w:tcPr>
          <w:p>
            <w:pPr>
              <w:spacing w:after="0"/>
              <w:rPr>
                <w:sz w:val="1"/>
                <w:szCs w:val="1"/>
                <w:color w:val="auto"/>
              </w:rPr>
            </w:pPr>
          </w:p>
        </w:tc>
      </w:tr>
      <w:tr>
        <w:trPr>
          <w:trHeight w:val="216"/>
        </w:trPr>
        <w:tc>
          <w:tcPr>
            <w:tcW w:w="22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Employee SBC expense</w:t>
            </w:r>
          </w:p>
        </w:tc>
        <w:tc>
          <w:tcPr>
            <w:tcW w:w="160" w:type="dxa"/>
            <w:vAlign w:val="bottom"/>
          </w:tcPr>
          <w:p>
            <w:pPr>
              <w:spacing w:after="0"/>
              <w:rPr>
                <w:sz w:val="18"/>
                <w:szCs w:val="18"/>
                <w:color w:val="auto"/>
              </w:rPr>
            </w:pPr>
          </w:p>
        </w:tc>
        <w:tc>
          <w:tcPr>
            <w:tcW w:w="7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10.1</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9.8</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57.4</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55.6</w:t>
            </w:r>
          </w:p>
        </w:tc>
        <w:tc>
          <w:tcPr>
            <w:tcW w:w="0" w:type="dxa"/>
            <w:vAlign w:val="bottom"/>
          </w:tcPr>
          <w:p>
            <w:pPr>
              <w:spacing w:after="0"/>
              <w:rPr>
                <w:sz w:val="1"/>
                <w:szCs w:val="1"/>
                <w:color w:val="auto"/>
              </w:rPr>
            </w:pPr>
          </w:p>
        </w:tc>
      </w:tr>
      <w:tr>
        <w:trPr>
          <w:trHeight w:val="216"/>
        </w:trPr>
        <w:tc>
          <w:tcPr>
            <w:tcW w:w="22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TRS FVAs: (gains)</w:t>
            </w:r>
          </w:p>
        </w:tc>
        <w:tc>
          <w:tcPr>
            <w:tcW w:w="160" w:type="dxa"/>
            <w:vAlign w:val="bottom"/>
          </w:tcPr>
          <w:p>
            <w:pPr>
              <w:spacing w:after="0"/>
              <w:rPr>
                <w:sz w:val="18"/>
                <w:szCs w:val="18"/>
                <w:color w:val="auto"/>
              </w:rPr>
            </w:pPr>
          </w:p>
        </w:tc>
        <w:tc>
          <w:tcPr>
            <w:tcW w:w="7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(51.5)</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(91.0)</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2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FCC Transitional ADJ</w:t>
            </w:r>
          </w:p>
        </w:tc>
        <w:tc>
          <w:tcPr>
            <w:tcW w:w="160" w:type="dxa"/>
            <w:vAlign w:val="bottom"/>
          </w:tcPr>
          <w:p>
            <w:pPr>
              <w:spacing w:after="0"/>
              <w:rPr>
                <w:sz w:val="18"/>
                <w:szCs w:val="18"/>
                <w:color w:val="auto"/>
              </w:rPr>
            </w:pPr>
          </w:p>
        </w:tc>
        <w:tc>
          <w:tcPr>
            <w:tcW w:w="7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0.4</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(1.4)</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(1.3)</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168"/>
        </w:trPr>
        <w:tc>
          <w:tcPr>
            <w:tcW w:w="2240" w:type="dxa"/>
            <w:vAlign w:val="bottom"/>
          </w:tcPr>
          <w:p>
            <w:pPr>
              <w:ind w:left="120"/>
              <w:spacing w:after="0" w:line="168" w:lineRule="exact"/>
              <w:rPr>
                <w:sz w:val="20"/>
                <w:szCs w:val="20"/>
                <w:color w:val="auto"/>
              </w:rPr>
            </w:pPr>
            <w:r>
              <w:rPr>
                <w:rFonts w:ascii="Times New Roman" w:cs="Times New Roman" w:eastAsia="Times New Roman" w:hAnsi="Times New Roman"/>
                <w:sz w:val="16"/>
                <w:szCs w:val="16"/>
                <w:color w:val="auto"/>
              </w:rPr>
              <w:t>Amortization of intangible</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40" w:type="dxa"/>
            <w:vAlign w:val="bottom"/>
          </w:tcPr>
          <w:p>
            <w:pPr>
              <w:ind w:left="120"/>
              <w:spacing w:after="0" w:line="162" w:lineRule="exact"/>
              <w:rPr>
                <w:sz w:val="20"/>
                <w:szCs w:val="20"/>
                <w:color w:val="auto"/>
              </w:rPr>
            </w:pPr>
            <w:r>
              <w:rPr>
                <w:rFonts w:ascii="Times New Roman" w:cs="Times New Roman" w:eastAsia="Times New Roman" w:hAnsi="Times New Roman"/>
                <w:sz w:val="16"/>
                <w:szCs w:val="16"/>
                <w:color w:val="auto"/>
              </w:rPr>
              <w:t>assets (excluding computer</w:t>
            </w:r>
          </w:p>
        </w:tc>
        <w:tc>
          <w:tcPr>
            <w:tcW w:w="160" w:type="dxa"/>
            <w:vAlign w:val="bottom"/>
          </w:tcPr>
          <w:p>
            <w:pPr>
              <w:spacing w:after="0"/>
              <w:rPr>
                <w:sz w:val="14"/>
                <w:szCs w:val="14"/>
                <w:color w:val="auto"/>
              </w:rPr>
            </w:pPr>
          </w:p>
        </w:tc>
        <w:tc>
          <w:tcPr>
            <w:tcW w:w="760" w:type="dxa"/>
            <w:vAlign w:val="bottom"/>
            <w:vMerge w:val="restart"/>
          </w:tcPr>
          <w:p>
            <w:pPr>
              <w:jc w:val="right"/>
              <w:ind w:right="139"/>
              <w:spacing w:after="0"/>
              <w:rPr>
                <w:sz w:val="20"/>
                <w:szCs w:val="20"/>
                <w:color w:val="auto"/>
              </w:rPr>
            </w:pPr>
            <w:r>
              <w:rPr>
                <w:rFonts w:ascii="Times New Roman" w:cs="Times New Roman" w:eastAsia="Times New Roman" w:hAnsi="Times New Roman"/>
                <w:sz w:val="16"/>
                <w:szCs w:val="16"/>
                <w:color w:val="auto"/>
              </w:rPr>
              <w:t>9.9</w:t>
            </w: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vMerge w:val="restart"/>
          </w:tcPr>
          <w:p>
            <w:pPr>
              <w:jc w:val="right"/>
              <w:ind w:right="139"/>
              <w:spacing w:after="0"/>
              <w:rPr>
                <w:sz w:val="20"/>
                <w:szCs w:val="20"/>
                <w:color w:val="auto"/>
              </w:rPr>
            </w:pPr>
            <w:r>
              <w:rPr>
                <w:rFonts w:ascii="Times New Roman" w:cs="Times New Roman" w:eastAsia="Times New Roman" w:hAnsi="Times New Roman"/>
                <w:sz w:val="16"/>
                <w:szCs w:val="16"/>
                <w:color w:val="auto"/>
              </w:rPr>
              <w:t>9.2</w:t>
            </w: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38.8</w:t>
            </w: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36.8</w:t>
            </w:r>
          </w:p>
        </w:tc>
        <w:tc>
          <w:tcPr>
            <w:tcW w:w="0" w:type="dxa"/>
            <w:vAlign w:val="bottom"/>
          </w:tcPr>
          <w:p>
            <w:pPr>
              <w:spacing w:after="0"/>
              <w:rPr>
                <w:sz w:val="1"/>
                <w:szCs w:val="1"/>
                <w:color w:val="auto"/>
              </w:rPr>
            </w:pPr>
          </w:p>
        </w:tc>
      </w:tr>
      <w:tr>
        <w:trPr>
          <w:trHeight w:val="210"/>
        </w:trPr>
        <w:tc>
          <w:tcPr>
            <w:tcW w:w="22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software)</w:t>
            </w:r>
          </w:p>
        </w:tc>
        <w:tc>
          <w:tcPr>
            <w:tcW w:w="16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2240" w:type="dxa"/>
            <w:vAlign w:val="bottom"/>
          </w:tcPr>
          <w:p>
            <w:pPr>
              <w:ind w:left="120"/>
              <w:spacing w:after="0" w:line="168" w:lineRule="exact"/>
              <w:rPr>
                <w:sz w:val="20"/>
                <w:szCs w:val="20"/>
                <w:color w:val="auto"/>
              </w:rPr>
            </w:pPr>
            <w:r>
              <w:rPr>
                <w:rFonts w:ascii="Times New Roman" w:cs="Times New Roman" w:eastAsia="Times New Roman" w:hAnsi="Times New Roman"/>
                <w:sz w:val="16"/>
                <w:szCs w:val="16"/>
                <w:color w:val="auto"/>
              </w:rPr>
              <w:t>Restructuring and other</w:t>
            </w:r>
          </w:p>
        </w:tc>
        <w:tc>
          <w:tcPr>
            <w:tcW w:w="160" w:type="dxa"/>
            <w:vAlign w:val="bottom"/>
          </w:tcPr>
          <w:p>
            <w:pPr>
              <w:spacing w:after="0"/>
              <w:rPr>
                <w:sz w:val="14"/>
                <w:szCs w:val="14"/>
                <w:color w:val="auto"/>
              </w:rPr>
            </w:pPr>
          </w:p>
        </w:tc>
        <w:tc>
          <w:tcPr>
            <w:tcW w:w="760" w:type="dxa"/>
            <w:vAlign w:val="bottom"/>
            <w:vMerge w:val="restart"/>
          </w:tcPr>
          <w:p>
            <w:pPr>
              <w:jc w:val="right"/>
              <w:ind w:right="139"/>
              <w:spacing w:after="0"/>
              <w:rPr>
                <w:sz w:val="20"/>
                <w:szCs w:val="20"/>
                <w:color w:val="auto"/>
              </w:rPr>
            </w:pPr>
            <w:r>
              <w:rPr>
                <w:rFonts w:ascii="Times New Roman" w:cs="Times New Roman" w:eastAsia="Times New Roman" w:hAnsi="Times New Roman"/>
                <w:sz w:val="16"/>
                <w:szCs w:val="16"/>
                <w:color w:val="auto"/>
              </w:rPr>
              <w:t>2.1</w:t>
            </w: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vMerge w:val="restart"/>
          </w:tcPr>
          <w:p>
            <w:pPr>
              <w:jc w:val="right"/>
              <w:ind w:right="139"/>
              <w:spacing w:after="0"/>
              <w:rPr>
                <w:sz w:val="20"/>
                <w:szCs w:val="20"/>
                <w:color w:val="auto"/>
              </w:rPr>
            </w:pPr>
            <w:r>
              <w:rPr>
                <w:rFonts w:ascii="Times New Roman" w:cs="Times New Roman" w:eastAsia="Times New Roman" w:hAnsi="Times New Roman"/>
                <w:sz w:val="16"/>
                <w:szCs w:val="16"/>
                <w:color w:val="auto"/>
              </w:rPr>
              <w:t>1.5</w:t>
            </w: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19.4</w:t>
            </w: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12.1</w:t>
            </w:r>
          </w:p>
        </w:tc>
        <w:tc>
          <w:tcPr>
            <w:tcW w:w="0" w:type="dxa"/>
            <w:vAlign w:val="bottom"/>
          </w:tcPr>
          <w:p>
            <w:pPr>
              <w:spacing w:after="0"/>
              <w:rPr>
                <w:sz w:val="1"/>
                <w:szCs w:val="1"/>
                <w:color w:val="auto"/>
              </w:rPr>
            </w:pPr>
          </w:p>
        </w:tc>
      </w:tr>
      <w:tr>
        <w:trPr>
          <w:trHeight w:val="210"/>
        </w:trPr>
        <w:tc>
          <w:tcPr>
            <w:tcW w:w="22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charges, net of recoveries</w:t>
            </w:r>
          </w:p>
        </w:tc>
        <w:tc>
          <w:tcPr>
            <w:tcW w:w="16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2240" w:type="dxa"/>
            <w:vAlign w:val="bottom"/>
          </w:tcPr>
          <w:p>
            <w:pPr>
              <w:ind w:left="120"/>
              <w:spacing w:after="0" w:line="168" w:lineRule="exact"/>
              <w:rPr>
                <w:sz w:val="20"/>
                <w:szCs w:val="20"/>
                <w:color w:val="auto"/>
              </w:rPr>
            </w:pPr>
            <w:r>
              <w:rPr>
                <w:rFonts w:ascii="Times New Roman" w:cs="Times New Roman" w:eastAsia="Times New Roman" w:hAnsi="Times New Roman"/>
                <w:sz w:val="16"/>
                <w:szCs w:val="16"/>
                <w:color w:val="auto"/>
              </w:rPr>
              <w:t>Miscellaneous Expense</w:t>
            </w:r>
          </w:p>
        </w:tc>
        <w:tc>
          <w:tcPr>
            <w:tcW w:w="160" w:type="dxa"/>
            <w:vAlign w:val="bottom"/>
          </w:tcPr>
          <w:p>
            <w:pPr>
              <w:spacing w:after="0"/>
              <w:rPr>
                <w:sz w:val="14"/>
                <w:szCs w:val="14"/>
                <w:color w:val="auto"/>
              </w:rPr>
            </w:pPr>
          </w:p>
        </w:tc>
        <w:tc>
          <w:tcPr>
            <w:tcW w:w="760" w:type="dxa"/>
            <w:vAlign w:val="bottom"/>
            <w:vMerge w:val="restart"/>
          </w:tcPr>
          <w:p>
            <w:pPr>
              <w:jc w:val="right"/>
              <w:ind w:right="139"/>
              <w:spacing w:after="0"/>
              <w:rPr>
                <w:sz w:val="20"/>
                <w:szCs w:val="20"/>
                <w:color w:val="auto"/>
              </w:rPr>
            </w:pPr>
            <w:r>
              <w:rPr>
                <w:rFonts w:ascii="Times New Roman" w:cs="Times New Roman" w:eastAsia="Times New Roman" w:hAnsi="Times New Roman"/>
                <w:sz w:val="16"/>
                <w:szCs w:val="16"/>
                <w:color w:val="auto"/>
              </w:rPr>
              <w:t>1.2</w:t>
            </w: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color w:val="auto"/>
              </w:rPr>
              <w:t>(21.0)</w:t>
            </w: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15.0</w:t>
            </w: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color w:val="auto"/>
              </w:rPr>
              <w:t>(46.6)</w:t>
            </w:r>
          </w:p>
        </w:tc>
        <w:tc>
          <w:tcPr>
            <w:tcW w:w="0" w:type="dxa"/>
            <w:vAlign w:val="bottom"/>
          </w:tcPr>
          <w:p>
            <w:pPr>
              <w:spacing w:after="0"/>
              <w:rPr>
                <w:sz w:val="1"/>
                <w:szCs w:val="1"/>
                <w:color w:val="auto"/>
              </w:rPr>
            </w:pPr>
          </w:p>
        </w:tc>
      </w:tr>
      <w:tr>
        <w:trPr>
          <w:trHeight w:val="210"/>
        </w:trPr>
        <w:tc>
          <w:tcPr>
            <w:tcW w:w="22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(Income)</w:t>
            </w:r>
          </w:p>
        </w:tc>
        <w:tc>
          <w:tcPr>
            <w:tcW w:w="16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IRS Transitional ADJ</w:t>
            </w:r>
          </w:p>
        </w:tc>
        <w:tc>
          <w:tcPr>
            <w:tcW w:w="160" w:type="dxa"/>
            <w:vAlign w:val="bottom"/>
          </w:tcPr>
          <w:p>
            <w:pPr>
              <w:spacing w:after="0"/>
              <w:rPr>
                <w:sz w:val="18"/>
                <w:szCs w:val="18"/>
                <w:color w:val="auto"/>
              </w:rPr>
            </w:pPr>
          </w:p>
        </w:tc>
        <w:tc>
          <w:tcPr>
            <w:tcW w:w="7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2.9</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9.0</w:t>
            </w:r>
          </w:p>
        </w:tc>
        <w:tc>
          <w:tcPr>
            <w:tcW w:w="0" w:type="dxa"/>
            <w:vAlign w:val="bottom"/>
          </w:tcPr>
          <w:p>
            <w:pPr>
              <w:spacing w:after="0"/>
              <w:rPr>
                <w:sz w:val="1"/>
                <w:szCs w:val="1"/>
                <w:color w:val="auto"/>
              </w:rPr>
            </w:pPr>
          </w:p>
        </w:tc>
      </w:tr>
      <w:tr>
        <w:trPr>
          <w:trHeight w:val="222"/>
        </w:trPr>
        <w:tc>
          <w:tcPr>
            <w:tcW w:w="2240" w:type="dxa"/>
            <w:vAlign w:val="bottom"/>
          </w:tcPr>
          <w:p>
            <w:pPr>
              <w:ind w:left="120"/>
              <w:spacing w:after="0" w:line="222" w:lineRule="exact"/>
              <w:rPr>
                <w:sz w:val="20"/>
                <w:szCs w:val="20"/>
                <w:color w:val="auto"/>
              </w:rPr>
            </w:pPr>
            <w:r>
              <w:rPr>
                <w:rFonts w:ascii="Times New Roman" w:cs="Times New Roman" w:eastAsia="Times New Roman" w:hAnsi="Times New Roman"/>
                <w:sz w:val="16"/>
                <w:szCs w:val="16"/>
                <w:color w:val="auto"/>
              </w:rPr>
              <w:t xml:space="preserve">Adjustments for taxes </w:t>
            </w:r>
            <w:r>
              <w:rPr>
                <w:rFonts w:ascii="Times New Roman" w:cs="Times New Roman" w:eastAsia="Times New Roman" w:hAnsi="Times New Roman"/>
                <w:sz w:val="21"/>
                <w:szCs w:val="21"/>
                <w:color w:val="auto"/>
                <w:vertAlign w:val="superscript"/>
              </w:rPr>
              <w:t>(1)</w:t>
            </w: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6.3</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(0.5)</w:t>
            </w: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(5.5)</w:t>
            </w: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(14.3)</w:t>
            </w:r>
          </w:p>
        </w:tc>
        <w:tc>
          <w:tcPr>
            <w:tcW w:w="0" w:type="dxa"/>
            <w:vAlign w:val="bottom"/>
          </w:tcPr>
          <w:p>
            <w:pPr>
              <w:spacing w:after="0"/>
              <w:rPr>
                <w:sz w:val="1"/>
                <w:szCs w:val="1"/>
                <w:color w:val="auto"/>
              </w:rPr>
            </w:pPr>
          </w:p>
        </w:tc>
      </w:tr>
      <w:tr>
        <w:trPr>
          <w:trHeight w:val="142"/>
        </w:trPr>
        <w:tc>
          <w:tcPr>
            <w:tcW w:w="2240" w:type="dxa"/>
            <w:vAlign w:val="bottom"/>
          </w:tcPr>
          <w:p>
            <w:pPr>
              <w:spacing w:after="0" w:line="142" w:lineRule="exact"/>
              <w:rPr>
                <w:sz w:val="20"/>
                <w:szCs w:val="20"/>
                <w:color w:val="auto"/>
              </w:rPr>
            </w:pPr>
            <w:r>
              <w:rPr>
                <w:rFonts w:ascii="Times New Roman" w:cs="Times New Roman" w:eastAsia="Times New Roman" w:hAnsi="Times New Roman"/>
                <w:sz w:val="16"/>
                <w:szCs w:val="16"/>
                <w:b w:val="1"/>
                <w:bCs w:val="1"/>
                <w:color w:val="auto"/>
              </w:rPr>
              <w:t>Adjusted net earnings (non-</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vMerge w:val="restart"/>
          </w:tcPr>
          <w:p>
            <w:pPr>
              <w:jc w:val="right"/>
              <w:ind w:right="139"/>
              <w:spacing w:after="0"/>
              <w:rPr>
                <w:sz w:val="20"/>
                <w:szCs w:val="20"/>
                <w:color w:val="auto"/>
              </w:rPr>
            </w:pPr>
            <w:r>
              <w:rPr>
                <w:rFonts w:ascii="Times New Roman" w:cs="Times New Roman" w:eastAsia="Times New Roman" w:hAnsi="Times New Roman"/>
                <w:sz w:val="16"/>
                <w:szCs w:val="16"/>
                <w:color w:val="auto"/>
              </w:rPr>
              <w:t>130.2</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5.1 %</w:t>
            </w:r>
          </w:p>
        </w:tc>
        <w:tc>
          <w:tcPr>
            <w:tcW w:w="120" w:type="dxa"/>
            <w:vAlign w:val="bottom"/>
          </w:tcPr>
          <w:p>
            <w:pPr>
              <w:spacing w:after="0"/>
              <w:rPr>
                <w:sz w:val="12"/>
                <w:szCs w:val="12"/>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vMerge w:val="restart"/>
          </w:tcPr>
          <w:p>
            <w:pPr>
              <w:jc w:val="right"/>
              <w:ind w:right="139"/>
              <w:spacing w:after="0"/>
              <w:rPr>
                <w:sz w:val="20"/>
                <w:szCs w:val="20"/>
                <w:color w:val="auto"/>
              </w:rPr>
            </w:pPr>
            <w:r>
              <w:rPr>
                <w:rFonts w:ascii="Times New Roman" w:cs="Times New Roman" w:eastAsia="Times New Roman" w:hAnsi="Times New Roman"/>
                <w:sz w:val="16"/>
                <w:szCs w:val="16"/>
                <w:color w:val="auto"/>
              </w:rPr>
              <w:t>92.1</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4.3 %</w:t>
            </w:r>
          </w:p>
        </w:tc>
        <w:tc>
          <w:tcPr>
            <w:tcW w:w="120" w:type="dxa"/>
            <w:vAlign w:val="bottom"/>
          </w:tcPr>
          <w:p>
            <w:pPr>
              <w:spacing w:after="0"/>
              <w:rPr>
                <w:sz w:val="12"/>
                <w:szCs w:val="12"/>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460.8</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4.8 %</w:t>
            </w:r>
          </w:p>
        </w:tc>
        <w:tc>
          <w:tcPr>
            <w:tcW w:w="140" w:type="dxa"/>
            <w:vAlign w:val="bottom"/>
          </w:tcPr>
          <w:p>
            <w:pPr>
              <w:spacing w:after="0"/>
              <w:rPr>
                <w:sz w:val="12"/>
                <w:szCs w:val="12"/>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295.8</w:t>
            </w:r>
          </w:p>
        </w:tc>
        <w:tc>
          <w:tcPr>
            <w:tcW w:w="0" w:type="dxa"/>
            <w:vAlign w:val="bottom"/>
          </w:tcPr>
          <w:p>
            <w:pPr>
              <w:spacing w:after="0"/>
              <w:rPr>
                <w:sz w:val="1"/>
                <w:szCs w:val="1"/>
                <w:color w:val="auto"/>
              </w:rPr>
            </w:pPr>
          </w:p>
        </w:tc>
      </w:tr>
      <w:tr>
        <w:trPr>
          <w:trHeight w:val="194"/>
        </w:trPr>
        <w:tc>
          <w:tcPr>
            <w:tcW w:w="22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GAAP)</w:t>
            </w:r>
          </w:p>
        </w:tc>
        <w:tc>
          <w:tcPr>
            <w:tcW w:w="160" w:type="dxa"/>
            <w:vAlign w:val="bottom"/>
            <w:tcBorders>
              <w:bottom w:val="single" w:sz="8" w:color="auto"/>
            </w:tcBorders>
            <w:vMerge w:val="continue"/>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2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Diluted EPS</w:t>
            </w: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25"/>
        </w:trPr>
        <w:tc>
          <w:tcPr>
            <w:tcW w:w="22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2240" w:type="dxa"/>
            <w:vAlign w:val="bottom"/>
          </w:tcPr>
          <w:p>
            <w:pPr>
              <w:ind w:left="120"/>
              <w:spacing w:after="0" w:line="168" w:lineRule="exact"/>
              <w:rPr>
                <w:sz w:val="20"/>
                <w:szCs w:val="20"/>
                <w:color w:val="auto"/>
              </w:rPr>
            </w:pPr>
            <w:r>
              <w:rPr>
                <w:rFonts w:ascii="Times New Roman" w:cs="Times New Roman" w:eastAsia="Times New Roman" w:hAnsi="Times New Roman"/>
                <w:sz w:val="16"/>
                <w:szCs w:val="16"/>
                <w:color w:val="auto"/>
              </w:rPr>
              <w:t>Weighted average # of shares</w:t>
            </w:r>
          </w:p>
        </w:tc>
        <w:tc>
          <w:tcPr>
            <w:tcW w:w="160" w:type="dxa"/>
            <w:vAlign w:val="bottom"/>
          </w:tcPr>
          <w:p>
            <w:pPr>
              <w:spacing w:after="0"/>
              <w:rPr>
                <w:sz w:val="14"/>
                <w:szCs w:val="14"/>
                <w:color w:val="auto"/>
              </w:rPr>
            </w:pPr>
          </w:p>
        </w:tc>
        <w:tc>
          <w:tcPr>
            <w:tcW w:w="760" w:type="dxa"/>
            <w:vAlign w:val="bottom"/>
            <w:vMerge w:val="restart"/>
          </w:tcPr>
          <w:p>
            <w:pPr>
              <w:jc w:val="right"/>
              <w:ind w:right="139"/>
              <w:spacing w:after="0"/>
              <w:rPr>
                <w:sz w:val="20"/>
                <w:szCs w:val="20"/>
                <w:color w:val="auto"/>
              </w:rPr>
            </w:pPr>
            <w:r>
              <w:rPr>
                <w:rFonts w:ascii="Times New Roman" w:cs="Times New Roman" w:eastAsia="Times New Roman" w:hAnsi="Times New Roman"/>
                <w:sz w:val="16"/>
                <w:szCs w:val="16"/>
                <w:color w:val="auto"/>
              </w:rPr>
              <w:t>117.3</w:t>
            </w: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vMerge w:val="restart"/>
          </w:tcPr>
          <w:p>
            <w:pPr>
              <w:jc w:val="right"/>
              <w:ind w:right="139"/>
              <w:spacing w:after="0"/>
              <w:rPr>
                <w:sz w:val="20"/>
                <w:szCs w:val="20"/>
                <w:color w:val="auto"/>
              </w:rPr>
            </w:pPr>
            <w:r>
              <w:rPr>
                <w:rFonts w:ascii="Times New Roman" w:cs="Times New Roman" w:eastAsia="Times New Roman" w:hAnsi="Times New Roman"/>
                <w:sz w:val="16"/>
                <w:szCs w:val="16"/>
                <w:color w:val="auto"/>
              </w:rPr>
              <w:t>119.5</w:t>
            </w: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118.7</w:t>
            </w: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120.3</w:t>
            </w:r>
          </w:p>
        </w:tc>
        <w:tc>
          <w:tcPr>
            <w:tcW w:w="0" w:type="dxa"/>
            <w:vAlign w:val="bottom"/>
          </w:tcPr>
          <w:p>
            <w:pPr>
              <w:spacing w:after="0"/>
              <w:rPr>
                <w:sz w:val="1"/>
                <w:szCs w:val="1"/>
                <w:color w:val="auto"/>
              </w:rPr>
            </w:pPr>
          </w:p>
        </w:tc>
      </w:tr>
      <w:tr>
        <w:trPr>
          <w:trHeight w:val="210"/>
        </w:trPr>
        <w:tc>
          <w:tcPr>
            <w:tcW w:w="22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 millions)</w:t>
            </w:r>
          </w:p>
        </w:tc>
        <w:tc>
          <w:tcPr>
            <w:tcW w:w="16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GAAP earnings per share</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1.29</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0.77</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3.61</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2.03</w:t>
            </w:r>
          </w:p>
        </w:tc>
        <w:tc>
          <w:tcPr>
            <w:tcW w:w="0" w:type="dxa"/>
            <w:vAlign w:val="bottom"/>
          </w:tcPr>
          <w:p>
            <w:pPr>
              <w:spacing w:after="0"/>
              <w:rPr>
                <w:sz w:val="1"/>
                <w:szCs w:val="1"/>
                <w:color w:val="auto"/>
              </w:rPr>
            </w:pPr>
          </w:p>
        </w:tc>
      </w:tr>
      <w:tr>
        <w:trPr>
          <w:trHeight w:val="168"/>
        </w:trPr>
        <w:tc>
          <w:tcPr>
            <w:tcW w:w="2240" w:type="dxa"/>
            <w:vAlign w:val="bottom"/>
          </w:tcPr>
          <w:p>
            <w:pPr>
              <w:ind w:left="120"/>
              <w:spacing w:after="0" w:line="168" w:lineRule="exact"/>
              <w:rPr>
                <w:sz w:val="20"/>
                <w:szCs w:val="20"/>
                <w:color w:val="auto"/>
              </w:rPr>
            </w:pPr>
            <w:r>
              <w:rPr>
                <w:rFonts w:ascii="Times New Roman" w:cs="Times New Roman" w:eastAsia="Times New Roman" w:hAnsi="Times New Roman"/>
                <w:sz w:val="16"/>
                <w:szCs w:val="16"/>
                <w:color w:val="auto"/>
              </w:rPr>
              <w:t>Adjusted earnings per share</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vMerge w:val="restart"/>
          </w:tcPr>
          <w:p>
            <w:pPr>
              <w:jc w:val="right"/>
              <w:ind w:right="139"/>
              <w:spacing w:after="0"/>
              <w:rPr>
                <w:sz w:val="20"/>
                <w:szCs w:val="20"/>
                <w:color w:val="auto"/>
              </w:rPr>
            </w:pPr>
            <w:r>
              <w:rPr>
                <w:rFonts w:ascii="Times New Roman" w:cs="Times New Roman" w:eastAsia="Times New Roman" w:hAnsi="Times New Roman"/>
                <w:sz w:val="16"/>
                <w:szCs w:val="16"/>
                <w:color w:val="auto"/>
              </w:rPr>
              <w:t>1.11</w:t>
            </w: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vMerge w:val="restart"/>
          </w:tcPr>
          <w:p>
            <w:pPr>
              <w:jc w:val="right"/>
              <w:ind w:right="139"/>
              <w:spacing w:after="0"/>
              <w:rPr>
                <w:sz w:val="20"/>
                <w:szCs w:val="20"/>
                <w:color w:val="auto"/>
              </w:rPr>
            </w:pPr>
            <w:r>
              <w:rPr>
                <w:rFonts w:ascii="Times New Roman" w:cs="Times New Roman" w:eastAsia="Times New Roman" w:hAnsi="Times New Roman"/>
                <w:sz w:val="16"/>
                <w:szCs w:val="16"/>
                <w:color w:val="auto"/>
              </w:rPr>
              <w:t>0.77</w:t>
            </w: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3.88</w:t>
            </w: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2.46</w:t>
            </w:r>
          </w:p>
        </w:tc>
        <w:tc>
          <w:tcPr>
            <w:tcW w:w="0" w:type="dxa"/>
            <w:vAlign w:val="bottom"/>
          </w:tcPr>
          <w:p>
            <w:pPr>
              <w:spacing w:after="0"/>
              <w:rPr>
                <w:sz w:val="1"/>
                <w:szCs w:val="1"/>
                <w:color w:val="auto"/>
              </w:rPr>
            </w:pPr>
          </w:p>
        </w:tc>
      </w:tr>
      <w:tr>
        <w:trPr>
          <w:trHeight w:val="210"/>
        </w:trPr>
        <w:tc>
          <w:tcPr>
            <w:tcW w:w="22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(non-GAAP)</w:t>
            </w:r>
          </w:p>
        </w:tc>
        <w:tc>
          <w:tcPr>
            <w:tcW w:w="160" w:type="dxa"/>
            <w:vAlign w:val="bottom"/>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2240" w:type="dxa"/>
            <w:vAlign w:val="bottom"/>
          </w:tcPr>
          <w:p>
            <w:pPr>
              <w:ind w:left="120"/>
              <w:spacing w:after="0" w:line="168" w:lineRule="exact"/>
              <w:rPr>
                <w:sz w:val="20"/>
                <w:szCs w:val="20"/>
                <w:color w:val="auto"/>
              </w:rPr>
            </w:pPr>
            <w:r>
              <w:rPr>
                <w:rFonts w:ascii="Times New Roman" w:cs="Times New Roman" w:eastAsia="Times New Roman" w:hAnsi="Times New Roman"/>
                <w:sz w:val="16"/>
                <w:szCs w:val="16"/>
                <w:color w:val="auto"/>
              </w:rPr>
              <w:t># of shares outstanding at</w:t>
            </w:r>
          </w:p>
        </w:tc>
        <w:tc>
          <w:tcPr>
            <w:tcW w:w="160" w:type="dxa"/>
            <w:vAlign w:val="bottom"/>
          </w:tcPr>
          <w:p>
            <w:pPr>
              <w:spacing w:after="0"/>
              <w:rPr>
                <w:sz w:val="14"/>
                <w:szCs w:val="14"/>
                <w:color w:val="auto"/>
              </w:rPr>
            </w:pPr>
          </w:p>
        </w:tc>
        <w:tc>
          <w:tcPr>
            <w:tcW w:w="760" w:type="dxa"/>
            <w:vAlign w:val="bottom"/>
            <w:vMerge w:val="restart"/>
          </w:tcPr>
          <w:p>
            <w:pPr>
              <w:jc w:val="right"/>
              <w:ind w:right="139"/>
              <w:spacing w:after="0"/>
              <w:rPr>
                <w:sz w:val="20"/>
                <w:szCs w:val="20"/>
                <w:color w:val="auto"/>
              </w:rPr>
            </w:pPr>
            <w:r>
              <w:rPr>
                <w:rFonts w:ascii="Times New Roman" w:cs="Times New Roman" w:eastAsia="Times New Roman" w:hAnsi="Times New Roman"/>
                <w:sz w:val="16"/>
                <w:szCs w:val="16"/>
                <w:color w:val="auto"/>
              </w:rPr>
              <w:t>116.1</w:t>
            </w: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vMerge w:val="restart"/>
          </w:tcPr>
          <w:p>
            <w:pPr>
              <w:jc w:val="right"/>
              <w:ind w:right="139"/>
              <w:spacing w:after="0"/>
              <w:rPr>
                <w:sz w:val="20"/>
                <w:szCs w:val="20"/>
                <w:color w:val="auto"/>
              </w:rPr>
            </w:pPr>
            <w:r>
              <w:rPr>
                <w:rFonts w:ascii="Times New Roman" w:cs="Times New Roman" w:eastAsia="Times New Roman" w:hAnsi="Times New Roman"/>
                <w:sz w:val="16"/>
                <w:szCs w:val="16"/>
                <w:color w:val="auto"/>
              </w:rPr>
              <w:t>119.0</w:t>
            </w: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116.1</w:t>
            </w: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119.0</w:t>
            </w:r>
          </w:p>
        </w:tc>
        <w:tc>
          <w:tcPr>
            <w:tcW w:w="0" w:type="dxa"/>
            <w:vAlign w:val="bottom"/>
          </w:tcPr>
          <w:p>
            <w:pPr>
              <w:spacing w:after="0"/>
              <w:rPr>
                <w:sz w:val="1"/>
                <w:szCs w:val="1"/>
                <w:color w:val="auto"/>
              </w:rPr>
            </w:pPr>
          </w:p>
        </w:tc>
      </w:tr>
      <w:tr>
        <w:trPr>
          <w:trHeight w:val="210"/>
        </w:trPr>
        <w:tc>
          <w:tcPr>
            <w:tcW w:w="22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period end (in millions)</w:t>
            </w:r>
          </w:p>
        </w:tc>
        <w:tc>
          <w:tcPr>
            <w:tcW w:w="16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22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GAAP cash provided by</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vMerge w:val="restart"/>
          </w:tcPr>
          <w:p>
            <w:pPr>
              <w:jc w:val="right"/>
              <w:ind w:right="139"/>
              <w:spacing w:after="0"/>
              <w:rPr>
                <w:sz w:val="20"/>
                <w:szCs w:val="20"/>
                <w:color w:val="auto"/>
              </w:rPr>
            </w:pPr>
            <w:r>
              <w:rPr>
                <w:rFonts w:ascii="Times New Roman" w:cs="Times New Roman" w:eastAsia="Times New Roman" w:hAnsi="Times New Roman"/>
                <w:sz w:val="16"/>
                <w:szCs w:val="16"/>
                <w:color w:val="auto"/>
              </w:rPr>
              <w:t>143.4</w:t>
            </w: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2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operations</w:t>
            </w:r>
          </w:p>
        </w:tc>
        <w:tc>
          <w:tcPr>
            <w:tcW w:w="16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vMerge w:val="restart"/>
          </w:tcPr>
          <w:p>
            <w:pPr>
              <w:jc w:val="right"/>
              <w:ind w:right="139"/>
              <w:spacing w:after="0"/>
              <w:rPr>
                <w:sz w:val="20"/>
                <w:szCs w:val="20"/>
                <w:color w:val="auto"/>
              </w:rPr>
            </w:pPr>
            <w:r>
              <w:rPr>
                <w:rFonts w:ascii="Times New Roman" w:cs="Times New Roman" w:eastAsia="Times New Roman" w:hAnsi="Times New Roman"/>
                <w:sz w:val="16"/>
                <w:szCs w:val="16"/>
                <w:color w:val="auto"/>
              </w:rPr>
              <w:t>118.0</w:t>
            </w: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473.9</w:t>
            </w: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326.2</w:t>
            </w:r>
          </w:p>
        </w:tc>
        <w:tc>
          <w:tcPr>
            <w:tcW w:w="0" w:type="dxa"/>
            <w:vAlign w:val="bottom"/>
          </w:tcPr>
          <w:p>
            <w:pPr>
              <w:spacing w:after="0"/>
              <w:rPr>
                <w:sz w:val="1"/>
                <w:szCs w:val="1"/>
                <w:color w:val="auto"/>
              </w:rPr>
            </w:pPr>
          </w:p>
        </w:tc>
      </w:tr>
      <w:tr>
        <w:trPr>
          <w:trHeight w:val="83"/>
        </w:trPr>
        <w:tc>
          <w:tcPr>
            <w:tcW w:w="22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6"/>
        </w:trPr>
        <w:tc>
          <w:tcPr>
            <w:tcW w:w="2240" w:type="dxa"/>
            <w:vAlign w:val="bottom"/>
          </w:tcPr>
          <w:p>
            <w:pPr>
              <w:ind w:left="120"/>
              <w:spacing w:after="0" w:line="166" w:lineRule="exact"/>
              <w:rPr>
                <w:sz w:val="20"/>
                <w:szCs w:val="20"/>
                <w:color w:val="auto"/>
              </w:rPr>
            </w:pPr>
            <w:r>
              <w:rPr>
                <w:rFonts w:ascii="Times New Roman" w:cs="Times New Roman" w:eastAsia="Times New Roman" w:hAnsi="Times New Roman"/>
                <w:sz w:val="16"/>
                <w:szCs w:val="16"/>
                <w:color w:val="auto"/>
              </w:rPr>
              <w:t>Purchase of property, plant and</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40" w:type="dxa"/>
            <w:vAlign w:val="bottom"/>
          </w:tcPr>
          <w:p>
            <w:pPr>
              <w:ind w:left="120"/>
              <w:spacing w:after="0" w:line="162" w:lineRule="exact"/>
              <w:rPr>
                <w:sz w:val="20"/>
                <w:szCs w:val="20"/>
                <w:color w:val="auto"/>
              </w:rPr>
            </w:pPr>
            <w:r>
              <w:rPr>
                <w:rFonts w:ascii="Times New Roman" w:cs="Times New Roman" w:eastAsia="Times New Roman" w:hAnsi="Times New Roman"/>
                <w:sz w:val="16"/>
                <w:szCs w:val="16"/>
                <w:color w:val="auto"/>
              </w:rPr>
              <w:t>equipment, net of sales</w:t>
            </w:r>
          </w:p>
        </w:tc>
        <w:tc>
          <w:tcPr>
            <w:tcW w:w="160" w:type="dxa"/>
            <w:vAlign w:val="bottom"/>
          </w:tcPr>
          <w:p>
            <w:pPr>
              <w:spacing w:after="0"/>
              <w:rPr>
                <w:sz w:val="14"/>
                <w:szCs w:val="14"/>
                <w:color w:val="auto"/>
              </w:rPr>
            </w:pPr>
          </w:p>
        </w:tc>
        <w:tc>
          <w:tcPr>
            <w:tcW w:w="76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color w:val="auto"/>
              </w:rPr>
              <w:t>(47.6)</w:t>
            </w: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color w:val="auto"/>
              </w:rPr>
              <w:t>(31.9)</w:t>
            </w: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color w:val="auto"/>
              </w:rPr>
              <w:t>(168.0)</w:t>
            </w: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color w:val="auto"/>
              </w:rPr>
              <w:t>(122.4)</w:t>
            </w:r>
          </w:p>
        </w:tc>
        <w:tc>
          <w:tcPr>
            <w:tcW w:w="0" w:type="dxa"/>
            <w:vAlign w:val="bottom"/>
          </w:tcPr>
          <w:p>
            <w:pPr>
              <w:spacing w:after="0"/>
              <w:rPr>
                <w:sz w:val="1"/>
                <w:szCs w:val="1"/>
                <w:color w:val="auto"/>
              </w:rPr>
            </w:pPr>
          </w:p>
        </w:tc>
      </w:tr>
      <w:tr>
        <w:trPr>
          <w:trHeight w:val="213"/>
        </w:trPr>
        <w:tc>
          <w:tcPr>
            <w:tcW w:w="22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proceeds</w:t>
            </w: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2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Free cash flow (non-GAAP)</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95.8</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86.1</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305.9</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203.8</w:t>
            </w:r>
          </w:p>
        </w:tc>
        <w:tc>
          <w:tcPr>
            <w:tcW w:w="0" w:type="dxa"/>
            <w:vAlign w:val="bottom"/>
          </w:tcPr>
          <w:p>
            <w:pPr>
              <w:spacing w:after="0"/>
              <w:rPr>
                <w:sz w:val="1"/>
                <w:szCs w:val="1"/>
                <w:color w:val="auto"/>
              </w:rPr>
            </w:pPr>
          </w:p>
        </w:tc>
      </w:tr>
      <w:tr>
        <w:trPr>
          <w:trHeight w:val="20"/>
        </w:trPr>
        <w:tc>
          <w:tcPr>
            <w:tcW w:w="22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GAAP ROIC %</w:t>
            </w: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25"/>
        </w:trPr>
        <w:tc>
          <w:tcPr>
            <w:tcW w:w="22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34.0 %</w:t>
            </w: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20.1 %</w:t>
            </w: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26.1 %</w:t>
            </w: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15.9 %</w:t>
            </w:r>
          </w:p>
        </w:tc>
        <w:tc>
          <w:tcPr>
            <w:tcW w:w="0" w:type="dxa"/>
            <w:vAlign w:val="bottom"/>
          </w:tcPr>
          <w:p>
            <w:pPr>
              <w:spacing w:after="0"/>
              <w:rPr>
                <w:sz w:val="1"/>
                <w:szCs w:val="1"/>
                <w:color w:val="auto"/>
              </w:rPr>
            </w:pPr>
          </w:p>
        </w:tc>
      </w:tr>
      <w:tr>
        <w:trPr>
          <w:trHeight w:val="243"/>
        </w:trPr>
        <w:tc>
          <w:tcPr>
            <w:tcW w:w="22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Adjusted ROIC % (non-GAAP)</w:t>
            </w: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29.1 %</w:t>
            </w: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23.6 %</w:t>
            </w: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27.2 %</w:t>
            </w: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9.5 %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9.8 %</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3.8 %</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3.5 %</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4.2 %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5.5 %</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3.1 %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3.7 %</w:t>
      </w:r>
    </w:p>
    <w:p>
      <w:pPr>
        <w:spacing w:after="0" w:line="3871" w:lineRule="exact"/>
        <w:rPr>
          <w:sz w:val="20"/>
          <w:szCs w:val="20"/>
          <w:color w:val="auto"/>
        </w:rPr>
      </w:pPr>
    </w:p>
    <w:p>
      <w:pPr>
        <w:sectPr>
          <w:pgSz w:w="11900" w:h="16838" w:orient="portrait"/>
          <w:cols w:equalWidth="0" w:num="2">
            <w:col w:w="8780" w:space="340"/>
            <w:col w:w="400"/>
          </w:cols>
          <w:pgMar w:left="1440" w:top="974" w:right="939" w:bottom="771"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227330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520"/>
          </w:cols>
          <w:pgMar w:left="1440" w:top="974" w:right="939" w:bottom="771" w:gutter="0" w:footer="0" w:header="0"/>
          <w:type w:val="continuous"/>
        </w:sectPr>
      </w:pPr>
    </w:p>
    <w:bookmarkStart w:id="93" w:name="page94"/>
    <w:bookmarkEnd w:id="93"/>
    <w:p>
      <w:pPr>
        <w:spacing w:after="0"/>
        <w:rPr>
          <w:sz w:val="20"/>
          <w:szCs w:val="20"/>
          <w:color w:val="auto"/>
        </w:rPr>
      </w:pPr>
      <w:r>
        <w:rPr>
          <w:rFonts w:ascii="Times New Roman" w:cs="Times New Roman" w:eastAsia="Times New Roman" w:hAnsi="Times New Roman"/>
          <w:sz w:val="16"/>
          <w:szCs w:val="16"/>
          <w:color w:val="auto"/>
        </w:rPr>
        <w:t>(1) The adjustments for taxes, as applicable, represent the tax effects of our non-GAAP adjustments (see below).</w:t>
      </w:r>
    </w:p>
    <w:p>
      <w:pPr>
        <w:spacing w:after="0" w:line="221" w:lineRule="exact"/>
        <w:rPr>
          <w:sz w:val="20"/>
          <w:szCs w:val="20"/>
          <w:color w:val="auto"/>
        </w:rPr>
      </w:pPr>
    </w:p>
    <w:p>
      <w:pPr>
        <w:jc w:val="right"/>
        <w:ind w:left="220"/>
        <w:spacing w:after="0" w:line="263" w:lineRule="auto"/>
        <w:rPr>
          <w:sz w:val="20"/>
          <w:szCs w:val="20"/>
          <w:color w:val="auto"/>
        </w:rPr>
      </w:pPr>
      <w:r>
        <w:rPr>
          <w:rFonts w:ascii="Times New Roman" w:cs="Times New Roman" w:eastAsia="Times New Roman" w:hAnsi="Times New Roman"/>
          <w:sz w:val="16"/>
          <w:szCs w:val="16"/>
          <w:color w:val="auto"/>
        </w:rPr>
        <w:t>The following table sets forth a reconciliation of our adjusted tax expense (non-GAAP) and our adjusted effective tax rate (non-GAAP) to our GAAP tax expense and GAAP effective tax rate, respectively, for the periods indicated, in each case determined by excluding the tax benefits or costs associated with the listed items (in millions, except percentages) from our GAAP tax expense for such periods. Our GAAP effective tax rate is determined by dividing (i) GAAP tax expense by (ii) earnings from operations minus finance costs and Miscellaneous Expense (Income) recorded on our statement of operations; our adjusted effective tax rate (non-GAAP) is determined by dividing (i) adjusted tax expense (non-GAAP) by (ii) adjusted operating earnings (non-GAAP) minus finance costs and IRS Transitional ADJ.</w:t>
      </w:r>
    </w:p>
    <w:p>
      <w:pPr>
        <w:spacing w:after="0" w:line="2" w:lineRule="exact"/>
        <w:rPr>
          <w:sz w:val="20"/>
          <w:szCs w:val="20"/>
          <w:color w:val="auto"/>
        </w:rPr>
      </w:pPr>
    </w:p>
    <w:tbl>
      <w:tblPr>
        <w:tblLayout w:type="fixed"/>
        <w:tblInd w:w="380" w:type="dxa"/>
        <w:tblCellMar>
          <w:top w:w="0" w:type="dxa"/>
          <w:left w:w="0" w:type="dxa"/>
          <w:bottom w:w="0" w:type="dxa"/>
          <w:right w:w="0" w:type="dxa"/>
        </w:tblCellMar>
      </w:tblPr>
      <w:tr>
        <w:trPr>
          <w:trHeight w:val="215"/>
        </w:trPr>
        <w:tc>
          <w:tcPr>
            <w:tcW w:w="5480" w:type="dxa"/>
            <w:vAlign w:val="bottom"/>
          </w:tcPr>
          <w:p>
            <w:pPr>
              <w:spacing w:after="0"/>
              <w:rPr>
                <w:sz w:val="18"/>
                <w:szCs w:val="18"/>
                <w:color w:val="auto"/>
              </w:rPr>
            </w:pPr>
          </w:p>
        </w:tc>
        <w:tc>
          <w:tcPr>
            <w:tcW w:w="2540" w:type="dxa"/>
            <w:vAlign w:val="bottom"/>
            <w:gridSpan w:val="6"/>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December 31</w:t>
            </w:r>
          </w:p>
        </w:tc>
        <w:tc>
          <w:tcPr>
            <w:tcW w:w="220" w:type="dxa"/>
            <w:vAlign w:val="bottom"/>
          </w:tcPr>
          <w:p>
            <w:pPr>
              <w:spacing w:after="0"/>
              <w:rPr>
                <w:sz w:val="18"/>
                <w:szCs w:val="18"/>
                <w:color w:val="auto"/>
              </w:rPr>
            </w:pPr>
          </w:p>
        </w:tc>
        <w:tc>
          <w:tcPr>
            <w:tcW w:w="2200" w:type="dxa"/>
            <w:vAlign w:val="bottom"/>
            <w:gridSpan w:val="4"/>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0" w:type="dxa"/>
            <w:vAlign w:val="bottom"/>
          </w:tcPr>
          <w:p>
            <w:pPr>
              <w:spacing w:after="0"/>
              <w:rPr>
                <w:sz w:val="1"/>
                <w:szCs w:val="1"/>
                <w:color w:val="auto"/>
              </w:rPr>
            </w:pPr>
          </w:p>
        </w:tc>
      </w:tr>
      <w:tr>
        <w:trPr>
          <w:trHeight w:val="209"/>
        </w:trPr>
        <w:tc>
          <w:tcPr>
            <w:tcW w:w="548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4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08"/>
        </w:trPr>
        <w:tc>
          <w:tcPr>
            <w:tcW w:w="5480" w:type="dxa"/>
            <w:vAlign w:val="bottom"/>
          </w:tcPr>
          <w:p>
            <w:pPr>
              <w:spacing w:after="0"/>
              <w:rPr>
                <w:sz w:val="20"/>
                <w:szCs w:val="20"/>
                <w:color w:val="auto"/>
              </w:rPr>
            </w:pPr>
            <w:r>
              <w:rPr>
                <w:rFonts w:ascii="Times New Roman" w:cs="Times New Roman" w:eastAsia="Times New Roman" w:hAnsi="Times New Roman"/>
                <w:sz w:val="16"/>
                <w:szCs w:val="16"/>
                <w:color w:val="auto"/>
              </w:rPr>
              <w:t>GAAP tax expense</w:t>
            </w:r>
          </w:p>
        </w:tc>
        <w:tc>
          <w:tcPr>
            <w:tcW w:w="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37.8</w:t>
            </w:r>
          </w:p>
        </w:tc>
        <w:tc>
          <w:tcPr>
            <w:tcW w:w="8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23.1</w:t>
            </w:r>
          </w:p>
        </w:tc>
        <w:tc>
          <w:tcPr>
            <w:tcW w:w="14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104.2</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61.6</w:t>
            </w:r>
          </w:p>
        </w:tc>
        <w:tc>
          <w:tcPr>
            <w:tcW w:w="0" w:type="dxa"/>
            <w:vAlign w:val="bottom"/>
          </w:tcPr>
          <w:p>
            <w:pPr>
              <w:spacing w:after="0"/>
              <w:rPr>
                <w:sz w:val="1"/>
                <w:szCs w:val="1"/>
                <w:color w:val="auto"/>
              </w:rPr>
            </w:pPr>
          </w:p>
        </w:tc>
      </w:tr>
      <w:tr>
        <w:trPr>
          <w:trHeight w:val="324"/>
        </w:trPr>
        <w:tc>
          <w:tcPr>
            <w:tcW w:w="5480" w:type="dxa"/>
            <w:vAlign w:val="bottom"/>
          </w:tcPr>
          <w:p>
            <w:pPr>
              <w:spacing w:after="0"/>
              <w:rPr>
                <w:sz w:val="20"/>
                <w:szCs w:val="20"/>
                <w:color w:val="auto"/>
              </w:rPr>
            </w:pPr>
            <w:r>
              <w:rPr>
                <w:rFonts w:ascii="Times New Roman" w:cs="Times New Roman" w:eastAsia="Times New Roman" w:hAnsi="Times New Roman"/>
                <w:sz w:val="16"/>
                <w:szCs w:val="16"/>
                <w:color w:val="auto"/>
              </w:rPr>
              <w:t>Tax costs (benefits) of the following items excluded from GAAP tax expense:</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4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Employee SBC expense and TRS FVAs</w:t>
            </w:r>
          </w:p>
        </w:tc>
        <w:tc>
          <w:tcPr>
            <w:tcW w:w="260" w:type="dxa"/>
            <w:vAlign w:val="bottom"/>
          </w:tcPr>
          <w:p>
            <w:pPr>
              <w:spacing w:after="0"/>
              <w:rPr>
                <w:sz w:val="18"/>
                <w:szCs w:val="18"/>
                <w:color w:val="auto"/>
              </w:rPr>
            </w:pPr>
          </w:p>
        </w:tc>
        <w:tc>
          <w:tcPr>
            <w:tcW w:w="9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(5.5)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2.4</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16"/>
        </w:trPr>
        <w:tc>
          <w:tcPr>
            <w:tcW w:w="54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Amortization of intangible assets (excluding computer software)</w:t>
            </w:r>
          </w:p>
        </w:tc>
        <w:tc>
          <w:tcPr>
            <w:tcW w:w="260" w:type="dxa"/>
            <w:vAlign w:val="bottom"/>
          </w:tcPr>
          <w:p>
            <w:pPr>
              <w:spacing w:after="0"/>
              <w:rPr>
                <w:sz w:val="18"/>
                <w:szCs w:val="18"/>
                <w:color w:val="auto"/>
              </w:rPr>
            </w:pPr>
          </w:p>
        </w:tc>
        <w:tc>
          <w:tcPr>
            <w:tcW w:w="9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0.8</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216"/>
        </w:trPr>
        <w:tc>
          <w:tcPr>
            <w:tcW w:w="54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Restructuring and other charges</w:t>
            </w:r>
          </w:p>
        </w:tc>
        <w:tc>
          <w:tcPr>
            <w:tcW w:w="260" w:type="dxa"/>
            <w:vAlign w:val="bottom"/>
          </w:tcPr>
          <w:p>
            <w:pPr>
              <w:spacing w:after="0"/>
              <w:rPr>
                <w:sz w:val="18"/>
                <w:szCs w:val="18"/>
                <w:color w:val="auto"/>
              </w:rPr>
            </w:pPr>
          </w:p>
        </w:tc>
        <w:tc>
          <w:tcPr>
            <w:tcW w:w="9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(0.2)</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16"/>
        </w:trPr>
        <w:tc>
          <w:tcPr>
            <w:tcW w:w="54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Non-core tax adjustment for NCS acquisition</w:t>
            </w:r>
          </w:p>
        </w:tc>
        <w:tc>
          <w:tcPr>
            <w:tcW w:w="26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9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54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Prior Period Pillar Two Tax Adjustments</w:t>
            </w:r>
          </w:p>
        </w:tc>
        <w:tc>
          <w:tcPr>
            <w:tcW w:w="26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9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(8.1)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54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Miscellaneous Expense (Income)</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(2.0)</w:t>
            </w: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(2.5)</w:t>
            </w:r>
          </w:p>
        </w:tc>
        <w:tc>
          <w:tcPr>
            <w:tcW w:w="1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5480" w:type="dxa"/>
            <w:vAlign w:val="bottom"/>
          </w:tcPr>
          <w:p>
            <w:pPr>
              <w:spacing w:after="0"/>
              <w:rPr>
                <w:sz w:val="20"/>
                <w:szCs w:val="20"/>
                <w:color w:val="auto"/>
              </w:rPr>
            </w:pPr>
            <w:r>
              <w:rPr>
                <w:rFonts w:ascii="Times New Roman" w:cs="Times New Roman" w:eastAsia="Times New Roman" w:hAnsi="Times New Roman"/>
                <w:sz w:val="16"/>
                <w:szCs w:val="16"/>
                <w:color w:val="auto"/>
              </w:rPr>
              <w:t>Adjusted tax expense (non-GAAP)</w:t>
            </w:r>
          </w:p>
        </w:tc>
        <w:tc>
          <w:tcPr>
            <w:tcW w:w="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31.5</w:t>
            </w: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23.6</w:t>
            </w:r>
          </w:p>
        </w:tc>
        <w:tc>
          <w:tcPr>
            <w:tcW w:w="14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109.7</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75.9</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47"/>
        </w:trPr>
        <w:tc>
          <w:tcPr>
            <w:tcW w:w="5480" w:type="dxa"/>
            <w:vAlign w:val="bottom"/>
          </w:tcPr>
          <w:p>
            <w:pPr>
              <w:spacing w:after="0"/>
              <w:rPr>
                <w:sz w:val="20"/>
                <w:szCs w:val="20"/>
                <w:color w:val="auto"/>
              </w:rPr>
            </w:pPr>
            <w:r>
              <w:rPr>
                <w:rFonts w:ascii="Times New Roman" w:cs="Times New Roman" w:eastAsia="Times New Roman" w:hAnsi="Times New Roman"/>
                <w:sz w:val="16"/>
                <w:szCs w:val="16"/>
                <w:color w:val="auto"/>
              </w:rPr>
              <w:t>GAAP tax expense</w:t>
            </w:r>
          </w:p>
        </w:tc>
        <w:tc>
          <w:tcPr>
            <w:tcW w:w="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37.8</w:t>
            </w:r>
          </w:p>
        </w:tc>
        <w:tc>
          <w:tcPr>
            <w:tcW w:w="80" w:type="dxa"/>
            <w:vAlign w:val="bottom"/>
          </w:tcPr>
          <w:p>
            <w:pPr>
              <w:spacing w:after="0"/>
              <w:rPr>
                <w:sz w:val="24"/>
                <w:szCs w:val="24"/>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23.1</w:t>
            </w:r>
          </w:p>
        </w:tc>
        <w:tc>
          <w:tcPr>
            <w:tcW w:w="140" w:type="dxa"/>
            <w:vAlign w:val="bottom"/>
          </w:tcPr>
          <w:p>
            <w:pPr>
              <w:spacing w:after="0"/>
              <w:rPr>
                <w:sz w:val="24"/>
                <w:szCs w:val="24"/>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104.2</w:t>
            </w:r>
          </w:p>
        </w:tc>
        <w:tc>
          <w:tcPr>
            <w:tcW w:w="100" w:type="dxa"/>
            <w:vAlign w:val="bottom"/>
          </w:tcPr>
          <w:p>
            <w:pPr>
              <w:spacing w:after="0"/>
              <w:rPr>
                <w:sz w:val="24"/>
                <w:szCs w:val="24"/>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61.6</w:t>
            </w:r>
          </w:p>
        </w:tc>
        <w:tc>
          <w:tcPr>
            <w:tcW w:w="0" w:type="dxa"/>
            <w:vAlign w:val="bottom"/>
          </w:tcPr>
          <w:p>
            <w:pPr>
              <w:spacing w:after="0"/>
              <w:rPr>
                <w:sz w:val="1"/>
                <w:szCs w:val="1"/>
                <w:color w:val="auto"/>
              </w:rPr>
            </w:pPr>
          </w:p>
        </w:tc>
      </w:tr>
      <w:tr>
        <w:trPr>
          <w:trHeight w:val="324"/>
        </w:trPr>
        <w:tc>
          <w:tcPr>
            <w:tcW w:w="5480" w:type="dxa"/>
            <w:vAlign w:val="bottom"/>
          </w:tcPr>
          <w:p>
            <w:pPr>
              <w:spacing w:after="0"/>
              <w:rPr>
                <w:sz w:val="20"/>
                <w:szCs w:val="20"/>
                <w:color w:val="auto"/>
              </w:rPr>
            </w:pPr>
            <w:r>
              <w:rPr>
                <w:rFonts w:ascii="Times New Roman" w:cs="Times New Roman" w:eastAsia="Times New Roman" w:hAnsi="Times New Roman"/>
                <w:sz w:val="16"/>
                <w:szCs w:val="16"/>
                <w:color w:val="auto"/>
              </w:rPr>
              <w:t>Earnings from operations</w:t>
            </w:r>
          </w:p>
        </w:tc>
        <w:tc>
          <w:tcPr>
            <w:tcW w:w="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202.6</w:t>
            </w:r>
          </w:p>
        </w:tc>
        <w:tc>
          <w:tcPr>
            <w:tcW w:w="80" w:type="dxa"/>
            <w:vAlign w:val="bottom"/>
          </w:tcPr>
          <w:p>
            <w:pPr>
              <w:spacing w:after="0"/>
              <w:rPr>
                <w:sz w:val="24"/>
                <w:szCs w:val="24"/>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109.2</w:t>
            </w:r>
          </w:p>
        </w:tc>
        <w:tc>
          <w:tcPr>
            <w:tcW w:w="140" w:type="dxa"/>
            <w:vAlign w:val="bottom"/>
          </w:tcPr>
          <w:p>
            <w:pPr>
              <w:spacing w:after="0"/>
              <w:rPr>
                <w:sz w:val="24"/>
                <w:szCs w:val="24"/>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599.3</w:t>
            </w:r>
          </w:p>
        </w:tc>
        <w:tc>
          <w:tcPr>
            <w:tcW w:w="100" w:type="dxa"/>
            <w:vAlign w:val="bottom"/>
          </w:tcPr>
          <w:p>
            <w:pPr>
              <w:spacing w:after="0"/>
              <w:rPr>
                <w:sz w:val="24"/>
                <w:szCs w:val="24"/>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338.3</w:t>
            </w:r>
          </w:p>
        </w:tc>
        <w:tc>
          <w:tcPr>
            <w:tcW w:w="0" w:type="dxa"/>
            <w:vAlign w:val="bottom"/>
          </w:tcPr>
          <w:p>
            <w:pPr>
              <w:spacing w:after="0"/>
              <w:rPr>
                <w:sz w:val="1"/>
                <w:szCs w:val="1"/>
                <w:color w:val="auto"/>
              </w:rPr>
            </w:pPr>
          </w:p>
        </w:tc>
      </w:tr>
      <w:tr>
        <w:trPr>
          <w:trHeight w:val="216"/>
        </w:trPr>
        <w:tc>
          <w:tcPr>
            <w:tcW w:w="54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Finance Costs</w:t>
            </w:r>
          </w:p>
        </w:tc>
        <w:tc>
          <w:tcPr>
            <w:tcW w:w="260" w:type="dxa"/>
            <w:vAlign w:val="bottom"/>
          </w:tcPr>
          <w:p>
            <w:pPr>
              <w:spacing w:after="0"/>
              <w:rPr>
                <w:sz w:val="18"/>
                <w:szCs w:val="18"/>
                <w:color w:val="auto"/>
              </w:rPr>
            </w:pPr>
          </w:p>
        </w:tc>
        <w:tc>
          <w:tcPr>
            <w:tcW w:w="9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(11.9)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(15.5)</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(52.1)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(78.9)</w:t>
            </w:r>
          </w:p>
        </w:tc>
        <w:tc>
          <w:tcPr>
            <w:tcW w:w="0" w:type="dxa"/>
            <w:vAlign w:val="bottom"/>
          </w:tcPr>
          <w:p>
            <w:pPr>
              <w:spacing w:after="0"/>
              <w:rPr>
                <w:sz w:val="1"/>
                <w:szCs w:val="1"/>
                <w:color w:val="auto"/>
              </w:rPr>
            </w:pPr>
          </w:p>
        </w:tc>
      </w:tr>
      <w:tr>
        <w:trPr>
          <w:trHeight w:val="219"/>
        </w:trPr>
        <w:tc>
          <w:tcPr>
            <w:tcW w:w="54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Miscellaneous Expense (Income)</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(1.2)</w:t>
            </w: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21.0</w:t>
            </w:r>
          </w:p>
        </w:tc>
        <w:tc>
          <w:tcPr>
            <w:tcW w:w="1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(15.0)</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46.6</w:t>
            </w:r>
          </w:p>
        </w:tc>
        <w:tc>
          <w:tcPr>
            <w:tcW w:w="0" w:type="dxa"/>
            <w:vAlign w:val="bottom"/>
          </w:tcPr>
          <w:p>
            <w:pPr>
              <w:spacing w:after="0"/>
              <w:rPr>
                <w:sz w:val="1"/>
                <w:szCs w:val="1"/>
                <w:color w:val="auto"/>
              </w:rPr>
            </w:pPr>
          </w:p>
        </w:tc>
      </w:tr>
      <w:tr>
        <w:trPr>
          <w:trHeight w:val="207"/>
        </w:trPr>
        <w:tc>
          <w:tcPr>
            <w:tcW w:w="5480" w:type="dxa"/>
            <w:vAlign w:val="bottom"/>
          </w:tcPr>
          <w:p>
            <w:pPr>
              <w:spacing w:after="0"/>
              <w:rPr>
                <w:sz w:val="17"/>
                <w:szCs w:val="17"/>
                <w:color w:val="auto"/>
              </w:rPr>
            </w:pPr>
          </w:p>
        </w:tc>
        <w:tc>
          <w:tcPr>
            <w:tcW w:w="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189.5</w:t>
            </w:r>
          </w:p>
        </w:tc>
        <w:tc>
          <w:tcPr>
            <w:tcW w:w="80" w:type="dxa"/>
            <w:vAlign w:val="bottom"/>
          </w:tcPr>
          <w:p>
            <w:pPr>
              <w:spacing w:after="0"/>
              <w:rPr>
                <w:sz w:val="17"/>
                <w:szCs w:val="17"/>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114.7</w:t>
            </w:r>
          </w:p>
        </w:tc>
        <w:tc>
          <w:tcPr>
            <w:tcW w:w="140" w:type="dxa"/>
            <w:vAlign w:val="bottom"/>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532.2</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306.0</w:t>
            </w:r>
          </w:p>
        </w:tc>
        <w:tc>
          <w:tcPr>
            <w:tcW w:w="0" w:type="dxa"/>
            <w:vAlign w:val="bottom"/>
          </w:tcPr>
          <w:p>
            <w:pPr>
              <w:spacing w:after="0"/>
              <w:rPr>
                <w:sz w:val="1"/>
                <w:szCs w:val="1"/>
                <w:color w:val="auto"/>
              </w:rPr>
            </w:pPr>
          </w:p>
        </w:tc>
      </w:tr>
      <w:tr>
        <w:trPr>
          <w:trHeight w:val="26"/>
        </w:trPr>
        <w:tc>
          <w:tcPr>
            <w:tcW w:w="54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GAAP effective tax rate</w:t>
            </w: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548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20 %</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20 %</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20 %</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20 %</w:t>
            </w:r>
          </w:p>
        </w:tc>
        <w:tc>
          <w:tcPr>
            <w:tcW w:w="0" w:type="dxa"/>
            <w:vAlign w:val="bottom"/>
          </w:tcPr>
          <w:p>
            <w:pPr>
              <w:spacing w:after="0"/>
              <w:rPr>
                <w:sz w:val="1"/>
                <w:szCs w:val="1"/>
                <w:color w:val="auto"/>
              </w:rPr>
            </w:pPr>
          </w:p>
        </w:tc>
      </w:tr>
      <w:tr>
        <w:trPr>
          <w:trHeight w:val="486"/>
        </w:trPr>
        <w:tc>
          <w:tcPr>
            <w:tcW w:w="5480" w:type="dxa"/>
            <w:vAlign w:val="bottom"/>
          </w:tcPr>
          <w:p>
            <w:pPr>
              <w:spacing w:after="0"/>
              <w:rPr>
                <w:sz w:val="20"/>
                <w:szCs w:val="20"/>
                <w:color w:val="auto"/>
              </w:rPr>
            </w:pPr>
            <w:r>
              <w:rPr>
                <w:rFonts w:ascii="Times New Roman" w:cs="Times New Roman" w:eastAsia="Times New Roman" w:hAnsi="Times New Roman"/>
                <w:sz w:val="16"/>
                <w:szCs w:val="16"/>
                <w:color w:val="auto"/>
              </w:rPr>
              <w:t>Adjusted tax expense (non-GAAP)</w:t>
            </w:r>
          </w:p>
        </w:tc>
        <w:tc>
          <w:tcPr>
            <w:tcW w:w="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31.5</w:t>
            </w:r>
          </w:p>
        </w:tc>
        <w:tc>
          <w:tcPr>
            <w:tcW w:w="80" w:type="dxa"/>
            <w:vAlign w:val="bottom"/>
          </w:tcPr>
          <w:p>
            <w:pPr>
              <w:spacing w:after="0"/>
              <w:rPr>
                <w:sz w:val="24"/>
                <w:szCs w:val="24"/>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23.6</w:t>
            </w:r>
          </w:p>
        </w:tc>
        <w:tc>
          <w:tcPr>
            <w:tcW w:w="140" w:type="dxa"/>
            <w:vAlign w:val="bottom"/>
          </w:tcPr>
          <w:p>
            <w:pPr>
              <w:spacing w:after="0"/>
              <w:rPr>
                <w:sz w:val="24"/>
                <w:szCs w:val="24"/>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109.7</w:t>
            </w:r>
          </w:p>
        </w:tc>
        <w:tc>
          <w:tcPr>
            <w:tcW w:w="100" w:type="dxa"/>
            <w:vAlign w:val="bottom"/>
          </w:tcPr>
          <w:p>
            <w:pPr>
              <w:spacing w:after="0"/>
              <w:rPr>
                <w:sz w:val="24"/>
                <w:szCs w:val="24"/>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75.9</w:t>
            </w:r>
          </w:p>
        </w:tc>
        <w:tc>
          <w:tcPr>
            <w:tcW w:w="0" w:type="dxa"/>
            <w:vAlign w:val="bottom"/>
          </w:tcPr>
          <w:p>
            <w:pPr>
              <w:spacing w:after="0"/>
              <w:rPr>
                <w:sz w:val="1"/>
                <w:szCs w:val="1"/>
                <w:color w:val="auto"/>
              </w:rPr>
            </w:pPr>
          </w:p>
        </w:tc>
      </w:tr>
      <w:tr>
        <w:trPr>
          <w:trHeight w:val="324"/>
        </w:trPr>
        <w:tc>
          <w:tcPr>
            <w:tcW w:w="5480" w:type="dxa"/>
            <w:vAlign w:val="bottom"/>
          </w:tcPr>
          <w:p>
            <w:pPr>
              <w:spacing w:after="0"/>
              <w:rPr>
                <w:sz w:val="20"/>
                <w:szCs w:val="20"/>
                <w:color w:val="auto"/>
              </w:rPr>
            </w:pPr>
            <w:r>
              <w:rPr>
                <w:rFonts w:ascii="Times New Roman" w:cs="Times New Roman" w:eastAsia="Times New Roman" w:hAnsi="Times New Roman"/>
                <w:sz w:val="16"/>
                <w:szCs w:val="16"/>
                <w:color w:val="auto"/>
              </w:rPr>
              <w:t>Adjusted operating earnings (non-GAAP)</w:t>
            </w:r>
          </w:p>
        </w:tc>
        <w:tc>
          <w:tcPr>
            <w:tcW w:w="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173.6</w:t>
            </w:r>
          </w:p>
        </w:tc>
        <w:tc>
          <w:tcPr>
            <w:tcW w:w="80" w:type="dxa"/>
            <w:vAlign w:val="bottom"/>
          </w:tcPr>
          <w:p>
            <w:pPr>
              <w:spacing w:after="0"/>
              <w:rPr>
                <w:sz w:val="24"/>
                <w:szCs w:val="24"/>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128.3</w:t>
            </w:r>
          </w:p>
        </w:tc>
        <w:tc>
          <w:tcPr>
            <w:tcW w:w="140" w:type="dxa"/>
            <w:vAlign w:val="bottom"/>
          </w:tcPr>
          <w:p>
            <w:pPr>
              <w:spacing w:after="0"/>
              <w:rPr>
                <w:sz w:val="24"/>
                <w:szCs w:val="24"/>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622.6</w:t>
            </w:r>
          </w:p>
        </w:tc>
        <w:tc>
          <w:tcPr>
            <w:tcW w:w="100" w:type="dxa"/>
            <w:vAlign w:val="bottom"/>
          </w:tcPr>
          <w:p>
            <w:pPr>
              <w:spacing w:after="0"/>
              <w:rPr>
                <w:sz w:val="24"/>
                <w:szCs w:val="24"/>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441.6</w:t>
            </w:r>
          </w:p>
        </w:tc>
        <w:tc>
          <w:tcPr>
            <w:tcW w:w="0" w:type="dxa"/>
            <w:vAlign w:val="bottom"/>
          </w:tcPr>
          <w:p>
            <w:pPr>
              <w:spacing w:after="0"/>
              <w:rPr>
                <w:sz w:val="1"/>
                <w:szCs w:val="1"/>
                <w:color w:val="auto"/>
              </w:rPr>
            </w:pPr>
          </w:p>
        </w:tc>
      </w:tr>
      <w:tr>
        <w:trPr>
          <w:trHeight w:val="216"/>
        </w:trPr>
        <w:tc>
          <w:tcPr>
            <w:tcW w:w="54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Finance Costs</w:t>
            </w:r>
          </w:p>
        </w:tc>
        <w:tc>
          <w:tcPr>
            <w:tcW w:w="260" w:type="dxa"/>
            <w:vAlign w:val="bottom"/>
          </w:tcPr>
          <w:p>
            <w:pPr>
              <w:spacing w:after="0"/>
              <w:rPr>
                <w:sz w:val="18"/>
                <w:szCs w:val="18"/>
                <w:color w:val="auto"/>
              </w:rPr>
            </w:pPr>
          </w:p>
        </w:tc>
        <w:tc>
          <w:tcPr>
            <w:tcW w:w="9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(11.9)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(15.5)</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(52.1)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(78.9)</w:t>
            </w:r>
          </w:p>
        </w:tc>
        <w:tc>
          <w:tcPr>
            <w:tcW w:w="0" w:type="dxa"/>
            <w:vAlign w:val="bottom"/>
          </w:tcPr>
          <w:p>
            <w:pPr>
              <w:spacing w:after="0"/>
              <w:rPr>
                <w:sz w:val="1"/>
                <w:szCs w:val="1"/>
                <w:color w:val="auto"/>
              </w:rPr>
            </w:pPr>
          </w:p>
        </w:tc>
      </w:tr>
      <w:tr>
        <w:trPr>
          <w:trHeight w:val="219"/>
        </w:trPr>
        <w:tc>
          <w:tcPr>
            <w:tcW w:w="54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IRS Transitional ADJ</w:t>
            </w:r>
          </w:p>
        </w:tc>
        <w:tc>
          <w:tcPr>
            <w:tcW w:w="260" w:type="dxa"/>
            <w:vAlign w:val="bottom"/>
          </w:tcPr>
          <w:p>
            <w:pPr>
              <w:spacing w:after="0"/>
              <w:rPr>
                <w:sz w:val="19"/>
                <w:szCs w:val="19"/>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9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2.9</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9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9.0</w:t>
            </w:r>
          </w:p>
        </w:tc>
        <w:tc>
          <w:tcPr>
            <w:tcW w:w="0" w:type="dxa"/>
            <w:vAlign w:val="bottom"/>
          </w:tcPr>
          <w:p>
            <w:pPr>
              <w:spacing w:after="0"/>
              <w:rPr>
                <w:sz w:val="1"/>
                <w:szCs w:val="1"/>
                <w:color w:val="auto"/>
              </w:rPr>
            </w:pPr>
          </w:p>
        </w:tc>
      </w:tr>
      <w:tr>
        <w:trPr>
          <w:trHeight w:val="207"/>
        </w:trPr>
        <w:tc>
          <w:tcPr>
            <w:tcW w:w="5480" w:type="dxa"/>
            <w:vAlign w:val="bottom"/>
          </w:tcPr>
          <w:p>
            <w:pPr>
              <w:spacing w:after="0"/>
              <w:rPr>
                <w:sz w:val="17"/>
                <w:szCs w:val="17"/>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161.7</w:t>
            </w:r>
          </w:p>
        </w:tc>
        <w:tc>
          <w:tcPr>
            <w:tcW w:w="8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115.7</w:t>
            </w:r>
          </w:p>
        </w:tc>
        <w:tc>
          <w:tcPr>
            <w:tcW w:w="14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570.5</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371.7</w:t>
            </w:r>
          </w:p>
        </w:tc>
        <w:tc>
          <w:tcPr>
            <w:tcW w:w="0" w:type="dxa"/>
            <w:vAlign w:val="bottom"/>
          </w:tcPr>
          <w:p>
            <w:pPr>
              <w:spacing w:after="0"/>
              <w:rPr>
                <w:sz w:val="1"/>
                <w:szCs w:val="1"/>
                <w:color w:val="auto"/>
              </w:rPr>
            </w:pPr>
          </w:p>
        </w:tc>
      </w:tr>
      <w:tr>
        <w:trPr>
          <w:trHeight w:val="26"/>
        </w:trPr>
        <w:tc>
          <w:tcPr>
            <w:tcW w:w="54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Adjusted effective tax rate (non-GAAP)</w:t>
            </w: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548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19 %</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20 %</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19 %</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6" w:right="339" w:bottom="1440" w:gutter="0" w:footer="0" w:header="0"/>
        </w:sectPr>
      </w:pPr>
    </w:p>
    <w:bookmarkStart w:id="94" w:name="page95"/>
    <w:bookmarkEnd w:id="94"/>
    <w:tbl>
      <w:tblPr>
        <w:tblLayout w:type="fixed"/>
        <w:tblInd w:w="0" w:type="dxa"/>
        <w:tblCellMar>
          <w:top w:w="0" w:type="dxa"/>
          <w:left w:w="0" w:type="dxa"/>
          <w:bottom w:w="0" w:type="dxa"/>
          <w:right w:w="0" w:type="dxa"/>
        </w:tblCellMar>
      </w:tblPr>
      <w:tr>
        <w:trPr>
          <w:trHeight w:val="216"/>
        </w:trPr>
        <w:tc>
          <w:tcPr>
            <w:tcW w:w="560" w:type="dxa"/>
            <w:vAlign w:val="bottom"/>
          </w:tcPr>
          <w:p>
            <w:pPr>
              <w:spacing w:after="0"/>
              <w:rPr>
                <w:sz w:val="18"/>
                <w:szCs w:val="18"/>
                <w:color w:val="auto"/>
              </w:rPr>
            </w:pPr>
          </w:p>
        </w:tc>
        <w:tc>
          <w:tcPr>
            <w:tcW w:w="10680" w:type="dxa"/>
            <w:vAlign w:val="bottom"/>
            <w:gridSpan w:val="15"/>
          </w:tcPr>
          <w:p>
            <w:pPr>
              <w:jc w:val="right"/>
              <w:spacing w:after="0"/>
              <w:rPr>
                <w:sz w:val="20"/>
                <w:szCs w:val="20"/>
                <w:color w:val="auto"/>
              </w:rPr>
            </w:pPr>
            <w:r>
              <w:rPr>
                <w:rFonts w:ascii="Times New Roman" w:cs="Times New Roman" w:eastAsia="Times New Roman" w:hAnsi="Times New Roman"/>
                <w:sz w:val="18"/>
                <w:szCs w:val="18"/>
                <w:color w:val="auto"/>
              </w:rPr>
              <w:t>The following table sets forth, for the periods indicated, our calculation of GAAP ROIC % and adjusted ROIC % (non-GAAP) (in millions,</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except</w:t>
            </w:r>
          </w:p>
        </w:tc>
        <w:tc>
          <w:tcPr>
            <w:tcW w:w="270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GAAP</w:t>
            </w:r>
          </w:p>
        </w:tc>
        <w:tc>
          <w:tcPr>
            <w:tcW w:w="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ROIC</w:t>
            </w:r>
          </w:p>
        </w:tc>
        <w:tc>
          <w:tcPr>
            <w:tcW w:w="300" w:type="dxa"/>
            <w:vAlign w:val="bottom"/>
          </w:tcPr>
          <w:p>
            <w:pPr>
              <w:spacing w:after="0"/>
              <w:rPr>
                <w:sz w:val="20"/>
                <w:szCs w:val="20"/>
                <w:color w:val="auto"/>
              </w:rPr>
            </w:pPr>
          </w:p>
        </w:tc>
        <w:tc>
          <w:tcPr>
            <w:tcW w:w="10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and</w:t>
            </w:r>
          </w:p>
        </w:tc>
        <w:tc>
          <w:tcPr>
            <w:tcW w:w="240" w:type="dxa"/>
            <w:vAlign w:val="bottom"/>
          </w:tcPr>
          <w:p>
            <w:pPr>
              <w:spacing w:after="0"/>
              <w:rPr>
                <w:sz w:val="20"/>
                <w:szCs w:val="20"/>
                <w:color w:val="auto"/>
              </w:rPr>
            </w:pPr>
          </w:p>
        </w:tc>
        <w:tc>
          <w:tcPr>
            <w:tcW w:w="148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adjusted</w:t>
            </w:r>
          </w:p>
        </w:tc>
        <w:tc>
          <w:tcPr>
            <w:tcW w:w="820" w:type="dxa"/>
            <w:vAlign w:val="bottom"/>
          </w:tcPr>
          <w:p>
            <w:pPr>
              <w:spacing w:after="0"/>
              <w:rPr>
                <w:sz w:val="20"/>
                <w:szCs w:val="20"/>
                <w:color w:val="auto"/>
              </w:rPr>
            </w:pPr>
          </w:p>
        </w:tc>
        <w:tc>
          <w:tcPr>
            <w:tcW w:w="1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ROIC</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56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20" w:type="dxa"/>
            <w:vAlign w:val="bottom"/>
            <w:gridSpan w:val="5"/>
          </w:tcPr>
          <w:p>
            <w:pPr>
              <w:ind w:left="2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40" w:type="dxa"/>
            <w:vAlign w:val="bottom"/>
          </w:tcPr>
          <w:p>
            <w:pPr>
              <w:spacing w:after="0"/>
              <w:rPr>
                <w:sz w:val="24"/>
                <w:szCs w:val="24"/>
                <w:color w:val="auto"/>
              </w:rPr>
            </w:pPr>
          </w:p>
        </w:tc>
        <w:tc>
          <w:tcPr>
            <w:tcW w:w="1480" w:type="dxa"/>
            <w:vAlign w:val="bottom"/>
            <w:gridSpan w:val="3"/>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8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56"/>
        </w:trPr>
        <w:tc>
          <w:tcPr>
            <w:tcW w:w="560" w:type="dxa"/>
            <w:vAlign w:val="bottom"/>
          </w:tcPr>
          <w:p>
            <w:pPr>
              <w:spacing w:after="0"/>
              <w:rPr>
                <w:sz w:val="22"/>
                <w:szCs w:val="22"/>
                <w:color w:val="auto"/>
              </w:rPr>
            </w:pPr>
          </w:p>
        </w:tc>
        <w:tc>
          <w:tcPr>
            <w:tcW w:w="27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460" w:type="dxa"/>
            <w:vAlign w:val="bottom"/>
            <w:gridSpan w:val="5"/>
          </w:tcPr>
          <w:p>
            <w:pPr>
              <w:jc w:val="center"/>
              <w:ind w:right="133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840" w:type="dxa"/>
            <w:vAlign w:val="bottom"/>
          </w:tcPr>
          <w:p>
            <w:pPr>
              <w:spacing w:after="0"/>
              <w:rPr>
                <w:sz w:val="22"/>
                <w:szCs w:val="22"/>
                <w:color w:val="auto"/>
              </w:rPr>
            </w:pPr>
          </w:p>
        </w:tc>
      </w:tr>
      <w:tr>
        <w:trPr>
          <w:trHeight w:val="237"/>
        </w:trPr>
        <w:tc>
          <w:tcPr>
            <w:tcW w:w="56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Borders>
              <w:top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40" w:type="dxa"/>
            <w:vAlign w:val="bottom"/>
            <w:tcBorders>
              <w:top w:val="single" w:sz="8" w:color="auto"/>
              <w:bottom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Borders>
              <w:top w:val="single" w:sz="8" w:color="auto"/>
            </w:tcBorders>
          </w:tcPr>
          <w:p>
            <w:pPr>
              <w:spacing w:after="0"/>
              <w:rPr>
                <w:sz w:val="20"/>
                <w:szCs w:val="20"/>
                <w:color w:val="auto"/>
              </w:rPr>
            </w:pPr>
          </w:p>
        </w:tc>
        <w:tc>
          <w:tcPr>
            <w:tcW w:w="42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16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326"/>
        </w:trPr>
        <w:tc>
          <w:tcPr>
            <w:tcW w:w="3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GAAP earnings from operations</w:t>
            </w:r>
          </w:p>
        </w:tc>
        <w:tc>
          <w:tcPr>
            <w:tcW w:w="720" w:type="dxa"/>
            <w:vAlign w:val="bottom"/>
          </w:tcPr>
          <w:p>
            <w:pPr>
              <w:spacing w:after="0"/>
              <w:rPr>
                <w:sz w:val="24"/>
                <w:szCs w:val="24"/>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202.6</w:t>
            </w:r>
          </w:p>
        </w:tc>
        <w:tc>
          <w:tcPr>
            <w:tcW w:w="140" w:type="dxa"/>
            <w:vAlign w:val="bottom"/>
          </w:tcPr>
          <w:p>
            <w:pPr>
              <w:spacing w:after="0"/>
              <w:rPr>
                <w:sz w:val="24"/>
                <w:szCs w:val="24"/>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109.2</w:t>
            </w:r>
          </w:p>
        </w:tc>
        <w:tc>
          <w:tcPr>
            <w:tcW w:w="140" w:type="dxa"/>
            <w:vAlign w:val="bottom"/>
          </w:tcPr>
          <w:p>
            <w:pPr>
              <w:spacing w:after="0"/>
              <w:rPr>
                <w:sz w:val="24"/>
                <w:szCs w:val="24"/>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599.3</w:t>
            </w:r>
          </w:p>
        </w:tc>
        <w:tc>
          <w:tcPr>
            <w:tcW w:w="140" w:type="dxa"/>
            <w:vAlign w:val="bottom"/>
          </w:tcPr>
          <w:p>
            <w:pPr>
              <w:spacing w:after="0"/>
              <w:rPr>
                <w:sz w:val="24"/>
                <w:szCs w:val="24"/>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338.2</w:t>
            </w:r>
          </w:p>
        </w:tc>
        <w:tc>
          <w:tcPr>
            <w:tcW w:w="11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61"/>
        </w:trPr>
        <w:tc>
          <w:tcPr>
            <w:tcW w:w="3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Multiplier to annualize earnings</w:t>
            </w:r>
          </w:p>
        </w:tc>
        <w:tc>
          <w:tcPr>
            <w:tcW w:w="7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w:t>
            </w:r>
          </w:p>
        </w:tc>
        <w:tc>
          <w:tcPr>
            <w:tcW w:w="116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37"/>
        </w:trPr>
        <w:tc>
          <w:tcPr>
            <w:tcW w:w="3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Annualized GAAP earnings from operations</w:t>
            </w:r>
          </w:p>
        </w:tc>
        <w:tc>
          <w:tcPr>
            <w:tcW w:w="720" w:type="dxa"/>
            <w:vAlign w:val="bottom"/>
          </w:tcPr>
          <w:p>
            <w:pPr>
              <w:spacing w:after="0"/>
              <w:rPr>
                <w:sz w:val="20"/>
                <w:szCs w:val="20"/>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810.4</w:t>
            </w:r>
          </w:p>
        </w:tc>
        <w:tc>
          <w:tcPr>
            <w:tcW w:w="140" w:type="dxa"/>
            <w:vAlign w:val="bottom"/>
          </w:tcPr>
          <w:p>
            <w:pPr>
              <w:spacing w:after="0"/>
              <w:rPr>
                <w:sz w:val="20"/>
                <w:szCs w:val="20"/>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436.8</w:t>
            </w:r>
          </w:p>
        </w:tc>
        <w:tc>
          <w:tcPr>
            <w:tcW w:w="140" w:type="dxa"/>
            <w:vAlign w:val="bottom"/>
          </w:tcPr>
          <w:p>
            <w:pPr>
              <w:spacing w:after="0"/>
              <w:rPr>
                <w:sz w:val="20"/>
                <w:szCs w:val="20"/>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599.3</w:t>
            </w:r>
          </w:p>
        </w:tc>
        <w:tc>
          <w:tcPr>
            <w:tcW w:w="140" w:type="dxa"/>
            <w:vAlign w:val="bottom"/>
          </w:tcPr>
          <w:p>
            <w:pPr>
              <w:spacing w:after="0"/>
              <w:rPr>
                <w:sz w:val="20"/>
                <w:szCs w:val="20"/>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338.2</w:t>
            </w:r>
          </w:p>
        </w:tc>
        <w:tc>
          <w:tcPr>
            <w:tcW w:w="116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344"/>
        </w:trPr>
        <w:tc>
          <w:tcPr>
            <w:tcW w:w="3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Average net invested capital for the period*</w:t>
            </w:r>
          </w:p>
        </w:tc>
        <w:tc>
          <w:tcPr>
            <w:tcW w:w="720" w:type="dxa"/>
            <w:vAlign w:val="bottom"/>
          </w:tcPr>
          <w:p>
            <w:pPr>
              <w:spacing w:after="0"/>
              <w:rPr>
                <w:sz w:val="24"/>
                <w:szCs w:val="24"/>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2,386.7</w:t>
            </w:r>
          </w:p>
        </w:tc>
        <w:tc>
          <w:tcPr>
            <w:tcW w:w="140" w:type="dxa"/>
            <w:vAlign w:val="bottom"/>
          </w:tcPr>
          <w:p>
            <w:pPr>
              <w:spacing w:after="0"/>
              <w:rPr>
                <w:sz w:val="24"/>
                <w:szCs w:val="24"/>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9"/>
              </w:rPr>
              <w:t>2,176.9</w:t>
            </w:r>
          </w:p>
        </w:tc>
        <w:tc>
          <w:tcPr>
            <w:tcW w:w="140" w:type="dxa"/>
            <w:vAlign w:val="bottom"/>
          </w:tcPr>
          <w:p>
            <w:pPr>
              <w:spacing w:after="0"/>
              <w:rPr>
                <w:sz w:val="24"/>
                <w:szCs w:val="24"/>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2,292.4</w:t>
            </w:r>
          </w:p>
        </w:tc>
        <w:tc>
          <w:tcPr>
            <w:tcW w:w="140" w:type="dxa"/>
            <w:vAlign w:val="bottom"/>
          </w:tcPr>
          <w:p>
            <w:pPr>
              <w:spacing w:after="0"/>
              <w:rPr>
                <w:sz w:val="24"/>
                <w:szCs w:val="24"/>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2,132.5</w:t>
            </w:r>
          </w:p>
        </w:tc>
        <w:tc>
          <w:tcPr>
            <w:tcW w:w="11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65"/>
        </w:trPr>
        <w:tc>
          <w:tcPr>
            <w:tcW w:w="3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GAAP ROIC %</w:t>
            </w: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34.0 %</w:t>
            </w: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20.1 %</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26.1 %</w:t>
            </w: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15.9 %</w:t>
            </w:r>
          </w:p>
        </w:tc>
        <w:tc>
          <w:tcPr>
            <w:tcW w:w="116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pacing w:after="0" w:line="126" w:lineRule="exact"/>
        <w:rPr>
          <w:sz w:val="20"/>
          <w:szCs w:val="20"/>
          <w:color w:val="auto"/>
        </w:rPr>
      </w:pPr>
    </w:p>
    <w:p>
      <w:pPr>
        <w:sectPr>
          <w:pgSz w:w="11900" w:h="16838" w:orient="portrait"/>
          <w:cols w:equalWidth="0" w:num="1">
            <w:col w:w="11240"/>
          </w:cols>
          <w:pgMar w:left="320" w:top="114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0"/>
        <w:spacing w:after="0" w:line="237" w:lineRule="auto"/>
        <w:rPr>
          <w:sz w:val="20"/>
          <w:szCs w:val="20"/>
          <w:color w:val="auto"/>
        </w:rPr>
      </w:pPr>
      <w:r>
        <w:rPr>
          <w:rFonts w:ascii="Times New Roman" w:cs="Times New Roman" w:eastAsia="Times New Roman" w:hAnsi="Times New Roman"/>
          <w:sz w:val="18"/>
          <w:szCs w:val="18"/>
          <w:color w:val="auto"/>
        </w:rPr>
        <w:t>Adjusted operating earnings (adjusted EBIAT) (non-GAAP)</w:t>
      </w:r>
    </w:p>
    <w:p>
      <w:pPr>
        <w:spacing w:after="0" w:line="10" w:lineRule="exact"/>
        <w:rPr>
          <w:sz w:val="20"/>
          <w:szCs w:val="20"/>
          <w:color w:val="auto"/>
        </w:rPr>
      </w:pPr>
    </w:p>
    <w:p>
      <w:pPr>
        <w:ind w:left="20" w:right="760"/>
        <w:spacing w:after="0" w:line="362" w:lineRule="auto"/>
        <w:rPr>
          <w:sz w:val="20"/>
          <w:szCs w:val="20"/>
          <w:color w:val="auto"/>
        </w:rPr>
      </w:pPr>
      <w:r>
        <w:rPr>
          <w:rFonts w:ascii="Times New Roman" w:cs="Times New Roman" w:eastAsia="Times New Roman" w:hAnsi="Times New Roman"/>
          <w:sz w:val="17"/>
          <w:szCs w:val="17"/>
          <w:color w:val="auto"/>
        </w:rPr>
        <w:t>Multiplier to annualize earnings Annualized adjusted EBIAT (non-GAAP)</w:t>
      </w:r>
    </w:p>
    <w:p>
      <w:pPr>
        <w:spacing w:after="0" w:line="31" w:lineRule="exact"/>
        <w:rPr>
          <w:sz w:val="20"/>
          <w:szCs w:val="20"/>
          <w:color w:val="auto"/>
        </w:rPr>
      </w:pPr>
    </w:p>
    <w:p>
      <w:pPr>
        <w:ind w:left="20" w:right="620"/>
        <w:spacing w:after="0" w:line="420" w:lineRule="auto"/>
        <w:rPr>
          <w:sz w:val="20"/>
          <w:szCs w:val="20"/>
          <w:color w:val="auto"/>
        </w:rPr>
      </w:pPr>
      <w:r>
        <w:rPr>
          <w:rFonts w:ascii="Times New Roman" w:cs="Times New Roman" w:eastAsia="Times New Roman" w:hAnsi="Times New Roman"/>
          <w:sz w:val="18"/>
          <w:szCs w:val="18"/>
          <w:color w:val="auto"/>
        </w:rPr>
        <w:t>Average net invested capital for the period* Adjusted ROIC % (non-GAAP)</w:t>
      </w:r>
    </w:p>
    <w:p>
      <w:pPr>
        <w:jc w:val="center"/>
        <w:ind w:left="2760"/>
        <w:spacing w:after="0" w:line="231" w:lineRule="auto"/>
        <w:rPr>
          <w:sz w:val="20"/>
          <w:szCs w:val="20"/>
          <w:color w:val="auto"/>
        </w:rPr>
      </w:pPr>
      <w:r>
        <w:rPr>
          <w:rFonts w:ascii="Times New Roman" w:cs="Times New Roman" w:eastAsia="Times New Roman" w:hAnsi="Times New Roman"/>
          <w:sz w:val="18"/>
          <w:szCs w:val="18"/>
          <w:b w:val="1"/>
          <w:bCs w:val="1"/>
          <w:color w:val="auto"/>
        </w:rPr>
        <w:t>December 31</w:t>
      </w:r>
    </w:p>
    <w:p>
      <w:pPr>
        <w:spacing w:after="0" w:line="1" w:lineRule="exact"/>
        <w:rPr>
          <w:sz w:val="20"/>
          <w:szCs w:val="20"/>
          <w:color w:val="auto"/>
        </w:rPr>
      </w:pPr>
    </w:p>
    <w:p>
      <w:pPr>
        <w:jc w:val="center"/>
        <w:ind w:left="2760"/>
        <w:spacing w:after="0"/>
        <w:rPr>
          <w:sz w:val="20"/>
          <w:szCs w:val="20"/>
          <w:color w:val="auto"/>
        </w:rPr>
      </w:pPr>
      <w:r>
        <w:rPr>
          <w:rFonts w:ascii="Times New Roman" w:cs="Times New Roman" w:eastAsia="Times New Roman" w:hAnsi="Times New Roman"/>
          <w:sz w:val="18"/>
          <w:szCs w:val="18"/>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1727835</wp:posOffset>
            </wp:positionH>
            <wp:positionV relativeFrom="paragraph">
              <wp:posOffset>13335</wp:posOffset>
            </wp:positionV>
            <wp:extent cx="7112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120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120" w:type="dxa"/>
            <w:vAlign w:val="bottom"/>
          </w:tcPr>
          <w:p>
            <w:pPr>
              <w:spacing w:after="0"/>
              <w:rPr>
                <w:sz w:val="20"/>
                <w:szCs w:val="20"/>
                <w:color w:val="auto"/>
              </w:rPr>
            </w:pPr>
          </w:p>
        </w:tc>
        <w:tc>
          <w:tcPr>
            <w:tcW w:w="2600" w:type="dxa"/>
            <w:vAlign w:val="bottom"/>
            <w:gridSpan w:val="5"/>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60" w:type="dxa"/>
            <w:vAlign w:val="bottom"/>
          </w:tcPr>
          <w:p>
            <w:pPr>
              <w:spacing w:after="0"/>
              <w:rPr>
                <w:sz w:val="20"/>
                <w:szCs w:val="20"/>
                <w:color w:val="auto"/>
              </w:rPr>
            </w:pPr>
          </w:p>
        </w:tc>
        <w:tc>
          <w:tcPr>
            <w:tcW w:w="2380" w:type="dxa"/>
            <w:vAlign w:val="bottom"/>
            <w:gridSpan w:val="4"/>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Year ended</w:t>
            </w:r>
          </w:p>
        </w:tc>
      </w:tr>
      <w:tr>
        <w:trPr>
          <w:trHeight w:val="257"/>
        </w:trPr>
        <w:tc>
          <w:tcPr>
            <w:tcW w:w="120" w:type="dxa"/>
            <w:vAlign w:val="bottom"/>
            <w:tcBorders>
              <w:bottom w:val="single" w:sz="8" w:color="auto"/>
            </w:tcBorders>
          </w:tcPr>
          <w:p>
            <w:pPr>
              <w:spacing w:after="0"/>
              <w:rPr>
                <w:sz w:val="22"/>
                <w:szCs w:val="22"/>
                <w:color w:val="auto"/>
              </w:rPr>
            </w:pPr>
          </w:p>
        </w:tc>
        <w:tc>
          <w:tcPr>
            <w:tcW w:w="2600" w:type="dxa"/>
            <w:vAlign w:val="bottom"/>
            <w:tcBorders>
              <w:bottom w:val="single" w:sz="8" w:color="auto"/>
            </w:tcBorders>
            <w:gridSpan w:val="5"/>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60" w:type="dxa"/>
            <w:vAlign w:val="bottom"/>
            <w:tcBorders>
              <w:bottom w:val="single" w:sz="8" w:color="auto"/>
            </w:tcBorders>
          </w:tcPr>
          <w:p>
            <w:pPr>
              <w:spacing w:after="0"/>
              <w:rPr>
                <w:sz w:val="22"/>
                <w:szCs w:val="22"/>
                <w:color w:val="auto"/>
              </w:rPr>
            </w:pPr>
          </w:p>
        </w:tc>
        <w:tc>
          <w:tcPr>
            <w:tcW w:w="2380" w:type="dxa"/>
            <w:vAlign w:val="bottom"/>
            <w:tcBorders>
              <w:bottom w:val="single" w:sz="8" w:color="auto"/>
            </w:tcBorders>
            <w:gridSpan w:val="4"/>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7"/>
        </w:trPr>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493"/>
        </w:trPr>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173.6</w:t>
            </w:r>
          </w:p>
        </w:tc>
        <w:tc>
          <w:tcPr>
            <w:tcW w:w="14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128.3</w:t>
            </w:r>
          </w:p>
        </w:tc>
        <w:tc>
          <w:tcPr>
            <w:tcW w:w="14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622.6</w:t>
            </w:r>
          </w:p>
        </w:tc>
        <w:tc>
          <w:tcPr>
            <w:tcW w:w="14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441.6</w:t>
            </w:r>
          </w:p>
        </w:tc>
      </w:tr>
      <w:tr>
        <w:trPr>
          <w:trHeight w:val="257"/>
        </w:trPr>
        <w:tc>
          <w:tcPr>
            <w:tcW w:w="1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w:t>
            </w:r>
          </w:p>
        </w:tc>
      </w:tr>
      <w:tr>
        <w:trPr>
          <w:trHeight w:val="237"/>
        </w:trPr>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694.4</w:t>
            </w:r>
          </w:p>
        </w:tc>
        <w:tc>
          <w:tcPr>
            <w:tcW w:w="14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513.2</w:t>
            </w:r>
          </w:p>
        </w:tc>
        <w:tc>
          <w:tcPr>
            <w:tcW w:w="14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622.6</w:t>
            </w:r>
          </w:p>
        </w:tc>
        <w:tc>
          <w:tcPr>
            <w:tcW w:w="14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441.6</w:t>
            </w:r>
          </w:p>
        </w:tc>
      </w:tr>
      <w:tr>
        <w:trPr>
          <w:trHeight w:val="344"/>
        </w:trPr>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2,386.7</w:t>
            </w:r>
          </w:p>
        </w:tc>
        <w:tc>
          <w:tcPr>
            <w:tcW w:w="14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2,176.9</w:t>
            </w:r>
          </w:p>
        </w:tc>
        <w:tc>
          <w:tcPr>
            <w:tcW w:w="14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2,292.4</w:t>
            </w:r>
          </w:p>
        </w:tc>
        <w:tc>
          <w:tcPr>
            <w:tcW w:w="14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2,132.5</w:t>
            </w:r>
          </w:p>
        </w:tc>
      </w:tr>
      <w:tr>
        <w:trPr>
          <w:trHeight w:val="365"/>
        </w:trPr>
        <w:tc>
          <w:tcPr>
            <w:tcW w:w="1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29.1 %</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23.6 %</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27.2 %</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20.7 %</w:t>
            </w:r>
          </w:p>
        </w:tc>
      </w:tr>
      <w:tr>
        <w:trPr>
          <w:trHeight w:val="283"/>
        </w:trPr>
        <w:tc>
          <w:tcPr>
            <w:tcW w:w="120" w:type="dxa"/>
            <w:vAlign w:val="bottom"/>
          </w:tcPr>
          <w:p>
            <w:pPr>
              <w:spacing w:after="0"/>
              <w:rPr>
                <w:sz w:val="24"/>
                <w:szCs w:val="24"/>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80" w:type="dxa"/>
            <w:vAlign w:val="bottom"/>
          </w:tcPr>
          <w:p>
            <w:pPr>
              <w:spacing w:after="0"/>
              <w:rPr>
                <w:sz w:val="24"/>
                <w:szCs w:val="24"/>
                <w:color w:val="auto"/>
              </w:rPr>
            </w:pP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60" w:type="dxa"/>
            <w:vAlign w:val="bottom"/>
          </w:tcPr>
          <w:p>
            <w:pPr>
              <w:spacing w:after="0"/>
              <w:rPr>
                <w:sz w:val="24"/>
                <w:szCs w:val="24"/>
                <w:color w:val="auto"/>
              </w:rPr>
            </w:pPr>
          </w:p>
        </w:tc>
        <w:tc>
          <w:tcPr>
            <w:tcW w:w="11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0" w:type="dxa"/>
            <w:vAlign w:val="bottom"/>
          </w:tcPr>
          <w:p>
            <w:pPr>
              <w:spacing w:after="0"/>
              <w:rPr>
                <w:sz w:val="24"/>
                <w:szCs w:val="24"/>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7"/>
              </w:rPr>
              <w:t>December 31</w:t>
            </w:r>
          </w:p>
        </w:tc>
      </w:tr>
      <w:tr>
        <w:trPr>
          <w:trHeight w:val="241"/>
        </w:trPr>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r>
    </w:tbl>
    <w:p>
      <w:pPr>
        <w:spacing w:after="0" w:line="103" w:lineRule="exact"/>
        <w:rPr>
          <w:sz w:val="20"/>
          <w:szCs w:val="20"/>
          <w:color w:val="auto"/>
        </w:rPr>
      </w:pPr>
    </w:p>
    <w:p>
      <w:pPr>
        <w:sectPr>
          <w:pgSz w:w="11900" w:h="16838" w:orient="portrait"/>
          <w:cols w:equalWidth="0" w:num="2">
            <w:col w:w="3800" w:space="180"/>
            <w:col w:w="7260"/>
          </w:cols>
          <w:pgMar w:left="320" w:top="1147" w:right="33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8"/>
          <w:szCs w:val="18"/>
          <w:color w:val="auto"/>
        </w:rPr>
        <w:t>Net invested capital consists of:</w:t>
      </w:r>
    </w:p>
    <w:p>
      <w:pPr>
        <w:sectPr>
          <w:pgSz w:w="11900" w:h="16838" w:orient="portrait"/>
          <w:cols w:equalWidth="0" w:num="1">
            <w:col w:w="11240"/>
          </w:cols>
          <w:pgMar w:left="320" w:top="1147" w:right="339" w:bottom="1440" w:gutter="0" w:footer="0" w:header="0"/>
          <w:type w:val="continuous"/>
        </w:sectPr>
      </w:pP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 assets</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Less: cash</w:t>
      </w:r>
    </w:p>
    <w:p>
      <w:pPr>
        <w:spacing w:after="0" w:line="27" w:lineRule="exact"/>
        <w:rPr>
          <w:sz w:val="20"/>
          <w:szCs w:val="20"/>
          <w:color w:val="auto"/>
        </w:rPr>
      </w:pPr>
    </w:p>
    <w:p>
      <w:pPr>
        <w:ind w:left="360" w:right="260" w:hanging="323"/>
        <w:spacing w:after="0" w:line="234" w:lineRule="auto"/>
        <w:rPr>
          <w:sz w:val="20"/>
          <w:szCs w:val="20"/>
          <w:color w:val="auto"/>
        </w:rPr>
      </w:pPr>
      <w:r>
        <w:rPr>
          <w:rFonts w:ascii="Times New Roman" w:cs="Times New Roman" w:eastAsia="Times New Roman" w:hAnsi="Times New Roman"/>
          <w:sz w:val="18"/>
          <w:szCs w:val="18"/>
          <w:color w:val="auto"/>
        </w:rPr>
        <w:t>Less: ROU assets (operating and finance leases)</w:t>
      </w:r>
    </w:p>
    <w:p>
      <w:pPr>
        <w:spacing w:after="0" w:line="10" w:lineRule="exact"/>
        <w:rPr>
          <w:sz w:val="20"/>
          <w:szCs w:val="20"/>
          <w:color w:val="auto"/>
        </w:rPr>
      </w:pPr>
    </w:p>
    <w:p>
      <w:pPr>
        <w:ind w:left="360" w:hanging="323"/>
        <w:spacing w:after="0" w:line="222" w:lineRule="auto"/>
        <w:rPr>
          <w:sz w:val="20"/>
          <w:szCs w:val="20"/>
          <w:color w:val="auto"/>
        </w:rPr>
      </w:pPr>
      <w:r>
        <w:rPr>
          <w:rFonts w:ascii="Times New Roman" w:cs="Times New Roman" w:eastAsia="Times New Roman" w:hAnsi="Times New Roman"/>
          <w:sz w:val="18"/>
          <w:szCs w:val="18"/>
          <w:color w:val="auto"/>
        </w:rPr>
        <w:t>Less: accounts payable, accrued and other current liabilities,</w:t>
      </w:r>
    </w:p>
    <w:p>
      <w:pPr>
        <w:spacing w:after="0" w:line="2" w:lineRule="exact"/>
        <w:rPr>
          <w:sz w:val="20"/>
          <w:szCs w:val="20"/>
          <w:color w:val="auto"/>
        </w:rPr>
      </w:pPr>
    </w:p>
    <w:p>
      <w:pPr>
        <w:ind w:left="360" w:right="40"/>
        <w:spacing w:after="0" w:line="218" w:lineRule="auto"/>
        <w:rPr>
          <w:sz w:val="20"/>
          <w:szCs w:val="20"/>
          <w:color w:val="auto"/>
        </w:rPr>
      </w:pPr>
      <w:r>
        <w:rPr>
          <w:rFonts w:ascii="Times New Roman" w:cs="Times New Roman" w:eastAsia="Times New Roman" w:hAnsi="Times New Roman"/>
          <w:sz w:val="18"/>
          <w:szCs w:val="18"/>
          <w:color w:val="auto"/>
        </w:rPr>
        <w:t>provisions and income taxes payable (excluding finance and operating lease liabilities)</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invested capital at period end*</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invested capital consists of:</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 assets</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Less: cash</w:t>
      </w:r>
    </w:p>
    <w:p>
      <w:pPr>
        <w:spacing w:after="0" w:line="27" w:lineRule="exact"/>
        <w:rPr>
          <w:sz w:val="20"/>
          <w:szCs w:val="20"/>
          <w:color w:val="auto"/>
        </w:rPr>
      </w:pPr>
    </w:p>
    <w:p>
      <w:pPr>
        <w:ind w:left="360" w:right="260" w:hanging="323"/>
        <w:spacing w:after="0" w:line="234" w:lineRule="auto"/>
        <w:rPr>
          <w:sz w:val="20"/>
          <w:szCs w:val="20"/>
          <w:color w:val="auto"/>
        </w:rPr>
      </w:pPr>
      <w:r>
        <w:rPr>
          <w:rFonts w:ascii="Times New Roman" w:cs="Times New Roman" w:eastAsia="Times New Roman" w:hAnsi="Times New Roman"/>
          <w:sz w:val="18"/>
          <w:szCs w:val="18"/>
          <w:color w:val="auto"/>
        </w:rPr>
        <w:t>Less: ROU assets (operating and finance leases)</w:t>
      </w:r>
    </w:p>
    <w:p>
      <w:pPr>
        <w:spacing w:after="0" w:line="10" w:lineRule="exact"/>
        <w:rPr>
          <w:sz w:val="20"/>
          <w:szCs w:val="20"/>
          <w:color w:val="auto"/>
        </w:rPr>
      </w:pPr>
    </w:p>
    <w:p>
      <w:pPr>
        <w:ind w:left="360" w:hanging="323"/>
        <w:spacing w:after="0" w:line="222" w:lineRule="auto"/>
        <w:rPr>
          <w:sz w:val="20"/>
          <w:szCs w:val="20"/>
          <w:color w:val="auto"/>
        </w:rPr>
      </w:pPr>
      <w:r>
        <w:rPr>
          <w:rFonts w:ascii="Times New Roman" w:cs="Times New Roman" w:eastAsia="Times New Roman" w:hAnsi="Times New Roman"/>
          <w:sz w:val="18"/>
          <w:szCs w:val="18"/>
          <w:color w:val="auto"/>
        </w:rPr>
        <w:t>Less: accounts payable, accrued and other current liabilities,</w:t>
      </w:r>
    </w:p>
    <w:p>
      <w:pPr>
        <w:spacing w:after="0" w:line="2" w:lineRule="exact"/>
        <w:rPr>
          <w:sz w:val="20"/>
          <w:szCs w:val="20"/>
          <w:color w:val="auto"/>
        </w:rPr>
      </w:pPr>
    </w:p>
    <w:p>
      <w:pPr>
        <w:ind w:left="360" w:right="40"/>
        <w:spacing w:after="0" w:line="218" w:lineRule="auto"/>
        <w:rPr>
          <w:sz w:val="20"/>
          <w:szCs w:val="20"/>
          <w:color w:val="auto"/>
        </w:rPr>
      </w:pPr>
      <w:r>
        <w:rPr>
          <w:rFonts w:ascii="Times New Roman" w:cs="Times New Roman" w:eastAsia="Times New Roman" w:hAnsi="Times New Roman"/>
          <w:sz w:val="18"/>
          <w:szCs w:val="18"/>
          <w:color w:val="auto"/>
        </w:rPr>
        <w:t>provisions and income taxes payable (excluding finance and operating lease liabilities)</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invested capital at period end*</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5,988.2</w:t>
            </w:r>
          </w:p>
        </w:tc>
        <w:tc>
          <w:tcPr>
            <w:tcW w:w="1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5,924.8</w:t>
            </w:r>
          </w:p>
        </w:tc>
        <w:tc>
          <w:tcPr>
            <w:tcW w:w="1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5,872.8</w:t>
            </w:r>
          </w:p>
        </w:tc>
        <w:tc>
          <w:tcPr>
            <w:tcW w:w="1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5,711.5</w:t>
            </w:r>
          </w:p>
        </w:tc>
        <w:tc>
          <w:tcPr>
            <w:tcW w:w="1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5,890.5</w:t>
            </w:r>
          </w:p>
        </w:tc>
      </w:tr>
      <w:tr>
        <w:trPr>
          <w:trHeight w:val="256"/>
        </w:trPr>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423.3</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398.5</w:t>
            </w: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434.0</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308.1</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370.4</w:t>
            </w:r>
          </w:p>
        </w:tc>
      </w:tr>
      <w:tr>
        <w:trPr>
          <w:trHeight w:val="419"/>
        </w:trPr>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180.8</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186.3</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200.1</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196.1</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170.0</w:t>
            </w:r>
          </w:p>
        </w:tc>
      </w:tr>
      <w:tr>
        <w:trPr>
          <w:trHeight w:val="958"/>
        </w:trPr>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2,969.2</w:t>
            </w: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2,981.6</w:t>
            </w:r>
          </w:p>
        </w:tc>
        <w:tc>
          <w:tcPr>
            <w:tcW w:w="1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2,946.2</w:t>
            </w:r>
          </w:p>
        </w:tc>
        <w:tc>
          <w:tcPr>
            <w:tcW w:w="1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2,992.6</w:t>
            </w:r>
          </w:p>
        </w:tc>
        <w:tc>
          <w:tcPr>
            <w:tcW w:w="1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3,168.4</w:t>
            </w:r>
          </w:p>
        </w:tc>
      </w:tr>
      <w:tr>
        <w:trPr>
          <w:trHeight w:val="223"/>
        </w:trPr>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2,414.9</w:t>
            </w:r>
          </w:p>
        </w:tc>
        <w:tc>
          <w:tcPr>
            <w:tcW w:w="1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2,358.4</w:t>
            </w:r>
          </w:p>
        </w:tc>
        <w:tc>
          <w:tcPr>
            <w:tcW w:w="1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2,292.5</w:t>
            </w:r>
          </w:p>
        </w:tc>
        <w:tc>
          <w:tcPr>
            <w:tcW w:w="1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2,214.7</w:t>
            </w:r>
          </w:p>
        </w:tc>
        <w:tc>
          <w:tcPr>
            <w:tcW w:w="1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2,181.7</w:t>
            </w:r>
          </w:p>
        </w:tc>
      </w:tr>
      <w:tr>
        <w:trPr>
          <w:trHeight w:val="21"/>
        </w:trPr>
        <w:tc>
          <w:tcPr>
            <w:tcW w:w="112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90"/>
        </w:trPr>
        <w:tc>
          <w:tcPr>
            <w:tcW w:w="126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0" w:type="dxa"/>
            <w:vAlign w:val="bottom"/>
          </w:tcPr>
          <w:p>
            <w:pPr>
              <w:spacing w:after="0"/>
              <w:rPr>
                <w:sz w:val="24"/>
                <w:szCs w:val="24"/>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80" w:type="dxa"/>
            <w:vAlign w:val="bottom"/>
          </w:tcPr>
          <w:p>
            <w:pPr>
              <w:spacing w:after="0"/>
              <w:rPr>
                <w:sz w:val="24"/>
                <w:szCs w:val="24"/>
                <w:color w:val="auto"/>
              </w:rPr>
            </w:pP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60" w:type="dxa"/>
            <w:vAlign w:val="bottom"/>
          </w:tcPr>
          <w:p>
            <w:pPr>
              <w:spacing w:after="0"/>
              <w:rPr>
                <w:sz w:val="24"/>
                <w:szCs w:val="24"/>
                <w:color w:val="auto"/>
              </w:rPr>
            </w:pPr>
          </w:p>
        </w:tc>
        <w:tc>
          <w:tcPr>
            <w:tcW w:w="11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0" w:type="dxa"/>
            <w:vAlign w:val="bottom"/>
          </w:tcPr>
          <w:p>
            <w:pPr>
              <w:spacing w:after="0"/>
              <w:rPr>
                <w:sz w:val="24"/>
                <w:szCs w:val="24"/>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7"/>
              </w:rPr>
              <w:t>December 31</w:t>
            </w:r>
          </w:p>
        </w:tc>
      </w:tr>
      <w:tr>
        <w:trPr>
          <w:trHeight w:val="241"/>
        </w:trPr>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590"/>
        </w:trPr>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5,890.5</w:t>
            </w:r>
          </w:p>
        </w:tc>
        <w:tc>
          <w:tcPr>
            <w:tcW w:w="14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5,744.8</w:t>
            </w:r>
          </w:p>
        </w:tc>
        <w:tc>
          <w:tcPr>
            <w:tcW w:w="14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5,499.6</w:t>
            </w:r>
          </w:p>
        </w:tc>
        <w:tc>
          <w:tcPr>
            <w:tcW w:w="14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5,464.2</w:t>
            </w:r>
          </w:p>
        </w:tc>
        <w:tc>
          <w:tcPr>
            <w:tcW w:w="14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5,625.5</w:t>
            </w:r>
          </w:p>
        </w:tc>
      </w:tr>
      <w:tr>
        <w:trPr>
          <w:trHeight w:val="257"/>
        </w:trPr>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370.4</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353.1</w:t>
            </w: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360.7</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318.7</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374.5</w:t>
            </w:r>
          </w:p>
        </w:tc>
      </w:tr>
      <w:tr>
        <w:trPr>
          <w:trHeight w:val="418"/>
        </w:trPr>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174.0</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163.2</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150.6</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157.1</w:t>
            </w:r>
          </w:p>
        </w:tc>
      </w:tr>
      <w:tr>
        <w:trPr>
          <w:trHeight w:val="958"/>
        </w:trPr>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3,168.4</w:t>
            </w:r>
          </w:p>
        </w:tc>
        <w:tc>
          <w:tcPr>
            <w:tcW w:w="1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3,045.6</w:t>
            </w: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2,873.9</w:t>
            </w: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2,877.0</w:t>
            </w: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3,005.0</w:t>
            </w:r>
          </w:p>
        </w:tc>
      </w:tr>
      <w:tr>
        <w:trPr>
          <w:trHeight w:val="223"/>
        </w:trPr>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2,181.7</w:t>
            </w:r>
          </w:p>
        </w:tc>
        <w:tc>
          <w:tcPr>
            <w:tcW w:w="1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2,172.1</w:t>
            </w:r>
          </w:p>
        </w:tc>
        <w:tc>
          <w:tcPr>
            <w:tcW w:w="1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2,101.8</w:t>
            </w:r>
          </w:p>
        </w:tc>
        <w:tc>
          <w:tcPr>
            <w:tcW w:w="1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2,117.9</w:t>
            </w:r>
          </w:p>
        </w:tc>
        <w:tc>
          <w:tcPr>
            <w:tcW w:w="1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2,088.9</w:t>
            </w:r>
          </w:p>
        </w:tc>
      </w:tr>
      <w:tr>
        <w:trPr>
          <w:trHeight w:val="21"/>
        </w:trPr>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ectPr>
          <w:pgSz w:w="11900" w:h="16838" w:orient="portrait"/>
          <w:cols w:equalWidth="0" w:num="2">
            <w:col w:w="2640" w:space="80"/>
            <w:col w:w="8520"/>
          </w:cols>
          <w:pgMar w:left="320" w:top="1147" w:right="339" w:bottom="1440" w:gutter="0" w:footer="0" w:header="0"/>
          <w:type w:val="continuous"/>
        </w:sectPr>
      </w:pPr>
    </w:p>
    <w:p>
      <w:pPr>
        <w:jc w:val="both"/>
        <w:ind w:firstLine="8"/>
        <w:spacing w:after="0" w:line="272" w:lineRule="auto"/>
        <w:tabs>
          <w:tab w:leader="none" w:pos="135"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use a two-point average to calculate average net invested capital for the quarter and a five-point average to calculate average net invested capital for the 12-month period. Average net invested capital for Q4 2024 is the average of net invested capital as at December 31, 2024 and September 30, 2024, and average net invested capital for 2024 is the average of net invested capital as at December 31, 2023, March 31, 2024, June 30, 2024, September 30, 2024 and December 31, 2024.</w:t>
      </w:r>
    </w:p>
    <w:p>
      <w:pPr>
        <w:sectPr>
          <w:pgSz w:w="11900" w:h="16838" w:orient="portrait"/>
          <w:cols w:equalWidth="0" w:num="1">
            <w:col w:w="11240"/>
          </w:cols>
          <w:pgMar w:left="320" w:top="114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type w:val="continuous"/>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New accounting pronouncements that we have recently adopted, as well as those that have been recently issued but not yet adopted by us, are included in Note 2 to the 2024 AFS included in this Annual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Risk</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Market risk is the potential loss arising from changes in market rates and market prices. Our market risk exposure results primarily from fluctuations in foreign currency exchange rates and interest rates, as well as the price of our Common Shares.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do not hold financial instruments for speculative trading purposes.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Exchange Rate Risk</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Conducting business in currencies other than the U.S. dollar subjects us to translation and transaction risks associated with fluctuations in currency exchange rates. Although we conduct the majority of our business in U.S. dollars (our functional currency), our global operations subject us to foreign currency volatility. Our non-U.S. currency exposures consist of: British pound sterling, Brazilian real, Canadian dollar, Chinese renminbi, Czech koruna, Euro, Hong Kong dollar, Indian rupee, Indonesian rupiah, Japanese yen, Korean won, Lao kip, Malaysian ringgit, Mexican peso, Philippine peso, Romanian leu, Singapore dollar, Taiwan dollar, and Thai baht.</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part of our risk management program, we enter into foreign currency forward contracts and swaps, generally for periods up to 12 months, intended to hedge foreign currency transaction risk and local currency denominated balance sheet exposures. These contracts include, to varying degrees, elements of market risk. We enter into these contracts to lock in the exchange rates for future foreign currency transactions and balance sheet balances, which is intended to reduce the foreign currency risk related to our operating costs and future cash flows denominated in local currencies. While these contracts are intended to reduce the effects of fluctuations in foreign currency exchange rates, our hedging strategy does not mitigate the longer-term impacts of changes to foreign exchange rates.</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Currency risk on our income tax expense arises as we are generally required to file our tax returns in the local currency for each particular country in which we have operations. Exchange rate volatility between the relevant local currency and the U.S. dollar will affect the recorded amounts of our foreign assets, liabilities, revenues and expenses in local currency for statutory financial statement purposes. While our hedging program is designed to mitigate currency risk vis-à-vis the U.S. dollar, we remain subject to taxable foreign exchange impacts in our translated local currency financial results relevant for tax reporting purposes. In addition, we earn revenues and incur expenses in foreign currencies as part of our global operations. As a result, we are also exposed to foreign currency exchange transaction risk, such that fluctuations in currency exchange rates may significantly impact the amount of translated U.S. dollars required for expenses incurred in other currencies or received from non-U.S. dollar revenues.</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table below presents the notional amounts (the U.S. dollar equivalent amounts of the foreign currency buy/sell contracts at hedge rates), weighted average exchange rates by expected (contractual) maturity dates, and the fair values of our outstanding foreign currency forward contracts and swaps at December 31, 2024. These notional amounts are used to calculate the contractual payments to be exchanged under the contracts. At December 31, 2024, we had foreign currency contracts and swaps covering various currencies in an aggregate notional amount of $748.0 million (December 31, 2023 — $700.4 million). These contracts had a fair value net unrealized loss of $18.5 million at December 31, 2024 (December 31, 2023 — $6.5 million net unrealized gain), resulting from fluctuations in foreign exchange rates between the contract execution and year-end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96" w:name="page97"/>
    <w:bookmarkEnd w:id="96"/>
    <w:p>
      <w:pPr>
        <w:ind w:left="660"/>
        <w:spacing w:after="0"/>
        <w:rPr>
          <w:sz w:val="20"/>
          <w:szCs w:val="20"/>
          <w:color w:val="auto"/>
        </w:rPr>
      </w:pPr>
      <w:r>
        <w:rPr>
          <w:rFonts w:ascii="Times New Roman" w:cs="Times New Roman" w:eastAsia="Times New Roman" w:hAnsi="Times New Roman"/>
          <w:sz w:val="18"/>
          <w:szCs w:val="18"/>
          <w:color w:val="auto"/>
        </w:rPr>
        <w:t>At December 31, 2024, we had foreign currency forward contracts and swaps to trade U.S. dollars in exchange for the following currencies:</w:t>
      </w:r>
    </w:p>
    <w:p>
      <w:pPr>
        <w:spacing w:after="0" w:line="46"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47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6"/>
          </w:tcPr>
          <w:p>
            <w:pPr>
              <w:ind w:left="780"/>
              <w:spacing w:after="0"/>
              <w:rPr>
                <w:sz w:val="20"/>
                <w:szCs w:val="20"/>
                <w:color w:val="auto"/>
              </w:rPr>
            </w:pPr>
            <w:r>
              <w:rPr>
                <w:rFonts w:ascii="Times New Roman" w:cs="Times New Roman" w:eastAsia="Times New Roman" w:hAnsi="Times New Roman"/>
                <w:sz w:val="18"/>
                <w:szCs w:val="18"/>
                <w:b w:val="1"/>
                <w:bCs w:val="1"/>
                <w:color w:val="auto"/>
              </w:rPr>
              <w:t>Expected Maturity Date</w:t>
            </w:r>
          </w:p>
        </w:tc>
        <w:tc>
          <w:tcPr>
            <w:tcW w:w="8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4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2027 and</w:t>
            </w: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jc w:val="center"/>
              <w:ind w:right="70"/>
              <w:spacing w:after="0" w:line="169" w:lineRule="exact"/>
              <w:rPr>
                <w:sz w:val="20"/>
                <w:szCs w:val="20"/>
                <w:color w:val="auto"/>
              </w:rPr>
            </w:pPr>
            <w:r>
              <w:rPr>
                <w:rFonts w:ascii="Times New Roman" w:cs="Times New Roman" w:eastAsia="Times New Roman" w:hAnsi="Times New Roman"/>
                <w:sz w:val="18"/>
                <w:szCs w:val="18"/>
                <w:b w:val="1"/>
                <w:bCs w:val="1"/>
                <w:color w:val="auto"/>
                <w:w w:val="96"/>
              </w:rPr>
              <w:t>Fair Value</w:t>
            </w:r>
          </w:p>
        </w:tc>
        <w:tc>
          <w:tcPr>
            <w:tcW w:w="0" w:type="dxa"/>
            <w:vAlign w:val="bottom"/>
          </w:tcPr>
          <w:p>
            <w:pPr>
              <w:spacing w:after="0"/>
              <w:rPr>
                <w:sz w:val="1"/>
                <w:szCs w:val="1"/>
                <w:color w:val="auto"/>
              </w:rPr>
            </w:pPr>
          </w:p>
        </w:tc>
      </w:tr>
      <w:tr>
        <w:trPr>
          <w:trHeight w:val="176"/>
        </w:trPr>
        <w:tc>
          <w:tcPr>
            <w:tcW w:w="4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vMerge w:val="restart"/>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94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0" w:type="dxa"/>
            <w:vAlign w:val="bottom"/>
          </w:tcPr>
          <w:p>
            <w:pPr>
              <w:spacing w:after="0"/>
              <w:rPr>
                <w:sz w:val="15"/>
                <w:szCs w:val="15"/>
                <w:color w:val="auto"/>
              </w:rPr>
            </w:pPr>
          </w:p>
        </w:tc>
        <w:tc>
          <w:tcPr>
            <w:tcW w:w="1160" w:type="dxa"/>
            <w:vAlign w:val="bottom"/>
          </w:tcPr>
          <w:p>
            <w:pPr>
              <w:jc w:val="center"/>
              <w:ind w:right="70"/>
              <w:spacing w:after="0" w:line="176" w:lineRule="exact"/>
              <w:rPr>
                <w:sz w:val="20"/>
                <w:szCs w:val="20"/>
                <w:color w:val="auto"/>
              </w:rPr>
            </w:pPr>
            <w:r>
              <w:rPr>
                <w:rFonts w:ascii="Times New Roman" w:cs="Times New Roman" w:eastAsia="Times New Roman" w:hAnsi="Times New Roman"/>
                <w:sz w:val="18"/>
                <w:szCs w:val="18"/>
                <w:b w:val="1"/>
                <w:bCs w:val="1"/>
                <w:color w:val="auto"/>
                <w:w w:val="98"/>
              </w:rPr>
              <w:t>Gain (Loss)</w:t>
            </w:r>
          </w:p>
        </w:tc>
        <w:tc>
          <w:tcPr>
            <w:tcW w:w="0" w:type="dxa"/>
            <w:vAlign w:val="bottom"/>
          </w:tcPr>
          <w:p>
            <w:pPr>
              <w:spacing w:after="0"/>
              <w:rPr>
                <w:sz w:val="1"/>
                <w:szCs w:val="1"/>
                <w:color w:val="auto"/>
              </w:rPr>
            </w:pPr>
          </w:p>
        </w:tc>
      </w:tr>
      <w:tr>
        <w:trPr>
          <w:trHeight w:val="243"/>
        </w:trPr>
        <w:tc>
          <w:tcPr>
            <w:tcW w:w="47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Currency Forward and Swap Agreements*</w:t>
            </w:r>
          </w:p>
        </w:tc>
        <w:tc>
          <w:tcPr>
            <w:tcW w:w="260" w:type="dxa"/>
            <w:vAlign w:val="bottom"/>
          </w:tcPr>
          <w:p>
            <w:pPr>
              <w:spacing w:after="0"/>
              <w:rPr>
                <w:sz w:val="21"/>
                <w:szCs w:val="21"/>
                <w:color w:val="auto"/>
              </w:rPr>
            </w:pPr>
          </w:p>
        </w:tc>
        <w:tc>
          <w:tcPr>
            <w:tcW w:w="92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thereafter</w:t>
            </w:r>
          </w:p>
        </w:tc>
        <w:tc>
          <w:tcPr>
            <w:tcW w:w="340" w:type="dxa"/>
            <w:vAlign w:val="bottom"/>
          </w:tcPr>
          <w:p>
            <w:pPr>
              <w:spacing w:after="0"/>
              <w:rPr>
                <w:sz w:val="21"/>
                <w:szCs w:val="21"/>
                <w:color w:val="auto"/>
              </w:rPr>
            </w:pPr>
          </w:p>
        </w:tc>
        <w:tc>
          <w:tcPr>
            <w:tcW w:w="94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c>
          <w:tcPr>
            <w:tcW w:w="0" w:type="dxa"/>
            <w:vAlign w:val="bottom"/>
          </w:tcPr>
          <w:p>
            <w:pPr>
              <w:spacing w:after="0"/>
              <w:rPr>
                <w:sz w:val="1"/>
                <w:szCs w:val="1"/>
                <w:color w:val="auto"/>
              </w:rPr>
            </w:pPr>
          </w:p>
        </w:tc>
      </w:tr>
      <w:tr>
        <w:trPr>
          <w:trHeight w:val="205"/>
        </w:trPr>
        <w:tc>
          <w:tcPr>
            <w:tcW w:w="4700" w:type="dxa"/>
            <w:vAlign w:val="bottom"/>
            <w:vMerge w:val="continue"/>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(Contract amounts in millions)</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Receive C$/Pay U.S.$</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Contract amount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210.2</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210.2</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29"/>
        </w:trPr>
        <w:tc>
          <w:tcPr>
            <w:tcW w:w="4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Average exchange rate</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Receive Thai Baht/Pay U.S.$</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Contract amount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4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185.8</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29"/>
        </w:trPr>
        <w:tc>
          <w:tcPr>
            <w:tcW w:w="4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Average exchange rate</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Receive Malaysian Ringgit/Pay U.S.$</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Contract amount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4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29"/>
        </w:trPr>
        <w:tc>
          <w:tcPr>
            <w:tcW w:w="4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Average exchange rate</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Receive Mexican Peso/Pay U.S.$</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Contract amount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4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30"/>
        </w:trPr>
        <w:tc>
          <w:tcPr>
            <w:tcW w:w="4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Average exchange rate</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Pay British Pound Sterling/Receive U.S.$</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Contract amount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4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30"/>
        </w:trPr>
        <w:tc>
          <w:tcPr>
            <w:tcW w:w="4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Average exchange rate</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Receive Chinese Renminbi/Pay U.S.$</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Contract amount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4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30"/>
        </w:trPr>
        <w:tc>
          <w:tcPr>
            <w:tcW w:w="4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Average exchange rate</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Pay Euro/Receive U.S.$</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Contract amount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4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30"/>
        </w:trPr>
        <w:tc>
          <w:tcPr>
            <w:tcW w:w="4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Average exchange rate</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Receive Romanian Leu/Pay U.S.$</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Contract amount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4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30"/>
        </w:trPr>
        <w:tc>
          <w:tcPr>
            <w:tcW w:w="4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Average exchange rate</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Receive Singapore Dollar/Pay U.S.$</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Contract amount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4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29"/>
        </w:trPr>
        <w:tc>
          <w:tcPr>
            <w:tcW w:w="4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Average exchange rate</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Pay Japanese Yen/Receive U.S.$</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Contract amount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4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30"/>
        </w:trPr>
        <w:tc>
          <w:tcPr>
            <w:tcW w:w="4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Average exchange rate</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Pay Korean Won/Receive U.S.$</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Contract amount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4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34"/>
        </w:trPr>
        <w:tc>
          <w:tcPr>
            <w:tcW w:w="4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Average exchange rate</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0.001</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748.0</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748.0</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firstLine="8"/>
        <w:spacing w:after="0" w:line="280" w:lineRule="auto"/>
        <w:tabs>
          <w:tab w:leader="none" w:pos="122"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Average exchange rate represents the U.S. dollar equivalent of one unit of the foreign currency, weighted based on the notional amounts of the underlying foreign currency forward and swap contracts outstanding as at December 31, 2024.</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29" w:lineRule="exact"/>
        <w:rPr>
          <w:sz w:val="20"/>
          <w:szCs w:val="20"/>
          <w:color w:val="auto"/>
        </w:rPr>
      </w:pPr>
    </w:p>
    <w:p>
      <w:pPr>
        <w:ind w:firstLine="307"/>
        <w:spacing w:after="0" w:line="282" w:lineRule="auto"/>
        <w:rPr>
          <w:sz w:val="20"/>
          <w:szCs w:val="20"/>
          <w:color w:val="auto"/>
        </w:rPr>
      </w:pPr>
      <w:r>
        <w:rPr>
          <w:rFonts w:ascii="Times New Roman" w:cs="Times New Roman" w:eastAsia="Times New Roman" w:hAnsi="Times New Roman"/>
          <w:sz w:val="18"/>
          <w:szCs w:val="18"/>
          <w:color w:val="auto"/>
        </w:rPr>
        <w:t>Borrowings under the Credit Facility bear interest at specified rates, plus specified margins. See note 11 to the 2024 AFS included herein. Our borrowings under this facility at December 31, 2024 totaled $741.2 million, comprised of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97" w:name="page98"/>
    <w:bookmarkEnd w:id="97"/>
    <w:p>
      <w:pPr>
        <w:jc w:val="both"/>
        <w:spacing w:after="0" w:line="255" w:lineRule="auto"/>
        <w:rPr>
          <w:sz w:val="20"/>
          <w:szCs w:val="20"/>
          <w:color w:val="auto"/>
        </w:rPr>
      </w:pPr>
      <w:r>
        <w:rPr>
          <w:rFonts w:ascii="Times New Roman" w:cs="Times New Roman" w:eastAsia="Times New Roman" w:hAnsi="Times New Roman"/>
          <w:sz w:val="18"/>
          <w:szCs w:val="18"/>
          <w:color w:val="auto"/>
        </w:rPr>
        <w:t>outstanding under our Term Loans, and other than ordinary course letters of credit, no amounts outstanding under the Revolver. These borrowings expose us to interest rate risk due to the potential variability in market interest rates. Assuming our outstanding aggregate borrowings under the Credit Facility as at December 31, 2024 as described above (December 31, 2023 — aggregate outstanding borrowings of $608.9 million), and without accounting for the interest rate swap agreements described below, a one-percentage point increase in applicable interest rates would increase our interest expense by $7.4 million annually (December 31, 2023 — an increase of $6.1 million annually). Including the impact of interest rate swap agreements outstanding as of December 31, 2024, a one-percentage point increase in relevant interest rates would increase interest expense, based on the outstanding borrowings under the Credit Facility at December 31, 2024, by $4.1 million annually (December 31, 2023 — $2.8 million).</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of December 31, 2024, we had interest rate swaps hedging the interest rate risk associated with $130.0 million of our Term A Loan borrowings and $200.0 million of our Term B Loan borrowings. At December 31, 2024, the interest rate risk related to $411.2 million of borrowings under the Credit Facility was unhedged, consisting of unhedged amounts outstanding under the New Term Loans and no amounts outstanding (other than ordinary course letters of credit) under the Revolver (December 31, 2023 — $278.9 million, consisting of unhedged amounts under the Initial Term Loan and the Incremental Term Loan and no amounts outstanding (other than ordinary course letters of credit) under the Revolver).</w:t>
      </w:r>
    </w:p>
    <w:p>
      <w:pPr>
        <w:spacing w:after="0" w:line="18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See Item 7, MD&amp;A — "Liquidity — </w:t>
      </w:r>
      <w:r>
        <w:rPr>
          <w:rFonts w:ascii="Times New Roman" w:cs="Times New Roman" w:eastAsia="Times New Roman" w:hAnsi="Times New Roman"/>
          <w:sz w:val="18"/>
          <w:szCs w:val="18"/>
          <w:i w:val="1"/>
          <w:iCs w:val="1"/>
          <w:color w:val="auto"/>
        </w:rPr>
        <w:t>Cash requirements</w:t>
      </w:r>
      <w:r>
        <w:rPr>
          <w:rFonts w:ascii="Times New Roman" w:cs="Times New Roman" w:eastAsia="Times New Roman" w:hAnsi="Times New Roman"/>
          <w:sz w:val="18"/>
          <w:szCs w:val="18"/>
          <w:color w:val="auto"/>
        </w:rPr>
        <w:t xml:space="preserve"> — TRS" for a description of our TRS Agreement. Interest payments on our TRS Agreement are based on a variable interest rate and the counterparty's Common Share purchase costs. Based on the counterparty's Common Share purchase costs at December 31, 2024, a 1% increase in the applicable interest rate would have resulted in an insignificant increase in interest expense in 2024. Also see "Equity Price Risk" below.</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Price Risk</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See Item 7, MD&amp;A — "Liquidity — </w:t>
      </w:r>
      <w:r>
        <w:rPr>
          <w:rFonts w:ascii="Times New Roman" w:cs="Times New Roman" w:eastAsia="Times New Roman" w:hAnsi="Times New Roman"/>
          <w:sz w:val="18"/>
          <w:szCs w:val="18"/>
          <w:i w:val="1"/>
          <w:iCs w:val="1"/>
          <w:color w:val="auto"/>
        </w:rPr>
        <w:t>Cash requirements</w:t>
      </w:r>
      <w:r>
        <w:rPr>
          <w:rFonts w:ascii="Times New Roman" w:cs="Times New Roman" w:eastAsia="Times New Roman" w:hAnsi="Times New Roman"/>
          <w:sz w:val="18"/>
          <w:szCs w:val="18"/>
          <w:color w:val="auto"/>
        </w:rPr>
        <w:t xml:space="preserve"> — TRS" for a description of our TRS Agreement. If the value of the TRS (as defined in the TRS Agreement) decreases over the agreement's term, we are obligated to pay the counterparty the amount of such decrease upon Settlement. If the price of our Common Shares decreased by 10% (assuming Settlement on December 31, 2024), we would not have been obligated to pay any amount to the counterparty (assuming Settlement on December 31, 2023 — no payment obligation).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and Counterparty Risk</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Management monitors the institutions that hold our cash and cash equivalents. Management's emphasis is primarily on safety of principal. Management, in its discretion, has diversified our cash and cash equivalents among banking institutions to adjust our exposure to levels they deem acceptable with respect to any one of these entities. To date, we have experienced no loss or lack of access to our invested cash or cash equivalents; however, we cannot assure that access to these holdings will not be impacted by adverse conditions in the financial markets, or that third party institutions will retain acceptable credit ratings or investment practices.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Cash balances held at banking institutions in the U.S. with which we do business may exceed the Federal Deposit Insurance Corporation (FDIC) insurance limits. While management monitors the cash balances in these bank accounts, such cash balances could be impacted if the underlying banks were to become insolvent or could be subject to other adverse conditions in the financial markets.</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Credit risk refers to the risk that a counterparty may default on its contractual obligations resulting in a financial loss to us. We believe our risk of counterparty non-performance continues to be relatively low. We are in regular contact with our customers, suppliers and logistics providers, and to date have not experienced significant counterparty credit-related non-performance. However, if a key supplier (or any company within such supplier's supply chain) or customer experiences financial difficulties or fails to comply with their contractual obligations, this could result in a significant financial loss to us. We would also suffer a significant financial loss if an institution from which we purchased foreign exchange contracts or swaps, interest rate swaps or annuities for our pension plans, or the counterparty to our TRS Agreement defaults on their contractual obligations (with respect to pension obligations, we retain ultimate responsibility for the payment of benefits to plan participants unless and until such pension plans are wound-up). With respect to our financial market activities, we have adopted a policy of dealing only with counterparties we deem to be creditworthy to help mitigate the risk of financial loss from defaults. We monitor the credit risk of the counterparties with whom we conduct business, through a combined process of credit rating reviews and portfolio reviews. We also provide unsecured credit to our customers in the normal course of business. From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98" w:name="page99"/>
    <w:bookmarkEnd w:id="98"/>
    <w:p>
      <w:pPr>
        <w:jc w:val="both"/>
        <w:spacing w:after="0" w:line="254" w:lineRule="auto"/>
        <w:rPr>
          <w:sz w:val="20"/>
          <w:szCs w:val="20"/>
          <w:color w:val="auto"/>
        </w:rPr>
      </w:pPr>
      <w:r>
        <w:rPr>
          <w:rFonts w:ascii="Times New Roman" w:cs="Times New Roman" w:eastAsia="Times New Roman" w:hAnsi="Times New Roman"/>
          <w:sz w:val="18"/>
          <w:szCs w:val="18"/>
          <w:color w:val="auto"/>
        </w:rPr>
        <w:t>to time, we extend the payment terms applicable to certain customers and/or provide longer payment terms when deemed commercially reasonable. Longer payment terms could adversely impact our working capital requirements, and increase our financial exposure and credit risk. We attempt to mitigate customer credit risk by monitoring our customers' financial condition and performing ongoing credit evaluations as appropriate. In certain instances, we obtain letters of credit or other forms of security from our customers. We may also purchase credit insurance from a financial institution to reduce our credit exposure to certain customers. We consider credit risk in determining our allowance for credit losses, and we believe that such allowance, as adjusted from time to time, is adequate. We assess the financial stability and liquidity of our customers to identify customers we believe to be at greatest risk of default. We also monitor, and/or develop plans intended to mitigate any identified exposures. No significant adjustments were made to our allowance for credit losses in the last three years in connection with our ongoing assessments and monitoring activities.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Commodity Price Risk</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are exposed to market risk with respect to commodity price fluctuations for components used in the products we manufacture. These components are impacted by global pricing pressures, general economic conditions, market conditions, geopolitical issues, weather, changes in tariff rates, and other factors which are neither predictable nor within our control. While generally we have been able to offset inflation and other changes in the costs of key operating resources through price increases, productivity improvements, greater economies of scale, supplier negotiations and global sourcing initiatives, there can be no assurance that we will be able to continue to do so in the future. We do not engage in hedging activities for commodity price risk. Competitive conditions may limit our pricing flexibility, and macroeconomic conditions may make additional price increases imprudent. Increases in commodity prices that we cannot recover from our customers would adversely impact our operating results. We are also exposed to fluctuations in transportation costs, which may increase based on freight carrier capacity and fuel prices. We manage transportation costs by optimizing logistics and supply chain planning. We continue to invest in supply chain initiatives to address industry-wide capacity challenges.</w:t>
      </w:r>
    </w:p>
    <w:p>
      <w:pPr>
        <w:spacing w:after="0" w:line="18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8.</w:t>
        <w:tab/>
        <w:t>Financial Statements and Supplementary Data</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financial statements have been filed as part of this Annual Report:</w:t>
      </w:r>
    </w:p>
    <w:p>
      <w:pPr>
        <w:spacing w:after="0" w:line="268"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10300" w:type="dxa"/>
            <w:vAlign w:val="bottom"/>
          </w:tcPr>
          <w:p>
            <w:pPr>
              <w:spacing w:after="0"/>
              <w:rPr>
                <w:sz w:val="18"/>
                <w:szCs w:val="18"/>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Page</w:t>
            </w:r>
          </w:p>
        </w:tc>
      </w:tr>
      <w:tr>
        <w:trPr>
          <w:trHeight w:val="224"/>
        </w:trPr>
        <w:tc>
          <w:tcPr>
            <w:tcW w:w="10300" w:type="dxa"/>
            <w:vAlign w:val="bottom"/>
          </w:tcPr>
          <w:p>
            <w:pPr>
              <w:spacing w:after="0"/>
              <w:rPr>
                <w:sz w:val="20"/>
                <w:szCs w:val="20"/>
                <w:color w:val="auto"/>
              </w:rPr>
            </w:pPr>
            <w:r>
              <w:rPr>
                <w:rFonts w:ascii="Times New Roman" w:cs="Times New Roman" w:eastAsia="Times New Roman" w:hAnsi="Times New Roman"/>
                <w:sz w:val="18"/>
                <w:szCs w:val="18"/>
                <w:color w:val="auto"/>
              </w:rPr>
              <w:t>Reports of Independent Registered Public Accounting Firm (KPMG LLP, Toronto, Canada, PCAOB ID 85)</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F-2, F-3</w:t>
            </w:r>
          </w:p>
        </w:tc>
      </w:tr>
      <w:tr>
        <w:trPr>
          <w:trHeight w:val="230"/>
        </w:trPr>
        <w:tc>
          <w:tcPr>
            <w:tcW w:w="1030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Balance Sheets as at December 31, 2023 and December 31, 2024</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F-5</w:t>
            </w:r>
          </w:p>
        </w:tc>
      </w:tr>
      <w:tr>
        <w:trPr>
          <w:trHeight w:val="230"/>
        </w:trPr>
        <w:tc>
          <w:tcPr>
            <w:tcW w:w="1030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Statement of Operations for the years ended December 31, 2022, 2023, and 2024</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F-6</w:t>
            </w:r>
          </w:p>
        </w:tc>
      </w:tr>
      <w:tr>
        <w:trPr>
          <w:trHeight w:val="229"/>
        </w:trPr>
        <w:tc>
          <w:tcPr>
            <w:tcW w:w="1030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Statement of Comprehensive Income for the years ended December 31, 2022, 2023 and 2024</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F-7</w:t>
            </w:r>
          </w:p>
        </w:tc>
      </w:tr>
      <w:tr>
        <w:trPr>
          <w:trHeight w:val="230"/>
        </w:trPr>
        <w:tc>
          <w:tcPr>
            <w:tcW w:w="1030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Statement of Changes in Equity for the years ended December 31, 2022, 2023 and 2024</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F-8</w:t>
            </w:r>
          </w:p>
        </w:tc>
      </w:tr>
      <w:tr>
        <w:trPr>
          <w:trHeight w:val="230"/>
        </w:trPr>
        <w:tc>
          <w:tcPr>
            <w:tcW w:w="1030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Statement of Cash Flows for the years ended December 31, 2022, 2023 and 2024</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F-9</w:t>
            </w:r>
          </w:p>
        </w:tc>
      </w:tr>
      <w:tr>
        <w:trPr>
          <w:trHeight w:val="234"/>
        </w:trPr>
        <w:tc>
          <w:tcPr>
            <w:tcW w:w="10300" w:type="dxa"/>
            <w:vAlign w:val="bottom"/>
          </w:tcPr>
          <w:p>
            <w:pPr>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F-10</w:t>
            </w:r>
          </w:p>
        </w:tc>
      </w:tr>
    </w:tbl>
    <w:p>
      <w:pPr>
        <w:spacing w:after="0" w:line="28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w:t>
      </w:r>
    </w:p>
    <w:p>
      <w:pPr>
        <w:spacing w:after="0" w:line="22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 system of disclosure controls and procedures (as defined in Rules 13a-15(e) and 15d-15(e) under the U.S. Exchange Act) designed to ensure that information we are required to disclose in the reports that we file or submit under the U.S. Exchange Act is recorded, processed, summarized and reported within the time periods specified in the U.S. Securities and Exchange Commission's rules and forms. Disclosure controls and procedures include, without limitation, controls and procedures designed to ensure that information required to be disclosed by an issuer in the reports that it files or submits under the U.S. Exchange Act is accumulated and communicated to the issuer's management, including its principal executive officer or officers and principal financial officer or officers, or persons performing similar functions, as appropriate, to allow timely decisions regarding required disclosure.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99" w:name="page100"/>
    <w:bookmarkEnd w:id="99"/>
    <w:p>
      <w:pPr>
        <w:jc w:val="both"/>
        <w:ind w:firstLine="703"/>
        <w:spacing w:after="0" w:line="261" w:lineRule="auto"/>
        <w:rPr>
          <w:sz w:val="20"/>
          <w:szCs w:val="20"/>
          <w:color w:val="auto"/>
        </w:rPr>
      </w:pPr>
      <w:r>
        <w:rPr>
          <w:rFonts w:ascii="Times New Roman" w:cs="Times New Roman" w:eastAsia="Times New Roman" w:hAnsi="Times New Roman"/>
          <w:sz w:val="18"/>
          <w:szCs w:val="18"/>
          <w:color w:val="auto"/>
        </w:rPr>
        <w:t>Management, under the supervision of and with the participation of our principal executive officer and principal financial officer, has evaluated the effectiveness of the design and operation of our disclosure controls and procedures as of December 31, 2024. Based on that evaluation, our principal executive officer and principal financial officer have concluded that, as of December 31, 2024, our disclosure controls and procedures are effective to meet the requirements of Rules 13a-15(e) and 15d-15(e) under the U.S. Exchange Act.</w:t>
      </w:r>
    </w:p>
    <w:p>
      <w:pPr>
        <w:spacing w:after="0" w:line="180" w:lineRule="exact"/>
        <w:rPr>
          <w:sz w:val="20"/>
          <w:szCs w:val="20"/>
          <w:color w:val="auto"/>
        </w:rPr>
      </w:pPr>
    </w:p>
    <w:p>
      <w:pPr>
        <w:jc w:val="both"/>
        <w:ind w:firstLine="696"/>
        <w:spacing w:after="0" w:line="261" w:lineRule="auto"/>
        <w:rPr>
          <w:sz w:val="20"/>
          <w:szCs w:val="20"/>
          <w:color w:val="auto"/>
        </w:rPr>
      </w:pPr>
      <w:r>
        <w:rPr>
          <w:rFonts w:ascii="Times New Roman" w:cs="Times New Roman" w:eastAsia="Times New Roman" w:hAnsi="Times New Roman"/>
          <w:sz w:val="18"/>
          <w:szCs w:val="18"/>
          <w:color w:val="auto"/>
        </w:rPr>
        <w:t>A control system, no matter how well conceived and operated, can provide only reasonable, not absolute, assurance that its objectives are met. Due to inherent limitations in all such systems, no evaluation of controls can provide absolute assurance that all control issues within a company have been detected. Accordingly, our disclosure controls and procedures are designed to provide reasonable, not absolute, assurance that the objectives of our disclosure control system are met.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Management's annual report on internal control over financial reporting:</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establishing and maintaining adequate internal control over financial reporting for the Company. The Company’s internal control system is designed to provide reasonable assurance regarding the reliability of financial reporting and the preparation of financial statements for external purposes in accordance with GAAP. All internal control systems, no matter how well designed, have inherent limitations. Therefore, even those systems determined to be effective can provide only reasonable assurance with respect to financial statement preparation and presentation.</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internal control over financial reporting includes those policies and procedures that: pertain to the maintenance of records that, in reasonable detail, accurately and fairly reflect the transactions and dispositions of our assets; 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directors; and provide reasonable assurance regarding prevention or timely detection of unauthorized acquisition, use or disposition of our assets that could have a material effect on our financial statements.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Management assessed the effectiveness of the Company’s internal control over financial reporting as of December 31, 2024 based on the criteria set forth in Internal Control — Integrated Framework (2013) issued by the Committee of Sponsoring Organizations of the Treadway Commission. Based on this assessment, management has concluded that, as of December 31, 2024, the Company’s internal control over financial reporting is effective.</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KPMG LLP, Chartered Professional Accountants, the independent registered public accounting firm that audited the 2024 AFS included in this Annual Report, has issued an attestation report on our internal control over financial reporting, which report appears on page F-2 of this Annual Report.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did not identify any change in our internal control over financial reporting in connection with our evaluation required by Rules 13a-15(d) and 15d-15(d) of the U.S. Exchange Act that occurred during 2024 that has materially affected, or is reasonably likely to materially affect, our internal control over financial reporting.</w:t>
      </w:r>
    </w:p>
    <w:p>
      <w:pPr>
        <w:spacing w:after="0" w:line="172"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9B.</w:t>
        <w:tab/>
        <w:t>Other Information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During the three months ended December 31, 2024, no director or officer of the Company adopted or terminated a “Rule 10b5-1 trading arrangement” or “non-Rule 10b5-1 trading arrangement,” as each term is defined in Item 408(a) of Regulation S-K.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100" w:name="page101"/>
    <w:bookmarkEnd w:id="100"/>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The information required by this item is incorporated by reference to the 2025 Proxy Statement for the 2025 </w:t>
      </w:r>
      <w:r>
        <w:rPr>
          <w:rFonts w:ascii="Times New Roman" w:cs="Times New Roman" w:eastAsia="Times New Roman" w:hAnsi="Times New Roman"/>
          <w:sz w:val="18"/>
          <w:szCs w:val="18"/>
          <w:color w:val="231F20"/>
        </w:rPr>
        <w:t>Annual and Special Meeting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Shareholders </w:t>
      </w:r>
      <w:r>
        <w:rPr>
          <w:rFonts w:ascii="Times New Roman" w:cs="Times New Roman" w:eastAsia="Times New Roman" w:hAnsi="Times New Roman"/>
          <w:sz w:val="18"/>
          <w:szCs w:val="18"/>
          <w:color w:val="000000"/>
        </w:rPr>
        <w:t>to be filed with the SEC within 120 days of the fiscal year ended December 31, 2024.</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adopted insider trading policies and procedures applicable to our directors, officers, employees, and other covered persons, and have implemented processes for the Company, that we believe are reasonably designed to promote compliance with insider trading laws, rules and regulations, and the listing standards of the New York Stock Exchange. The foregoing summary of our insider trading policies and procedures does not purport to be complete and is qualified by reference to our Insider Trading Policy filed as Exhibit 19.1 to this Annual Report.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The information required by this item is incorporated by reference to the 2025 Proxy Statement for the 2025 </w:t>
      </w:r>
      <w:r>
        <w:rPr>
          <w:rFonts w:ascii="Times New Roman" w:cs="Times New Roman" w:eastAsia="Times New Roman" w:hAnsi="Times New Roman"/>
          <w:sz w:val="18"/>
          <w:szCs w:val="18"/>
          <w:color w:val="231F20"/>
        </w:rPr>
        <w:t>Annual and Special Meeting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Shareholders </w:t>
      </w:r>
      <w:r>
        <w:rPr>
          <w:rFonts w:ascii="Times New Roman" w:cs="Times New Roman" w:eastAsia="Times New Roman" w:hAnsi="Times New Roman"/>
          <w:sz w:val="18"/>
          <w:szCs w:val="18"/>
          <w:color w:val="000000"/>
        </w:rPr>
        <w:t>to be filed with the SEC within 120 days of the fiscal year ended December 31,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The information required by this item is incorporated by reference to the 2025 Proxy Statement for the 2025 </w:t>
      </w:r>
      <w:r>
        <w:rPr>
          <w:rFonts w:ascii="Times New Roman" w:cs="Times New Roman" w:eastAsia="Times New Roman" w:hAnsi="Times New Roman"/>
          <w:sz w:val="18"/>
          <w:szCs w:val="18"/>
          <w:color w:val="231F20"/>
        </w:rPr>
        <w:t>Annual and Special Meeting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Shareholders </w:t>
      </w:r>
      <w:r>
        <w:rPr>
          <w:rFonts w:ascii="Times New Roman" w:cs="Times New Roman" w:eastAsia="Times New Roman" w:hAnsi="Times New Roman"/>
          <w:sz w:val="18"/>
          <w:szCs w:val="18"/>
          <w:color w:val="000000"/>
        </w:rPr>
        <w:t>to be filed with the SEC within 120 days of the fiscal year ended December 31,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The information required by this item is incorporated by reference to the 2025 Proxy Statement for the 2025 </w:t>
      </w:r>
      <w:r>
        <w:rPr>
          <w:rFonts w:ascii="Times New Roman" w:cs="Times New Roman" w:eastAsia="Times New Roman" w:hAnsi="Times New Roman"/>
          <w:sz w:val="18"/>
          <w:szCs w:val="18"/>
          <w:color w:val="231F20"/>
        </w:rPr>
        <w:t>Annual and Special Meeting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Shareholders </w:t>
      </w:r>
      <w:r>
        <w:rPr>
          <w:rFonts w:ascii="Times New Roman" w:cs="Times New Roman" w:eastAsia="Times New Roman" w:hAnsi="Times New Roman"/>
          <w:sz w:val="18"/>
          <w:szCs w:val="18"/>
          <w:color w:val="000000"/>
        </w:rPr>
        <w:t>to be filed with the SEC within 120 days of the fiscal year ended December 31,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The information required by this item is incorporated by reference to the 2025 Proxy Statement for the 2025 </w:t>
      </w:r>
      <w:r>
        <w:rPr>
          <w:rFonts w:ascii="Times New Roman" w:cs="Times New Roman" w:eastAsia="Times New Roman" w:hAnsi="Times New Roman"/>
          <w:sz w:val="18"/>
          <w:szCs w:val="18"/>
          <w:color w:val="231F20"/>
        </w:rPr>
        <w:t>Annual and Special Meeting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Shareholders </w:t>
      </w:r>
      <w:r>
        <w:rPr>
          <w:rFonts w:ascii="Times New Roman" w:cs="Times New Roman" w:eastAsia="Times New Roman" w:hAnsi="Times New Roman"/>
          <w:sz w:val="18"/>
          <w:szCs w:val="18"/>
          <w:color w:val="000000"/>
        </w:rPr>
        <w:t>to be filed with the SEC within 120 days of the fiscal year ended December 31, 2024.</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Exhibits and Financial Statement Schedules</w:t>
      </w:r>
    </w:p>
    <w:p>
      <w:pPr>
        <w:spacing w:after="0" w:line="22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tab/>
        <w:t>Financial Statements: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financial statements have been filed as part of this Annual Report:</w:t>
      </w:r>
    </w:p>
    <w:p>
      <w:pPr>
        <w:spacing w:after="0" w:line="273"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1030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23"/>
        </w:trPr>
        <w:tc>
          <w:tcPr>
            <w:tcW w:w="103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Reports of Independent Registered Public Accounting Firm (KPMG LLP, Toronto, Canada, PCAOB ID 85)</w:t>
            </w: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0300" w:type="dxa"/>
            <w:vAlign w:val="bottom"/>
            <w:vMerge w:val="continue"/>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F-2, F-3</w:t>
            </w:r>
          </w:p>
        </w:tc>
        <w:tc>
          <w:tcPr>
            <w:tcW w:w="0" w:type="dxa"/>
            <w:vAlign w:val="bottom"/>
          </w:tcPr>
          <w:p>
            <w:pPr>
              <w:spacing w:after="0"/>
              <w:rPr>
                <w:sz w:val="1"/>
                <w:szCs w:val="1"/>
                <w:color w:val="auto"/>
              </w:rPr>
            </w:pPr>
          </w:p>
        </w:tc>
      </w:tr>
      <w:tr>
        <w:trPr>
          <w:trHeight w:val="230"/>
        </w:trPr>
        <w:tc>
          <w:tcPr>
            <w:tcW w:w="1030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Balance Sheets as at December 31, 2023 and December 31, 2024</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F-5</w:t>
            </w:r>
          </w:p>
        </w:tc>
        <w:tc>
          <w:tcPr>
            <w:tcW w:w="0" w:type="dxa"/>
            <w:vAlign w:val="bottom"/>
          </w:tcPr>
          <w:p>
            <w:pPr>
              <w:spacing w:after="0"/>
              <w:rPr>
                <w:sz w:val="1"/>
                <w:szCs w:val="1"/>
                <w:color w:val="auto"/>
              </w:rPr>
            </w:pPr>
          </w:p>
        </w:tc>
      </w:tr>
      <w:tr>
        <w:trPr>
          <w:trHeight w:val="230"/>
        </w:trPr>
        <w:tc>
          <w:tcPr>
            <w:tcW w:w="1030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Statement of Operations for the years ended December 31, 2022, 2023, and 2024</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F-6</w:t>
            </w:r>
          </w:p>
        </w:tc>
        <w:tc>
          <w:tcPr>
            <w:tcW w:w="0" w:type="dxa"/>
            <w:vAlign w:val="bottom"/>
          </w:tcPr>
          <w:p>
            <w:pPr>
              <w:spacing w:after="0"/>
              <w:rPr>
                <w:sz w:val="1"/>
                <w:szCs w:val="1"/>
                <w:color w:val="auto"/>
              </w:rPr>
            </w:pPr>
          </w:p>
        </w:tc>
      </w:tr>
      <w:tr>
        <w:trPr>
          <w:trHeight w:val="230"/>
        </w:trPr>
        <w:tc>
          <w:tcPr>
            <w:tcW w:w="1030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Statement of Comprehensive Income for the years ended December 31, 2022, 2023 and 2024</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F-7</w:t>
            </w:r>
          </w:p>
        </w:tc>
        <w:tc>
          <w:tcPr>
            <w:tcW w:w="0" w:type="dxa"/>
            <w:vAlign w:val="bottom"/>
          </w:tcPr>
          <w:p>
            <w:pPr>
              <w:spacing w:after="0"/>
              <w:rPr>
                <w:sz w:val="1"/>
                <w:szCs w:val="1"/>
                <w:color w:val="auto"/>
              </w:rPr>
            </w:pPr>
          </w:p>
        </w:tc>
      </w:tr>
      <w:tr>
        <w:trPr>
          <w:trHeight w:val="229"/>
        </w:trPr>
        <w:tc>
          <w:tcPr>
            <w:tcW w:w="1030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Statement of Changes in Equity for the years ended December 31, 2022, 2023 and 2024</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F-8</w:t>
            </w:r>
          </w:p>
        </w:tc>
        <w:tc>
          <w:tcPr>
            <w:tcW w:w="0" w:type="dxa"/>
            <w:vAlign w:val="bottom"/>
          </w:tcPr>
          <w:p>
            <w:pPr>
              <w:spacing w:after="0"/>
              <w:rPr>
                <w:sz w:val="1"/>
                <w:szCs w:val="1"/>
                <w:color w:val="auto"/>
              </w:rPr>
            </w:pPr>
          </w:p>
        </w:tc>
      </w:tr>
      <w:tr>
        <w:trPr>
          <w:trHeight w:val="230"/>
        </w:trPr>
        <w:tc>
          <w:tcPr>
            <w:tcW w:w="1030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Statement of Cash Flows for the years ended December 31, 2022, 2023 and 2024</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F-9</w:t>
            </w:r>
          </w:p>
        </w:tc>
        <w:tc>
          <w:tcPr>
            <w:tcW w:w="0" w:type="dxa"/>
            <w:vAlign w:val="bottom"/>
          </w:tcPr>
          <w:p>
            <w:pPr>
              <w:spacing w:after="0"/>
              <w:rPr>
                <w:sz w:val="1"/>
                <w:szCs w:val="1"/>
                <w:color w:val="auto"/>
              </w:rPr>
            </w:pPr>
          </w:p>
        </w:tc>
      </w:tr>
      <w:tr>
        <w:trPr>
          <w:trHeight w:val="234"/>
        </w:trPr>
        <w:tc>
          <w:tcPr>
            <w:tcW w:w="10300" w:type="dxa"/>
            <w:vAlign w:val="bottom"/>
          </w:tcPr>
          <w:p>
            <w:pPr>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F-10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01" w:name="page102"/>
    <w:bookmarkEnd w:id="101"/>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7"/>
          <w:szCs w:val="17"/>
          <w:b w:val="1"/>
          <w:bCs w:val="1"/>
          <w:color w:val="auto"/>
        </w:rPr>
        <w:t>Financial Statement Schedule:</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Schedule II - Valuation and Qualifying Accounts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Years Ended December 31</w:t>
      </w:r>
    </w:p>
    <w:p>
      <w:pPr>
        <w:spacing w:after="0" w:line="2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Other schedules are omitted because they are either not applicable or not required or the information is presented in the 2024 AFS or notes thereto.</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Reserve for excess and obsolete inventory</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740" w:type="dxa"/>
            <w:vAlign w:val="bottom"/>
            <w:gridSpan w:val="4"/>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Balance at</w:t>
            </w:r>
          </w:p>
        </w:tc>
        <w:tc>
          <w:tcPr>
            <w:tcW w:w="1680" w:type="dxa"/>
            <w:vAlign w:val="bottom"/>
            <w:gridSpan w:val="5"/>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Additions and</w:t>
            </w: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gridSpan w:val="3"/>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Balance at end of</w:t>
            </w:r>
          </w:p>
        </w:tc>
        <w:tc>
          <w:tcPr>
            <w:tcW w:w="0" w:type="dxa"/>
            <w:vAlign w:val="bottom"/>
          </w:tcPr>
          <w:p>
            <w:pPr>
              <w:spacing w:after="0"/>
              <w:rPr>
                <w:sz w:val="1"/>
                <w:szCs w:val="1"/>
                <w:color w:val="auto"/>
              </w:rPr>
            </w:pPr>
          </w:p>
        </w:tc>
      </w:tr>
      <w:tr>
        <w:trPr>
          <w:trHeight w:val="176"/>
        </w:trPr>
        <w:tc>
          <w:tcPr>
            <w:tcW w:w="36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740" w:type="dxa"/>
            <w:vAlign w:val="bottom"/>
            <w:gridSpan w:val="4"/>
            <w:vMerge w:val="continue"/>
          </w:tcPr>
          <w:p>
            <w:pPr>
              <w:spacing w:after="0"/>
              <w:rPr>
                <w:sz w:val="15"/>
                <w:szCs w:val="15"/>
                <w:color w:val="auto"/>
              </w:rPr>
            </w:pPr>
          </w:p>
        </w:tc>
        <w:tc>
          <w:tcPr>
            <w:tcW w:w="1680" w:type="dxa"/>
            <w:vAlign w:val="bottom"/>
            <w:gridSpan w:val="5"/>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adjustments charged</w:t>
            </w: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Write-offs</w:t>
            </w:r>
          </w:p>
        </w:tc>
        <w:tc>
          <w:tcPr>
            <w:tcW w:w="120" w:type="dxa"/>
            <w:vAlign w:val="bottom"/>
          </w:tcPr>
          <w:p>
            <w:pPr>
              <w:spacing w:after="0"/>
              <w:rPr>
                <w:sz w:val="15"/>
                <w:szCs w:val="15"/>
                <w:color w:val="auto"/>
              </w:rPr>
            </w:pPr>
          </w:p>
        </w:tc>
        <w:tc>
          <w:tcPr>
            <w:tcW w:w="152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740" w:type="dxa"/>
            <w:vAlign w:val="bottom"/>
            <w:gridSpan w:val="4"/>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beginning of period</w:t>
            </w:r>
          </w:p>
        </w:tc>
        <w:tc>
          <w:tcPr>
            <w:tcW w:w="320" w:type="dxa"/>
            <w:vAlign w:val="bottom"/>
          </w:tcPr>
          <w:p>
            <w:pPr>
              <w:spacing w:after="0"/>
              <w:rPr>
                <w:sz w:val="21"/>
                <w:szCs w:val="21"/>
                <w:color w:val="auto"/>
              </w:rPr>
            </w:pPr>
          </w:p>
        </w:tc>
        <w:tc>
          <w:tcPr>
            <w:tcW w:w="1360" w:type="dxa"/>
            <w:vAlign w:val="bottom"/>
            <w:gridSpan w:val="4"/>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to operations</w:t>
            </w: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gridSpan w:val="3"/>
            <w:vMerge w:val="continue"/>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0" w:type="dxa"/>
            <w:vAlign w:val="bottom"/>
          </w:tcPr>
          <w:p>
            <w:pPr>
              <w:spacing w:after="0"/>
              <w:rPr>
                <w:sz w:val="1"/>
                <w:szCs w:val="1"/>
                <w:color w:val="auto"/>
              </w:rPr>
            </w:pPr>
          </w:p>
        </w:tc>
      </w:tr>
      <w:tr>
        <w:trPr>
          <w:trHeight w:val="218"/>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 Ended December 31, 2024</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Borders>
              <w:top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105.1</w:t>
            </w:r>
          </w:p>
        </w:tc>
        <w:tc>
          <w:tcPr>
            <w:tcW w:w="100" w:type="dxa"/>
            <w:vAlign w:val="bottom"/>
          </w:tcPr>
          <w:p>
            <w:pPr>
              <w:spacing w:after="0"/>
              <w:rPr>
                <w:sz w:val="18"/>
                <w:szCs w:val="18"/>
                <w:color w:val="auto"/>
              </w:rPr>
            </w:pPr>
          </w:p>
        </w:tc>
        <w:tc>
          <w:tcPr>
            <w:tcW w:w="3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8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119.6</w:t>
            </w:r>
          </w:p>
        </w:tc>
        <w:tc>
          <w:tcPr>
            <w:tcW w:w="0" w:type="dxa"/>
            <w:vAlign w:val="bottom"/>
          </w:tcPr>
          <w:p>
            <w:pPr>
              <w:spacing w:after="0"/>
              <w:rPr>
                <w:sz w:val="1"/>
                <w:szCs w:val="1"/>
                <w:color w:val="auto"/>
              </w:rPr>
            </w:pPr>
          </w:p>
        </w:tc>
      </w:tr>
      <w:tr>
        <w:trPr>
          <w:trHeight w:val="229"/>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 Ended December 31, 2023</w:t>
            </w:r>
          </w:p>
        </w:tc>
        <w:tc>
          <w:tcPr>
            <w:tcW w:w="160" w:type="dxa"/>
            <w:vAlign w:val="bottom"/>
          </w:tcPr>
          <w:p>
            <w:pPr>
              <w:spacing w:after="0"/>
              <w:rPr>
                <w:sz w:val="19"/>
                <w:szCs w:val="19"/>
                <w:color w:val="auto"/>
              </w:rPr>
            </w:pPr>
          </w:p>
        </w:tc>
        <w:tc>
          <w:tcPr>
            <w:tcW w:w="1260" w:type="dxa"/>
            <w:vAlign w:val="bottom"/>
            <w:gridSpan w:val="2"/>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100" w:type="dxa"/>
            <w:vAlign w:val="bottom"/>
          </w:tcPr>
          <w:p>
            <w:pPr>
              <w:spacing w:after="0"/>
              <w:rPr>
                <w:sz w:val="19"/>
                <w:szCs w:val="19"/>
                <w:color w:val="auto"/>
              </w:rPr>
            </w:pPr>
          </w:p>
        </w:tc>
        <w:tc>
          <w:tcPr>
            <w:tcW w:w="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40" w:type="dxa"/>
            <w:vAlign w:val="bottom"/>
          </w:tcPr>
          <w:p>
            <w:pPr>
              <w:spacing w:after="0"/>
              <w:rPr>
                <w:sz w:val="19"/>
                <w:szCs w:val="19"/>
                <w:color w:val="auto"/>
              </w:rPr>
            </w:pPr>
          </w:p>
        </w:tc>
        <w:tc>
          <w:tcPr>
            <w:tcW w:w="3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105.1</w:t>
            </w:r>
          </w:p>
        </w:tc>
        <w:tc>
          <w:tcPr>
            <w:tcW w:w="0" w:type="dxa"/>
            <w:vAlign w:val="bottom"/>
          </w:tcPr>
          <w:p>
            <w:pPr>
              <w:spacing w:after="0"/>
              <w:rPr>
                <w:sz w:val="1"/>
                <w:szCs w:val="1"/>
                <w:color w:val="auto"/>
              </w:rPr>
            </w:pPr>
          </w:p>
        </w:tc>
      </w:tr>
      <w:tr>
        <w:trPr>
          <w:trHeight w:val="234"/>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 Ended December 31, 2022</w:t>
            </w:r>
          </w:p>
        </w:tc>
        <w:tc>
          <w:tcPr>
            <w:tcW w:w="160" w:type="dxa"/>
            <w:vAlign w:val="bottom"/>
          </w:tcPr>
          <w:p>
            <w:pPr>
              <w:spacing w:after="0"/>
              <w:rPr>
                <w:sz w:val="20"/>
                <w:szCs w:val="20"/>
                <w:color w:val="auto"/>
              </w:rPr>
            </w:pPr>
          </w:p>
        </w:tc>
        <w:tc>
          <w:tcPr>
            <w:tcW w:w="1260" w:type="dxa"/>
            <w:vAlign w:val="bottom"/>
            <w:gridSpan w:val="2"/>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100" w:type="dxa"/>
            <w:vAlign w:val="bottom"/>
          </w:tcPr>
          <w:p>
            <w:pPr>
              <w:spacing w:after="0"/>
              <w:rPr>
                <w:sz w:val="20"/>
                <w:szCs w:val="20"/>
                <w:color w:val="auto"/>
              </w:rPr>
            </w:pPr>
          </w:p>
        </w:tc>
        <w:tc>
          <w:tcPr>
            <w:tcW w:w="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40" w:type="dxa"/>
            <w:vAlign w:val="bottom"/>
          </w:tcPr>
          <w:p>
            <w:pPr>
              <w:spacing w:after="0"/>
              <w:rPr>
                <w:sz w:val="20"/>
                <w:szCs w:val="20"/>
                <w:color w:val="auto"/>
              </w:rPr>
            </w:pPr>
          </w:p>
        </w:tc>
        <w:tc>
          <w:tcPr>
            <w:tcW w:w="3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0" w:type="dxa"/>
            <w:vAlign w:val="bottom"/>
          </w:tcPr>
          <w:p>
            <w:pPr>
              <w:spacing w:after="0"/>
              <w:rPr>
                <w:sz w:val="1"/>
                <w:szCs w:val="1"/>
                <w:color w:val="auto"/>
              </w:rPr>
            </w:pPr>
          </w:p>
        </w:tc>
      </w:tr>
      <w:tr>
        <w:trPr>
          <w:trHeight w:val="783"/>
        </w:trPr>
        <w:tc>
          <w:tcPr>
            <w:tcW w:w="3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Balance at</w:t>
            </w:r>
          </w:p>
        </w:tc>
        <w:tc>
          <w:tcPr>
            <w:tcW w:w="13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Additions</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2"/>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w w:val="99"/>
              </w:rPr>
              <w:t>Additions/</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Reductions</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36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Valuation allowance for deferred taxes (in</w:t>
            </w:r>
          </w:p>
        </w:tc>
        <w:tc>
          <w:tcPr>
            <w:tcW w:w="160" w:type="dxa"/>
            <w:vAlign w:val="bottom"/>
          </w:tcPr>
          <w:p>
            <w:pPr>
              <w:spacing w:after="0"/>
              <w:rPr>
                <w:sz w:val="15"/>
                <w:szCs w:val="15"/>
                <w:color w:val="auto"/>
              </w:rPr>
            </w:pPr>
          </w:p>
        </w:tc>
        <w:tc>
          <w:tcPr>
            <w:tcW w:w="1360" w:type="dxa"/>
            <w:vAlign w:val="bottom"/>
            <w:gridSpan w:val="3"/>
            <w:vMerge w:val="continue"/>
          </w:tcPr>
          <w:p>
            <w:pPr>
              <w:spacing w:after="0"/>
              <w:rPr>
                <w:sz w:val="15"/>
                <w:szCs w:val="15"/>
                <w:color w:val="auto"/>
              </w:rPr>
            </w:pPr>
          </w:p>
        </w:tc>
        <w:tc>
          <w:tcPr>
            <w:tcW w:w="1340" w:type="dxa"/>
            <w:vAlign w:val="bottom"/>
            <w:gridSpan w:val="3"/>
            <w:vMerge w:val="continue"/>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gridSpan w:val="5"/>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w w:val="99"/>
              </w:rPr>
              <w:t>(Reductions)</w:t>
            </w:r>
          </w:p>
        </w:tc>
        <w:tc>
          <w:tcPr>
            <w:tcW w:w="16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Balance at end of</w:t>
            </w:r>
          </w:p>
        </w:tc>
        <w:tc>
          <w:tcPr>
            <w:tcW w:w="0" w:type="dxa"/>
            <w:vAlign w:val="bottom"/>
          </w:tcPr>
          <w:p>
            <w:pPr>
              <w:spacing w:after="0"/>
              <w:rPr>
                <w:sz w:val="1"/>
                <w:szCs w:val="1"/>
                <w:color w:val="auto"/>
              </w:rPr>
            </w:pPr>
          </w:p>
        </w:tc>
      </w:tr>
      <w:tr>
        <w:trPr>
          <w:trHeight w:val="175"/>
        </w:trPr>
        <w:tc>
          <w:tcPr>
            <w:tcW w:w="36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gridSpan w:val="3"/>
          </w:tcPr>
          <w:p>
            <w:pPr>
              <w:jc w:val="center"/>
              <w:ind w:right="260"/>
              <w:spacing w:after="0" w:line="176" w:lineRule="exact"/>
              <w:rPr>
                <w:sz w:val="20"/>
                <w:szCs w:val="20"/>
                <w:color w:val="auto"/>
              </w:rPr>
            </w:pPr>
            <w:r>
              <w:rPr>
                <w:rFonts w:ascii="Times New Roman" w:cs="Times New Roman" w:eastAsia="Times New Roman" w:hAnsi="Times New Roman"/>
                <w:sz w:val="18"/>
                <w:szCs w:val="18"/>
                <w:b w:val="1"/>
                <w:bCs w:val="1"/>
                <w:color w:val="auto"/>
                <w:w w:val="98"/>
              </w:rPr>
              <w:t>beginning of</w:t>
            </w:r>
          </w:p>
        </w:tc>
        <w:tc>
          <w:tcPr>
            <w:tcW w:w="1340" w:type="dxa"/>
            <w:vAlign w:val="bottom"/>
            <w:gridSpan w:val="3"/>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charged to costs</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gridSpan w:val="5"/>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w w:val="99"/>
              </w:rPr>
              <w:t>charged to other</w:t>
            </w:r>
          </w:p>
        </w:tc>
        <w:tc>
          <w:tcPr>
            <w:tcW w:w="1420" w:type="dxa"/>
            <w:vAlign w:val="bottom"/>
            <w:gridSpan w:val="4"/>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charged to costs</w:t>
            </w:r>
          </w:p>
        </w:tc>
        <w:tc>
          <w:tcPr>
            <w:tcW w:w="100" w:type="dxa"/>
            <w:vAlign w:val="bottom"/>
          </w:tcPr>
          <w:p>
            <w:pPr>
              <w:spacing w:after="0"/>
              <w:rPr>
                <w:sz w:val="15"/>
                <w:szCs w:val="15"/>
                <w:color w:val="auto"/>
              </w:rPr>
            </w:pPr>
          </w:p>
        </w:tc>
        <w:tc>
          <w:tcPr>
            <w:tcW w:w="14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160" w:type="dxa"/>
            <w:vAlign w:val="bottom"/>
          </w:tcPr>
          <w:p>
            <w:pPr>
              <w:spacing w:after="0"/>
              <w:rPr>
                <w:sz w:val="21"/>
                <w:szCs w:val="21"/>
                <w:color w:val="auto"/>
              </w:rPr>
            </w:pPr>
          </w:p>
        </w:tc>
        <w:tc>
          <w:tcPr>
            <w:tcW w:w="136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period</w:t>
            </w:r>
          </w:p>
        </w:tc>
        <w:tc>
          <w:tcPr>
            <w:tcW w:w="13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and expenses</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gridSpan w:val="2"/>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w w:val="98"/>
              </w:rPr>
              <w:t>accounts</w:t>
            </w: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and expenses</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0" w:type="dxa"/>
            <w:vAlign w:val="bottom"/>
          </w:tcPr>
          <w:p>
            <w:pPr>
              <w:spacing w:after="0"/>
              <w:rPr>
                <w:sz w:val="1"/>
                <w:szCs w:val="1"/>
                <w:color w:val="auto"/>
              </w:rPr>
            </w:pPr>
          </w:p>
        </w:tc>
      </w:tr>
      <w:tr>
        <w:trPr>
          <w:trHeight w:val="218"/>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 Ended December 31, 2024</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381.1</w:t>
            </w:r>
          </w:p>
        </w:tc>
        <w:tc>
          <w:tcPr>
            <w:tcW w:w="100" w:type="dxa"/>
            <w:vAlign w:val="bottom"/>
          </w:tcPr>
          <w:p>
            <w:pPr>
              <w:spacing w:after="0"/>
              <w:rPr>
                <w:sz w:val="18"/>
                <w:szCs w:val="18"/>
                <w:color w:val="auto"/>
              </w:rPr>
            </w:pPr>
          </w:p>
        </w:tc>
        <w:tc>
          <w:tcPr>
            <w:tcW w:w="920" w:type="dxa"/>
            <w:vAlign w:val="bottom"/>
            <w:tcBorders>
              <w:top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17.4</w:t>
            </w:r>
          </w:p>
        </w:tc>
        <w:tc>
          <w:tcPr>
            <w:tcW w:w="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Borders>
              <w:top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8"/>
              </w:rPr>
              <w:t>(4.1)</w:t>
            </w:r>
          </w:p>
        </w:tc>
        <w:tc>
          <w:tcPr>
            <w:tcW w:w="100" w:type="dxa"/>
            <w:vAlign w:val="bottom"/>
          </w:tcPr>
          <w:p>
            <w:pPr>
              <w:spacing w:after="0"/>
              <w:rPr>
                <w:sz w:val="18"/>
                <w:szCs w:val="18"/>
                <w:color w:val="auto"/>
              </w:rPr>
            </w:pPr>
          </w:p>
        </w:tc>
        <w:tc>
          <w:tcPr>
            <w:tcW w:w="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386.0</w:t>
            </w:r>
          </w:p>
        </w:tc>
        <w:tc>
          <w:tcPr>
            <w:tcW w:w="0" w:type="dxa"/>
            <w:vAlign w:val="bottom"/>
          </w:tcPr>
          <w:p>
            <w:pPr>
              <w:spacing w:after="0"/>
              <w:rPr>
                <w:sz w:val="1"/>
                <w:szCs w:val="1"/>
                <w:color w:val="auto"/>
              </w:rPr>
            </w:pPr>
          </w:p>
        </w:tc>
      </w:tr>
      <w:tr>
        <w:trPr>
          <w:trHeight w:val="229"/>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 Ended December 31, 2023</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400.7</w:t>
            </w:r>
          </w:p>
        </w:tc>
        <w:tc>
          <w:tcPr>
            <w:tcW w:w="100" w:type="dxa"/>
            <w:vAlign w:val="bottom"/>
          </w:tcPr>
          <w:p>
            <w:pPr>
              <w:spacing w:after="0"/>
              <w:rPr>
                <w:sz w:val="19"/>
                <w:szCs w:val="19"/>
                <w:color w:val="auto"/>
              </w:rPr>
            </w:pPr>
          </w:p>
        </w:tc>
        <w:tc>
          <w:tcPr>
            <w:tcW w:w="9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21.3</w:t>
            </w:r>
          </w:p>
        </w:tc>
        <w:tc>
          <w:tcPr>
            <w:tcW w:w="1320" w:type="dxa"/>
            <w:vAlign w:val="bottom"/>
            <w:gridSpan w:val="3"/>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3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3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381.1</w:t>
            </w:r>
          </w:p>
        </w:tc>
        <w:tc>
          <w:tcPr>
            <w:tcW w:w="0" w:type="dxa"/>
            <w:vAlign w:val="bottom"/>
          </w:tcPr>
          <w:p>
            <w:pPr>
              <w:spacing w:after="0"/>
              <w:rPr>
                <w:sz w:val="1"/>
                <w:szCs w:val="1"/>
                <w:color w:val="auto"/>
              </w:rPr>
            </w:pPr>
          </w:p>
        </w:tc>
      </w:tr>
      <w:tr>
        <w:trPr>
          <w:trHeight w:val="234"/>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 Ended December 31, 2022</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436.2</w:t>
            </w:r>
          </w:p>
        </w:tc>
        <w:tc>
          <w:tcPr>
            <w:tcW w:w="100" w:type="dxa"/>
            <w:vAlign w:val="bottom"/>
          </w:tcPr>
          <w:p>
            <w:pPr>
              <w:spacing w:after="0"/>
              <w:rPr>
                <w:sz w:val="20"/>
                <w:szCs w:val="20"/>
                <w:color w:val="auto"/>
              </w:rPr>
            </w:pPr>
          </w:p>
        </w:tc>
        <w:tc>
          <w:tcPr>
            <w:tcW w:w="9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320" w:type="dxa"/>
            <w:vAlign w:val="bottom"/>
            <w:gridSpan w:val="3"/>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8"/>
              </w:rPr>
              <w:t>(6.7)</w:t>
            </w:r>
          </w:p>
        </w:tc>
        <w:tc>
          <w:tcPr>
            <w:tcW w:w="100" w:type="dxa"/>
            <w:vAlign w:val="bottom"/>
          </w:tcPr>
          <w:p>
            <w:pPr>
              <w:spacing w:after="0"/>
              <w:rPr>
                <w:sz w:val="20"/>
                <w:szCs w:val="20"/>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3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400.7</w:t>
            </w:r>
          </w:p>
        </w:tc>
        <w:tc>
          <w:tcPr>
            <w:tcW w:w="0" w:type="dxa"/>
            <w:vAlign w:val="bottom"/>
          </w:tcPr>
          <w:p>
            <w:pPr>
              <w:spacing w:after="0"/>
              <w:rPr>
                <w:sz w:val="1"/>
                <w:szCs w:val="1"/>
                <w:color w:val="auto"/>
              </w:rPr>
            </w:pPr>
          </w:p>
        </w:tc>
      </w:tr>
      <w:tr>
        <w:trPr>
          <w:trHeight w:val="1134"/>
        </w:trPr>
        <w:tc>
          <w:tcPr>
            <w:tcW w:w="3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36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102" w:name="page103"/>
    <w:bookmarkEnd w:id="102"/>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exhibits have been filed as part of this Annual Report:</w:t>
      </w:r>
    </w:p>
    <w:p>
      <w:pPr>
        <w:spacing w:after="0" w:line="32" w:lineRule="exact"/>
        <w:rPr>
          <w:sz w:val="20"/>
          <w:szCs w:val="20"/>
          <w:color w:val="auto"/>
        </w:rPr>
      </w:pPr>
    </w:p>
    <w:tbl>
      <w:tblPr>
        <w:tblLayout w:type="fixed"/>
        <w:tblInd w:w="340" w:type="dxa"/>
        <w:tblCellMar>
          <w:top w:w="0" w:type="dxa"/>
          <w:left w:w="0" w:type="dxa"/>
          <w:bottom w:w="0" w:type="dxa"/>
          <w:right w:w="0" w:type="dxa"/>
        </w:tblCellMar>
      </w:tblPr>
      <w:tr>
        <w:trPr>
          <w:trHeight w:val="184"/>
        </w:trPr>
        <w:tc>
          <w:tcPr>
            <w:tcW w:w="10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160" w:type="dxa"/>
            <w:vAlign w:val="bottom"/>
            <w:gridSpan w:val="4"/>
          </w:tcPr>
          <w:p>
            <w:pPr>
              <w:ind w:left="480"/>
              <w:spacing w:after="0"/>
              <w:rPr>
                <w:sz w:val="20"/>
                <w:szCs w:val="20"/>
                <w:color w:val="auto"/>
              </w:rPr>
            </w:pPr>
            <w:r>
              <w:rPr>
                <w:rFonts w:ascii="Times New Roman" w:cs="Times New Roman" w:eastAsia="Times New Roman" w:hAnsi="Times New Roman"/>
                <w:sz w:val="16"/>
                <w:szCs w:val="16"/>
                <w:b w:val="1"/>
                <w:bCs w:val="1"/>
                <w:color w:val="auto"/>
              </w:rPr>
              <w:t>Incorporated by Reference</w:t>
            </w: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176"/>
        </w:trPr>
        <w:tc>
          <w:tcPr>
            <w:tcW w:w="10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196"/>
        </w:trPr>
        <w:tc>
          <w:tcPr>
            <w:tcW w:w="10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Exhibit</w:t>
            </w: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80" w:type="dxa"/>
            <w:vAlign w:val="bottom"/>
            <w:gridSpan w:val="24"/>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Form</w:t>
            </w:r>
          </w:p>
        </w:tc>
        <w:tc>
          <w:tcPr>
            <w:tcW w:w="1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File No.</w:t>
            </w:r>
          </w:p>
        </w:tc>
        <w:tc>
          <w:tcPr>
            <w:tcW w:w="1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Filing Date</w:t>
            </w:r>
          </w:p>
        </w:tc>
        <w:tc>
          <w:tcPr>
            <w:tcW w:w="17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0" w:type="dxa"/>
            <w:vAlign w:val="bottom"/>
          </w:tcPr>
          <w:p>
            <w:pPr>
              <w:spacing w:after="0"/>
              <w:rPr>
                <w:sz w:val="1"/>
                <w:szCs w:val="1"/>
                <w:color w:val="auto"/>
              </w:rPr>
            </w:pPr>
          </w:p>
        </w:tc>
      </w:tr>
      <w:tr>
        <w:trPr>
          <w:trHeight w:val="203"/>
        </w:trPr>
        <w:tc>
          <w:tcPr>
            <w:tcW w:w="104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b w:val="1"/>
                <w:bCs w:val="1"/>
                <w:color w:val="auto"/>
              </w:rPr>
              <w:t>Number</w:t>
            </w: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80" w:type="dxa"/>
            <w:vAlign w:val="bottom"/>
            <w:gridSpan w:val="24"/>
            <w:vMerge w:val="continue"/>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1320" w:type="dxa"/>
            <w:vAlign w:val="bottom"/>
            <w:gridSpan w:val="2"/>
            <w:vMerge w:val="continue"/>
          </w:tcPr>
          <w:p>
            <w:pPr>
              <w:spacing w:after="0"/>
              <w:rPr>
                <w:sz w:val="17"/>
                <w:szCs w:val="17"/>
                <w:color w:val="auto"/>
              </w:rPr>
            </w:pPr>
          </w:p>
        </w:tc>
        <w:tc>
          <w:tcPr>
            <w:tcW w:w="1840" w:type="dxa"/>
            <w:vAlign w:val="bottom"/>
            <w:gridSpan w:val="2"/>
            <w:vMerge w:val="continue"/>
          </w:tcPr>
          <w:p>
            <w:pPr>
              <w:spacing w:after="0"/>
              <w:rPr>
                <w:sz w:val="17"/>
                <w:szCs w:val="17"/>
                <w:color w:val="auto"/>
              </w:rPr>
            </w:pPr>
          </w:p>
        </w:tc>
        <w:tc>
          <w:tcPr>
            <w:tcW w:w="17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No.</w:t>
            </w:r>
          </w:p>
        </w:tc>
        <w:tc>
          <w:tcPr>
            <w:tcW w:w="0" w:type="dxa"/>
            <w:vAlign w:val="bottom"/>
          </w:tcPr>
          <w:p>
            <w:pPr>
              <w:spacing w:after="0"/>
              <w:rPr>
                <w:sz w:val="1"/>
                <w:szCs w:val="1"/>
                <w:color w:val="auto"/>
              </w:rPr>
            </w:pPr>
          </w:p>
        </w:tc>
      </w:tr>
      <w:tr>
        <w:trPr>
          <w:trHeight w:val="183"/>
        </w:trPr>
        <w:tc>
          <w:tcPr>
            <w:tcW w:w="1040" w:type="dxa"/>
            <w:vAlign w:val="bottom"/>
            <w:tcBorders>
              <w:top w:val="single" w:sz="8" w:color="auto"/>
            </w:tcBorders>
          </w:tcPr>
          <w:p>
            <w:pPr>
              <w:ind w:left="20"/>
              <w:spacing w:after="0" w:line="182" w:lineRule="exact"/>
              <w:rPr>
                <w:sz w:val="20"/>
                <w:szCs w:val="20"/>
                <w:color w:val="auto"/>
              </w:rPr>
            </w:pPr>
            <w:r>
              <w:rPr>
                <w:rFonts w:ascii="Times New Roman" w:cs="Times New Roman" w:eastAsia="Times New Roman" w:hAnsi="Times New Roman"/>
                <w:sz w:val="18"/>
                <w:szCs w:val="18"/>
                <w:color w:val="auto"/>
              </w:rPr>
              <w:t>3.1</w:t>
            </w:r>
          </w:p>
        </w:tc>
        <w:tc>
          <w:tcPr>
            <w:tcW w:w="3580" w:type="dxa"/>
            <w:vAlign w:val="bottom"/>
            <w:tcBorders>
              <w:top w:val="single" w:sz="8" w:color="auto"/>
            </w:tcBorders>
            <w:gridSpan w:val="25"/>
          </w:tcPr>
          <w:p>
            <w:pPr>
              <w:spacing w:after="0" w:line="182" w:lineRule="exact"/>
              <w:rPr>
                <w:rFonts w:ascii="Times New Roman" w:cs="Times New Roman" w:eastAsia="Times New Roman" w:hAnsi="Times New Roman"/>
                <w:sz w:val="18"/>
                <w:szCs w:val="18"/>
                <w:color w:val="auto"/>
              </w:rPr>
            </w:pPr>
            <w:hyperlink r:id="rId116">
              <w:r>
                <w:rPr>
                  <w:rFonts w:ascii="Times New Roman" w:cs="Times New Roman" w:eastAsia="Times New Roman" w:hAnsi="Times New Roman"/>
                  <w:sz w:val="18"/>
                  <w:szCs w:val="18"/>
                  <w:color w:val="auto"/>
                </w:rPr>
                <w:t>Certificate and Restated Articles of</w:t>
              </w:r>
            </w:hyperlink>
          </w:p>
        </w:tc>
        <w:tc>
          <w:tcPr>
            <w:tcW w:w="160" w:type="dxa"/>
            <w:vAlign w:val="bottom"/>
          </w:tcPr>
          <w:p>
            <w:pPr>
              <w:spacing w:after="0"/>
              <w:rPr>
                <w:sz w:val="15"/>
                <w:szCs w:val="15"/>
                <w:color w:val="auto"/>
              </w:rPr>
            </w:pPr>
          </w:p>
        </w:tc>
        <w:tc>
          <w:tcPr>
            <w:tcW w:w="900" w:type="dxa"/>
            <w:vAlign w:val="bottom"/>
            <w:tcBorders>
              <w:top w:val="single" w:sz="8" w:color="auto"/>
            </w:tcBorders>
          </w:tcPr>
          <w:p>
            <w:pPr>
              <w:ind w:left="20"/>
              <w:spacing w:after="0" w:line="182" w:lineRule="exact"/>
              <w:rPr>
                <w:sz w:val="20"/>
                <w:szCs w:val="20"/>
                <w:color w:val="auto"/>
              </w:rPr>
            </w:pPr>
            <w:r>
              <w:rPr>
                <w:rFonts w:ascii="Times New Roman" w:cs="Times New Roman" w:eastAsia="Times New Roman" w:hAnsi="Times New Roman"/>
                <w:sz w:val="18"/>
                <w:szCs w:val="18"/>
                <w:color w:val="auto"/>
              </w:rPr>
              <w:t>6-K</w:t>
            </w:r>
          </w:p>
        </w:tc>
        <w:tc>
          <w:tcPr>
            <w:tcW w:w="160" w:type="dxa"/>
            <w:vAlign w:val="bottom"/>
          </w:tcPr>
          <w:p>
            <w:pPr>
              <w:spacing w:after="0"/>
              <w:rPr>
                <w:sz w:val="15"/>
                <w:szCs w:val="15"/>
                <w:color w:val="auto"/>
              </w:rPr>
            </w:pPr>
          </w:p>
        </w:tc>
        <w:tc>
          <w:tcPr>
            <w:tcW w:w="1160" w:type="dxa"/>
            <w:vAlign w:val="bottom"/>
            <w:tcBorders>
              <w:top w:val="single" w:sz="8" w:color="auto"/>
            </w:tcBorders>
          </w:tcPr>
          <w:p>
            <w:pPr>
              <w:ind w:left="20"/>
              <w:spacing w:after="0" w:line="182" w:lineRule="exact"/>
              <w:rPr>
                <w:sz w:val="20"/>
                <w:szCs w:val="20"/>
                <w:color w:val="auto"/>
              </w:rPr>
            </w:pPr>
            <w:r>
              <w:rPr>
                <w:rFonts w:ascii="Times New Roman" w:cs="Times New Roman" w:eastAsia="Times New Roman" w:hAnsi="Times New Roman"/>
                <w:sz w:val="18"/>
                <w:szCs w:val="18"/>
                <w:color w:val="auto"/>
              </w:rPr>
              <w:t>001-14832</w:t>
            </w:r>
          </w:p>
        </w:tc>
        <w:tc>
          <w:tcPr>
            <w:tcW w:w="160" w:type="dxa"/>
            <w:vAlign w:val="bottom"/>
          </w:tcPr>
          <w:p>
            <w:pPr>
              <w:spacing w:after="0"/>
              <w:rPr>
                <w:sz w:val="15"/>
                <w:szCs w:val="15"/>
                <w:color w:val="auto"/>
              </w:rPr>
            </w:pPr>
          </w:p>
        </w:tc>
        <w:tc>
          <w:tcPr>
            <w:tcW w:w="1680" w:type="dxa"/>
            <w:vAlign w:val="bottom"/>
            <w:tcBorders>
              <w:top w:val="single" w:sz="8" w:color="auto"/>
            </w:tcBorders>
          </w:tcPr>
          <w:p>
            <w:pPr>
              <w:ind w:left="20"/>
              <w:spacing w:after="0" w:line="182" w:lineRule="exact"/>
              <w:rPr>
                <w:sz w:val="20"/>
                <w:szCs w:val="20"/>
                <w:color w:val="auto"/>
              </w:rPr>
            </w:pPr>
            <w:r>
              <w:rPr>
                <w:rFonts w:ascii="Times New Roman" w:cs="Times New Roman" w:eastAsia="Times New Roman" w:hAnsi="Times New Roman"/>
                <w:sz w:val="18"/>
                <w:szCs w:val="18"/>
                <w:color w:val="auto"/>
              </w:rPr>
              <w:t>April 25, 2024</w:t>
            </w:r>
          </w:p>
        </w:tc>
        <w:tc>
          <w:tcPr>
            <w:tcW w:w="160" w:type="dxa"/>
            <w:vAlign w:val="bottom"/>
          </w:tcPr>
          <w:p>
            <w:pPr>
              <w:spacing w:after="0"/>
              <w:rPr>
                <w:sz w:val="15"/>
                <w:szCs w:val="15"/>
                <w:color w:val="auto"/>
              </w:rPr>
            </w:pPr>
          </w:p>
        </w:tc>
        <w:tc>
          <w:tcPr>
            <w:tcW w:w="720" w:type="dxa"/>
            <w:vAlign w:val="bottom"/>
            <w:tcBorders>
              <w:top w:val="single" w:sz="8" w:color="auto"/>
            </w:tcBorders>
          </w:tcPr>
          <w:p>
            <w:pPr>
              <w:ind w:left="20"/>
              <w:spacing w:after="0" w:line="182" w:lineRule="exact"/>
              <w:rPr>
                <w:sz w:val="20"/>
                <w:szCs w:val="20"/>
                <w:color w:val="auto"/>
              </w:rPr>
            </w:pPr>
            <w:r>
              <w:rPr>
                <w:rFonts w:ascii="Times New Roman" w:cs="Times New Roman" w:eastAsia="Times New Roman" w:hAnsi="Times New Roman"/>
                <w:sz w:val="18"/>
                <w:szCs w:val="18"/>
                <w:color w:val="auto"/>
              </w:rPr>
              <w:t>99.2</w:t>
            </w: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040" w:type="dxa"/>
            <w:vAlign w:val="bottom"/>
          </w:tcPr>
          <w:p>
            <w:pPr>
              <w:spacing w:after="0"/>
              <w:rPr>
                <w:sz w:val="13"/>
                <w:szCs w:val="13"/>
                <w:color w:val="auto"/>
              </w:rPr>
            </w:pPr>
          </w:p>
        </w:tc>
        <w:tc>
          <w:tcPr>
            <w:tcW w:w="2760" w:type="dxa"/>
            <w:vAlign w:val="bottom"/>
            <w:tcBorders>
              <w:bottom w:val="single" w:sz="8" w:color="auto"/>
            </w:tcBorders>
            <w:gridSpan w:val="16"/>
          </w:tcPr>
          <w:p>
            <w:pPr>
              <w:spacing w:after="0" w:line="156" w:lineRule="exact"/>
              <w:rPr>
                <w:rFonts w:ascii="Times New Roman" w:cs="Times New Roman" w:eastAsia="Times New Roman" w:hAnsi="Times New Roman"/>
                <w:sz w:val="18"/>
                <w:szCs w:val="18"/>
                <w:color w:val="auto"/>
                <w:w w:val="99"/>
              </w:rPr>
            </w:pPr>
            <w:hyperlink r:id="rId116">
              <w:r>
                <w:rPr>
                  <w:rFonts w:ascii="Times New Roman" w:cs="Times New Roman" w:eastAsia="Times New Roman" w:hAnsi="Times New Roman"/>
                  <w:sz w:val="18"/>
                  <w:szCs w:val="18"/>
                  <w:color w:val="auto"/>
                  <w:w w:val="99"/>
                </w:rPr>
                <w:t>Incorporation effective April 25, 2024</w:t>
              </w:r>
            </w:hyperlink>
          </w:p>
        </w:tc>
        <w:tc>
          <w:tcPr>
            <w:tcW w:w="980" w:type="dxa"/>
            <w:vAlign w:val="bottom"/>
            <w:gridSpan w:val="10"/>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3740" w:type="dxa"/>
            <w:vAlign w:val="bottom"/>
            <w:gridSpan w:val="26"/>
          </w:tcPr>
          <w:p>
            <w:pPr>
              <w:spacing w:after="0"/>
              <w:rPr>
                <w:rFonts w:ascii="Times New Roman" w:cs="Times New Roman" w:eastAsia="Times New Roman" w:hAnsi="Times New Roman"/>
                <w:sz w:val="18"/>
                <w:szCs w:val="18"/>
                <w:color w:val="auto"/>
              </w:rPr>
            </w:pPr>
            <w:hyperlink r:id="rId117">
              <w:r>
                <w:rPr>
                  <w:rFonts w:ascii="Times New Roman" w:cs="Times New Roman" w:eastAsia="Times New Roman" w:hAnsi="Times New Roman"/>
                  <w:sz w:val="18"/>
                  <w:szCs w:val="18"/>
                  <w:color w:val="auto"/>
                </w:rPr>
                <w:t>Certificate and Articles of Amendment, effective</w:t>
              </w:r>
            </w:hyperlink>
          </w:p>
        </w:tc>
        <w:tc>
          <w:tcPr>
            <w:tcW w:w="1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6-K</w:t>
            </w:r>
          </w:p>
        </w:tc>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001-14832</w:t>
            </w:r>
          </w:p>
        </w:tc>
        <w:tc>
          <w:tcPr>
            <w:tcW w:w="160" w:type="dxa"/>
            <w:vAlign w:val="bottom"/>
          </w:tcPr>
          <w:p>
            <w:pPr>
              <w:spacing w:after="0"/>
              <w:rPr>
                <w:sz w:val="19"/>
                <w:szCs w:val="19"/>
                <w:color w:val="auto"/>
              </w:rPr>
            </w:pPr>
          </w:p>
        </w:tc>
        <w:tc>
          <w:tcPr>
            <w:tcW w:w="1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April 25, 2024</w:t>
            </w:r>
          </w:p>
        </w:tc>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3540" w:type="dxa"/>
            <w:vAlign w:val="bottom"/>
            <w:tcBorders>
              <w:top w:val="single" w:sz="8" w:color="auto"/>
            </w:tcBorders>
            <w:gridSpan w:val="23"/>
          </w:tcPr>
          <w:p>
            <w:pPr>
              <w:spacing w:after="0" w:line="156" w:lineRule="exact"/>
              <w:rPr>
                <w:rFonts w:ascii="Times New Roman" w:cs="Times New Roman" w:eastAsia="Times New Roman" w:hAnsi="Times New Roman"/>
                <w:sz w:val="18"/>
                <w:szCs w:val="18"/>
                <w:color w:val="auto"/>
              </w:rPr>
            </w:pPr>
            <w:hyperlink r:id="rId117">
              <w:r>
                <w:rPr>
                  <w:rFonts w:ascii="Times New Roman" w:cs="Times New Roman" w:eastAsia="Times New Roman" w:hAnsi="Times New Roman"/>
                  <w:sz w:val="18"/>
                  <w:szCs w:val="18"/>
                  <w:color w:val="auto"/>
                </w:rPr>
                <w:t>April 25, 2024</w:t>
              </w:r>
            </w:hyperlink>
          </w:p>
        </w:tc>
        <w:tc>
          <w:tcPr>
            <w:tcW w:w="20" w:type="dxa"/>
            <w:vAlign w:val="bottom"/>
          </w:tcPr>
          <w:p>
            <w:pPr>
              <w:spacing w:after="0"/>
              <w:rPr>
                <w:sz w:val="13"/>
                <w:szCs w:val="13"/>
                <w:color w:val="auto"/>
              </w:rPr>
            </w:pPr>
          </w:p>
        </w:tc>
        <w:tc>
          <w:tcPr>
            <w:tcW w:w="180" w:type="dxa"/>
            <w:vAlign w:val="bottom"/>
            <w:gridSpan w:val="2"/>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3.3</w:t>
            </w:r>
          </w:p>
        </w:tc>
        <w:tc>
          <w:tcPr>
            <w:tcW w:w="2700" w:type="dxa"/>
            <w:vAlign w:val="bottom"/>
            <w:tcBorders>
              <w:bottom w:val="single" w:sz="8" w:color="auto"/>
            </w:tcBorders>
            <w:gridSpan w:val="13"/>
          </w:tcPr>
          <w:p>
            <w:pPr>
              <w:spacing w:after="0"/>
              <w:rPr>
                <w:rFonts w:ascii="Times New Roman" w:cs="Times New Roman" w:eastAsia="Times New Roman" w:hAnsi="Times New Roman"/>
                <w:sz w:val="18"/>
                <w:szCs w:val="18"/>
                <w:color w:val="auto"/>
                <w:w w:val="99"/>
              </w:rPr>
            </w:pPr>
            <w:hyperlink r:id="rId118">
              <w:r>
                <w:rPr>
                  <w:rFonts w:ascii="Times New Roman" w:cs="Times New Roman" w:eastAsia="Times New Roman" w:hAnsi="Times New Roman"/>
                  <w:sz w:val="18"/>
                  <w:szCs w:val="18"/>
                  <w:color w:val="auto"/>
                  <w:w w:val="99"/>
                </w:rPr>
                <w:t>Amended and Restated By-law No. 1</w:t>
              </w:r>
            </w:hyperlink>
          </w:p>
        </w:tc>
        <w:tc>
          <w:tcPr>
            <w:tcW w:w="1040" w:type="dxa"/>
            <w:vAlign w:val="bottom"/>
            <w:gridSpan w:val="13"/>
          </w:tcPr>
          <w:p>
            <w:pPr>
              <w:spacing w:after="0"/>
              <w:rPr>
                <w:sz w:val="19"/>
                <w:szCs w:val="19"/>
                <w:color w:val="auto"/>
              </w:rPr>
            </w:pPr>
          </w:p>
        </w:tc>
        <w:tc>
          <w:tcPr>
            <w:tcW w:w="1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6-K</w:t>
            </w:r>
          </w:p>
        </w:tc>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001-14832</w:t>
            </w:r>
          </w:p>
        </w:tc>
        <w:tc>
          <w:tcPr>
            <w:tcW w:w="160" w:type="dxa"/>
            <w:vAlign w:val="bottom"/>
          </w:tcPr>
          <w:p>
            <w:pPr>
              <w:spacing w:after="0"/>
              <w:rPr>
                <w:sz w:val="19"/>
                <w:szCs w:val="19"/>
                <w:color w:val="auto"/>
              </w:rPr>
            </w:pPr>
          </w:p>
        </w:tc>
        <w:tc>
          <w:tcPr>
            <w:tcW w:w="1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February 28, 2024</w:t>
            </w:r>
          </w:p>
        </w:tc>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99.3</w:t>
            </w: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3.4</w:t>
            </w:r>
          </w:p>
        </w:tc>
        <w:tc>
          <w:tcPr>
            <w:tcW w:w="3740" w:type="dxa"/>
            <w:vAlign w:val="bottom"/>
            <w:gridSpan w:val="26"/>
          </w:tcPr>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w:t>
            </w:r>
            <w:hyperlink r:id="rId119">
              <w:r>
                <w:rPr>
                  <w:rFonts w:ascii="Times New Roman" w:cs="Times New Roman" w:eastAsia="Times New Roman" w:hAnsi="Times New Roman"/>
                  <w:sz w:val="18"/>
                  <w:szCs w:val="18"/>
                  <w:color w:val="auto"/>
                </w:rPr>
                <w:t>-law No. 2</w:t>
              </w:r>
            </w:hyperlink>
          </w:p>
        </w:tc>
        <w:tc>
          <w:tcPr>
            <w:tcW w:w="1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8-K</w:t>
            </w:r>
          </w:p>
        </w:tc>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001-14832</w:t>
            </w:r>
          </w:p>
        </w:tc>
        <w:tc>
          <w:tcPr>
            <w:tcW w:w="160" w:type="dxa"/>
            <w:vAlign w:val="bottom"/>
          </w:tcPr>
          <w:p>
            <w:pPr>
              <w:spacing w:after="0"/>
              <w:rPr>
                <w:sz w:val="18"/>
                <w:szCs w:val="18"/>
                <w:color w:val="auto"/>
              </w:rPr>
            </w:pPr>
          </w:p>
        </w:tc>
        <w:tc>
          <w:tcPr>
            <w:tcW w:w="1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January 31, 2025</w:t>
            </w:r>
          </w:p>
        </w:tc>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374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auto"/>
              </w:rPr>
              <w:t>See Certificate and Restated Articles of</w:t>
            </w: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040" w:type="dxa"/>
            <w:vAlign w:val="bottom"/>
          </w:tcPr>
          <w:p>
            <w:pPr>
              <w:spacing w:after="0"/>
              <w:rPr>
                <w:sz w:val="20"/>
                <w:szCs w:val="20"/>
                <w:color w:val="auto"/>
              </w:rPr>
            </w:pPr>
          </w:p>
        </w:tc>
        <w:tc>
          <w:tcPr>
            <w:tcW w:w="3740" w:type="dxa"/>
            <w:vAlign w:val="bottom"/>
            <w:gridSpan w:val="26"/>
          </w:tcPr>
          <w:p>
            <w:pPr>
              <w:spacing w:after="0"/>
              <w:rPr>
                <w:sz w:val="20"/>
                <w:szCs w:val="20"/>
                <w:color w:val="auto"/>
              </w:rPr>
            </w:pPr>
            <w:r>
              <w:rPr>
                <w:rFonts w:ascii="Times New Roman" w:cs="Times New Roman" w:eastAsia="Times New Roman" w:hAnsi="Times New Roman"/>
                <w:sz w:val="18"/>
                <w:szCs w:val="18"/>
                <w:color w:val="auto"/>
              </w:rPr>
              <w:t>Incorporation identified in Exhibit 3.1</w:t>
            </w: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0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4.2</w:t>
            </w:r>
          </w:p>
        </w:tc>
        <w:tc>
          <w:tcPr>
            <w:tcW w:w="3740" w:type="dxa"/>
            <w:vAlign w:val="bottom"/>
            <w:gridSpan w:val="26"/>
          </w:tcPr>
          <w:p>
            <w:pPr>
              <w:spacing w:after="0" w:line="198" w:lineRule="exact"/>
              <w:rPr>
                <w:rFonts w:ascii="Times New Roman" w:cs="Times New Roman" w:eastAsia="Times New Roman" w:hAnsi="Times New Roman"/>
                <w:sz w:val="18"/>
                <w:szCs w:val="18"/>
                <w:color w:val="auto"/>
              </w:rPr>
            </w:pPr>
            <w:hyperlink r:id="rId120">
              <w:r>
                <w:rPr>
                  <w:rFonts w:ascii="Times New Roman" w:cs="Times New Roman" w:eastAsia="Times New Roman" w:hAnsi="Times New Roman"/>
                  <w:sz w:val="18"/>
                  <w:szCs w:val="18"/>
                  <w:color w:val="auto"/>
                </w:rPr>
                <w:t>Form of Common Share Certificate</w:t>
              </w:r>
            </w:hyperlink>
          </w:p>
        </w:tc>
        <w:tc>
          <w:tcPr>
            <w:tcW w:w="106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6-K</w:t>
            </w:r>
          </w:p>
        </w:tc>
        <w:tc>
          <w:tcPr>
            <w:tcW w:w="116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001-14832</w:t>
            </w:r>
          </w:p>
        </w:tc>
        <w:tc>
          <w:tcPr>
            <w:tcW w:w="160" w:type="dxa"/>
            <w:vAlign w:val="bottom"/>
          </w:tcPr>
          <w:p>
            <w:pPr>
              <w:spacing w:after="0"/>
              <w:rPr>
                <w:sz w:val="17"/>
                <w:szCs w:val="17"/>
                <w:color w:val="auto"/>
              </w:rPr>
            </w:pPr>
          </w:p>
        </w:tc>
        <w:tc>
          <w:tcPr>
            <w:tcW w:w="184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April 25, 2024</w:t>
            </w:r>
          </w:p>
        </w:tc>
        <w:tc>
          <w:tcPr>
            <w:tcW w:w="72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99.3</w:t>
            </w: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4.3</w:t>
            </w:r>
          </w:p>
        </w:tc>
        <w:tc>
          <w:tcPr>
            <w:tcW w:w="1800" w:type="dxa"/>
            <w:vAlign w:val="bottom"/>
            <w:tcBorders>
              <w:top w:val="single" w:sz="8" w:color="auto"/>
              <w:bottom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w w:val="99"/>
              </w:rPr>
              <w:t>Description of Securities</w:t>
            </w:r>
          </w:p>
        </w:tc>
        <w:tc>
          <w:tcPr>
            <w:tcW w:w="760" w:type="dxa"/>
            <w:vAlign w:val="bottom"/>
            <w:tcBorders>
              <w:top w:val="single" w:sz="8" w:color="auto"/>
            </w:tcBorders>
            <w:gridSpan w:val="7"/>
          </w:tcPr>
          <w:p>
            <w:pPr>
              <w:spacing w:after="0"/>
              <w:rPr>
                <w:sz w:val="18"/>
                <w:szCs w:val="18"/>
                <w:color w:val="auto"/>
              </w:rPr>
            </w:pPr>
          </w:p>
        </w:tc>
        <w:tc>
          <w:tcPr>
            <w:tcW w:w="1180" w:type="dxa"/>
            <w:vAlign w:val="bottom"/>
            <w:gridSpan w:val="14"/>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23"/>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3740" w:type="dxa"/>
            <w:vAlign w:val="bottom"/>
            <w:gridSpan w:val="26"/>
          </w:tcPr>
          <w:p>
            <w:pPr>
              <w:spacing w:after="0"/>
              <w:rPr>
                <w:sz w:val="20"/>
                <w:szCs w:val="20"/>
                <w:color w:val="auto"/>
              </w:rPr>
            </w:pPr>
            <w:r>
              <w:rPr>
                <w:rFonts w:ascii="Times New Roman" w:cs="Times New Roman" w:eastAsia="Times New Roman" w:hAnsi="Times New Roman"/>
                <w:sz w:val="18"/>
                <w:szCs w:val="18"/>
                <w:color w:val="auto"/>
              </w:rPr>
              <w:t>Amended Executive Employment Agreement</w:t>
            </w: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3300" w:type="dxa"/>
            <w:vAlign w:val="bottom"/>
            <w:tcBorders>
              <w:top w:val="single" w:sz="8" w:color="auto"/>
            </w:tcBorders>
            <w:gridSpan w:val="20"/>
          </w:tcPr>
          <w:p>
            <w:pPr>
              <w:spacing w:after="0" w:line="156" w:lineRule="exact"/>
              <w:rPr>
                <w:sz w:val="20"/>
                <w:szCs w:val="20"/>
                <w:color w:val="auto"/>
              </w:rPr>
            </w:pPr>
            <w:r>
              <w:rPr>
                <w:rFonts w:ascii="Times New Roman" w:cs="Times New Roman" w:eastAsia="Times New Roman" w:hAnsi="Times New Roman"/>
                <w:sz w:val="18"/>
                <w:szCs w:val="18"/>
                <w:color w:val="auto"/>
              </w:rPr>
              <w:t>between the Company and Robert A. Mionis,</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gridSpan w:val="2"/>
          </w:tcPr>
          <w:p>
            <w:pPr>
              <w:spacing w:after="0"/>
              <w:rPr>
                <w:sz w:val="13"/>
                <w:szCs w:val="13"/>
                <w:color w:val="auto"/>
              </w:rPr>
            </w:pPr>
          </w:p>
        </w:tc>
        <w:tc>
          <w:tcPr>
            <w:tcW w:w="180" w:type="dxa"/>
            <w:vAlign w:val="bottom"/>
            <w:gridSpan w:val="2"/>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3280" w:type="dxa"/>
            <w:vAlign w:val="bottom"/>
            <w:tcBorders>
              <w:top w:val="single" w:sz="8" w:color="auto"/>
            </w:tcBorders>
            <w:gridSpan w:val="19"/>
          </w:tcPr>
          <w:p>
            <w:pPr>
              <w:spacing w:after="0" w:line="169" w:lineRule="exact"/>
              <w:rPr>
                <w:sz w:val="20"/>
                <w:szCs w:val="20"/>
                <w:color w:val="auto"/>
              </w:rPr>
            </w:pPr>
            <w:r>
              <w:rPr>
                <w:rFonts w:ascii="Times New Roman" w:cs="Times New Roman" w:eastAsia="Times New Roman" w:hAnsi="Times New Roman"/>
                <w:sz w:val="18"/>
                <w:szCs w:val="18"/>
                <w:color w:val="auto"/>
              </w:rPr>
              <w:t>dated July 25, 2024*†</w:t>
            </w:r>
          </w:p>
        </w:tc>
        <w:tc>
          <w:tcPr>
            <w:tcW w:w="4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gridSpan w:val="2"/>
          </w:tcPr>
          <w:p>
            <w:pPr>
              <w:spacing w:after="0"/>
              <w:rPr>
                <w:sz w:val="14"/>
                <w:szCs w:val="14"/>
                <w:color w:val="auto"/>
              </w:rPr>
            </w:pPr>
          </w:p>
        </w:tc>
        <w:tc>
          <w:tcPr>
            <w:tcW w:w="180" w:type="dxa"/>
            <w:vAlign w:val="bottom"/>
            <w:gridSpan w:val="2"/>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420" w:type="dxa"/>
            <w:vAlign w:val="bottom"/>
            <w:gridSpan w:val="3"/>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3740" w:type="dxa"/>
            <w:vAlign w:val="bottom"/>
            <w:gridSpan w:val="26"/>
          </w:tcPr>
          <w:p>
            <w:pPr>
              <w:spacing w:after="0"/>
              <w:rPr>
                <w:sz w:val="20"/>
                <w:szCs w:val="20"/>
                <w:color w:val="auto"/>
              </w:rPr>
            </w:pPr>
            <w:r>
              <w:rPr>
                <w:rFonts w:ascii="Times New Roman" w:cs="Times New Roman" w:eastAsia="Times New Roman" w:hAnsi="Times New Roman"/>
                <w:sz w:val="18"/>
                <w:szCs w:val="18"/>
                <w:color w:val="auto"/>
              </w:rPr>
              <w:t>Form of Executive Officer Offer Letter (U.S.)*</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740" w:type="dxa"/>
            <w:vAlign w:val="bottom"/>
            <w:gridSpan w:val="4"/>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gridSpan w:val="4"/>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gridSpan w:val="3"/>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3740" w:type="dxa"/>
            <w:vAlign w:val="bottom"/>
            <w:gridSpan w:val="26"/>
          </w:tcPr>
          <w:p>
            <w:pPr>
              <w:spacing w:after="0"/>
              <w:rPr>
                <w:rFonts w:ascii="Times New Roman" w:cs="Times New Roman" w:eastAsia="Times New Roman" w:hAnsi="Times New Roman"/>
                <w:sz w:val="18"/>
                <w:szCs w:val="18"/>
                <w:color w:val="auto"/>
              </w:rPr>
            </w:pPr>
            <w:hyperlink r:id="rId121">
              <w:r>
                <w:rPr>
                  <w:rFonts w:ascii="Times New Roman" w:cs="Times New Roman" w:eastAsia="Times New Roman" w:hAnsi="Times New Roman"/>
                  <w:sz w:val="18"/>
                  <w:szCs w:val="18"/>
                  <w:color w:val="auto"/>
                </w:rPr>
                <w:t>Amended and Restated Celestica Inc. Long-Term</w:t>
              </w:r>
            </w:hyperlink>
          </w:p>
        </w:tc>
        <w:tc>
          <w:tcPr>
            <w:tcW w:w="1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6-K</w:t>
            </w:r>
          </w:p>
        </w:tc>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001-14832</w:t>
            </w:r>
          </w:p>
        </w:tc>
        <w:tc>
          <w:tcPr>
            <w:tcW w:w="160" w:type="dxa"/>
            <w:vAlign w:val="bottom"/>
          </w:tcPr>
          <w:p>
            <w:pPr>
              <w:spacing w:after="0"/>
              <w:rPr>
                <w:sz w:val="18"/>
                <w:szCs w:val="18"/>
                <w:color w:val="auto"/>
              </w:rPr>
            </w:pPr>
          </w:p>
        </w:tc>
        <w:tc>
          <w:tcPr>
            <w:tcW w:w="1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July 9, 2014</w:t>
            </w:r>
          </w:p>
        </w:tc>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3560" w:type="dxa"/>
            <w:vAlign w:val="bottom"/>
            <w:tcBorders>
              <w:top w:val="single" w:sz="8" w:color="auto"/>
            </w:tcBorders>
            <w:gridSpan w:val="24"/>
          </w:tcPr>
          <w:p>
            <w:pPr>
              <w:spacing w:after="0" w:line="156" w:lineRule="exact"/>
              <w:rPr>
                <w:rFonts w:ascii="Times New Roman" w:cs="Times New Roman" w:eastAsia="Times New Roman" w:hAnsi="Times New Roman"/>
                <w:sz w:val="18"/>
                <w:szCs w:val="18"/>
                <w:color w:val="auto"/>
              </w:rPr>
            </w:pPr>
            <w:hyperlink r:id="rId121">
              <w:r>
                <w:rPr>
                  <w:rFonts w:ascii="Times New Roman" w:cs="Times New Roman" w:eastAsia="Times New Roman" w:hAnsi="Times New Roman"/>
                  <w:sz w:val="18"/>
                  <w:szCs w:val="18"/>
                  <w:color w:val="auto"/>
                </w:rPr>
                <w:t>Incentive Plan as of January 29, 2014*</w:t>
              </w:r>
            </w:hyperlink>
          </w:p>
        </w:tc>
        <w:tc>
          <w:tcPr>
            <w:tcW w:w="180" w:type="dxa"/>
            <w:vAlign w:val="bottom"/>
            <w:gridSpan w:val="2"/>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740" w:type="dxa"/>
            <w:vAlign w:val="bottom"/>
            <w:gridSpan w:val="4"/>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gridSpan w:val="4"/>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3740" w:type="dxa"/>
            <w:vAlign w:val="bottom"/>
            <w:gridSpan w:val="26"/>
          </w:tcPr>
          <w:p>
            <w:pPr>
              <w:spacing w:after="0"/>
              <w:rPr>
                <w:rFonts w:ascii="Times New Roman" w:cs="Times New Roman" w:eastAsia="Times New Roman" w:hAnsi="Times New Roman"/>
                <w:sz w:val="18"/>
                <w:szCs w:val="18"/>
                <w:color w:val="auto"/>
              </w:rPr>
            </w:pPr>
            <w:hyperlink r:id="rId122">
              <w:r>
                <w:rPr>
                  <w:rFonts w:ascii="Times New Roman" w:cs="Times New Roman" w:eastAsia="Times New Roman" w:hAnsi="Times New Roman"/>
                  <w:sz w:val="18"/>
                  <w:szCs w:val="18"/>
                  <w:color w:val="auto"/>
                </w:rPr>
                <w:t>Amended and Restated Celestica Inc. Long-Term</w:t>
              </w:r>
            </w:hyperlink>
          </w:p>
        </w:tc>
        <w:tc>
          <w:tcPr>
            <w:tcW w:w="1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6-K</w:t>
            </w:r>
          </w:p>
        </w:tc>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001-14832</w:t>
            </w:r>
          </w:p>
        </w:tc>
        <w:tc>
          <w:tcPr>
            <w:tcW w:w="160" w:type="dxa"/>
            <w:vAlign w:val="bottom"/>
          </w:tcPr>
          <w:p>
            <w:pPr>
              <w:spacing w:after="0"/>
              <w:rPr>
                <w:sz w:val="19"/>
                <w:szCs w:val="19"/>
                <w:color w:val="auto"/>
              </w:rPr>
            </w:pPr>
          </w:p>
        </w:tc>
        <w:tc>
          <w:tcPr>
            <w:tcW w:w="1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July 29, 2015</w:t>
            </w:r>
          </w:p>
        </w:tc>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3560" w:type="dxa"/>
            <w:vAlign w:val="bottom"/>
            <w:tcBorders>
              <w:top w:val="single" w:sz="8" w:color="auto"/>
            </w:tcBorders>
            <w:gridSpan w:val="24"/>
          </w:tcPr>
          <w:p>
            <w:pPr>
              <w:spacing w:after="0" w:line="156" w:lineRule="exact"/>
              <w:rPr>
                <w:rFonts w:ascii="Times New Roman" w:cs="Times New Roman" w:eastAsia="Times New Roman" w:hAnsi="Times New Roman"/>
                <w:sz w:val="18"/>
                <w:szCs w:val="18"/>
                <w:color w:val="auto"/>
              </w:rPr>
            </w:pPr>
            <w:hyperlink r:id="rId122">
              <w:r>
                <w:rPr>
                  <w:rFonts w:ascii="Times New Roman" w:cs="Times New Roman" w:eastAsia="Times New Roman" w:hAnsi="Times New Roman"/>
                  <w:sz w:val="18"/>
                  <w:szCs w:val="18"/>
                  <w:color w:val="auto"/>
                </w:rPr>
                <w:t>Incentive Plan as of July 22, 2015*</w:t>
              </w:r>
            </w:hyperlink>
          </w:p>
        </w:tc>
        <w:tc>
          <w:tcPr>
            <w:tcW w:w="180" w:type="dxa"/>
            <w:vAlign w:val="bottom"/>
            <w:gridSpan w:val="2"/>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740" w:type="dxa"/>
            <w:vAlign w:val="bottom"/>
            <w:gridSpan w:val="4"/>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w:t>
            </w:r>
          </w:p>
        </w:tc>
        <w:tc>
          <w:tcPr>
            <w:tcW w:w="3740" w:type="dxa"/>
            <w:vAlign w:val="bottom"/>
            <w:gridSpan w:val="26"/>
          </w:tcPr>
          <w:p>
            <w:pPr>
              <w:spacing w:after="0"/>
              <w:rPr>
                <w:rFonts w:ascii="Times New Roman" w:cs="Times New Roman" w:eastAsia="Times New Roman" w:hAnsi="Times New Roman"/>
                <w:sz w:val="18"/>
                <w:szCs w:val="18"/>
                <w:color w:val="auto"/>
              </w:rPr>
            </w:pPr>
            <w:hyperlink r:id="rId123">
              <w:r>
                <w:rPr>
                  <w:rFonts w:ascii="Times New Roman" w:cs="Times New Roman" w:eastAsia="Times New Roman" w:hAnsi="Times New Roman"/>
                  <w:sz w:val="18"/>
                  <w:szCs w:val="18"/>
                  <w:color w:val="auto"/>
                </w:rPr>
                <w:t>Amended and Restated Celestica Inc. Long-Term</w:t>
              </w:r>
            </w:hyperlink>
          </w:p>
        </w:tc>
        <w:tc>
          <w:tcPr>
            <w:tcW w:w="1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20-F</w:t>
            </w:r>
          </w:p>
        </w:tc>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001-14832</w:t>
            </w:r>
          </w:p>
        </w:tc>
        <w:tc>
          <w:tcPr>
            <w:tcW w:w="160" w:type="dxa"/>
            <w:vAlign w:val="bottom"/>
          </w:tcPr>
          <w:p>
            <w:pPr>
              <w:spacing w:after="0"/>
              <w:rPr>
                <w:sz w:val="19"/>
                <w:szCs w:val="19"/>
                <w:color w:val="auto"/>
              </w:rPr>
            </w:pPr>
          </w:p>
        </w:tc>
        <w:tc>
          <w:tcPr>
            <w:tcW w:w="1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March 7, 2016</w:t>
            </w:r>
          </w:p>
        </w:tc>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4.5</w:t>
            </w: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3560" w:type="dxa"/>
            <w:vAlign w:val="bottom"/>
            <w:tcBorders>
              <w:top w:val="single" w:sz="8" w:color="auto"/>
            </w:tcBorders>
            <w:gridSpan w:val="24"/>
          </w:tcPr>
          <w:p>
            <w:pPr>
              <w:spacing w:after="0" w:line="156" w:lineRule="exact"/>
              <w:rPr>
                <w:rFonts w:ascii="Times New Roman" w:cs="Times New Roman" w:eastAsia="Times New Roman" w:hAnsi="Times New Roman"/>
                <w:sz w:val="18"/>
                <w:szCs w:val="18"/>
                <w:color w:val="auto"/>
              </w:rPr>
            </w:pPr>
            <w:hyperlink r:id="rId123">
              <w:r>
                <w:rPr>
                  <w:rFonts w:ascii="Times New Roman" w:cs="Times New Roman" w:eastAsia="Times New Roman" w:hAnsi="Times New Roman"/>
                  <w:sz w:val="18"/>
                  <w:szCs w:val="18"/>
                  <w:color w:val="auto"/>
                </w:rPr>
                <w:t>Incentive Plan as of October 19, 2015*</w:t>
              </w:r>
            </w:hyperlink>
          </w:p>
        </w:tc>
        <w:tc>
          <w:tcPr>
            <w:tcW w:w="180" w:type="dxa"/>
            <w:vAlign w:val="bottom"/>
            <w:gridSpan w:val="2"/>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740" w:type="dxa"/>
            <w:vAlign w:val="bottom"/>
            <w:gridSpan w:val="4"/>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460" w:type="dxa"/>
            <w:vAlign w:val="bottom"/>
            <w:gridSpan w:val="6"/>
            <w:shd w:val="clear" w:color="auto" w:fill="000000"/>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10.6</w:t>
            </w:r>
          </w:p>
        </w:tc>
        <w:tc>
          <w:tcPr>
            <w:tcW w:w="3740" w:type="dxa"/>
            <w:vAlign w:val="bottom"/>
            <w:gridSpan w:val="26"/>
          </w:tcPr>
          <w:p>
            <w:pPr>
              <w:spacing w:after="0"/>
              <w:rPr>
                <w:rFonts w:ascii="Times New Roman" w:cs="Times New Roman" w:eastAsia="Times New Roman" w:hAnsi="Times New Roman"/>
                <w:sz w:val="18"/>
                <w:szCs w:val="18"/>
                <w:color w:val="auto"/>
              </w:rPr>
            </w:pPr>
            <w:hyperlink r:id="rId124">
              <w:r>
                <w:rPr>
                  <w:rFonts w:ascii="Times New Roman" w:cs="Times New Roman" w:eastAsia="Times New Roman" w:hAnsi="Times New Roman"/>
                  <w:sz w:val="18"/>
                  <w:szCs w:val="18"/>
                  <w:color w:val="auto"/>
                </w:rPr>
                <w:t>Amended and Restated Celestica Inc. Long-Term</w:t>
              </w:r>
            </w:hyperlink>
          </w:p>
        </w:tc>
        <w:tc>
          <w:tcPr>
            <w:tcW w:w="1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20-F</w:t>
            </w:r>
          </w:p>
        </w:tc>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001-14832</w:t>
            </w:r>
          </w:p>
        </w:tc>
        <w:tc>
          <w:tcPr>
            <w:tcW w:w="160" w:type="dxa"/>
            <w:vAlign w:val="bottom"/>
          </w:tcPr>
          <w:p>
            <w:pPr>
              <w:spacing w:after="0"/>
              <w:rPr>
                <w:sz w:val="19"/>
                <w:szCs w:val="19"/>
                <w:color w:val="auto"/>
              </w:rPr>
            </w:pPr>
          </w:p>
        </w:tc>
        <w:tc>
          <w:tcPr>
            <w:tcW w:w="1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March 13, 2017</w:t>
            </w:r>
          </w:p>
        </w:tc>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4.7</w:t>
            </w: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3560" w:type="dxa"/>
            <w:vAlign w:val="bottom"/>
            <w:tcBorders>
              <w:top w:val="single" w:sz="8" w:color="auto"/>
            </w:tcBorders>
            <w:gridSpan w:val="24"/>
          </w:tcPr>
          <w:p>
            <w:pPr>
              <w:spacing w:after="0" w:line="156" w:lineRule="exact"/>
              <w:rPr>
                <w:rFonts w:ascii="Times New Roman" w:cs="Times New Roman" w:eastAsia="Times New Roman" w:hAnsi="Times New Roman"/>
                <w:sz w:val="18"/>
                <w:szCs w:val="18"/>
                <w:color w:val="auto"/>
              </w:rPr>
            </w:pPr>
            <w:hyperlink r:id="rId124">
              <w:r>
                <w:rPr>
                  <w:rFonts w:ascii="Times New Roman" w:cs="Times New Roman" w:eastAsia="Times New Roman" w:hAnsi="Times New Roman"/>
                  <w:sz w:val="18"/>
                  <w:szCs w:val="18"/>
                  <w:color w:val="auto"/>
                </w:rPr>
                <w:t>Incentive Plan as of October 19, 2016*</w:t>
              </w:r>
            </w:hyperlink>
          </w:p>
        </w:tc>
        <w:tc>
          <w:tcPr>
            <w:tcW w:w="180" w:type="dxa"/>
            <w:vAlign w:val="bottom"/>
            <w:gridSpan w:val="2"/>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740" w:type="dxa"/>
            <w:vAlign w:val="bottom"/>
            <w:gridSpan w:val="4"/>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460" w:type="dxa"/>
            <w:vAlign w:val="bottom"/>
            <w:gridSpan w:val="6"/>
            <w:shd w:val="clear" w:color="auto" w:fill="000000"/>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10.7</w:t>
            </w:r>
          </w:p>
        </w:tc>
        <w:tc>
          <w:tcPr>
            <w:tcW w:w="3740" w:type="dxa"/>
            <w:vAlign w:val="bottom"/>
            <w:gridSpan w:val="26"/>
          </w:tcPr>
          <w:p>
            <w:pPr>
              <w:spacing w:after="0"/>
              <w:rPr>
                <w:sz w:val="20"/>
                <w:szCs w:val="20"/>
                <w:color w:val="auto"/>
              </w:rPr>
            </w:pPr>
            <w:r>
              <w:rPr>
                <w:rFonts w:ascii="Times New Roman" w:cs="Times New Roman" w:eastAsia="Times New Roman" w:hAnsi="Times New Roman"/>
                <w:sz w:val="18"/>
                <w:szCs w:val="18"/>
                <w:color w:val="auto"/>
              </w:rPr>
              <w:t>Amended and Restated Celestica Inc. Long-Term</w:t>
            </w: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3560" w:type="dxa"/>
            <w:vAlign w:val="bottom"/>
            <w:tcBorders>
              <w:top w:val="single" w:sz="8" w:color="auto"/>
            </w:tcBorders>
            <w:gridSpan w:val="24"/>
          </w:tcPr>
          <w:p>
            <w:pPr>
              <w:spacing w:after="0" w:line="156" w:lineRule="exact"/>
              <w:rPr>
                <w:sz w:val="20"/>
                <w:szCs w:val="20"/>
                <w:color w:val="auto"/>
              </w:rPr>
            </w:pPr>
            <w:r>
              <w:rPr>
                <w:rFonts w:ascii="Times New Roman" w:cs="Times New Roman" w:eastAsia="Times New Roman" w:hAnsi="Times New Roman"/>
                <w:sz w:val="18"/>
                <w:szCs w:val="18"/>
                <w:color w:val="auto"/>
              </w:rPr>
              <w:t>Incentive Plan as of July 25, 2024*</w:t>
            </w:r>
          </w:p>
        </w:tc>
        <w:tc>
          <w:tcPr>
            <w:tcW w:w="180" w:type="dxa"/>
            <w:vAlign w:val="bottom"/>
            <w:gridSpan w:val="2"/>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740" w:type="dxa"/>
            <w:vAlign w:val="bottom"/>
            <w:gridSpan w:val="4"/>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10.8</w:t>
            </w:r>
          </w:p>
        </w:tc>
        <w:tc>
          <w:tcPr>
            <w:tcW w:w="3740" w:type="dxa"/>
            <w:vAlign w:val="bottom"/>
            <w:gridSpan w:val="26"/>
          </w:tcPr>
          <w:p>
            <w:pPr>
              <w:spacing w:after="0"/>
              <w:rPr>
                <w:rFonts w:ascii="Times New Roman" w:cs="Times New Roman" w:eastAsia="Times New Roman" w:hAnsi="Times New Roman"/>
                <w:sz w:val="18"/>
                <w:szCs w:val="18"/>
                <w:color w:val="auto"/>
              </w:rPr>
            </w:pPr>
            <w:hyperlink r:id="rId125">
              <w:r>
                <w:rPr>
                  <w:rFonts w:ascii="Times New Roman" w:cs="Times New Roman" w:eastAsia="Times New Roman" w:hAnsi="Times New Roman"/>
                  <w:sz w:val="18"/>
                  <w:szCs w:val="18"/>
                  <w:color w:val="auto"/>
                </w:rPr>
                <w:t>Amended and Restated Celestica Share Unit</w:t>
              </w:r>
            </w:hyperlink>
          </w:p>
        </w:tc>
        <w:tc>
          <w:tcPr>
            <w:tcW w:w="1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6-K</w:t>
            </w:r>
          </w:p>
        </w:tc>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001-14832</w:t>
            </w:r>
          </w:p>
        </w:tc>
        <w:tc>
          <w:tcPr>
            <w:tcW w:w="160" w:type="dxa"/>
            <w:vAlign w:val="bottom"/>
          </w:tcPr>
          <w:p>
            <w:pPr>
              <w:spacing w:after="0"/>
              <w:rPr>
                <w:sz w:val="19"/>
                <w:szCs w:val="19"/>
                <w:color w:val="auto"/>
              </w:rPr>
            </w:pPr>
          </w:p>
        </w:tc>
        <w:tc>
          <w:tcPr>
            <w:tcW w:w="1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July 9, 2014</w:t>
            </w:r>
          </w:p>
        </w:tc>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99.2</w:t>
            </w: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3200" w:type="dxa"/>
            <w:vAlign w:val="bottom"/>
            <w:tcBorders>
              <w:top w:val="single" w:sz="8" w:color="auto"/>
            </w:tcBorders>
            <w:gridSpan w:val="18"/>
          </w:tcPr>
          <w:p>
            <w:pPr>
              <w:spacing w:after="0" w:line="156" w:lineRule="exact"/>
              <w:rPr>
                <w:rFonts w:ascii="Times New Roman" w:cs="Times New Roman" w:eastAsia="Times New Roman" w:hAnsi="Times New Roman"/>
                <w:sz w:val="18"/>
                <w:szCs w:val="18"/>
                <w:color w:val="auto"/>
              </w:rPr>
            </w:pPr>
            <w:hyperlink r:id="rId125">
              <w:r>
                <w:rPr>
                  <w:rFonts w:ascii="Times New Roman" w:cs="Times New Roman" w:eastAsia="Times New Roman" w:hAnsi="Times New Roman"/>
                  <w:sz w:val="18"/>
                  <w:szCs w:val="18"/>
                  <w:color w:val="auto"/>
                </w:rPr>
                <w:t>Plan as of January 29, 2014*</w:t>
              </w:r>
            </w:hyperlink>
          </w:p>
        </w:tc>
        <w:tc>
          <w:tcPr>
            <w:tcW w:w="12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gridSpan w:val="4"/>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740" w:type="dxa"/>
            <w:vAlign w:val="bottom"/>
            <w:gridSpan w:val="4"/>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gridSpan w:val="8"/>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10.9</w:t>
            </w:r>
          </w:p>
        </w:tc>
        <w:tc>
          <w:tcPr>
            <w:tcW w:w="3740" w:type="dxa"/>
            <w:vAlign w:val="bottom"/>
            <w:gridSpan w:val="26"/>
          </w:tcPr>
          <w:p>
            <w:pPr>
              <w:spacing w:after="0"/>
              <w:rPr>
                <w:rFonts w:ascii="Times New Roman" w:cs="Times New Roman" w:eastAsia="Times New Roman" w:hAnsi="Times New Roman"/>
                <w:sz w:val="18"/>
                <w:szCs w:val="18"/>
                <w:color w:val="auto"/>
              </w:rPr>
            </w:pPr>
            <w:hyperlink r:id="rId126">
              <w:r>
                <w:rPr>
                  <w:rFonts w:ascii="Times New Roman" w:cs="Times New Roman" w:eastAsia="Times New Roman" w:hAnsi="Times New Roman"/>
                  <w:sz w:val="18"/>
                  <w:szCs w:val="18"/>
                  <w:color w:val="auto"/>
                </w:rPr>
                <w:t>Amended and Restated Celestica Share Unit</w:t>
              </w:r>
            </w:hyperlink>
          </w:p>
        </w:tc>
        <w:tc>
          <w:tcPr>
            <w:tcW w:w="1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6-K</w:t>
            </w:r>
          </w:p>
        </w:tc>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001-14832</w:t>
            </w:r>
          </w:p>
        </w:tc>
        <w:tc>
          <w:tcPr>
            <w:tcW w:w="160" w:type="dxa"/>
            <w:vAlign w:val="bottom"/>
          </w:tcPr>
          <w:p>
            <w:pPr>
              <w:spacing w:after="0"/>
              <w:rPr>
                <w:sz w:val="19"/>
                <w:szCs w:val="19"/>
                <w:color w:val="auto"/>
              </w:rPr>
            </w:pPr>
          </w:p>
        </w:tc>
        <w:tc>
          <w:tcPr>
            <w:tcW w:w="1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July 29, 2015</w:t>
            </w:r>
          </w:p>
        </w:tc>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99.2</w:t>
            </w: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3200" w:type="dxa"/>
            <w:vAlign w:val="bottom"/>
            <w:tcBorders>
              <w:top w:val="single" w:sz="8" w:color="auto"/>
            </w:tcBorders>
            <w:gridSpan w:val="18"/>
          </w:tcPr>
          <w:p>
            <w:pPr>
              <w:spacing w:after="0" w:line="156" w:lineRule="exact"/>
              <w:rPr>
                <w:rFonts w:ascii="Times New Roman" w:cs="Times New Roman" w:eastAsia="Times New Roman" w:hAnsi="Times New Roman"/>
                <w:sz w:val="18"/>
                <w:szCs w:val="18"/>
                <w:color w:val="auto"/>
              </w:rPr>
            </w:pPr>
            <w:hyperlink r:id="rId126">
              <w:r>
                <w:rPr>
                  <w:rFonts w:ascii="Times New Roman" w:cs="Times New Roman" w:eastAsia="Times New Roman" w:hAnsi="Times New Roman"/>
                  <w:sz w:val="18"/>
                  <w:szCs w:val="18"/>
                  <w:color w:val="auto"/>
                </w:rPr>
                <w:t>Plan as of July 22, 2015*</w:t>
              </w:r>
            </w:hyperlink>
          </w:p>
        </w:tc>
        <w:tc>
          <w:tcPr>
            <w:tcW w:w="12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gridSpan w:val="4"/>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740" w:type="dxa"/>
            <w:vAlign w:val="bottom"/>
            <w:gridSpan w:val="4"/>
            <w:shd w:val="clear" w:color="auto" w:fill="000000"/>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gridSpan w:val="8"/>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10.10</w:t>
            </w:r>
          </w:p>
        </w:tc>
        <w:tc>
          <w:tcPr>
            <w:tcW w:w="3740" w:type="dxa"/>
            <w:vAlign w:val="bottom"/>
            <w:gridSpan w:val="26"/>
          </w:tcPr>
          <w:p>
            <w:pPr>
              <w:spacing w:after="0"/>
              <w:rPr>
                <w:rFonts w:ascii="Times New Roman" w:cs="Times New Roman" w:eastAsia="Times New Roman" w:hAnsi="Times New Roman"/>
                <w:sz w:val="18"/>
                <w:szCs w:val="18"/>
                <w:color w:val="auto"/>
              </w:rPr>
            </w:pPr>
            <w:hyperlink r:id="rId127">
              <w:r>
                <w:rPr>
                  <w:rFonts w:ascii="Times New Roman" w:cs="Times New Roman" w:eastAsia="Times New Roman" w:hAnsi="Times New Roman"/>
                  <w:sz w:val="18"/>
                  <w:szCs w:val="18"/>
                  <w:color w:val="auto"/>
                </w:rPr>
                <w:t>Amended and Restated Celestica Share Unit</w:t>
              </w:r>
            </w:hyperlink>
          </w:p>
        </w:tc>
        <w:tc>
          <w:tcPr>
            <w:tcW w:w="1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20-F</w:t>
            </w:r>
          </w:p>
        </w:tc>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001-14832</w:t>
            </w:r>
          </w:p>
        </w:tc>
        <w:tc>
          <w:tcPr>
            <w:tcW w:w="160" w:type="dxa"/>
            <w:vAlign w:val="bottom"/>
          </w:tcPr>
          <w:p>
            <w:pPr>
              <w:spacing w:after="0"/>
              <w:rPr>
                <w:sz w:val="19"/>
                <w:szCs w:val="19"/>
                <w:color w:val="auto"/>
              </w:rPr>
            </w:pPr>
          </w:p>
        </w:tc>
        <w:tc>
          <w:tcPr>
            <w:tcW w:w="1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March 7, 2016</w:t>
            </w:r>
          </w:p>
        </w:tc>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4.8</w:t>
            </w: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3200" w:type="dxa"/>
            <w:vAlign w:val="bottom"/>
            <w:tcBorders>
              <w:top w:val="single" w:sz="8" w:color="auto"/>
            </w:tcBorders>
            <w:gridSpan w:val="18"/>
          </w:tcPr>
          <w:p>
            <w:pPr>
              <w:spacing w:after="0" w:line="156" w:lineRule="exact"/>
              <w:rPr>
                <w:rFonts w:ascii="Times New Roman" w:cs="Times New Roman" w:eastAsia="Times New Roman" w:hAnsi="Times New Roman"/>
                <w:sz w:val="18"/>
                <w:szCs w:val="18"/>
                <w:color w:val="auto"/>
              </w:rPr>
            </w:pPr>
            <w:hyperlink r:id="rId127">
              <w:r>
                <w:rPr>
                  <w:rFonts w:ascii="Times New Roman" w:cs="Times New Roman" w:eastAsia="Times New Roman" w:hAnsi="Times New Roman"/>
                  <w:sz w:val="18"/>
                  <w:szCs w:val="18"/>
                  <w:color w:val="auto"/>
                </w:rPr>
                <w:t>Plan as of October 19, 2015*</w:t>
              </w:r>
            </w:hyperlink>
          </w:p>
        </w:tc>
        <w:tc>
          <w:tcPr>
            <w:tcW w:w="12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gridSpan w:val="4"/>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020" w:type="dxa"/>
            <w:vAlign w:val="bottom"/>
            <w:gridSpan w:val="7"/>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gridSpan w:val="8"/>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10.11</w:t>
            </w:r>
          </w:p>
        </w:tc>
        <w:tc>
          <w:tcPr>
            <w:tcW w:w="3740" w:type="dxa"/>
            <w:vAlign w:val="bottom"/>
            <w:gridSpan w:val="26"/>
          </w:tcPr>
          <w:p>
            <w:pPr>
              <w:spacing w:after="0"/>
              <w:rPr>
                <w:sz w:val="20"/>
                <w:szCs w:val="20"/>
                <w:color w:val="auto"/>
              </w:rPr>
            </w:pPr>
            <w:r>
              <w:rPr>
                <w:rFonts w:ascii="Times New Roman" w:cs="Times New Roman" w:eastAsia="Times New Roman" w:hAnsi="Times New Roman"/>
                <w:sz w:val="18"/>
                <w:szCs w:val="18"/>
                <w:color w:val="auto"/>
              </w:rPr>
              <w:t>Amended and Restated Celestica Share Unit</w:t>
            </w: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3200" w:type="dxa"/>
            <w:vAlign w:val="bottom"/>
            <w:tcBorders>
              <w:top w:val="single" w:sz="8" w:color="auto"/>
            </w:tcBorders>
            <w:gridSpan w:val="18"/>
          </w:tcPr>
          <w:p>
            <w:pPr>
              <w:spacing w:after="0" w:line="156" w:lineRule="exact"/>
              <w:rPr>
                <w:sz w:val="20"/>
                <w:szCs w:val="20"/>
                <w:color w:val="auto"/>
              </w:rPr>
            </w:pPr>
            <w:r>
              <w:rPr>
                <w:rFonts w:ascii="Times New Roman" w:cs="Times New Roman" w:eastAsia="Times New Roman" w:hAnsi="Times New Roman"/>
                <w:sz w:val="18"/>
                <w:szCs w:val="18"/>
                <w:color w:val="auto"/>
              </w:rPr>
              <w:t>Plan as of July 25, 2024*</w:t>
            </w:r>
          </w:p>
        </w:tc>
        <w:tc>
          <w:tcPr>
            <w:tcW w:w="12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gridSpan w:val="4"/>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740" w:type="dxa"/>
            <w:vAlign w:val="bottom"/>
            <w:gridSpan w:val="4"/>
            <w:shd w:val="clear" w:color="auto" w:fill="000000"/>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gridSpan w:val="8"/>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10.12</w:t>
            </w:r>
          </w:p>
        </w:tc>
        <w:tc>
          <w:tcPr>
            <w:tcW w:w="3740" w:type="dxa"/>
            <w:vAlign w:val="bottom"/>
            <w:gridSpan w:val="26"/>
          </w:tcPr>
          <w:p>
            <w:pPr>
              <w:spacing w:after="0"/>
              <w:rPr>
                <w:sz w:val="20"/>
                <w:szCs w:val="20"/>
                <w:color w:val="auto"/>
              </w:rPr>
            </w:pPr>
            <w:r>
              <w:rPr>
                <w:rFonts w:ascii="Times New Roman" w:cs="Times New Roman" w:eastAsia="Times New Roman" w:hAnsi="Times New Roman"/>
                <w:sz w:val="18"/>
                <w:szCs w:val="18"/>
                <w:color w:val="auto"/>
              </w:rPr>
              <w:t>Form of Long-Term Incentive Plan and Share</w:t>
            </w: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3320" w:type="dxa"/>
            <w:vAlign w:val="bottom"/>
            <w:tcBorders>
              <w:top w:val="single" w:sz="8" w:color="auto"/>
            </w:tcBorders>
            <w:gridSpan w:val="21"/>
          </w:tcPr>
          <w:p>
            <w:pPr>
              <w:spacing w:after="0" w:line="156" w:lineRule="exact"/>
              <w:rPr>
                <w:sz w:val="20"/>
                <w:szCs w:val="20"/>
                <w:color w:val="auto"/>
              </w:rPr>
            </w:pPr>
            <w:r>
              <w:rPr>
                <w:rFonts w:ascii="Times New Roman" w:cs="Times New Roman" w:eastAsia="Times New Roman" w:hAnsi="Times New Roman"/>
                <w:sz w:val="18"/>
                <w:szCs w:val="18"/>
                <w:color w:val="auto"/>
              </w:rPr>
              <w:t>Unit Plan Grant Notice (RSU)*</w:t>
            </w:r>
          </w:p>
        </w:tc>
        <w:tc>
          <w:tcPr>
            <w:tcW w:w="40" w:type="dxa"/>
            <w:vAlign w:val="bottom"/>
          </w:tcPr>
          <w:p>
            <w:pPr>
              <w:spacing w:after="0"/>
              <w:rPr>
                <w:sz w:val="13"/>
                <w:szCs w:val="13"/>
                <w:color w:val="auto"/>
              </w:rPr>
            </w:pPr>
          </w:p>
        </w:tc>
        <w:tc>
          <w:tcPr>
            <w:tcW w:w="380" w:type="dxa"/>
            <w:vAlign w:val="bottom"/>
            <w:gridSpan w:val="4"/>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160" w:type="dxa"/>
            <w:vAlign w:val="bottom"/>
            <w:gridSpan w:val="8"/>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860" w:type="dxa"/>
            <w:vAlign w:val="bottom"/>
            <w:gridSpan w:val="8"/>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10.13</w:t>
            </w:r>
          </w:p>
        </w:tc>
        <w:tc>
          <w:tcPr>
            <w:tcW w:w="3740" w:type="dxa"/>
            <w:vAlign w:val="bottom"/>
            <w:gridSpan w:val="26"/>
          </w:tcPr>
          <w:p>
            <w:pPr>
              <w:spacing w:after="0"/>
              <w:rPr>
                <w:sz w:val="20"/>
                <w:szCs w:val="20"/>
                <w:color w:val="auto"/>
              </w:rPr>
            </w:pPr>
            <w:r>
              <w:rPr>
                <w:rFonts w:ascii="Times New Roman" w:cs="Times New Roman" w:eastAsia="Times New Roman" w:hAnsi="Times New Roman"/>
                <w:sz w:val="18"/>
                <w:szCs w:val="18"/>
                <w:color w:val="auto"/>
              </w:rPr>
              <w:t>Form of Long-Term Incentive Plan and Share</w:t>
            </w: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3360" w:type="dxa"/>
            <w:vAlign w:val="bottom"/>
            <w:tcBorders>
              <w:top w:val="single" w:sz="8" w:color="auto"/>
            </w:tcBorders>
            <w:gridSpan w:val="22"/>
          </w:tcPr>
          <w:p>
            <w:pPr>
              <w:spacing w:after="0" w:line="156" w:lineRule="exact"/>
              <w:rPr>
                <w:sz w:val="20"/>
                <w:szCs w:val="20"/>
                <w:color w:val="auto"/>
              </w:rPr>
            </w:pPr>
            <w:r>
              <w:rPr>
                <w:rFonts w:ascii="Times New Roman" w:cs="Times New Roman" w:eastAsia="Times New Roman" w:hAnsi="Times New Roman"/>
                <w:sz w:val="18"/>
                <w:szCs w:val="18"/>
                <w:color w:val="auto"/>
              </w:rPr>
              <w:t>Unit Plan Grant Notice (PSU)*</w:t>
            </w:r>
          </w:p>
        </w:tc>
        <w:tc>
          <w:tcPr>
            <w:tcW w:w="380" w:type="dxa"/>
            <w:vAlign w:val="bottom"/>
            <w:gridSpan w:val="4"/>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160" w:type="dxa"/>
            <w:vAlign w:val="bottom"/>
            <w:gridSpan w:val="8"/>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gridSpan w:val="8"/>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10.14</w:t>
            </w:r>
          </w:p>
        </w:tc>
        <w:tc>
          <w:tcPr>
            <w:tcW w:w="3740" w:type="dxa"/>
            <w:vAlign w:val="bottom"/>
            <w:gridSpan w:val="26"/>
          </w:tcPr>
          <w:p>
            <w:pPr>
              <w:spacing w:after="0"/>
              <w:rPr>
                <w:rFonts w:ascii="Times New Roman" w:cs="Times New Roman" w:eastAsia="Times New Roman" w:hAnsi="Times New Roman"/>
                <w:sz w:val="18"/>
                <w:szCs w:val="18"/>
                <w:color w:val="auto"/>
              </w:rPr>
            </w:pPr>
            <w:hyperlink r:id="rId128">
              <w:r>
                <w:rPr>
                  <w:rFonts w:ascii="Times New Roman" w:cs="Times New Roman" w:eastAsia="Times New Roman" w:hAnsi="Times New Roman"/>
                  <w:sz w:val="18"/>
                  <w:szCs w:val="18"/>
                  <w:color w:val="auto"/>
                </w:rPr>
                <w:t>Directors' Share Compensation Plan (2008)</w:t>
              </w:r>
            </w:hyperlink>
            <w:r>
              <w:rPr>
                <w:rFonts w:ascii="Times New Roman" w:cs="Times New Roman" w:eastAsia="Times New Roman" w:hAnsi="Times New Roman"/>
                <w:sz w:val="18"/>
                <w:szCs w:val="18"/>
                <w:color w:val="auto"/>
              </w:rPr>
              <w:t>*</w:t>
            </w:r>
          </w:p>
        </w:tc>
        <w:tc>
          <w:tcPr>
            <w:tcW w:w="1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SC TO-I</w:t>
            </w:r>
          </w:p>
        </w:tc>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005-55523</w:t>
            </w:r>
          </w:p>
        </w:tc>
        <w:tc>
          <w:tcPr>
            <w:tcW w:w="160" w:type="dxa"/>
            <w:vAlign w:val="bottom"/>
          </w:tcPr>
          <w:p>
            <w:pPr>
              <w:spacing w:after="0"/>
              <w:rPr>
                <w:sz w:val="19"/>
                <w:szCs w:val="19"/>
                <w:color w:val="auto"/>
              </w:rPr>
            </w:pPr>
          </w:p>
        </w:tc>
        <w:tc>
          <w:tcPr>
            <w:tcW w:w="1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October 29,</w:t>
            </w:r>
          </w:p>
        </w:tc>
        <w:tc>
          <w:tcPr>
            <w:tcW w:w="17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(d)(3)</w:t>
            </w:r>
          </w:p>
        </w:tc>
        <w:tc>
          <w:tcPr>
            <w:tcW w:w="0" w:type="dxa"/>
            <w:vAlign w:val="bottom"/>
          </w:tcPr>
          <w:p>
            <w:pPr>
              <w:spacing w:after="0"/>
              <w:rPr>
                <w:sz w:val="1"/>
                <w:szCs w:val="1"/>
                <w:color w:val="auto"/>
              </w:rPr>
            </w:pPr>
          </w:p>
        </w:tc>
      </w:tr>
      <w:tr>
        <w:trPr>
          <w:trHeight w:val="205"/>
        </w:trPr>
        <w:tc>
          <w:tcPr>
            <w:tcW w:w="104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2012</w:t>
            </w: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04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10.15</w:t>
            </w:r>
          </w:p>
        </w:tc>
        <w:tc>
          <w:tcPr>
            <w:tcW w:w="3740" w:type="dxa"/>
            <w:vAlign w:val="bottom"/>
            <w:gridSpan w:val="26"/>
          </w:tcPr>
          <w:p>
            <w:pPr>
              <w:spacing w:after="0" w:line="194" w:lineRule="exact"/>
              <w:rPr>
                <w:rFonts w:ascii="Times New Roman" w:cs="Times New Roman" w:eastAsia="Times New Roman" w:hAnsi="Times New Roman"/>
                <w:sz w:val="18"/>
                <w:szCs w:val="18"/>
                <w:color w:val="auto"/>
              </w:rPr>
            </w:pPr>
            <w:hyperlink r:id="rId129">
              <w:r>
                <w:rPr>
                  <w:rFonts w:ascii="Times New Roman" w:cs="Times New Roman" w:eastAsia="Times New Roman" w:hAnsi="Times New Roman"/>
                  <w:sz w:val="18"/>
                  <w:szCs w:val="18"/>
                  <w:color w:val="auto"/>
                </w:rPr>
                <w:t>Directors' Share Compensation Plan, amended</w:t>
              </w:r>
            </w:hyperlink>
          </w:p>
        </w:tc>
        <w:tc>
          <w:tcPr>
            <w:tcW w:w="1060" w:type="dxa"/>
            <w:vAlign w:val="bottom"/>
            <w:gridSpan w:val="2"/>
          </w:tcPr>
          <w:p>
            <w:pPr>
              <w:ind w:left="20"/>
              <w:spacing w:after="0" w:line="194" w:lineRule="exact"/>
              <w:rPr>
                <w:sz w:val="20"/>
                <w:szCs w:val="20"/>
                <w:color w:val="auto"/>
              </w:rPr>
            </w:pPr>
            <w:r>
              <w:rPr>
                <w:rFonts w:ascii="Times New Roman" w:cs="Times New Roman" w:eastAsia="Times New Roman" w:hAnsi="Times New Roman"/>
                <w:sz w:val="18"/>
                <w:szCs w:val="18"/>
                <w:color w:val="auto"/>
              </w:rPr>
              <w:t>20-F</w:t>
            </w:r>
          </w:p>
        </w:tc>
        <w:tc>
          <w:tcPr>
            <w:tcW w:w="116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001-14832</w:t>
            </w:r>
          </w:p>
        </w:tc>
        <w:tc>
          <w:tcPr>
            <w:tcW w:w="160" w:type="dxa"/>
            <w:vAlign w:val="bottom"/>
          </w:tcPr>
          <w:p>
            <w:pPr>
              <w:spacing w:after="0"/>
              <w:rPr>
                <w:sz w:val="16"/>
                <w:szCs w:val="16"/>
                <w:color w:val="auto"/>
              </w:rPr>
            </w:pPr>
          </w:p>
        </w:tc>
        <w:tc>
          <w:tcPr>
            <w:tcW w:w="1840" w:type="dxa"/>
            <w:vAlign w:val="bottom"/>
            <w:gridSpan w:val="2"/>
          </w:tcPr>
          <w:p>
            <w:pPr>
              <w:ind w:left="20"/>
              <w:spacing w:after="0" w:line="194" w:lineRule="exact"/>
              <w:rPr>
                <w:sz w:val="20"/>
                <w:szCs w:val="20"/>
                <w:color w:val="auto"/>
              </w:rPr>
            </w:pPr>
            <w:r>
              <w:rPr>
                <w:rFonts w:ascii="Times New Roman" w:cs="Times New Roman" w:eastAsia="Times New Roman" w:hAnsi="Times New Roman"/>
                <w:sz w:val="18"/>
                <w:szCs w:val="18"/>
                <w:color w:val="auto"/>
              </w:rPr>
              <w:t>March 14, 2014</w:t>
            </w:r>
          </w:p>
        </w:tc>
        <w:tc>
          <w:tcPr>
            <w:tcW w:w="72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4.16</w:t>
            </w: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3360" w:type="dxa"/>
            <w:vAlign w:val="bottom"/>
            <w:tcBorders>
              <w:top w:val="single" w:sz="8" w:color="auto"/>
            </w:tcBorders>
            <w:gridSpan w:val="22"/>
          </w:tcPr>
          <w:p>
            <w:pPr>
              <w:spacing w:after="0" w:line="156" w:lineRule="exact"/>
              <w:rPr>
                <w:rFonts w:ascii="Times New Roman" w:cs="Times New Roman" w:eastAsia="Times New Roman" w:hAnsi="Times New Roman"/>
                <w:sz w:val="18"/>
                <w:szCs w:val="18"/>
                <w:color w:val="auto"/>
              </w:rPr>
            </w:pPr>
            <w:hyperlink r:id="rId129">
              <w:r>
                <w:rPr>
                  <w:rFonts w:ascii="Times New Roman" w:cs="Times New Roman" w:eastAsia="Times New Roman" w:hAnsi="Times New Roman"/>
                  <w:sz w:val="18"/>
                  <w:szCs w:val="18"/>
                  <w:color w:val="auto"/>
                </w:rPr>
                <w:t>and restated as of July 25, 2013*</w:t>
              </w:r>
            </w:hyperlink>
          </w:p>
        </w:tc>
        <w:tc>
          <w:tcPr>
            <w:tcW w:w="380" w:type="dxa"/>
            <w:vAlign w:val="bottom"/>
            <w:gridSpan w:val="4"/>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927" w:right="519" w:bottom="1440" w:gutter="0" w:footer="0" w:header="0"/>
        </w:sectPr>
      </w:pPr>
    </w:p>
    <w:bookmarkStart w:id="103" w:name="page104"/>
    <w:bookmarkEnd w:id="103"/>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0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40" w:type="dxa"/>
            <w:vAlign w:val="bottom"/>
            <w:gridSpan w:val="4"/>
          </w:tcPr>
          <w:p>
            <w:pPr>
              <w:ind w:left="460"/>
              <w:spacing w:after="0"/>
              <w:rPr>
                <w:sz w:val="20"/>
                <w:szCs w:val="20"/>
                <w:color w:val="auto"/>
              </w:rPr>
            </w:pPr>
            <w:r>
              <w:rPr>
                <w:rFonts w:ascii="Times New Roman" w:cs="Times New Roman" w:eastAsia="Times New Roman" w:hAnsi="Times New Roman"/>
                <w:sz w:val="16"/>
                <w:szCs w:val="16"/>
                <w:b w:val="1"/>
                <w:bCs w:val="1"/>
                <w:color w:val="auto"/>
              </w:rPr>
              <w:t>Incorporated by Reference</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8"/>
        </w:trPr>
        <w:tc>
          <w:tcPr>
            <w:tcW w:w="10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6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1040" w:type="dxa"/>
            <w:vAlign w:val="bottom"/>
            <w:vMerge w:val="continue"/>
          </w:tcPr>
          <w:p>
            <w:pPr>
              <w:spacing w:after="0"/>
              <w:rPr>
                <w:sz w:val="17"/>
                <w:szCs w:val="17"/>
                <w:color w:val="auto"/>
              </w:rPr>
            </w:pPr>
          </w:p>
        </w:tc>
        <w:tc>
          <w:tcPr>
            <w:tcW w:w="3760" w:type="dxa"/>
            <w:vAlign w:val="bottom"/>
            <w:gridSpan w:val="27"/>
            <w:vMerge w:val="restart"/>
          </w:tcPr>
          <w:p>
            <w:pPr>
              <w:ind w:left="134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Form</w:t>
            </w:r>
          </w:p>
        </w:tc>
        <w:tc>
          <w:tcPr>
            <w:tcW w:w="13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File No.</w:t>
            </w:r>
          </w:p>
        </w:tc>
        <w:tc>
          <w:tcPr>
            <w:tcW w:w="1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Filing Date</w:t>
            </w:r>
          </w:p>
        </w:tc>
        <w:tc>
          <w:tcPr>
            <w:tcW w:w="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0" w:type="dxa"/>
            <w:vAlign w:val="bottom"/>
          </w:tcPr>
          <w:p>
            <w:pPr>
              <w:spacing w:after="0"/>
              <w:rPr>
                <w:sz w:val="1"/>
                <w:szCs w:val="1"/>
                <w:color w:val="auto"/>
              </w:rPr>
            </w:pPr>
          </w:p>
        </w:tc>
      </w:tr>
      <w:tr>
        <w:trPr>
          <w:trHeight w:val="203"/>
        </w:trPr>
        <w:tc>
          <w:tcPr>
            <w:tcW w:w="104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b w:val="1"/>
                <w:bCs w:val="1"/>
                <w:color w:val="auto"/>
              </w:rPr>
              <w:t>Number</w:t>
            </w:r>
          </w:p>
        </w:tc>
        <w:tc>
          <w:tcPr>
            <w:tcW w:w="3760" w:type="dxa"/>
            <w:vAlign w:val="bottom"/>
            <w:gridSpan w:val="27"/>
            <w:vMerge w:val="continue"/>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1320" w:type="dxa"/>
            <w:vAlign w:val="bottom"/>
            <w:gridSpan w:val="2"/>
            <w:vMerge w:val="continue"/>
          </w:tcPr>
          <w:p>
            <w:pPr>
              <w:spacing w:after="0"/>
              <w:rPr>
                <w:sz w:val="17"/>
                <w:szCs w:val="17"/>
                <w:color w:val="auto"/>
              </w:rPr>
            </w:pPr>
          </w:p>
        </w:tc>
        <w:tc>
          <w:tcPr>
            <w:tcW w:w="1820" w:type="dxa"/>
            <w:vAlign w:val="bottom"/>
            <w:gridSpan w:val="2"/>
            <w:vMerge w:val="continue"/>
          </w:tcPr>
          <w:p>
            <w:pPr>
              <w:spacing w:after="0"/>
              <w:rPr>
                <w:sz w:val="17"/>
                <w:szCs w:val="17"/>
                <w:color w:val="auto"/>
              </w:rPr>
            </w:pPr>
          </w:p>
        </w:tc>
        <w:tc>
          <w:tcPr>
            <w:tcW w:w="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No.</w:t>
            </w:r>
          </w:p>
        </w:tc>
        <w:tc>
          <w:tcPr>
            <w:tcW w:w="0" w:type="dxa"/>
            <w:vAlign w:val="bottom"/>
          </w:tcPr>
          <w:p>
            <w:pPr>
              <w:spacing w:after="0"/>
              <w:rPr>
                <w:sz w:val="1"/>
                <w:szCs w:val="1"/>
                <w:color w:val="auto"/>
              </w:rPr>
            </w:pPr>
          </w:p>
        </w:tc>
      </w:tr>
      <w:tr>
        <w:trPr>
          <w:trHeight w:val="182"/>
        </w:trPr>
        <w:tc>
          <w:tcPr>
            <w:tcW w:w="1040" w:type="dxa"/>
            <w:vAlign w:val="bottom"/>
            <w:tcBorders>
              <w:top w:val="single" w:sz="8" w:color="auto"/>
            </w:tcBorders>
          </w:tcPr>
          <w:p>
            <w:pPr>
              <w:ind w:left="20"/>
              <w:spacing w:after="0" w:line="182" w:lineRule="exact"/>
              <w:rPr>
                <w:sz w:val="20"/>
                <w:szCs w:val="20"/>
                <w:color w:val="auto"/>
              </w:rPr>
            </w:pPr>
            <w:r>
              <w:rPr>
                <w:rFonts w:ascii="Times New Roman" w:cs="Times New Roman" w:eastAsia="Times New Roman" w:hAnsi="Times New Roman"/>
                <w:sz w:val="18"/>
                <w:szCs w:val="18"/>
                <w:color w:val="auto"/>
              </w:rPr>
              <w:t>10.16</w:t>
            </w:r>
          </w:p>
        </w:tc>
        <w:tc>
          <w:tcPr>
            <w:tcW w:w="3600" w:type="dxa"/>
            <w:vAlign w:val="bottom"/>
            <w:tcBorders>
              <w:top w:val="single" w:sz="8" w:color="auto"/>
            </w:tcBorders>
            <w:gridSpan w:val="26"/>
          </w:tcPr>
          <w:p>
            <w:pPr>
              <w:spacing w:after="0" w:line="182" w:lineRule="exact"/>
              <w:rPr>
                <w:rFonts w:ascii="Times New Roman" w:cs="Times New Roman" w:eastAsia="Times New Roman" w:hAnsi="Times New Roman"/>
                <w:sz w:val="18"/>
                <w:szCs w:val="18"/>
                <w:color w:val="auto"/>
              </w:rPr>
            </w:pPr>
            <w:hyperlink r:id="rId131">
              <w:r>
                <w:rPr>
                  <w:rFonts w:ascii="Times New Roman" w:cs="Times New Roman" w:eastAsia="Times New Roman" w:hAnsi="Times New Roman"/>
                  <w:sz w:val="18"/>
                  <w:szCs w:val="18"/>
                  <w:color w:val="auto"/>
                </w:rPr>
                <w:t>Directors' Share Compensation Plan, amended</w:t>
              </w:r>
            </w:hyperlink>
          </w:p>
        </w:tc>
        <w:tc>
          <w:tcPr>
            <w:tcW w:w="160" w:type="dxa"/>
            <w:vAlign w:val="bottom"/>
          </w:tcPr>
          <w:p>
            <w:pPr>
              <w:spacing w:after="0"/>
              <w:rPr>
                <w:sz w:val="15"/>
                <w:szCs w:val="15"/>
                <w:color w:val="auto"/>
              </w:rPr>
            </w:pPr>
          </w:p>
        </w:tc>
        <w:tc>
          <w:tcPr>
            <w:tcW w:w="880" w:type="dxa"/>
            <w:vAlign w:val="bottom"/>
            <w:tcBorders>
              <w:top w:val="single" w:sz="8" w:color="auto"/>
            </w:tcBorders>
          </w:tcPr>
          <w:p>
            <w:pPr>
              <w:ind w:left="20"/>
              <w:spacing w:after="0" w:line="182" w:lineRule="exact"/>
              <w:rPr>
                <w:sz w:val="20"/>
                <w:szCs w:val="20"/>
                <w:color w:val="auto"/>
              </w:rPr>
            </w:pPr>
            <w:r>
              <w:rPr>
                <w:rFonts w:ascii="Times New Roman" w:cs="Times New Roman" w:eastAsia="Times New Roman" w:hAnsi="Times New Roman"/>
                <w:sz w:val="18"/>
                <w:szCs w:val="18"/>
                <w:color w:val="auto"/>
              </w:rPr>
              <w:t>20-F</w:t>
            </w:r>
          </w:p>
        </w:tc>
        <w:tc>
          <w:tcPr>
            <w:tcW w:w="180" w:type="dxa"/>
            <w:vAlign w:val="bottom"/>
          </w:tcPr>
          <w:p>
            <w:pPr>
              <w:spacing w:after="0"/>
              <w:rPr>
                <w:sz w:val="15"/>
                <w:szCs w:val="15"/>
                <w:color w:val="auto"/>
              </w:rPr>
            </w:pPr>
          </w:p>
        </w:tc>
        <w:tc>
          <w:tcPr>
            <w:tcW w:w="1160" w:type="dxa"/>
            <w:vAlign w:val="bottom"/>
            <w:tcBorders>
              <w:top w:val="single" w:sz="8" w:color="auto"/>
            </w:tcBorders>
          </w:tcPr>
          <w:p>
            <w:pPr>
              <w:spacing w:after="0" w:line="182" w:lineRule="exact"/>
              <w:rPr>
                <w:sz w:val="20"/>
                <w:szCs w:val="20"/>
                <w:color w:val="auto"/>
              </w:rPr>
            </w:pPr>
            <w:r>
              <w:rPr>
                <w:rFonts w:ascii="Times New Roman" w:cs="Times New Roman" w:eastAsia="Times New Roman" w:hAnsi="Times New Roman"/>
                <w:sz w:val="18"/>
                <w:szCs w:val="18"/>
                <w:color w:val="auto"/>
              </w:rPr>
              <w:t>001-14832</w:t>
            </w:r>
          </w:p>
        </w:tc>
        <w:tc>
          <w:tcPr>
            <w:tcW w:w="160" w:type="dxa"/>
            <w:vAlign w:val="bottom"/>
          </w:tcPr>
          <w:p>
            <w:pPr>
              <w:spacing w:after="0"/>
              <w:rPr>
                <w:sz w:val="15"/>
                <w:szCs w:val="15"/>
                <w:color w:val="auto"/>
              </w:rPr>
            </w:pPr>
          </w:p>
        </w:tc>
        <w:tc>
          <w:tcPr>
            <w:tcW w:w="1660" w:type="dxa"/>
            <w:vAlign w:val="bottom"/>
            <w:tcBorders>
              <w:top w:val="single" w:sz="8" w:color="auto"/>
            </w:tcBorders>
          </w:tcPr>
          <w:p>
            <w:pPr>
              <w:ind w:left="20"/>
              <w:spacing w:after="0" w:line="182" w:lineRule="exact"/>
              <w:rPr>
                <w:sz w:val="20"/>
                <w:szCs w:val="20"/>
                <w:color w:val="auto"/>
              </w:rPr>
            </w:pPr>
            <w:r>
              <w:rPr>
                <w:rFonts w:ascii="Times New Roman" w:cs="Times New Roman" w:eastAsia="Times New Roman" w:hAnsi="Times New Roman"/>
                <w:sz w:val="18"/>
                <w:szCs w:val="18"/>
                <w:color w:val="auto"/>
              </w:rPr>
              <w:t>March 7, 2016</w:t>
            </w:r>
          </w:p>
        </w:tc>
        <w:tc>
          <w:tcPr>
            <w:tcW w:w="160" w:type="dxa"/>
            <w:vAlign w:val="bottom"/>
          </w:tcPr>
          <w:p>
            <w:pPr>
              <w:spacing w:after="0"/>
              <w:rPr>
                <w:sz w:val="15"/>
                <w:szCs w:val="15"/>
                <w:color w:val="auto"/>
              </w:rPr>
            </w:pPr>
          </w:p>
        </w:tc>
        <w:tc>
          <w:tcPr>
            <w:tcW w:w="720" w:type="dxa"/>
            <w:vAlign w:val="bottom"/>
            <w:tcBorders>
              <w:top w:val="single" w:sz="8" w:color="auto"/>
            </w:tcBorders>
          </w:tcPr>
          <w:p>
            <w:pPr>
              <w:ind w:left="20"/>
              <w:spacing w:after="0" w:line="182" w:lineRule="exact"/>
              <w:rPr>
                <w:sz w:val="20"/>
                <w:szCs w:val="20"/>
                <w:color w:val="auto"/>
              </w:rPr>
            </w:pPr>
            <w:r>
              <w:rPr>
                <w:rFonts w:ascii="Times New Roman" w:cs="Times New Roman" w:eastAsia="Times New Roman" w:hAnsi="Times New Roman"/>
                <w:sz w:val="18"/>
                <w:szCs w:val="18"/>
                <w:color w:val="auto"/>
              </w:rPr>
              <w:t>4.22</w:t>
            </w: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3360" w:type="dxa"/>
            <w:vAlign w:val="bottom"/>
            <w:tcBorders>
              <w:top w:val="single" w:sz="8" w:color="auto"/>
            </w:tcBorders>
            <w:gridSpan w:val="14"/>
          </w:tcPr>
          <w:p>
            <w:pPr>
              <w:spacing w:after="0" w:line="156" w:lineRule="exact"/>
              <w:rPr>
                <w:rFonts w:ascii="Times New Roman" w:cs="Times New Roman" w:eastAsia="Times New Roman" w:hAnsi="Times New Roman"/>
                <w:sz w:val="18"/>
                <w:szCs w:val="18"/>
                <w:color w:val="auto"/>
              </w:rPr>
            </w:pPr>
            <w:hyperlink r:id="rId131">
              <w:r>
                <w:rPr>
                  <w:rFonts w:ascii="Times New Roman" w:cs="Times New Roman" w:eastAsia="Times New Roman" w:hAnsi="Times New Roman"/>
                  <w:sz w:val="18"/>
                  <w:szCs w:val="18"/>
                  <w:color w:val="auto"/>
                </w:rPr>
                <w:t>and restated as of January 1, 2016*</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gridSpan w:val="2"/>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3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10.17</w:t>
            </w:r>
          </w:p>
        </w:tc>
        <w:tc>
          <w:tcPr>
            <w:tcW w:w="3760" w:type="dxa"/>
            <w:vAlign w:val="bottom"/>
            <w:gridSpan w:val="27"/>
          </w:tcPr>
          <w:p>
            <w:pPr>
              <w:spacing w:after="0"/>
              <w:rPr>
                <w:rFonts w:ascii="Times New Roman" w:cs="Times New Roman" w:eastAsia="Times New Roman" w:hAnsi="Times New Roman"/>
                <w:sz w:val="18"/>
                <w:szCs w:val="18"/>
                <w:color w:val="auto"/>
              </w:rPr>
            </w:pPr>
            <w:hyperlink r:id="rId132">
              <w:r>
                <w:rPr>
                  <w:rFonts w:ascii="Times New Roman" w:cs="Times New Roman" w:eastAsia="Times New Roman" w:hAnsi="Times New Roman"/>
                  <w:sz w:val="18"/>
                  <w:szCs w:val="18"/>
                  <w:color w:val="auto"/>
                </w:rPr>
                <w:t>Directors' Share Compensation Plan, amended</w:t>
              </w:r>
            </w:hyperlink>
          </w:p>
        </w:tc>
        <w:tc>
          <w:tcPr>
            <w:tcW w:w="1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20-F</w:t>
            </w:r>
          </w:p>
        </w:tc>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001-14832</w:t>
            </w:r>
          </w:p>
        </w:tc>
        <w:tc>
          <w:tcPr>
            <w:tcW w:w="160" w:type="dxa"/>
            <w:vAlign w:val="bottom"/>
          </w:tcPr>
          <w:p>
            <w:pPr>
              <w:spacing w:after="0"/>
              <w:rPr>
                <w:sz w:val="19"/>
                <w:szCs w:val="19"/>
                <w:color w:val="auto"/>
              </w:rPr>
            </w:pPr>
          </w:p>
        </w:tc>
        <w:tc>
          <w:tcPr>
            <w:tcW w:w="1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March 11, 2019</w:t>
            </w:r>
          </w:p>
        </w:tc>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4.27</w:t>
            </w: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3360" w:type="dxa"/>
            <w:vAlign w:val="bottom"/>
            <w:tcBorders>
              <w:top w:val="single" w:sz="8" w:color="auto"/>
            </w:tcBorders>
            <w:gridSpan w:val="14"/>
          </w:tcPr>
          <w:p>
            <w:pPr>
              <w:spacing w:after="0" w:line="156" w:lineRule="exact"/>
              <w:rPr>
                <w:rFonts w:ascii="Times New Roman" w:cs="Times New Roman" w:eastAsia="Times New Roman" w:hAnsi="Times New Roman"/>
                <w:sz w:val="18"/>
                <w:szCs w:val="18"/>
                <w:color w:val="auto"/>
              </w:rPr>
            </w:pPr>
            <w:hyperlink r:id="rId132">
              <w:r>
                <w:rPr>
                  <w:rFonts w:ascii="Times New Roman" w:cs="Times New Roman" w:eastAsia="Times New Roman" w:hAnsi="Times New Roman"/>
                  <w:sz w:val="18"/>
                  <w:szCs w:val="18"/>
                  <w:color w:val="auto"/>
                </w:rPr>
                <w:t>and restated as of January 1, 2019*</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gridSpan w:val="2"/>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3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10.18</w:t>
            </w:r>
          </w:p>
        </w:tc>
        <w:tc>
          <w:tcPr>
            <w:tcW w:w="3760" w:type="dxa"/>
            <w:vAlign w:val="bottom"/>
            <w:gridSpan w:val="27"/>
          </w:tcPr>
          <w:p>
            <w:pPr>
              <w:spacing w:after="0"/>
              <w:rPr>
                <w:rFonts w:ascii="Times New Roman" w:cs="Times New Roman" w:eastAsia="Times New Roman" w:hAnsi="Times New Roman"/>
                <w:sz w:val="18"/>
                <w:szCs w:val="18"/>
                <w:color w:val="auto"/>
              </w:rPr>
            </w:pPr>
            <w:hyperlink r:id="rId133">
              <w:r>
                <w:rPr>
                  <w:rFonts w:ascii="Times New Roman" w:cs="Times New Roman" w:eastAsia="Times New Roman" w:hAnsi="Times New Roman"/>
                  <w:sz w:val="18"/>
                  <w:szCs w:val="18"/>
                  <w:color w:val="auto"/>
                </w:rPr>
                <w:t>Revolving Trade Receivables Purchase</w:t>
              </w:r>
            </w:hyperlink>
          </w:p>
        </w:tc>
        <w:tc>
          <w:tcPr>
            <w:tcW w:w="1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20-F</w:t>
            </w:r>
          </w:p>
        </w:tc>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001-14832</w:t>
            </w:r>
          </w:p>
        </w:tc>
        <w:tc>
          <w:tcPr>
            <w:tcW w:w="160" w:type="dxa"/>
            <w:vAlign w:val="bottom"/>
          </w:tcPr>
          <w:p>
            <w:pPr>
              <w:spacing w:after="0"/>
              <w:rPr>
                <w:sz w:val="19"/>
                <w:szCs w:val="19"/>
                <w:color w:val="auto"/>
              </w:rPr>
            </w:pPr>
          </w:p>
        </w:tc>
        <w:tc>
          <w:tcPr>
            <w:tcW w:w="1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March 16, 2020</w:t>
            </w:r>
          </w:p>
        </w:tc>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4.22</w:t>
            </w: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2820" w:type="dxa"/>
            <w:vAlign w:val="bottom"/>
            <w:tcBorders>
              <w:top w:val="single" w:sz="8" w:color="auto"/>
            </w:tcBorders>
            <w:gridSpan w:val="3"/>
          </w:tcPr>
          <w:p>
            <w:pPr>
              <w:spacing w:after="0" w:line="156" w:lineRule="exact"/>
              <w:rPr>
                <w:rFonts w:ascii="Times New Roman" w:cs="Times New Roman" w:eastAsia="Times New Roman" w:hAnsi="Times New Roman"/>
                <w:sz w:val="18"/>
                <w:szCs w:val="18"/>
                <w:color w:val="auto"/>
                <w:w w:val="99"/>
              </w:rPr>
            </w:pPr>
            <w:hyperlink r:id="rId133">
              <w:r>
                <w:rPr>
                  <w:rFonts w:ascii="Times New Roman" w:cs="Times New Roman" w:eastAsia="Times New Roman" w:hAnsi="Times New Roman"/>
                  <w:sz w:val="18"/>
                  <w:szCs w:val="18"/>
                  <w:color w:val="auto"/>
                  <w:w w:val="99"/>
                </w:rPr>
                <w:t>Agreement, dated as of March 6, 2020,</w:t>
              </w:r>
            </w:hyperlink>
          </w:p>
        </w:tc>
        <w:tc>
          <w:tcPr>
            <w:tcW w:w="940" w:type="dxa"/>
            <w:vAlign w:val="bottom"/>
            <w:gridSpan w:val="24"/>
          </w:tcPr>
          <w:p>
            <w:pPr>
              <w:jc w:val="center"/>
              <w:ind w:right="360"/>
              <w:spacing w:after="0" w:line="156" w:lineRule="exact"/>
              <w:rPr>
                <w:rFonts w:ascii="Times New Roman" w:cs="Times New Roman" w:eastAsia="Times New Roman" w:hAnsi="Times New Roman"/>
                <w:sz w:val="18"/>
                <w:szCs w:val="18"/>
                <w:color w:val="auto"/>
              </w:rPr>
            </w:pPr>
            <w:hyperlink r:id="rId133">
              <w:r>
                <w:rPr>
                  <w:rFonts w:ascii="Times New Roman" w:cs="Times New Roman" w:eastAsia="Times New Roman" w:hAnsi="Times New Roman"/>
                  <w:sz w:val="18"/>
                  <w:szCs w:val="18"/>
                  <w:color w:val="auto"/>
                </w:rPr>
                <w:t>among</w:t>
              </w:r>
            </w:hyperlink>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3380" w:type="dxa"/>
            <w:vAlign w:val="bottom"/>
            <w:tcBorders>
              <w:top w:val="single" w:sz="8" w:color="auto"/>
            </w:tcBorders>
            <w:gridSpan w:val="15"/>
          </w:tcPr>
          <w:p>
            <w:pPr>
              <w:spacing w:after="0" w:line="169" w:lineRule="exact"/>
              <w:rPr>
                <w:rFonts w:ascii="Times New Roman" w:cs="Times New Roman" w:eastAsia="Times New Roman" w:hAnsi="Times New Roman"/>
                <w:sz w:val="18"/>
                <w:szCs w:val="18"/>
                <w:color w:val="auto"/>
              </w:rPr>
            </w:pPr>
            <w:hyperlink r:id="rId133">
              <w:r>
                <w:rPr>
                  <w:rFonts w:ascii="Times New Roman" w:cs="Times New Roman" w:eastAsia="Times New Roman" w:hAnsi="Times New Roman"/>
                  <w:sz w:val="18"/>
                  <w:szCs w:val="18"/>
                  <w:color w:val="auto"/>
                </w:rPr>
                <w:t>Celestica LLC, Celestica Holdings Pte Ltd.,</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gridSpan w:val="2"/>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300" w:type="dxa"/>
            <w:vAlign w:val="bottom"/>
            <w:shd w:val="clear" w:color="auto" w:fill="000000"/>
          </w:tcPr>
          <w:p>
            <w:pPr>
              <w:spacing w:after="0" w:line="20" w:lineRule="exact"/>
              <w:rPr>
                <w:sz w:val="1"/>
                <w:szCs w:val="1"/>
                <w:color w:val="auto"/>
              </w:rPr>
            </w:pPr>
          </w:p>
        </w:tc>
        <w:tc>
          <w:tcPr>
            <w:tcW w:w="660" w:type="dxa"/>
            <w:vAlign w:val="bottom"/>
            <w:gridSpan w:val="3"/>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040" w:type="dxa"/>
            <w:vAlign w:val="bottom"/>
          </w:tcPr>
          <w:p>
            <w:pPr>
              <w:spacing w:after="0"/>
              <w:rPr>
                <w:sz w:val="13"/>
                <w:szCs w:val="13"/>
                <w:color w:val="auto"/>
              </w:rPr>
            </w:pPr>
          </w:p>
        </w:tc>
        <w:tc>
          <w:tcPr>
            <w:tcW w:w="3760" w:type="dxa"/>
            <w:vAlign w:val="bottom"/>
            <w:gridSpan w:val="27"/>
          </w:tcPr>
          <w:p>
            <w:pPr>
              <w:spacing w:after="0" w:line="156" w:lineRule="exact"/>
              <w:rPr>
                <w:rFonts w:ascii="Times New Roman" w:cs="Times New Roman" w:eastAsia="Times New Roman" w:hAnsi="Times New Roman"/>
                <w:sz w:val="18"/>
                <w:szCs w:val="18"/>
                <w:color w:val="auto"/>
              </w:rPr>
            </w:pPr>
            <w:hyperlink r:id="rId133">
              <w:r>
                <w:rPr>
                  <w:rFonts w:ascii="Times New Roman" w:cs="Times New Roman" w:eastAsia="Times New Roman" w:hAnsi="Times New Roman"/>
                  <w:sz w:val="18"/>
                  <w:szCs w:val="18"/>
                  <w:color w:val="auto"/>
                </w:rPr>
                <w:t>Celestica Hong Kong Ltd., Celestica (Romania)</w:t>
              </w:r>
            </w:hyperlink>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3480" w:type="dxa"/>
            <w:vAlign w:val="bottom"/>
            <w:tcBorders>
              <w:top w:val="single" w:sz="8" w:color="auto"/>
            </w:tcBorders>
            <w:gridSpan w:val="20"/>
          </w:tcPr>
          <w:p>
            <w:pPr>
              <w:spacing w:after="0" w:line="156" w:lineRule="exact"/>
              <w:rPr>
                <w:rFonts w:ascii="Times New Roman" w:cs="Times New Roman" w:eastAsia="Times New Roman" w:hAnsi="Times New Roman"/>
                <w:sz w:val="18"/>
                <w:szCs w:val="18"/>
                <w:color w:val="auto"/>
              </w:rPr>
            </w:pPr>
            <w:hyperlink r:id="rId133">
              <w:r>
                <w:rPr>
                  <w:rFonts w:ascii="Times New Roman" w:cs="Times New Roman" w:eastAsia="Times New Roman" w:hAnsi="Times New Roman"/>
                  <w:sz w:val="18"/>
                  <w:szCs w:val="18"/>
                  <w:color w:val="auto"/>
                </w:rPr>
                <w:t>S.R.L., Celestica Japan KK, Celestica Oregon</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gridSpan w:val="2"/>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3320" w:type="dxa"/>
            <w:vAlign w:val="bottom"/>
            <w:tcBorders>
              <w:top w:val="single" w:sz="8" w:color="auto"/>
            </w:tcBorders>
            <w:gridSpan w:val="13"/>
          </w:tcPr>
          <w:p>
            <w:pPr>
              <w:spacing w:after="0" w:line="169" w:lineRule="exact"/>
              <w:rPr>
                <w:rFonts w:ascii="Times New Roman" w:cs="Times New Roman" w:eastAsia="Times New Roman" w:hAnsi="Times New Roman"/>
                <w:sz w:val="18"/>
                <w:szCs w:val="18"/>
                <w:color w:val="auto"/>
              </w:rPr>
            </w:pPr>
            <w:hyperlink r:id="rId133">
              <w:r>
                <w:rPr>
                  <w:rFonts w:ascii="Times New Roman" w:cs="Times New Roman" w:eastAsia="Times New Roman" w:hAnsi="Times New Roman"/>
                  <w:sz w:val="18"/>
                  <w:szCs w:val="18"/>
                  <w:color w:val="auto"/>
                </w:rPr>
                <w:t>LLC, Celestica Precision Machining Ltd.,</w:t>
              </w:r>
            </w:hyperlink>
          </w:p>
        </w:tc>
        <w:tc>
          <w:tcPr>
            <w:tcW w:w="8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gridSpan w:val="2"/>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2960" w:type="dxa"/>
            <w:vAlign w:val="bottom"/>
            <w:tcBorders>
              <w:top w:val="single" w:sz="8" w:color="auto"/>
              <w:bottom w:val="single" w:sz="8" w:color="auto"/>
            </w:tcBorders>
            <w:gridSpan w:val="4"/>
          </w:tcPr>
          <w:p>
            <w:pPr>
              <w:spacing w:after="0" w:line="156" w:lineRule="exact"/>
              <w:rPr>
                <w:rFonts w:ascii="Times New Roman" w:cs="Times New Roman" w:eastAsia="Times New Roman" w:hAnsi="Times New Roman"/>
                <w:sz w:val="18"/>
                <w:szCs w:val="18"/>
                <w:color w:val="auto"/>
                <w:w w:val="99"/>
              </w:rPr>
            </w:pPr>
            <w:hyperlink r:id="rId133">
              <w:r>
                <w:rPr>
                  <w:rFonts w:ascii="Times New Roman" w:cs="Times New Roman" w:eastAsia="Times New Roman" w:hAnsi="Times New Roman"/>
                  <w:sz w:val="18"/>
                  <w:szCs w:val="18"/>
                  <w:color w:val="auto"/>
                  <w:w w:val="99"/>
                </w:rPr>
                <w:t>Celestica Electronics (M.) Sdn. Bhd, and</w:t>
              </w:r>
            </w:hyperlink>
          </w:p>
        </w:tc>
        <w:tc>
          <w:tcPr>
            <w:tcW w:w="60" w:type="dxa"/>
            <w:vAlign w:val="bottom"/>
            <w:tcBorders>
              <w:top w:val="single" w:sz="8" w:color="auto"/>
            </w:tcBorders>
            <w:gridSpan w:val="2"/>
          </w:tcPr>
          <w:p>
            <w:pPr>
              <w:spacing w:after="0"/>
              <w:rPr>
                <w:sz w:val="13"/>
                <w:szCs w:val="13"/>
                <w:color w:val="auto"/>
              </w:rPr>
            </w:pPr>
          </w:p>
        </w:tc>
        <w:tc>
          <w:tcPr>
            <w:tcW w:w="1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gridSpan w:val="2"/>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3760" w:type="dxa"/>
            <w:vAlign w:val="bottom"/>
            <w:gridSpan w:val="27"/>
          </w:tcPr>
          <w:p>
            <w:pPr>
              <w:spacing w:after="0" w:line="156" w:lineRule="exact"/>
              <w:rPr>
                <w:rFonts w:ascii="Times New Roman" w:cs="Times New Roman" w:eastAsia="Times New Roman" w:hAnsi="Times New Roman"/>
                <w:sz w:val="18"/>
                <w:szCs w:val="18"/>
                <w:color w:val="auto"/>
              </w:rPr>
            </w:pPr>
            <w:hyperlink r:id="rId133">
              <w:r>
                <w:rPr>
                  <w:rFonts w:ascii="Times New Roman" w:cs="Times New Roman" w:eastAsia="Times New Roman" w:hAnsi="Times New Roman"/>
                  <w:sz w:val="18"/>
                  <w:szCs w:val="18"/>
                  <w:color w:val="auto"/>
                </w:rPr>
                <w:t>Celestica International LP, as Sellers, Celestica</w:t>
              </w:r>
            </w:hyperlink>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3400" w:type="dxa"/>
            <w:vAlign w:val="bottom"/>
            <w:tcBorders>
              <w:top w:val="single" w:sz="8" w:color="auto"/>
              <w:bottom w:val="single" w:sz="8" w:color="auto"/>
            </w:tcBorders>
            <w:gridSpan w:val="16"/>
          </w:tcPr>
          <w:p>
            <w:pPr>
              <w:spacing w:after="0" w:line="169" w:lineRule="exact"/>
              <w:rPr>
                <w:rFonts w:ascii="Times New Roman" w:cs="Times New Roman" w:eastAsia="Times New Roman" w:hAnsi="Times New Roman"/>
                <w:sz w:val="18"/>
                <w:szCs w:val="18"/>
                <w:color w:val="auto"/>
                <w:w w:val="98"/>
              </w:rPr>
            </w:pPr>
            <w:hyperlink r:id="rId133">
              <w:r>
                <w:rPr>
                  <w:rFonts w:ascii="Times New Roman" w:cs="Times New Roman" w:eastAsia="Times New Roman" w:hAnsi="Times New Roman"/>
                  <w:sz w:val="18"/>
                  <w:szCs w:val="18"/>
                  <w:color w:val="auto"/>
                  <w:w w:val="98"/>
                </w:rPr>
                <w:t>Inc., as Servicer, and Credit Agricole Corporate</w:t>
              </w:r>
            </w:hyperlink>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gridSpan w:val="2"/>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3240" w:type="dxa"/>
            <w:vAlign w:val="bottom"/>
            <w:tcBorders>
              <w:bottom w:val="single" w:sz="8" w:color="auto"/>
            </w:tcBorders>
            <w:gridSpan w:val="11"/>
          </w:tcPr>
          <w:p>
            <w:pPr>
              <w:spacing w:after="0" w:line="156" w:lineRule="exact"/>
              <w:rPr>
                <w:rFonts w:ascii="Times New Roman" w:cs="Times New Roman" w:eastAsia="Times New Roman" w:hAnsi="Times New Roman"/>
                <w:sz w:val="18"/>
                <w:szCs w:val="18"/>
                <w:color w:val="auto"/>
                <w:w w:val="99"/>
              </w:rPr>
            </w:pPr>
            <w:hyperlink r:id="rId133">
              <w:r>
                <w:rPr>
                  <w:rFonts w:ascii="Times New Roman" w:cs="Times New Roman" w:eastAsia="Times New Roman" w:hAnsi="Times New Roman"/>
                  <w:sz w:val="18"/>
                  <w:szCs w:val="18"/>
                  <w:color w:val="auto"/>
                  <w:w w:val="99"/>
                </w:rPr>
                <w:t>and Investment Bank, New York Branch and</w:t>
              </w:r>
            </w:hyperlink>
          </w:p>
        </w:tc>
        <w:tc>
          <w:tcPr>
            <w:tcW w:w="220" w:type="dxa"/>
            <w:vAlign w:val="bottom"/>
            <w:gridSpan w:val="8"/>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gridSpan w:val="2"/>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3760" w:type="dxa"/>
            <w:vAlign w:val="bottom"/>
            <w:gridSpan w:val="27"/>
          </w:tcPr>
          <w:p>
            <w:pPr>
              <w:spacing w:after="0" w:line="156" w:lineRule="exact"/>
              <w:rPr>
                <w:rFonts w:ascii="Times New Roman" w:cs="Times New Roman" w:eastAsia="Times New Roman" w:hAnsi="Times New Roman"/>
                <w:sz w:val="18"/>
                <w:szCs w:val="18"/>
                <w:color w:val="auto"/>
              </w:rPr>
            </w:pPr>
            <w:hyperlink r:id="rId133">
              <w:r>
                <w:rPr>
                  <w:rFonts w:ascii="Times New Roman" w:cs="Times New Roman" w:eastAsia="Times New Roman" w:hAnsi="Times New Roman"/>
                  <w:sz w:val="18"/>
                  <w:szCs w:val="18"/>
                  <w:color w:val="auto"/>
                </w:rPr>
                <w:t>Credit Agricole Corporate and Investment Bank</w:t>
              </w:r>
            </w:hyperlink>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2300" w:type="dxa"/>
            <w:vAlign w:val="bottom"/>
            <w:tcBorders>
              <w:top w:val="single" w:sz="8" w:color="auto"/>
              <w:bottom w:val="single" w:sz="8" w:color="auto"/>
            </w:tcBorders>
          </w:tcPr>
          <w:p>
            <w:pPr>
              <w:spacing w:after="0" w:line="169" w:lineRule="exact"/>
              <w:rPr>
                <w:rFonts w:ascii="Times New Roman" w:cs="Times New Roman" w:eastAsia="Times New Roman" w:hAnsi="Times New Roman"/>
                <w:sz w:val="18"/>
                <w:szCs w:val="18"/>
                <w:color w:val="auto"/>
                <w:w w:val="99"/>
              </w:rPr>
            </w:pPr>
            <w:hyperlink r:id="rId133">
              <w:r>
                <w:rPr>
                  <w:rFonts w:ascii="Times New Roman" w:cs="Times New Roman" w:eastAsia="Times New Roman" w:hAnsi="Times New Roman"/>
                  <w:sz w:val="18"/>
                  <w:szCs w:val="18"/>
                  <w:color w:val="auto"/>
                  <w:w w:val="99"/>
                </w:rPr>
                <w:t>(Canada Branch), as Purchasers</w:t>
              </w:r>
            </w:hyperlink>
          </w:p>
        </w:tc>
        <w:tc>
          <w:tcPr>
            <w:tcW w:w="1220" w:type="dxa"/>
            <w:vAlign w:val="bottom"/>
            <w:tcBorders>
              <w:top w:val="single" w:sz="8" w:color="auto"/>
            </w:tcBorders>
            <w:gridSpan w:val="21"/>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gridSpan w:val="2"/>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10.19</w:t>
            </w:r>
          </w:p>
        </w:tc>
        <w:tc>
          <w:tcPr>
            <w:tcW w:w="3760" w:type="dxa"/>
            <w:vAlign w:val="bottom"/>
            <w:gridSpan w:val="27"/>
          </w:tcPr>
          <w:p>
            <w:pPr>
              <w:spacing w:after="0"/>
              <w:rPr>
                <w:rFonts w:ascii="Times New Roman" w:cs="Times New Roman" w:eastAsia="Times New Roman" w:hAnsi="Times New Roman"/>
                <w:sz w:val="18"/>
                <w:szCs w:val="18"/>
                <w:color w:val="auto"/>
              </w:rPr>
            </w:pPr>
            <w:hyperlink r:id="rId134">
              <w:r>
                <w:rPr>
                  <w:rFonts w:ascii="Times New Roman" w:cs="Times New Roman" w:eastAsia="Times New Roman" w:hAnsi="Times New Roman"/>
                  <w:sz w:val="18"/>
                  <w:szCs w:val="18"/>
                  <w:color w:val="auto"/>
                </w:rPr>
                <w:t>First Amendment to the Revolving Trade</w:t>
              </w:r>
            </w:hyperlink>
          </w:p>
        </w:tc>
        <w:tc>
          <w:tcPr>
            <w:tcW w:w="1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20-F</w:t>
            </w:r>
          </w:p>
        </w:tc>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001-14832</w:t>
            </w:r>
          </w:p>
        </w:tc>
        <w:tc>
          <w:tcPr>
            <w:tcW w:w="160" w:type="dxa"/>
            <w:vAlign w:val="bottom"/>
          </w:tcPr>
          <w:p>
            <w:pPr>
              <w:spacing w:after="0"/>
              <w:rPr>
                <w:sz w:val="18"/>
                <w:szCs w:val="18"/>
                <w:color w:val="auto"/>
              </w:rPr>
            </w:pPr>
          </w:p>
        </w:tc>
        <w:tc>
          <w:tcPr>
            <w:tcW w:w="1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March 14, 2022</w:t>
            </w:r>
          </w:p>
        </w:tc>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4.24</w:t>
            </w:r>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2980" w:type="dxa"/>
            <w:vAlign w:val="bottom"/>
            <w:tcBorders>
              <w:top w:val="single" w:sz="8" w:color="auto"/>
            </w:tcBorders>
            <w:gridSpan w:val="5"/>
          </w:tcPr>
          <w:p>
            <w:pPr>
              <w:spacing w:after="0" w:line="156" w:lineRule="exact"/>
              <w:rPr>
                <w:rFonts w:ascii="Times New Roman" w:cs="Times New Roman" w:eastAsia="Times New Roman" w:hAnsi="Times New Roman"/>
                <w:sz w:val="18"/>
                <w:szCs w:val="18"/>
                <w:color w:val="auto"/>
              </w:rPr>
            </w:pPr>
            <w:hyperlink r:id="rId134">
              <w:r>
                <w:rPr>
                  <w:rFonts w:ascii="Times New Roman" w:cs="Times New Roman" w:eastAsia="Times New Roman" w:hAnsi="Times New Roman"/>
                  <w:sz w:val="18"/>
                  <w:szCs w:val="18"/>
                  <w:color w:val="auto"/>
                </w:rPr>
                <w:t>Receivables Purchase Agreement, dated</w:t>
              </w:r>
            </w:hyperlink>
          </w:p>
        </w:tc>
        <w:tc>
          <w:tcPr>
            <w:tcW w:w="780" w:type="dxa"/>
            <w:vAlign w:val="bottom"/>
            <w:gridSpan w:val="22"/>
          </w:tcPr>
          <w:p>
            <w:pPr>
              <w:jc w:val="center"/>
              <w:ind w:right="480"/>
              <w:spacing w:after="0" w:line="156" w:lineRule="exact"/>
              <w:rPr>
                <w:rFonts w:ascii="Times New Roman" w:cs="Times New Roman" w:eastAsia="Times New Roman" w:hAnsi="Times New Roman"/>
                <w:sz w:val="18"/>
                <w:szCs w:val="18"/>
                <w:color w:val="auto"/>
                <w:w w:val="86"/>
              </w:rPr>
            </w:pPr>
            <w:hyperlink r:id="rId134">
              <w:r>
                <w:rPr>
                  <w:rFonts w:ascii="Times New Roman" w:cs="Times New Roman" w:eastAsia="Times New Roman" w:hAnsi="Times New Roman"/>
                  <w:sz w:val="18"/>
                  <w:szCs w:val="18"/>
                  <w:color w:val="auto"/>
                  <w:w w:val="86"/>
                </w:rPr>
                <w:t>as of</w:t>
              </w:r>
            </w:hyperlink>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2960" w:type="dxa"/>
            <w:vAlign w:val="bottom"/>
            <w:tcBorders>
              <w:top w:val="single" w:sz="8" w:color="auto"/>
              <w:bottom w:val="single" w:sz="8" w:color="auto"/>
            </w:tcBorders>
            <w:gridSpan w:val="4"/>
          </w:tcPr>
          <w:p>
            <w:pPr>
              <w:spacing w:after="0" w:line="169" w:lineRule="exact"/>
              <w:rPr>
                <w:rFonts w:ascii="Times New Roman" w:cs="Times New Roman" w:eastAsia="Times New Roman" w:hAnsi="Times New Roman"/>
                <w:sz w:val="18"/>
                <w:szCs w:val="18"/>
                <w:color w:val="auto"/>
                <w:w w:val="99"/>
              </w:rPr>
            </w:pPr>
            <w:hyperlink r:id="rId134">
              <w:r>
                <w:rPr>
                  <w:rFonts w:ascii="Times New Roman" w:cs="Times New Roman" w:eastAsia="Times New Roman" w:hAnsi="Times New Roman"/>
                  <w:sz w:val="18"/>
                  <w:szCs w:val="18"/>
                  <w:color w:val="auto"/>
                  <w:w w:val="99"/>
                </w:rPr>
                <w:t>February 4, 2022, among Celestica LLC,</w:t>
              </w:r>
            </w:hyperlink>
          </w:p>
        </w:tc>
        <w:tc>
          <w:tcPr>
            <w:tcW w:w="320" w:type="dxa"/>
            <w:vAlign w:val="bottom"/>
            <w:tcBorders>
              <w:top w:val="single" w:sz="8" w:color="auto"/>
            </w:tcBorders>
            <w:gridSpan w:val="8"/>
          </w:tcPr>
          <w:p>
            <w:pPr>
              <w:spacing w:after="0"/>
              <w:rPr>
                <w:sz w:val="14"/>
                <w:szCs w:val="14"/>
                <w:color w:val="auto"/>
              </w:rPr>
            </w:pPr>
          </w:p>
        </w:tc>
        <w:tc>
          <w:tcPr>
            <w:tcW w:w="12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gridSpan w:val="2"/>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3200" w:type="dxa"/>
            <w:vAlign w:val="bottom"/>
            <w:tcBorders>
              <w:bottom w:val="single" w:sz="8" w:color="auto"/>
            </w:tcBorders>
            <w:gridSpan w:val="9"/>
          </w:tcPr>
          <w:p>
            <w:pPr>
              <w:spacing w:after="0" w:line="156" w:lineRule="exact"/>
              <w:rPr>
                <w:rFonts w:ascii="Times New Roman" w:cs="Times New Roman" w:eastAsia="Times New Roman" w:hAnsi="Times New Roman"/>
                <w:sz w:val="18"/>
                <w:szCs w:val="18"/>
                <w:color w:val="auto"/>
              </w:rPr>
            </w:pPr>
            <w:hyperlink r:id="rId134">
              <w:r>
                <w:rPr>
                  <w:rFonts w:ascii="Times New Roman" w:cs="Times New Roman" w:eastAsia="Times New Roman" w:hAnsi="Times New Roman"/>
                  <w:sz w:val="18"/>
                  <w:szCs w:val="18"/>
                  <w:color w:val="auto"/>
                </w:rPr>
                <w:t>Celestica Holdings Pte Ltd., Celestica Hong</w:t>
              </w:r>
            </w:hyperlink>
          </w:p>
        </w:tc>
        <w:tc>
          <w:tcPr>
            <w:tcW w:w="560" w:type="dxa"/>
            <w:vAlign w:val="bottom"/>
            <w:gridSpan w:val="18"/>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3760" w:type="dxa"/>
            <w:vAlign w:val="bottom"/>
            <w:gridSpan w:val="27"/>
          </w:tcPr>
          <w:p>
            <w:pPr>
              <w:spacing w:after="0" w:line="156" w:lineRule="exact"/>
              <w:rPr>
                <w:rFonts w:ascii="Times New Roman" w:cs="Times New Roman" w:eastAsia="Times New Roman" w:hAnsi="Times New Roman"/>
                <w:sz w:val="18"/>
                <w:szCs w:val="18"/>
                <w:color w:val="auto"/>
              </w:rPr>
            </w:pPr>
            <w:hyperlink r:id="rId134">
              <w:r>
                <w:rPr>
                  <w:rFonts w:ascii="Times New Roman" w:cs="Times New Roman" w:eastAsia="Times New Roman" w:hAnsi="Times New Roman"/>
                  <w:sz w:val="18"/>
                  <w:szCs w:val="18"/>
                  <w:color w:val="auto"/>
                </w:rPr>
                <w:t>Kong Ltd., Celestica (Romania) S.R.L., Celestica</w:t>
              </w:r>
            </w:hyperlink>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3220" w:type="dxa"/>
            <w:vAlign w:val="bottom"/>
            <w:tcBorders>
              <w:top w:val="single" w:sz="8" w:color="auto"/>
              <w:bottom w:val="single" w:sz="8" w:color="auto"/>
            </w:tcBorders>
            <w:gridSpan w:val="10"/>
          </w:tcPr>
          <w:p>
            <w:pPr>
              <w:spacing w:after="0" w:line="169" w:lineRule="exact"/>
              <w:rPr>
                <w:rFonts w:ascii="Times New Roman" w:cs="Times New Roman" w:eastAsia="Times New Roman" w:hAnsi="Times New Roman"/>
                <w:sz w:val="18"/>
                <w:szCs w:val="18"/>
                <w:color w:val="auto"/>
              </w:rPr>
            </w:pPr>
            <w:hyperlink r:id="rId134">
              <w:r>
                <w:rPr>
                  <w:rFonts w:ascii="Times New Roman" w:cs="Times New Roman" w:eastAsia="Times New Roman" w:hAnsi="Times New Roman"/>
                  <w:sz w:val="18"/>
                  <w:szCs w:val="18"/>
                  <w:color w:val="auto"/>
                </w:rPr>
                <w:t>Japan KK, Celestica Oregon LLC, Celestica</w:t>
              </w:r>
            </w:hyperlink>
          </w:p>
        </w:tc>
        <w:tc>
          <w:tcPr>
            <w:tcW w:w="360" w:type="dxa"/>
            <w:vAlign w:val="bottom"/>
            <w:tcBorders>
              <w:top w:val="single" w:sz="8" w:color="auto"/>
            </w:tcBorders>
            <w:gridSpan w:val="15"/>
          </w:tcPr>
          <w:p>
            <w:pPr>
              <w:spacing w:after="0"/>
              <w:rPr>
                <w:sz w:val="14"/>
                <w:szCs w:val="14"/>
                <w:color w:val="auto"/>
              </w:rPr>
            </w:pPr>
          </w:p>
        </w:tc>
        <w:tc>
          <w:tcPr>
            <w:tcW w:w="180" w:type="dxa"/>
            <w:vAlign w:val="bottom"/>
            <w:gridSpan w:val="2"/>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3400" w:type="dxa"/>
            <w:vAlign w:val="bottom"/>
            <w:tcBorders>
              <w:bottom w:val="single" w:sz="8" w:color="auto"/>
            </w:tcBorders>
            <w:gridSpan w:val="16"/>
          </w:tcPr>
          <w:p>
            <w:pPr>
              <w:spacing w:after="0" w:line="156" w:lineRule="exact"/>
              <w:rPr>
                <w:rFonts w:ascii="Times New Roman" w:cs="Times New Roman" w:eastAsia="Times New Roman" w:hAnsi="Times New Roman"/>
                <w:sz w:val="18"/>
                <w:szCs w:val="18"/>
                <w:color w:val="auto"/>
              </w:rPr>
            </w:pPr>
            <w:hyperlink r:id="rId134">
              <w:r>
                <w:rPr>
                  <w:rFonts w:ascii="Times New Roman" w:cs="Times New Roman" w:eastAsia="Times New Roman" w:hAnsi="Times New Roman"/>
                  <w:sz w:val="18"/>
                  <w:szCs w:val="18"/>
                  <w:color w:val="auto"/>
                </w:rPr>
                <w:t>Electronics (M.) Sdn. Bhd, Celestica Precision</w:t>
              </w:r>
            </w:hyperlink>
          </w:p>
        </w:tc>
        <w:tc>
          <w:tcPr>
            <w:tcW w:w="360" w:type="dxa"/>
            <w:vAlign w:val="bottom"/>
            <w:gridSpan w:val="11"/>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3760" w:type="dxa"/>
            <w:vAlign w:val="bottom"/>
            <w:gridSpan w:val="27"/>
          </w:tcPr>
          <w:p>
            <w:pPr>
              <w:spacing w:after="0" w:line="156" w:lineRule="exact"/>
              <w:rPr>
                <w:rFonts w:ascii="Times New Roman" w:cs="Times New Roman" w:eastAsia="Times New Roman" w:hAnsi="Times New Roman"/>
                <w:sz w:val="18"/>
                <w:szCs w:val="18"/>
                <w:color w:val="auto"/>
              </w:rPr>
            </w:pPr>
            <w:hyperlink r:id="rId134">
              <w:r>
                <w:rPr>
                  <w:rFonts w:ascii="Times New Roman" w:cs="Times New Roman" w:eastAsia="Times New Roman" w:hAnsi="Times New Roman"/>
                  <w:sz w:val="18"/>
                  <w:szCs w:val="18"/>
                  <w:color w:val="auto"/>
                </w:rPr>
                <w:t>Machining Ltd., and Celestica International LP,</w:t>
              </w:r>
            </w:hyperlink>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3440" w:type="dxa"/>
            <w:vAlign w:val="bottom"/>
            <w:tcBorders>
              <w:top w:val="single" w:sz="8" w:color="auto"/>
              <w:bottom w:val="single" w:sz="8" w:color="auto"/>
            </w:tcBorders>
            <w:gridSpan w:val="18"/>
          </w:tcPr>
          <w:p>
            <w:pPr>
              <w:spacing w:after="0" w:line="169" w:lineRule="exact"/>
              <w:rPr>
                <w:rFonts w:ascii="Times New Roman" w:cs="Times New Roman" w:eastAsia="Times New Roman" w:hAnsi="Times New Roman"/>
                <w:sz w:val="18"/>
                <w:szCs w:val="18"/>
                <w:color w:val="auto"/>
                <w:w w:val="98"/>
              </w:rPr>
            </w:pPr>
            <w:hyperlink r:id="rId134">
              <w:r>
                <w:rPr>
                  <w:rFonts w:ascii="Times New Roman" w:cs="Times New Roman" w:eastAsia="Times New Roman" w:hAnsi="Times New Roman"/>
                  <w:sz w:val="18"/>
                  <w:szCs w:val="18"/>
                  <w:color w:val="auto"/>
                  <w:w w:val="98"/>
                </w:rPr>
                <w:t>as Sellers, Celestica Inc., as Servicer, and Credit</w:t>
              </w:r>
            </w:hyperlink>
          </w:p>
        </w:tc>
        <w:tc>
          <w:tcPr>
            <w:tcW w:w="60" w:type="dxa"/>
            <w:vAlign w:val="bottom"/>
            <w:tcBorders>
              <w:bottom w:val="single" w:sz="8" w:color="auto"/>
            </w:tcBorders>
            <w:gridSpan w:val="3"/>
          </w:tcPr>
          <w:p>
            <w:pPr>
              <w:spacing w:after="0"/>
              <w:rPr>
                <w:sz w:val="14"/>
                <w:szCs w:val="14"/>
                <w:color w:val="auto"/>
              </w:rPr>
            </w:pPr>
          </w:p>
        </w:tc>
        <w:tc>
          <w:tcPr>
            <w:tcW w:w="40" w:type="dxa"/>
            <w:vAlign w:val="bottom"/>
            <w:tcBorders>
              <w:bottom w:val="single" w:sz="8" w:color="auto"/>
            </w:tcBorders>
            <w:gridSpan w:val="2"/>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gridSpan w:val="3"/>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3540" w:type="dxa"/>
            <w:vAlign w:val="bottom"/>
            <w:gridSpan w:val="23"/>
          </w:tcPr>
          <w:p>
            <w:pPr>
              <w:spacing w:after="0" w:line="156" w:lineRule="exact"/>
              <w:rPr>
                <w:rFonts w:ascii="Times New Roman" w:cs="Times New Roman" w:eastAsia="Times New Roman" w:hAnsi="Times New Roman"/>
                <w:sz w:val="18"/>
                <w:szCs w:val="18"/>
                <w:color w:val="auto"/>
              </w:rPr>
            </w:pPr>
            <w:hyperlink r:id="rId134">
              <w:r>
                <w:rPr>
                  <w:rFonts w:ascii="Times New Roman" w:cs="Times New Roman" w:eastAsia="Times New Roman" w:hAnsi="Times New Roman"/>
                  <w:sz w:val="18"/>
                  <w:szCs w:val="18"/>
                  <w:color w:val="auto"/>
                </w:rPr>
                <w:t>Agricole Corporate and Investment Bank, New</w:t>
              </w:r>
            </w:hyperlink>
          </w:p>
        </w:tc>
        <w:tc>
          <w:tcPr>
            <w:tcW w:w="20" w:type="dxa"/>
            <w:vAlign w:val="bottom"/>
          </w:tcPr>
          <w:p>
            <w:pPr>
              <w:spacing w:after="0"/>
              <w:rPr>
                <w:sz w:val="13"/>
                <w:szCs w:val="13"/>
                <w:color w:val="auto"/>
              </w:rPr>
            </w:pPr>
          </w:p>
        </w:tc>
        <w:tc>
          <w:tcPr>
            <w:tcW w:w="200" w:type="dxa"/>
            <w:vAlign w:val="bottom"/>
            <w:gridSpan w:val="3"/>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3420" w:type="dxa"/>
            <w:vAlign w:val="bottom"/>
            <w:tcBorders>
              <w:top w:val="single" w:sz="8" w:color="auto"/>
              <w:bottom w:val="single" w:sz="8" w:color="auto"/>
            </w:tcBorders>
            <w:gridSpan w:val="17"/>
          </w:tcPr>
          <w:p>
            <w:pPr>
              <w:spacing w:after="0" w:line="156" w:lineRule="exact"/>
              <w:rPr>
                <w:rFonts w:ascii="Times New Roman" w:cs="Times New Roman" w:eastAsia="Times New Roman" w:hAnsi="Times New Roman"/>
                <w:sz w:val="18"/>
                <w:szCs w:val="18"/>
                <w:color w:val="auto"/>
                <w:w w:val="97"/>
              </w:rPr>
            </w:pPr>
            <w:hyperlink r:id="rId134">
              <w:r>
                <w:rPr>
                  <w:rFonts w:ascii="Times New Roman" w:cs="Times New Roman" w:eastAsia="Times New Roman" w:hAnsi="Times New Roman"/>
                  <w:sz w:val="18"/>
                  <w:szCs w:val="18"/>
                  <w:color w:val="auto"/>
                  <w:w w:val="97"/>
                </w:rPr>
                <w:t>York Branch and Credit Agricole Corporate and</w:t>
              </w:r>
            </w:hyperlink>
          </w:p>
        </w:tc>
        <w:tc>
          <w:tcPr>
            <w:tcW w:w="80" w:type="dxa"/>
            <w:vAlign w:val="bottom"/>
            <w:tcBorders>
              <w:bottom w:val="single" w:sz="8" w:color="auto"/>
            </w:tcBorders>
            <w:gridSpan w:val="4"/>
          </w:tcPr>
          <w:p>
            <w:pPr>
              <w:spacing w:after="0"/>
              <w:rPr>
                <w:sz w:val="13"/>
                <w:szCs w:val="13"/>
                <w:color w:val="auto"/>
              </w:rPr>
            </w:pPr>
          </w:p>
        </w:tc>
        <w:tc>
          <w:tcPr>
            <w:tcW w:w="60" w:type="dxa"/>
            <w:vAlign w:val="bottom"/>
            <w:gridSpan w:val="3"/>
          </w:tcPr>
          <w:p>
            <w:pPr>
              <w:spacing w:after="0"/>
              <w:rPr>
                <w:sz w:val="13"/>
                <w:szCs w:val="13"/>
                <w:color w:val="auto"/>
              </w:rPr>
            </w:pPr>
          </w:p>
        </w:tc>
        <w:tc>
          <w:tcPr>
            <w:tcW w:w="200" w:type="dxa"/>
            <w:vAlign w:val="bottom"/>
            <w:gridSpan w:val="3"/>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3500" w:type="dxa"/>
            <w:vAlign w:val="bottom"/>
            <w:tcBorders>
              <w:bottom w:val="single" w:sz="8" w:color="auto"/>
            </w:tcBorders>
            <w:gridSpan w:val="21"/>
          </w:tcPr>
          <w:p>
            <w:pPr>
              <w:spacing w:after="0" w:line="169" w:lineRule="exact"/>
              <w:rPr>
                <w:rFonts w:ascii="Times New Roman" w:cs="Times New Roman" w:eastAsia="Times New Roman" w:hAnsi="Times New Roman"/>
                <w:sz w:val="18"/>
                <w:szCs w:val="18"/>
                <w:color w:val="auto"/>
                <w:w w:val="97"/>
              </w:rPr>
            </w:pPr>
            <w:hyperlink r:id="rId134">
              <w:r>
                <w:rPr>
                  <w:rFonts w:ascii="Times New Roman" w:cs="Times New Roman" w:eastAsia="Times New Roman" w:hAnsi="Times New Roman"/>
                  <w:sz w:val="18"/>
                  <w:szCs w:val="18"/>
                  <w:color w:val="auto"/>
                  <w:w w:val="97"/>
                </w:rPr>
                <w:t>Investment Bank (Canada Branch), as Purchasers</w:t>
              </w:r>
            </w:hyperlink>
          </w:p>
        </w:tc>
        <w:tc>
          <w:tcPr>
            <w:tcW w:w="60" w:type="dxa"/>
            <w:vAlign w:val="bottom"/>
            <w:tcBorders>
              <w:bottom w:val="single" w:sz="8" w:color="auto"/>
            </w:tcBorders>
            <w:gridSpan w:val="3"/>
          </w:tcPr>
          <w:p>
            <w:pPr>
              <w:spacing w:after="0"/>
              <w:rPr>
                <w:sz w:val="14"/>
                <w:szCs w:val="14"/>
                <w:color w:val="auto"/>
              </w:rPr>
            </w:pPr>
          </w:p>
        </w:tc>
        <w:tc>
          <w:tcPr>
            <w:tcW w:w="200" w:type="dxa"/>
            <w:vAlign w:val="bottom"/>
            <w:gridSpan w:val="3"/>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10.20</w:t>
            </w:r>
          </w:p>
        </w:tc>
        <w:tc>
          <w:tcPr>
            <w:tcW w:w="3180" w:type="dxa"/>
            <w:vAlign w:val="bottom"/>
            <w:tcBorders>
              <w:bottom w:val="single" w:sz="8" w:color="auto"/>
            </w:tcBorders>
            <w:gridSpan w:val="8"/>
          </w:tcPr>
          <w:p>
            <w:pPr>
              <w:spacing w:after="0"/>
              <w:rPr>
                <w:rFonts w:ascii="Times New Roman" w:cs="Times New Roman" w:eastAsia="Times New Roman" w:hAnsi="Times New Roman"/>
                <w:sz w:val="18"/>
                <w:szCs w:val="18"/>
                <w:color w:val="auto"/>
                <w:w w:val="99"/>
              </w:rPr>
            </w:pPr>
            <w:hyperlink r:id="rId135">
              <w:r>
                <w:rPr>
                  <w:rFonts w:ascii="Times New Roman" w:cs="Times New Roman" w:eastAsia="Times New Roman" w:hAnsi="Times New Roman"/>
                  <w:sz w:val="18"/>
                  <w:szCs w:val="18"/>
                  <w:color w:val="auto"/>
                  <w:w w:val="99"/>
                </w:rPr>
                <w:t>Second Amendment to the Revolving Trade</w:t>
              </w:r>
            </w:hyperlink>
          </w:p>
        </w:tc>
        <w:tc>
          <w:tcPr>
            <w:tcW w:w="580" w:type="dxa"/>
            <w:vAlign w:val="bottom"/>
            <w:gridSpan w:val="19"/>
          </w:tcPr>
          <w:p>
            <w:pPr>
              <w:spacing w:after="0"/>
              <w:rPr>
                <w:sz w:val="18"/>
                <w:szCs w:val="18"/>
                <w:color w:val="auto"/>
              </w:rPr>
            </w:pPr>
          </w:p>
        </w:tc>
        <w:tc>
          <w:tcPr>
            <w:tcW w:w="1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20-F</w:t>
            </w:r>
          </w:p>
        </w:tc>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001-14832</w:t>
            </w:r>
          </w:p>
        </w:tc>
        <w:tc>
          <w:tcPr>
            <w:tcW w:w="160" w:type="dxa"/>
            <w:vAlign w:val="bottom"/>
          </w:tcPr>
          <w:p>
            <w:pPr>
              <w:spacing w:after="0"/>
              <w:rPr>
                <w:sz w:val="18"/>
                <w:szCs w:val="18"/>
                <w:color w:val="auto"/>
              </w:rPr>
            </w:pPr>
          </w:p>
        </w:tc>
        <w:tc>
          <w:tcPr>
            <w:tcW w:w="1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March 13, 2023</w:t>
            </w:r>
          </w:p>
        </w:tc>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4.21</w:t>
            </w: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3760" w:type="dxa"/>
            <w:vAlign w:val="bottom"/>
            <w:gridSpan w:val="27"/>
          </w:tcPr>
          <w:p>
            <w:pPr>
              <w:spacing w:after="0" w:line="182" w:lineRule="exact"/>
              <w:rPr>
                <w:rFonts w:ascii="Times New Roman" w:cs="Times New Roman" w:eastAsia="Times New Roman" w:hAnsi="Times New Roman"/>
                <w:sz w:val="18"/>
                <w:szCs w:val="18"/>
                <w:color w:val="auto"/>
              </w:rPr>
            </w:pPr>
            <w:hyperlink r:id="rId135">
              <w:r>
                <w:rPr>
                  <w:rFonts w:ascii="Times New Roman" w:cs="Times New Roman" w:eastAsia="Times New Roman" w:hAnsi="Times New Roman"/>
                  <w:sz w:val="18"/>
                  <w:szCs w:val="18"/>
                  <w:color w:val="auto"/>
                </w:rPr>
                <w:t>Receivables Purchase Agreement, dated as of</w:t>
              </w:r>
            </w:hyperlink>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040" w:type="dxa"/>
            <w:vAlign w:val="bottom"/>
          </w:tcPr>
          <w:p>
            <w:pPr>
              <w:spacing w:after="0"/>
              <w:rPr>
                <w:sz w:val="15"/>
                <w:szCs w:val="15"/>
                <w:color w:val="auto"/>
              </w:rPr>
            </w:pPr>
          </w:p>
        </w:tc>
        <w:tc>
          <w:tcPr>
            <w:tcW w:w="3280" w:type="dxa"/>
            <w:vAlign w:val="bottom"/>
            <w:tcBorders>
              <w:top w:val="single" w:sz="8" w:color="auto"/>
            </w:tcBorders>
            <w:gridSpan w:val="12"/>
          </w:tcPr>
          <w:p>
            <w:pPr>
              <w:spacing w:after="0" w:line="182" w:lineRule="exact"/>
              <w:rPr>
                <w:rFonts w:ascii="Times New Roman" w:cs="Times New Roman" w:eastAsia="Times New Roman" w:hAnsi="Times New Roman"/>
                <w:sz w:val="18"/>
                <w:szCs w:val="18"/>
                <w:color w:val="auto"/>
              </w:rPr>
            </w:pPr>
            <w:hyperlink r:id="rId135">
              <w:r>
                <w:rPr>
                  <w:rFonts w:ascii="Times New Roman" w:cs="Times New Roman" w:eastAsia="Times New Roman" w:hAnsi="Times New Roman"/>
                  <w:sz w:val="18"/>
                  <w:szCs w:val="18"/>
                  <w:color w:val="auto"/>
                </w:rPr>
                <w:t>September 27, 2022, among Celestica LLC,</w:t>
              </w:r>
            </w:hyperlink>
          </w:p>
        </w:tc>
        <w:tc>
          <w:tcPr>
            <w:tcW w:w="480" w:type="dxa"/>
            <w:vAlign w:val="bottom"/>
            <w:gridSpan w:val="15"/>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3160" w:type="dxa"/>
            <w:vAlign w:val="bottom"/>
            <w:tcBorders>
              <w:top w:val="single" w:sz="8" w:color="auto"/>
              <w:bottom w:val="single" w:sz="8" w:color="auto"/>
            </w:tcBorders>
            <w:gridSpan w:val="7"/>
          </w:tcPr>
          <w:p>
            <w:pPr>
              <w:spacing w:after="0" w:line="182" w:lineRule="exact"/>
              <w:rPr>
                <w:rFonts w:ascii="Times New Roman" w:cs="Times New Roman" w:eastAsia="Times New Roman" w:hAnsi="Times New Roman"/>
                <w:sz w:val="18"/>
                <w:szCs w:val="18"/>
                <w:color w:val="auto"/>
                <w:w w:val="98"/>
              </w:rPr>
            </w:pPr>
            <w:hyperlink r:id="rId135">
              <w:r>
                <w:rPr>
                  <w:rFonts w:ascii="Times New Roman" w:cs="Times New Roman" w:eastAsia="Times New Roman" w:hAnsi="Times New Roman"/>
                  <w:sz w:val="18"/>
                  <w:szCs w:val="18"/>
                  <w:color w:val="auto"/>
                  <w:w w:val="98"/>
                </w:rPr>
                <w:t>Celestica Holdings Pte Ltd., Celestica Hong</w:t>
              </w:r>
            </w:hyperlink>
          </w:p>
        </w:tc>
        <w:tc>
          <w:tcPr>
            <w:tcW w:w="40" w:type="dxa"/>
            <w:vAlign w:val="bottom"/>
            <w:tcBorders>
              <w:bottom w:val="single" w:sz="8" w:color="auto"/>
            </w:tcBorders>
            <w:gridSpan w:val="2"/>
          </w:tcPr>
          <w:p>
            <w:pPr>
              <w:spacing w:after="0"/>
              <w:rPr>
                <w:sz w:val="15"/>
                <w:szCs w:val="15"/>
                <w:color w:val="auto"/>
              </w:rPr>
            </w:pPr>
          </w:p>
        </w:tc>
        <w:tc>
          <w:tcPr>
            <w:tcW w:w="560" w:type="dxa"/>
            <w:vAlign w:val="bottom"/>
            <w:gridSpan w:val="18"/>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3760" w:type="dxa"/>
            <w:vAlign w:val="bottom"/>
            <w:gridSpan w:val="27"/>
          </w:tcPr>
          <w:p>
            <w:pPr>
              <w:spacing w:after="0" w:line="182" w:lineRule="exact"/>
              <w:rPr>
                <w:rFonts w:ascii="Times New Roman" w:cs="Times New Roman" w:eastAsia="Times New Roman" w:hAnsi="Times New Roman"/>
                <w:sz w:val="18"/>
                <w:szCs w:val="18"/>
                <w:color w:val="auto"/>
              </w:rPr>
            </w:pPr>
            <w:hyperlink r:id="rId135">
              <w:r>
                <w:rPr>
                  <w:rFonts w:ascii="Times New Roman" w:cs="Times New Roman" w:eastAsia="Times New Roman" w:hAnsi="Times New Roman"/>
                  <w:sz w:val="18"/>
                  <w:szCs w:val="18"/>
                  <w:color w:val="auto"/>
                </w:rPr>
                <w:t>Kong Ltd., Celestica (Romania) S.R.L., Celestica</w:t>
              </w:r>
            </w:hyperlink>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3220" w:type="dxa"/>
            <w:vAlign w:val="bottom"/>
            <w:tcBorders>
              <w:top w:val="single" w:sz="8" w:color="auto"/>
              <w:bottom w:val="single" w:sz="8" w:color="auto"/>
            </w:tcBorders>
            <w:gridSpan w:val="10"/>
          </w:tcPr>
          <w:p>
            <w:pPr>
              <w:spacing w:after="0" w:line="182" w:lineRule="exact"/>
              <w:rPr>
                <w:rFonts w:ascii="Times New Roman" w:cs="Times New Roman" w:eastAsia="Times New Roman" w:hAnsi="Times New Roman"/>
                <w:sz w:val="18"/>
                <w:szCs w:val="18"/>
                <w:color w:val="auto"/>
              </w:rPr>
            </w:pPr>
            <w:hyperlink r:id="rId135">
              <w:r>
                <w:rPr>
                  <w:rFonts w:ascii="Times New Roman" w:cs="Times New Roman" w:eastAsia="Times New Roman" w:hAnsi="Times New Roman"/>
                  <w:sz w:val="18"/>
                  <w:szCs w:val="18"/>
                  <w:color w:val="auto"/>
                </w:rPr>
                <w:t>Japan KK, Celestica Oregon LLC, Celestica</w:t>
              </w:r>
            </w:hyperlink>
          </w:p>
        </w:tc>
        <w:tc>
          <w:tcPr>
            <w:tcW w:w="360" w:type="dxa"/>
            <w:vAlign w:val="bottom"/>
            <w:tcBorders>
              <w:top w:val="single" w:sz="8" w:color="auto"/>
            </w:tcBorders>
            <w:gridSpan w:val="15"/>
          </w:tcPr>
          <w:p>
            <w:pPr>
              <w:spacing w:after="0"/>
              <w:rPr>
                <w:sz w:val="15"/>
                <w:szCs w:val="15"/>
                <w:color w:val="auto"/>
              </w:rPr>
            </w:pPr>
          </w:p>
        </w:tc>
        <w:tc>
          <w:tcPr>
            <w:tcW w:w="180" w:type="dxa"/>
            <w:vAlign w:val="bottom"/>
            <w:gridSpan w:val="2"/>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1040"/>
        <w:spacing w:after="0" w:line="236" w:lineRule="auto"/>
        <w:rPr>
          <w:rFonts w:ascii="Times New Roman" w:cs="Times New Roman" w:eastAsia="Times New Roman" w:hAnsi="Times New Roman"/>
          <w:sz w:val="18"/>
          <w:szCs w:val="18"/>
          <w:u w:val="single" w:color="auto"/>
          <w:color w:val="auto"/>
        </w:rPr>
      </w:pPr>
      <w:hyperlink r:id="rId135">
        <w:r>
          <w:rPr>
            <w:rFonts w:ascii="Times New Roman" w:cs="Times New Roman" w:eastAsia="Times New Roman" w:hAnsi="Times New Roman"/>
            <w:sz w:val="18"/>
            <w:szCs w:val="18"/>
            <w:u w:val="single" w:color="auto"/>
            <w:color w:val="auto"/>
          </w:rPr>
          <w:t>Electronics (M.) Sdn. Bhd, Celestica Precision</w:t>
        </w:r>
      </w:hyperlink>
    </w:p>
    <w:p>
      <w:pPr>
        <w:ind w:left="1040"/>
        <w:spacing w:after="0" w:line="235" w:lineRule="auto"/>
        <w:rPr>
          <w:rFonts w:ascii="Times New Roman" w:cs="Times New Roman" w:eastAsia="Times New Roman" w:hAnsi="Times New Roman"/>
          <w:sz w:val="18"/>
          <w:szCs w:val="18"/>
          <w:u w:val="single" w:color="auto"/>
          <w:color w:val="auto"/>
        </w:rPr>
      </w:pPr>
      <w:hyperlink r:id="rId135">
        <w:r>
          <w:rPr>
            <w:rFonts w:ascii="Times New Roman" w:cs="Times New Roman" w:eastAsia="Times New Roman" w:hAnsi="Times New Roman"/>
            <w:sz w:val="18"/>
            <w:szCs w:val="18"/>
            <w:u w:val="single" w:color="auto"/>
            <w:color w:val="auto"/>
          </w:rPr>
          <w:t>Machining Ltd., and Celestica International LP,</w:t>
        </w:r>
      </w:hyperlink>
    </w:p>
    <w:p>
      <w:pPr>
        <w:ind w:left="1040"/>
        <w:spacing w:after="0" w:line="235" w:lineRule="auto"/>
        <w:rPr>
          <w:rFonts w:ascii="Times New Roman" w:cs="Times New Roman" w:eastAsia="Times New Roman" w:hAnsi="Times New Roman"/>
          <w:sz w:val="18"/>
          <w:szCs w:val="18"/>
          <w:u w:val="single" w:color="auto"/>
          <w:color w:val="auto"/>
        </w:rPr>
      </w:pPr>
      <w:hyperlink r:id="rId135">
        <w:r>
          <w:rPr>
            <w:rFonts w:ascii="Times New Roman" w:cs="Times New Roman" w:eastAsia="Times New Roman" w:hAnsi="Times New Roman"/>
            <w:sz w:val="18"/>
            <w:szCs w:val="18"/>
            <w:u w:val="single" w:color="auto"/>
            <w:color w:val="auto"/>
          </w:rPr>
          <w:t>as Sellers, Celestica Inc., as Servicer, and Credit</w:t>
        </w:r>
      </w:hyperlink>
    </w:p>
    <w:p>
      <w:pPr>
        <w:ind w:left="1040"/>
        <w:spacing w:after="0" w:line="235" w:lineRule="auto"/>
        <w:rPr>
          <w:rFonts w:ascii="Times New Roman" w:cs="Times New Roman" w:eastAsia="Times New Roman" w:hAnsi="Times New Roman"/>
          <w:sz w:val="18"/>
          <w:szCs w:val="18"/>
          <w:u w:val="single" w:color="auto"/>
          <w:color w:val="auto"/>
        </w:rPr>
      </w:pPr>
      <w:hyperlink r:id="rId135">
        <w:r>
          <w:rPr>
            <w:rFonts w:ascii="Times New Roman" w:cs="Times New Roman" w:eastAsia="Times New Roman" w:hAnsi="Times New Roman"/>
            <w:sz w:val="18"/>
            <w:szCs w:val="18"/>
            <w:u w:val="single" w:color="auto"/>
            <w:color w:val="auto"/>
          </w:rPr>
          <w:t>Agricole Corporate and Investment Bank, New</w:t>
        </w:r>
      </w:hyperlink>
    </w:p>
    <w:p>
      <w:pPr>
        <w:ind w:left="1040"/>
        <w:spacing w:after="0" w:line="234" w:lineRule="auto"/>
        <w:rPr>
          <w:rFonts w:ascii="Times New Roman" w:cs="Times New Roman" w:eastAsia="Times New Roman" w:hAnsi="Times New Roman"/>
          <w:sz w:val="18"/>
          <w:szCs w:val="18"/>
          <w:u w:val="single" w:color="auto"/>
          <w:color w:val="auto"/>
        </w:rPr>
      </w:pPr>
      <w:hyperlink r:id="rId135">
        <w:r>
          <w:rPr>
            <w:rFonts w:ascii="Times New Roman" w:cs="Times New Roman" w:eastAsia="Times New Roman" w:hAnsi="Times New Roman"/>
            <w:sz w:val="18"/>
            <w:szCs w:val="18"/>
            <w:u w:val="single" w:color="auto"/>
            <w:color w:val="auto"/>
          </w:rPr>
          <w:t>York Branch and Credit Agricole Corporate and</w:t>
        </w:r>
      </w:hyperlink>
    </w:p>
    <w:p>
      <w:pPr>
        <w:spacing w:after="0" w:line="1" w:lineRule="exact"/>
        <w:rPr>
          <w:sz w:val="20"/>
          <w:szCs w:val="20"/>
          <w:color w:val="auto"/>
        </w:rPr>
      </w:pPr>
    </w:p>
    <w:p>
      <w:pPr>
        <w:ind w:left="1040"/>
        <w:spacing w:after="0"/>
        <w:rPr>
          <w:rFonts w:ascii="Times New Roman" w:cs="Times New Roman" w:eastAsia="Times New Roman" w:hAnsi="Times New Roman"/>
          <w:sz w:val="18"/>
          <w:szCs w:val="18"/>
          <w:u w:val="single" w:color="auto"/>
          <w:color w:val="auto"/>
        </w:rPr>
      </w:pPr>
      <w:hyperlink r:id="rId135">
        <w:r>
          <w:rPr>
            <w:rFonts w:ascii="Times New Roman" w:cs="Times New Roman" w:eastAsia="Times New Roman" w:hAnsi="Times New Roman"/>
            <w:sz w:val="18"/>
            <w:szCs w:val="18"/>
            <w:u w:val="single" w:color="auto"/>
            <w:color w:val="auto"/>
          </w:rPr>
          <w:t>Investment Bank (Canada Branch), as Purchasers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227330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14"/>
          <w:szCs w:val="14"/>
          <w:b w:val="1"/>
          <w:bCs w:val="1"/>
          <w:color w:val="auto"/>
        </w:rPr>
        <w:t>Filed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wp:posOffset>
            </wp:positionH>
            <wp:positionV relativeFrom="paragraph">
              <wp:posOffset>13335</wp:posOffset>
            </wp:positionV>
            <wp:extent cx="53149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7">
                      <a:extLst>
                        <a:ext uri="{28A0092B-C50C-407E-A947-70E740481C1C}"/>
                      </a:extLst>
                    </a:blip>
                    <a:srcRect/>
                    <a:stretch>
                      <a:fillRect/>
                    </a:stretch>
                  </pic:blipFill>
                  <pic:spPr bwMode="auto">
                    <a:xfrm>
                      <a:off x="0" y="0"/>
                      <a:ext cx="531495" cy="8255"/>
                    </a:xfrm>
                    <a:prstGeom prst="rect">
                      <a:avLst/>
                    </a:prstGeom>
                    <a:noFill/>
                  </pic:spPr>
                </pic:pic>
              </a:graphicData>
            </a:graphic>
          </wp:anchor>
        </w:drawing>
      </w:r>
    </w:p>
    <w:p>
      <w:pPr>
        <w:sectPr>
          <w:pgSz w:w="11900" w:h="16838" w:orient="portrait"/>
          <w:cols w:equalWidth="0" w:num="2">
            <w:col w:w="9720" w:space="280"/>
            <w:col w:w="580"/>
          </w:cols>
          <w:pgMar w:left="660" w:top="965" w:right="659" w:bottom="1440" w:gutter="0" w:footer="0" w:header="0"/>
        </w:sectPr>
      </w:pPr>
    </w:p>
    <w:bookmarkStart w:id="104" w:name="page105"/>
    <w:bookmarkEnd w:id="104"/>
    <w:tbl>
      <w:tblPr>
        <w:tblLayout w:type="fixed"/>
        <w:tblInd w:w="340" w:type="dxa"/>
        <w:tblCellMar>
          <w:top w:w="0" w:type="dxa"/>
          <w:left w:w="0" w:type="dxa"/>
          <w:bottom w:w="0" w:type="dxa"/>
          <w:right w:w="0" w:type="dxa"/>
        </w:tblCellMar>
      </w:tblPr>
      <w:tr>
        <w:trPr>
          <w:trHeight w:val="184"/>
        </w:trPr>
        <w:tc>
          <w:tcPr>
            <w:tcW w:w="10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140" w:type="dxa"/>
            <w:vAlign w:val="bottom"/>
            <w:gridSpan w:val="4"/>
          </w:tcPr>
          <w:p>
            <w:pPr>
              <w:ind w:left="460"/>
              <w:spacing w:after="0"/>
              <w:rPr>
                <w:sz w:val="20"/>
                <w:szCs w:val="20"/>
                <w:color w:val="auto"/>
              </w:rPr>
            </w:pPr>
            <w:r>
              <w:rPr>
                <w:rFonts w:ascii="Times New Roman" w:cs="Times New Roman" w:eastAsia="Times New Roman" w:hAnsi="Times New Roman"/>
                <w:sz w:val="16"/>
                <w:szCs w:val="16"/>
                <w:b w:val="1"/>
                <w:bCs w:val="1"/>
                <w:color w:val="auto"/>
              </w:rPr>
              <w:t>Incorporated by Reference</w:t>
            </w: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176"/>
        </w:trPr>
        <w:tc>
          <w:tcPr>
            <w:tcW w:w="10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196"/>
        </w:trPr>
        <w:tc>
          <w:tcPr>
            <w:tcW w:w="10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Exhibit</w:t>
            </w: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520" w:type="dxa"/>
            <w:vAlign w:val="bottom"/>
            <w:gridSpan w:val="23"/>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Form</w:t>
            </w:r>
          </w:p>
        </w:tc>
        <w:tc>
          <w:tcPr>
            <w:tcW w:w="13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File No.</w:t>
            </w:r>
          </w:p>
        </w:tc>
        <w:tc>
          <w:tcPr>
            <w:tcW w:w="1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Filing Date</w:t>
            </w:r>
          </w:p>
        </w:tc>
        <w:tc>
          <w:tcPr>
            <w:tcW w:w="17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0" w:type="dxa"/>
            <w:vAlign w:val="bottom"/>
          </w:tcPr>
          <w:p>
            <w:pPr>
              <w:spacing w:after="0"/>
              <w:rPr>
                <w:sz w:val="1"/>
                <w:szCs w:val="1"/>
                <w:color w:val="auto"/>
              </w:rPr>
            </w:pPr>
          </w:p>
        </w:tc>
      </w:tr>
      <w:tr>
        <w:trPr>
          <w:trHeight w:val="203"/>
        </w:trPr>
        <w:tc>
          <w:tcPr>
            <w:tcW w:w="106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b w:val="1"/>
                <w:bCs w:val="1"/>
                <w:color w:val="auto"/>
              </w:rPr>
              <w:t>Number</w:t>
            </w: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520" w:type="dxa"/>
            <w:vAlign w:val="bottom"/>
            <w:gridSpan w:val="23"/>
            <w:vMerge w:val="continue"/>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1320" w:type="dxa"/>
            <w:vAlign w:val="bottom"/>
            <w:gridSpan w:val="2"/>
            <w:vMerge w:val="continue"/>
          </w:tcPr>
          <w:p>
            <w:pPr>
              <w:spacing w:after="0"/>
              <w:rPr>
                <w:sz w:val="17"/>
                <w:szCs w:val="17"/>
                <w:color w:val="auto"/>
              </w:rPr>
            </w:pPr>
          </w:p>
        </w:tc>
        <w:tc>
          <w:tcPr>
            <w:tcW w:w="1820" w:type="dxa"/>
            <w:vAlign w:val="bottom"/>
            <w:gridSpan w:val="2"/>
            <w:vMerge w:val="continue"/>
          </w:tcPr>
          <w:p>
            <w:pPr>
              <w:spacing w:after="0"/>
              <w:rPr>
                <w:sz w:val="17"/>
                <w:szCs w:val="17"/>
                <w:color w:val="auto"/>
              </w:rPr>
            </w:pPr>
          </w:p>
        </w:tc>
        <w:tc>
          <w:tcPr>
            <w:tcW w:w="17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No.</w:t>
            </w:r>
          </w:p>
        </w:tc>
        <w:tc>
          <w:tcPr>
            <w:tcW w:w="0" w:type="dxa"/>
            <w:vAlign w:val="bottom"/>
          </w:tcPr>
          <w:p>
            <w:pPr>
              <w:spacing w:after="0"/>
              <w:rPr>
                <w:sz w:val="1"/>
                <w:szCs w:val="1"/>
                <w:color w:val="auto"/>
              </w:rPr>
            </w:pPr>
          </w:p>
        </w:tc>
      </w:tr>
      <w:tr>
        <w:trPr>
          <w:trHeight w:val="183"/>
        </w:trPr>
        <w:tc>
          <w:tcPr>
            <w:tcW w:w="1060" w:type="dxa"/>
            <w:vAlign w:val="bottom"/>
            <w:tcBorders>
              <w:top w:val="single" w:sz="8" w:color="auto"/>
            </w:tcBorders>
          </w:tcPr>
          <w:p>
            <w:pPr>
              <w:ind w:left="20"/>
              <w:spacing w:after="0" w:line="182" w:lineRule="exact"/>
              <w:rPr>
                <w:sz w:val="20"/>
                <w:szCs w:val="20"/>
                <w:color w:val="auto"/>
              </w:rPr>
            </w:pPr>
            <w:r>
              <w:rPr>
                <w:rFonts w:ascii="Times New Roman" w:cs="Times New Roman" w:eastAsia="Times New Roman" w:hAnsi="Times New Roman"/>
                <w:sz w:val="18"/>
                <w:szCs w:val="18"/>
                <w:color w:val="auto"/>
              </w:rPr>
              <w:t>10.21</w:t>
            </w:r>
          </w:p>
        </w:tc>
        <w:tc>
          <w:tcPr>
            <w:tcW w:w="3600" w:type="dxa"/>
            <w:vAlign w:val="bottom"/>
            <w:tcBorders>
              <w:top w:val="single" w:sz="8" w:color="auto"/>
            </w:tcBorders>
            <w:gridSpan w:val="24"/>
          </w:tcPr>
          <w:p>
            <w:pPr>
              <w:spacing w:after="0" w:line="182" w:lineRule="exact"/>
              <w:rPr>
                <w:rFonts w:ascii="Times New Roman" w:cs="Times New Roman" w:eastAsia="Times New Roman" w:hAnsi="Times New Roman"/>
                <w:sz w:val="18"/>
                <w:szCs w:val="18"/>
                <w:color w:val="auto"/>
              </w:rPr>
            </w:pPr>
            <w:hyperlink r:id="rId138">
              <w:r>
                <w:rPr>
                  <w:rFonts w:ascii="Times New Roman" w:cs="Times New Roman" w:eastAsia="Times New Roman" w:hAnsi="Times New Roman"/>
                  <w:sz w:val="18"/>
                  <w:szCs w:val="18"/>
                  <w:color w:val="auto"/>
                </w:rPr>
                <w:t>Amended and Restated Credit Agreement, dated</w:t>
              </w:r>
            </w:hyperlink>
          </w:p>
        </w:tc>
        <w:tc>
          <w:tcPr>
            <w:tcW w:w="140" w:type="dxa"/>
            <w:vAlign w:val="bottom"/>
          </w:tcPr>
          <w:p>
            <w:pPr>
              <w:spacing w:after="0"/>
              <w:rPr>
                <w:sz w:val="15"/>
                <w:szCs w:val="15"/>
                <w:color w:val="auto"/>
              </w:rPr>
            </w:pPr>
          </w:p>
        </w:tc>
        <w:tc>
          <w:tcPr>
            <w:tcW w:w="880" w:type="dxa"/>
            <w:vAlign w:val="bottom"/>
            <w:tcBorders>
              <w:top w:val="single" w:sz="8" w:color="auto"/>
            </w:tcBorders>
          </w:tcPr>
          <w:p>
            <w:pPr>
              <w:ind w:left="20"/>
              <w:spacing w:after="0" w:line="182" w:lineRule="exact"/>
              <w:rPr>
                <w:sz w:val="20"/>
                <w:szCs w:val="20"/>
                <w:color w:val="auto"/>
              </w:rPr>
            </w:pPr>
            <w:r>
              <w:rPr>
                <w:rFonts w:ascii="Times New Roman" w:cs="Times New Roman" w:eastAsia="Times New Roman" w:hAnsi="Times New Roman"/>
                <w:sz w:val="18"/>
                <w:szCs w:val="18"/>
                <w:color w:val="auto"/>
              </w:rPr>
              <w:t>6-K</w:t>
            </w:r>
          </w:p>
        </w:tc>
        <w:tc>
          <w:tcPr>
            <w:tcW w:w="180" w:type="dxa"/>
            <w:vAlign w:val="bottom"/>
          </w:tcPr>
          <w:p>
            <w:pPr>
              <w:spacing w:after="0"/>
              <w:rPr>
                <w:sz w:val="15"/>
                <w:szCs w:val="15"/>
                <w:color w:val="auto"/>
              </w:rPr>
            </w:pPr>
          </w:p>
        </w:tc>
        <w:tc>
          <w:tcPr>
            <w:tcW w:w="1160" w:type="dxa"/>
            <w:vAlign w:val="bottom"/>
            <w:tcBorders>
              <w:top w:val="single" w:sz="8" w:color="auto"/>
            </w:tcBorders>
          </w:tcPr>
          <w:p>
            <w:pPr>
              <w:spacing w:after="0" w:line="182" w:lineRule="exact"/>
              <w:rPr>
                <w:sz w:val="20"/>
                <w:szCs w:val="20"/>
                <w:color w:val="auto"/>
              </w:rPr>
            </w:pPr>
            <w:r>
              <w:rPr>
                <w:rFonts w:ascii="Times New Roman" w:cs="Times New Roman" w:eastAsia="Times New Roman" w:hAnsi="Times New Roman"/>
                <w:sz w:val="18"/>
                <w:szCs w:val="18"/>
                <w:color w:val="auto"/>
              </w:rPr>
              <w:t>001-14832</w:t>
            </w:r>
          </w:p>
        </w:tc>
        <w:tc>
          <w:tcPr>
            <w:tcW w:w="160" w:type="dxa"/>
            <w:vAlign w:val="bottom"/>
          </w:tcPr>
          <w:p>
            <w:pPr>
              <w:spacing w:after="0"/>
              <w:rPr>
                <w:sz w:val="15"/>
                <w:szCs w:val="15"/>
                <w:color w:val="auto"/>
              </w:rPr>
            </w:pPr>
          </w:p>
        </w:tc>
        <w:tc>
          <w:tcPr>
            <w:tcW w:w="1660" w:type="dxa"/>
            <w:vAlign w:val="bottom"/>
            <w:tcBorders>
              <w:top w:val="single" w:sz="8" w:color="auto"/>
            </w:tcBorders>
          </w:tcPr>
          <w:p>
            <w:pPr>
              <w:ind w:left="20"/>
              <w:spacing w:after="0" w:line="182" w:lineRule="exact"/>
              <w:rPr>
                <w:sz w:val="20"/>
                <w:szCs w:val="20"/>
                <w:color w:val="auto"/>
              </w:rPr>
            </w:pPr>
            <w:r>
              <w:rPr>
                <w:rFonts w:ascii="Times New Roman" w:cs="Times New Roman" w:eastAsia="Times New Roman" w:hAnsi="Times New Roman"/>
                <w:sz w:val="18"/>
                <w:szCs w:val="18"/>
                <w:color w:val="auto"/>
              </w:rPr>
              <w:t>June 25, 2024</w:t>
            </w:r>
          </w:p>
        </w:tc>
        <w:tc>
          <w:tcPr>
            <w:tcW w:w="160" w:type="dxa"/>
            <w:vAlign w:val="bottom"/>
          </w:tcPr>
          <w:p>
            <w:pPr>
              <w:spacing w:after="0"/>
              <w:rPr>
                <w:sz w:val="15"/>
                <w:szCs w:val="15"/>
                <w:color w:val="auto"/>
              </w:rPr>
            </w:pPr>
          </w:p>
        </w:tc>
        <w:tc>
          <w:tcPr>
            <w:tcW w:w="720" w:type="dxa"/>
            <w:vAlign w:val="bottom"/>
            <w:tcBorders>
              <w:top w:val="single" w:sz="8" w:color="auto"/>
            </w:tcBorders>
          </w:tcPr>
          <w:p>
            <w:pPr>
              <w:ind w:left="20"/>
              <w:spacing w:after="0" w:line="182" w:lineRule="exact"/>
              <w:rPr>
                <w:sz w:val="20"/>
                <w:szCs w:val="20"/>
                <w:color w:val="auto"/>
              </w:rPr>
            </w:pPr>
            <w:r>
              <w:rPr>
                <w:rFonts w:ascii="Times New Roman" w:cs="Times New Roman" w:eastAsia="Times New Roman" w:hAnsi="Times New Roman"/>
                <w:sz w:val="18"/>
                <w:szCs w:val="18"/>
                <w:color w:val="auto"/>
              </w:rPr>
              <w:t>99.1</w:t>
            </w: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60" w:type="dxa"/>
            <w:vAlign w:val="bottom"/>
          </w:tcPr>
          <w:p>
            <w:pPr>
              <w:spacing w:after="0"/>
              <w:rPr>
                <w:sz w:val="15"/>
                <w:szCs w:val="15"/>
                <w:color w:val="auto"/>
              </w:rPr>
            </w:pPr>
          </w:p>
        </w:tc>
        <w:tc>
          <w:tcPr>
            <w:tcW w:w="3500" w:type="dxa"/>
            <w:vAlign w:val="bottom"/>
            <w:tcBorders>
              <w:top w:val="single" w:sz="8" w:color="auto"/>
            </w:tcBorders>
            <w:gridSpan w:val="19"/>
          </w:tcPr>
          <w:p>
            <w:pPr>
              <w:spacing w:after="0" w:line="182" w:lineRule="exact"/>
              <w:rPr>
                <w:rFonts w:ascii="Times New Roman" w:cs="Times New Roman" w:eastAsia="Times New Roman" w:hAnsi="Times New Roman"/>
                <w:sz w:val="18"/>
                <w:szCs w:val="18"/>
                <w:color w:val="auto"/>
              </w:rPr>
            </w:pPr>
            <w:hyperlink r:id="rId138">
              <w:r>
                <w:rPr>
                  <w:rFonts w:ascii="Times New Roman" w:cs="Times New Roman" w:eastAsia="Times New Roman" w:hAnsi="Times New Roman"/>
                  <w:sz w:val="18"/>
                  <w:szCs w:val="18"/>
                  <w:color w:val="auto"/>
                </w:rPr>
                <w:t>as of June 20, 2024, made by and among</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gridSpan w:val="2"/>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60" w:type="dxa"/>
            <w:vAlign w:val="bottom"/>
          </w:tcPr>
          <w:p>
            <w:pPr>
              <w:spacing w:after="0"/>
              <w:rPr>
                <w:sz w:val="15"/>
                <w:szCs w:val="15"/>
                <w:color w:val="auto"/>
              </w:rPr>
            </w:pPr>
          </w:p>
        </w:tc>
        <w:tc>
          <w:tcPr>
            <w:tcW w:w="2960" w:type="dxa"/>
            <w:vAlign w:val="bottom"/>
            <w:tcBorders>
              <w:top w:val="single" w:sz="8" w:color="auto"/>
            </w:tcBorders>
            <w:gridSpan w:val="12"/>
          </w:tcPr>
          <w:p>
            <w:pPr>
              <w:spacing w:after="0" w:line="182" w:lineRule="exact"/>
              <w:rPr>
                <w:rFonts w:ascii="Times New Roman" w:cs="Times New Roman" w:eastAsia="Times New Roman" w:hAnsi="Times New Roman"/>
                <w:sz w:val="18"/>
                <w:szCs w:val="18"/>
                <w:color w:val="auto"/>
              </w:rPr>
            </w:pPr>
            <w:hyperlink r:id="rId138">
              <w:r>
                <w:rPr>
                  <w:rFonts w:ascii="Times New Roman" w:cs="Times New Roman" w:eastAsia="Times New Roman" w:hAnsi="Times New Roman"/>
                  <w:sz w:val="18"/>
                  <w:szCs w:val="18"/>
                  <w:color w:val="auto"/>
                </w:rPr>
                <w:t>Celestica Inc., an Ontario corporation,</w:t>
              </w:r>
            </w:hyperlink>
          </w:p>
        </w:tc>
        <w:tc>
          <w:tcPr>
            <w:tcW w:w="780" w:type="dxa"/>
            <w:vAlign w:val="bottom"/>
            <w:gridSpan w:val="13"/>
          </w:tcPr>
          <w:p>
            <w:pPr>
              <w:spacing w:after="0" w:line="182" w:lineRule="exact"/>
              <w:rPr>
                <w:rFonts w:ascii="Times New Roman" w:cs="Times New Roman" w:eastAsia="Times New Roman" w:hAnsi="Times New Roman"/>
                <w:sz w:val="18"/>
                <w:szCs w:val="18"/>
                <w:color w:val="auto"/>
              </w:rPr>
            </w:pPr>
            <w:hyperlink r:id="rId138">
              <w:r>
                <w:rPr>
                  <w:rFonts w:ascii="Times New Roman" w:cs="Times New Roman" w:eastAsia="Times New Roman" w:hAnsi="Times New Roman"/>
                  <w:sz w:val="18"/>
                  <w:szCs w:val="18"/>
                  <w:color w:val="auto"/>
                </w:rPr>
                <w:t>Celestica</w:t>
              </w:r>
            </w:hyperlink>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60" w:type="dxa"/>
            <w:vAlign w:val="bottom"/>
          </w:tcPr>
          <w:p>
            <w:pPr>
              <w:spacing w:after="0"/>
              <w:rPr>
                <w:sz w:val="15"/>
                <w:szCs w:val="15"/>
                <w:color w:val="auto"/>
              </w:rPr>
            </w:pPr>
          </w:p>
        </w:tc>
        <w:tc>
          <w:tcPr>
            <w:tcW w:w="3460" w:type="dxa"/>
            <w:vAlign w:val="bottom"/>
            <w:tcBorders>
              <w:top w:val="single" w:sz="8" w:color="auto"/>
              <w:bottom w:val="single" w:sz="8" w:color="auto"/>
            </w:tcBorders>
            <w:gridSpan w:val="17"/>
          </w:tcPr>
          <w:p>
            <w:pPr>
              <w:spacing w:after="0" w:line="182" w:lineRule="exact"/>
              <w:rPr>
                <w:rFonts w:ascii="Times New Roman" w:cs="Times New Roman" w:eastAsia="Times New Roman" w:hAnsi="Times New Roman"/>
                <w:sz w:val="18"/>
                <w:szCs w:val="18"/>
                <w:color w:val="auto"/>
                <w:w w:val="98"/>
              </w:rPr>
            </w:pPr>
            <w:hyperlink r:id="rId138">
              <w:r>
                <w:rPr>
                  <w:rFonts w:ascii="Times New Roman" w:cs="Times New Roman" w:eastAsia="Times New Roman" w:hAnsi="Times New Roman"/>
                  <w:sz w:val="18"/>
                  <w:szCs w:val="18"/>
                  <w:color w:val="auto"/>
                  <w:w w:val="98"/>
                </w:rPr>
                <w:t>International LP, an Ontario limited partnership,</w:t>
              </w:r>
            </w:hyperlink>
          </w:p>
        </w:tc>
        <w:tc>
          <w:tcPr>
            <w:tcW w:w="20" w:type="dxa"/>
            <w:vAlign w:val="bottom"/>
            <w:tcBorders>
              <w:bottom w:val="single" w:sz="8" w:color="auto"/>
            </w:tcBorders>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gridSpan w:val="2"/>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60" w:type="dxa"/>
            <w:vAlign w:val="bottom"/>
          </w:tcPr>
          <w:p>
            <w:pPr>
              <w:spacing w:after="0"/>
              <w:rPr>
                <w:sz w:val="15"/>
                <w:szCs w:val="15"/>
                <w:color w:val="auto"/>
              </w:rPr>
            </w:pPr>
          </w:p>
        </w:tc>
        <w:tc>
          <w:tcPr>
            <w:tcW w:w="2720" w:type="dxa"/>
            <w:vAlign w:val="bottom"/>
            <w:tcBorders>
              <w:bottom w:val="single" w:sz="8" w:color="auto"/>
            </w:tcBorders>
            <w:gridSpan w:val="9"/>
          </w:tcPr>
          <w:p>
            <w:pPr>
              <w:spacing w:after="0" w:line="182" w:lineRule="exact"/>
              <w:rPr>
                <w:rFonts w:ascii="Times New Roman" w:cs="Times New Roman" w:eastAsia="Times New Roman" w:hAnsi="Times New Roman"/>
                <w:sz w:val="18"/>
                <w:szCs w:val="18"/>
                <w:color w:val="auto"/>
                <w:w w:val="99"/>
              </w:rPr>
            </w:pPr>
            <w:hyperlink r:id="rId138">
              <w:r>
                <w:rPr>
                  <w:rFonts w:ascii="Times New Roman" w:cs="Times New Roman" w:eastAsia="Times New Roman" w:hAnsi="Times New Roman"/>
                  <w:sz w:val="18"/>
                  <w:szCs w:val="18"/>
                  <w:color w:val="auto"/>
                  <w:w w:val="99"/>
                </w:rPr>
                <w:t>and Celestica (USA) Inc., a Delaware</w:t>
              </w:r>
            </w:hyperlink>
          </w:p>
        </w:tc>
        <w:tc>
          <w:tcPr>
            <w:tcW w:w="760" w:type="dxa"/>
            <w:vAlign w:val="bottom"/>
            <w:gridSpan w:val="9"/>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gridSpan w:val="2"/>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60" w:type="dxa"/>
            <w:vAlign w:val="bottom"/>
          </w:tcPr>
          <w:p>
            <w:pPr>
              <w:spacing w:after="0"/>
              <w:rPr>
                <w:sz w:val="15"/>
                <w:szCs w:val="15"/>
                <w:color w:val="auto"/>
              </w:rPr>
            </w:pPr>
          </w:p>
        </w:tc>
        <w:tc>
          <w:tcPr>
            <w:tcW w:w="3740" w:type="dxa"/>
            <w:vAlign w:val="bottom"/>
            <w:gridSpan w:val="25"/>
          </w:tcPr>
          <w:p>
            <w:pPr>
              <w:spacing w:after="0" w:line="182" w:lineRule="exact"/>
              <w:rPr>
                <w:rFonts w:ascii="Times New Roman" w:cs="Times New Roman" w:eastAsia="Times New Roman" w:hAnsi="Times New Roman"/>
                <w:sz w:val="18"/>
                <w:szCs w:val="18"/>
                <w:color w:val="auto"/>
              </w:rPr>
            </w:pPr>
            <w:hyperlink r:id="rId138">
              <w:r>
                <w:rPr>
                  <w:rFonts w:ascii="Times New Roman" w:cs="Times New Roman" w:eastAsia="Times New Roman" w:hAnsi="Times New Roman"/>
                  <w:sz w:val="18"/>
                  <w:szCs w:val="18"/>
                  <w:color w:val="auto"/>
                </w:rPr>
                <w:t>corporation, as Borrowers, certain subsidiaries of</w:t>
              </w:r>
            </w:hyperlink>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60" w:type="dxa"/>
            <w:vAlign w:val="bottom"/>
          </w:tcPr>
          <w:p>
            <w:pPr>
              <w:spacing w:after="0"/>
              <w:rPr>
                <w:sz w:val="15"/>
                <w:szCs w:val="15"/>
                <w:color w:val="auto"/>
              </w:rPr>
            </w:pPr>
          </w:p>
        </w:tc>
        <w:tc>
          <w:tcPr>
            <w:tcW w:w="3560" w:type="dxa"/>
            <w:vAlign w:val="bottom"/>
            <w:tcBorders>
              <w:top w:val="single" w:sz="8" w:color="auto"/>
            </w:tcBorders>
            <w:gridSpan w:val="22"/>
          </w:tcPr>
          <w:p>
            <w:pPr>
              <w:spacing w:after="0" w:line="182" w:lineRule="exact"/>
              <w:rPr>
                <w:rFonts w:ascii="Times New Roman" w:cs="Times New Roman" w:eastAsia="Times New Roman" w:hAnsi="Times New Roman"/>
                <w:sz w:val="18"/>
                <w:szCs w:val="18"/>
                <w:color w:val="auto"/>
              </w:rPr>
            </w:pPr>
            <w:hyperlink r:id="rId138">
              <w:r>
                <w:rPr>
                  <w:rFonts w:ascii="Times New Roman" w:cs="Times New Roman" w:eastAsia="Times New Roman" w:hAnsi="Times New Roman"/>
                  <w:sz w:val="18"/>
                  <w:szCs w:val="18"/>
                  <w:color w:val="auto"/>
                </w:rPr>
                <w:t>Celestica Inc. from time to time party thereto, as</w:t>
              </w:r>
            </w:hyperlink>
          </w:p>
        </w:tc>
        <w:tc>
          <w:tcPr>
            <w:tcW w:w="20" w:type="dxa"/>
            <w:vAlign w:val="bottom"/>
          </w:tcPr>
          <w:p>
            <w:pPr>
              <w:spacing w:after="0"/>
              <w:rPr>
                <w:sz w:val="15"/>
                <w:szCs w:val="15"/>
                <w:color w:val="auto"/>
              </w:rPr>
            </w:pPr>
          </w:p>
        </w:tc>
        <w:tc>
          <w:tcPr>
            <w:tcW w:w="160" w:type="dxa"/>
            <w:vAlign w:val="bottom"/>
            <w:gridSpan w:val="2"/>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3520" w:type="dxa"/>
            <w:vAlign w:val="bottom"/>
            <w:tcBorders>
              <w:top w:val="single" w:sz="8" w:color="auto"/>
              <w:bottom w:val="single" w:sz="8" w:color="auto"/>
            </w:tcBorders>
            <w:gridSpan w:val="20"/>
          </w:tcPr>
          <w:p>
            <w:pPr>
              <w:spacing w:after="0" w:line="169" w:lineRule="exact"/>
              <w:rPr>
                <w:rFonts w:ascii="Times New Roman" w:cs="Times New Roman" w:eastAsia="Times New Roman" w:hAnsi="Times New Roman"/>
                <w:sz w:val="18"/>
                <w:szCs w:val="18"/>
                <w:color w:val="auto"/>
              </w:rPr>
            </w:pPr>
            <w:hyperlink r:id="rId138">
              <w:r>
                <w:rPr>
                  <w:rFonts w:ascii="Times New Roman" w:cs="Times New Roman" w:eastAsia="Times New Roman" w:hAnsi="Times New Roman"/>
                  <w:sz w:val="18"/>
                  <w:szCs w:val="18"/>
                  <w:color w:val="auto"/>
                </w:rPr>
                <w:t>Guarantors, each Lender from time to time party</w:t>
              </w:r>
            </w:hyperlink>
          </w:p>
        </w:tc>
        <w:tc>
          <w:tcPr>
            <w:tcW w:w="20" w:type="dxa"/>
            <w:vAlign w:val="bottom"/>
            <w:tcBorders>
              <w:bottom w:val="single" w:sz="8" w:color="auto"/>
            </w:tcBorders>
          </w:tcPr>
          <w:p>
            <w:pPr>
              <w:spacing w:after="0"/>
              <w:rPr>
                <w:sz w:val="14"/>
                <w:szCs w:val="14"/>
                <w:color w:val="auto"/>
              </w:rPr>
            </w:pPr>
          </w:p>
        </w:tc>
        <w:tc>
          <w:tcPr>
            <w:tcW w:w="40" w:type="dxa"/>
            <w:vAlign w:val="bottom"/>
            <w:gridSpan w:val="2"/>
          </w:tcPr>
          <w:p>
            <w:pPr>
              <w:spacing w:after="0"/>
              <w:rPr>
                <w:sz w:val="14"/>
                <w:szCs w:val="14"/>
                <w:color w:val="auto"/>
              </w:rPr>
            </w:pPr>
          </w:p>
        </w:tc>
        <w:tc>
          <w:tcPr>
            <w:tcW w:w="160" w:type="dxa"/>
            <w:vAlign w:val="bottom"/>
            <w:gridSpan w:val="2"/>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060" w:type="dxa"/>
            <w:vAlign w:val="bottom"/>
          </w:tcPr>
          <w:p>
            <w:pPr>
              <w:spacing w:after="0"/>
              <w:rPr>
                <w:sz w:val="15"/>
                <w:szCs w:val="15"/>
                <w:color w:val="auto"/>
              </w:rPr>
            </w:pPr>
          </w:p>
        </w:tc>
        <w:tc>
          <w:tcPr>
            <w:tcW w:w="2820" w:type="dxa"/>
            <w:vAlign w:val="bottom"/>
            <w:tcBorders>
              <w:bottom w:val="single" w:sz="8" w:color="auto"/>
            </w:tcBorders>
            <w:gridSpan w:val="10"/>
          </w:tcPr>
          <w:p>
            <w:pPr>
              <w:spacing w:after="0" w:line="182" w:lineRule="exact"/>
              <w:rPr>
                <w:rFonts w:ascii="Times New Roman" w:cs="Times New Roman" w:eastAsia="Times New Roman" w:hAnsi="Times New Roman"/>
                <w:sz w:val="18"/>
                <w:szCs w:val="18"/>
                <w:color w:val="auto"/>
                <w:w w:val="99"/>
              </w:rPr>
            </w:pPr>
            <w:hyperlink r:id="rId138">
              <w:r>
                <w:rPr>
                  <w:rFonts w:ascii="Times New Roman" w:cs="Times New Roman" w:eastAsia="Times New Roman" w:hAnsi="Times New Roman"/>
                  <w:sz w:val="18"/>
                  <w:szCs w:val="18"/>
                  <w:color w:val="auto"/>
                  <w:w w:val="99"/>
                </w:rPr>
                <w:t>thereto, and Bank of America, N.A., as</w:t>
              </w:r>
            </w:hyperlink>
          </w:p>
        </w:tc>
        <w:tc>
          <w:tcPr>
            <w:tcW w:w="720" w:type="dxa"/>
            <w:vAlign w:val="bottom"/>
            <w:gridSpan w:val="11"/>
          </w:tcPr>
          <w:p>
            <w:pPr>
              <w:spacing w:after="0"/>
              <w:rPr>
                <w:sz w:val="15"/>
                <w:szCs w:val="15"/>
                <w:color w:val="auto"/>
              </w:rPr>
            </w:pPr>
          </w:p>
        </w:tc>
        <w:tc>
          <w:tcPr>
            <w:tcW w:w="40" w:type="dxa"/>
            <w:vAlign w:val="bottom"/>
            <w:gridSpan w:val="2"/>
          </w:tcPr>
          <w:p>
            <w:pPr>
              <w:spacing w:after="0"/>
              <w:rPr>
                <w:sz w:val="15"/>
                <w:szCs w:val="15"/>
                <w:color w:val="auto"/>
              </w:rPr>
            </w:pPr>
          </w:p>
        </w:tc>
        <w:tc>
          <w:tcPr>
            <w:tcW w:w="160" w:type="dxa"/>
            <w:vAlign w:val="bottom"/>
            <w:gridSpan w:val="2"/>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60" w:type="dxa"/>
            <w:vAlign w:val="bottom"/>
          </w:tcPr>
          <w:p>
            <w:pPr>
              <w:spacing w:after="0"/>
              <w:rPr>
                <w:sz w:val="15"/>
                <w:szCs w:val="15"/>
                <w:color w:val="auto"/>
              </w:rPr>
            </w:pPr>
          </w:p>
        </w:tc>
        <w:tc>
          <w:tcPr>
            <w:tcW w:w="3740" w:type="dxa"/>
            <w:vAlign w:val="bottom"/>
            <w:gridSpan w:val="25"/>
          </w:tcPr>
          <w:p>
            <w:pPr>
              <w:spacing w:after="0" w:line="182" w:lineRule="exact"/>
              <w:rPr>
                <w:rFonts w:ascii="Times New Roman" w:cs="Times New Roman" w:eastAsia="Times New Roman" w:hAnsi="Times New Roman"/>
                <w:sz w:val="18"/>
                <w:szCs w:val="18"/>
                <w:color w:val="auto"/>
              </w:rPr>
            </w:pPr>
            <w:hyperlink r:id="rId138">
              <w:r>
                <w:rPr>
                  <w:rFonts w:ascii="Times New Roman" w:cs="Times New Roman" w:eastAsia="Times New Roman" w:hAnsi="Times New Roman"/>
                  <w:sz w:val="18"/>
                  <w:szCs w:val="18"/>
                  <w:color w:val="auto"/>
                </w:rPr>
                <w:t>Administrative Agent, Swing Line Lender, and</w:t>
              </w:r>
            </w:hyperlink>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60" w:type="dxa"/>
            <w:vAlign w:val="bottom"/>
          </w:tcPr>
          <w:p>
            <w:pPr>
              <w:spacing w:after="0"/>
              <w:rPr>
                <w:sz w:val="15"/>
                <w:szCs w:val="15"/>
                <w:color w:val="auto"/>
              </w:rPr>
            </w:pPr>
          </w:p>
        </w:tc>
        <w:tc>
          <w:tcPr>
            <w:tcW w:w="3380" w:type="dxa"/>
            <w:vAlign w:val="bottom"/>
            <w:tcBorders>
              <w:top w:val="single" w:sz="8" w:color="auto"/>
            </w:tcBorders>
            <w:gridSpan w:val="15"/>
          </w:tcPr>
          <w:p>
            <w:pPr>
              <w:spacing w:after="0" w:line="182" w:lineRule="exact"/>
              <w:rPr>
                <w:rFonts w:ascii="Times New Roman" w:cs="Times New Roman" w:eastAsia="Times New Roman" w:hAnsi="Times New Roman"/>
                <w:sz w:val="18"/>
                <w:szCs w:val="18"/>
                <w:color w:val="auto"/>
              </w:rPr>
            </w:pPr>
            <w:hyperlink r:id="rId138">
              <w:r>
                <w:rPr>
                  <w:rFonts w:ascii="Times New Roman" w:cs="Times New Roman" w:eastAsia="Times New Roman" w:hAnsi="Times New Roman"/>
                  <w:sz w:val="18"/>
                  <w:szCs w:val="18"/>
                  <w:color w:val="auto"/>
                </w:rPr>
                <w:t>an L/C issuer†</w:t>
              </w:r>
            </w:hyperlink>
          </w:p>
        </w:tc>
        <w:tc>
          <w:tcPr>
            <w:tcW w:w="40" w:type="dxa"/>
            <w:vAlign w:val="bottom"/>
          </w:tcPr>
          <w:p>
            <w:pPr>
              <w:spacing w:after="0"/>
              <w:rPr>
                <w:sz w:val="15"/>
                <w:szCs w:val="15"/>
                <w:color w:val="auto"/>
              </w:rPr>
            </w:pPr>
          </w:p>
        </w:tc>
        <w:tc>
          <w:tcPr>
            <w:tcW w:w="160" w:type="dxa"/>
            <w:vAlign w:val="bottom"/>
            <w:gridSpan w:val="7"/>
          </w:tcPr>
          <w:p>
            <w:pPr>
              <w:spacing w:after="0"/>
              <w:rPr>
                <w:sz w:val="15"/>
                <w:szCs w:val="15"/>
                <w:color w:val="auto"/>
              </w:rPr>
            </w:pPr>
          </w:p>
        </w:tc>
        <w:tc>
          <w:tcPr>
            <w:tcW w:w="160" w:type="dxa"/>
            <w:vAlign w:val="bottom"/>
            <w:gridSpan w:val="2"/>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gridSpan w:val="7"/>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19.1</w:t>
            </w:r>
          </w:p>
        </w:tc>
        <w:tc>
          <w:tcPr>
            <w:tcW w:w="162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w w:val="98"/>
              </w:rPr>
              <w:t>Insider Trading Policy</w:t>
            </w:r>
          </w:p>
        </w:tc>
        <w:tc>
          <w:tcPr>
            <w:tcW w:w="2120" w:type="dxa"/>
            <w:vAlign w:val="bottom"/>
            <w:gridSpan w:val="20"/>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7"/>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21.1</w:t>
            </w:r>
          </w:p>
        </w:tc>
        <w:tc>
          <w:tcPr>
            <w:tcW w:w="374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Subsidiaries of Registrant</w:t>
            </w: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220" w:type="dxa"/>
            <w:vAlign w:val="bottom"/>
            <w:gridSpan w:val="2"/>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gridSpan w:val="7"/>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23.1</w:t>
            </w:r>
          </w:p>
        </w:tc>
        <w:tc>
          <w:tcPr>
            <w:tcW w:w="374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Consent of KPMG LLP, independent registered</w:t>
            </w: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3420" w:type="dxa"/>
            <w:vAlign w:val="bottom"/>
            <w:tcBorders>
              <w:top w:val="single" w:sz="8" w:color="auto"/>
            </w:tcBorders>
            <w:gridSpan w:val="16"/>
          </w:tcPr>
          <w:p>
            <w:pPr>
              <w:spacing w:after="0" w:line="156" w:lineRule="exact"/>
              <w:rPr>
                <w:sz w:val="20"/>
                <w:szCs w:val="20"/>
                <w:color w:val="auto"/>
              </w:rPr>
            </w:pPr>
            <w:r>
              <w:rPr>
                <w:rFonts w:ascii="Times New Roman" w:cs="Times New Roman" w:eastAsia="Times New Roman" w:hAnsi="Times New Roman"/>
                <w:sz w:val="18"/>
                <w:szCs w:val="18"/>
                <w:color w:val="auto"/>
              </w:rPr>
              <w:t>public accounting firm</w:t>
            </w:r>
          </w:p>
        </w:tc>
        <w:tc>
          <w:tcPr>
            <w:tcW w:w="160" w:type="dxa"/>
            <w:vAlign w:val="bottom"/>
            <w:gridSpan w:val="7"/>
          </w:tcPr>
          <w:p>
            <w:pPr>
              <w:spacing w:after="0"/>
              <w:rPr>
                <w:sz w:val="13"/>
                <w:szCs w:val="13"/>
                <w:color w:val="auto"/>
              </w:rPr>
            </w:pPr>
          </w:p>
        </w:tc>
        <w:tc>
          <w:tcPr>
            <w:tcW w:w="160" w:type="dxa"/>
            <w:vAlign w:val="bottom"/>
            <w:gridSpan w:val="2"/>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220" w:type="dxa"/>
            <w:vAlign w:val="bottom"/>
            <w:gridSpan w:val="2"/>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9"/>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24.1</w:t>
            </w:r>
          </w:p>
        </w:tc>
        <w:tc>
          <w:tcPr>
            <w:tcW w:w="374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Power of Attorney (see signature page)</w:t>
            </w:r>
          </w:p>
        </w:tc>
        <w:tc>
          <w:tcPr>
            <w:tcW w:w="8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94"/>
        </w:trPr>
        <w:tc>
          <w:tcPr>
            <w:tcW w:w="106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31.1</w:t>
            </w:r>
          </w:p>
        </w:tc>
        <w:tc>
          <w:tcPr>
            <w:tcW w:w="3740" w:type="dxa"/>
            <w:vAlign w:val="bottom"/>
            <w:gridSpan w:val="25"/>
          </w:tcPr>
          <w:p>
            <w:pPr>
              <w:spacing w:after="0" w:line="194" w:lineRule="exact"/>
              <w:rPr>
                <w:sz w:val="20"/>
                <w:szCs w:val="20"/>
                <w:color w:val="auto"/>
              </w:rPr>
            </w:pPr>
            <w:r>
              <w:rPr>
                <w:rFonts w:ascii="Times New Roman" w:cs="Times New Roman" w:eastAsia="Times New Roman" w:hAnsi="Times New Roman"/>
                <w:sz w:val="18"/>
                <w:szCs w:val="18"/>
                <w:color w:val="auto"/>
              </w:rPr>
              <w:t>Principal Executive Officer Certification</w:t>
            </w: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2060" w:type="dxa"/>
            <w:vAlign w:val="bottom"/>
            <w:tcBorders>
              <w:top w:val="single" w:sz="8" w:color="auto"/>
              <w:bottom w:val="single" w:sz="8" w:color="auto"/>
            </w:tcBorders>
            <w:gridSpan w:val="8"/>
          </w:tcPr>
          <w:p>
            <w:pPr>
              <w:spacing w:after="0" w:line="156" w:lineRule="exact"/>
              <w:rPr>
                <w:sz w:val="20"/>
                <w:szCs w:val="20"/>
                <w:color w:val="auto"/>
              </w:rPr>
            </w:pPr>
            <w:r>
              <w:rPr>
                <w:rFonts w:ascii="Times New Roman" w:cs="Times New Roman" w:eastAsia="Times New Roman" w:hAnsi="Times New Roman"/>
                <w:sz w:val="18"/>
                <w:szCs w:val="18"/>
                <w:color w:val="auto"/>
                <w:w w:val="99"/>
              </w:rPr>
              <w:t>pursuant to Rule 13(a)-14(a)</w:t>
            </w:r>
          </w:p>
        </w:tc>
        <w:tc>
          <w:tcPr>
            <w:tcW w:w="880" w:type="dxa"/>
            <w:vAlign w:val="bottom"/>
            <w:tcBorders>
              <w:top w:val="single" w:sz="8" w:color="auto"/>
            </w:tcBorders>
            <w:gridSpan w:val="3"/>
          </w:tcPr>
          <w:p>
            <w:pPr>
              <w:spacing w:after="0"/>
              <w:rPr>
                <w:sz w:val="13"/>
                <w:szCs w:val="13"/>
                <w:color w:val="auto"/>
              </w:rPr>
            </w:pPr>
          </w:p>
        </w:tc>
        <w:tc>
          <w:tcPr>
            <w:tcW w:w="2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gridSpan w:val="9"/>
          </w:tcPr>
          <w:p>
            <w:pPr>
              <w:spacing w:after="0"/>
              <w:rPr>
                <w:sz w:val="13"/>
                <w:szCs w:val="13"/>
                <w:color w:val="auto"/>
              </w:rPr>
            </w:pPr>
          </w:p>
        </w:tc>
        <w:tc>
          <w:tcPr>
            <w:tcW w:w="160" w:type="dxa"/>
            <w:vAlign w:val="bottom"/>
            <w:gridSpan w:val="2"/>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374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Principal Financial Officer Certification pursuant</w:t>
            </w: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55"/>
        </w:trPr>
        <w:tc>
          <w:tcPr>
            <w:tcW w:w="1060" w:type="dxa"/>
            <w:vAlign w:val="bottom"/>
          </w:tcPr>
          <w:p>
            <w:pPr>
              <w:spacing w:after="0"/>
              <w:rPr>
                <w:sz w:val="13"/>
                <w:szCs w:val="13"/>
                <w:color w:val="auto"/>
              </w:rPr>
            </w:pPr>
          </w:p>
        </w:tc>
        <w:tc>
          <w:tcPr>
            <w:tcW w:w="1400" w:type="dxa"/>
            <w:vAlign w:val="bottom"/>
            <w:tcBorders>
              <w:top w:val="single" w:sz="8" w:color="auto"/>
              <w:bottom w:val="single" w:sz="8" w:color="auto"/>
            </w:tcBorders>
            <w:gridSpan w:val="3"/>
          </w:tcPr>
          <w:p>
            <w:pPr>
              <w:spacing w:after="0" w:line="156" w:lineRule="exact"/>
              <w:rPr>
                <w:sz w:val="20"/>
                <w:szCs w:val="20"/>
                <w:color w:val="auto"/>
              </w:rPr>
            </w:pPr>
            <w:r>
              <w:rPr>
                <w:rFonts w:ascii="Times New Roman" w:cs="Times New Roman" w:eastAsia="Times New Roman" w:hAnsi="Times New Roman"/>
                <w:sz w:val="18"/>
                <w:szCs w:val="18"/>
                <w:color w:val="auto"/>
                <w:w w:val="99"/>
              </w:rPr>
              <w:t>to Rule 13(a)-14(a)</w:t>
            </w:r>
          </w:p>
        </w:tc>
        <w:tc>
          <w:tcPr>
            <w:tcW w:w="2180" w:type="dxa"/>
            <w:vAlign w:val="bottom"/>
            <w:tcBorders>
              <w:top w:val="single" w:sz="8" w:color="auto"/>
            </w:tcBorders>
            <w:gridSpan w:val="20"/>
          </w:tcPr>
          <w:p>
            <w:pPr>
              <w:spacing w:after="0"/>
              <w:rPr>
                <w:sz w:val="13"/>
                <w:szCs w:val="13"/>
                <w:color w:val="auto"/>
              </w:rPr>
            </w:pPr>
          </w:p>
        </w:tc>
        <w:tc>
          <w:tcPr>
            <w:tcW w:w="160" w:type="dxa"/>
            <w:vAlign w:val="bottom"/>
            <w:gridSpan w:val="2"/>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374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Certification required by Rule 13a-14(b) and</w:t>
            </w: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3220" w:type="dxa"/>
            <w:vAlign w:val="bottom"/>
            <w:tcBorders>
              <w:top w:val="single" w:sz="8" w:color="auto"/>
              <w:bottom w:val="single" w:sz="8" w:color="auto"/>
            </w:tcBorders>
            <w:gridSpan w:val="13"/>
          </w:tcPr>
          <w:p>
            <w:pPr>
              <w:spacing w:after="0" w:line="156" w:lineRule="exact"/>
              <w:rPr>
                <w:sz w:val="20"/>
                <w:szCs w:val="20"/>
                <w:color w:val="auto"/>
              </w:rPr>
            </w:pPr>
            <w:r>
              <w:rPr>
                <w:rFonts w:ascii="Times New Roman" w:cs="Times New Roman" w:eastAsia="Times New Roman" w:hAnsi="Times New Roman"/>
                <w:sz w:val="18"/>
                <w:szCs w:val="18"/>
                <w:color w:val="auto"/>
                <w:w w:val="98"/>
              </w:rPr>
              <w:t>Section 1350 of Chapter 63 of Title 18 of the</w:t>
            </w:r>
          </w:p>
        </w:tc>
        <w:tc>
          <w:tcPr>
            <w:tcW w:w="20" w:type="dxa"/>
            <w:vAlign w:val="bottom"/>
            <w:tcBorders>
              <w:bottom w:val="single" w:sz="8" w:color="auto"/>
            </w:tcBorders>
          </w:tcPr>
          <w:p>
            <w:pPr>
              <w:spacing w:after="0"/>
              <w:rPr>
                <w:sz w:val="13"/>
                <w:szCs w:val="13"/>
                <w:color w:val="auto"/>
              </w:rPr>
            </w:pPr>
          </w:p>
        </w:tc>
        <w:tc>
          <w:tcPr>
            <w:tcW w:w="500" w:type="dxa"/>
            <w:vAlign w:val="bottom"/>
            <w:gridSpan w:val="11"/>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3240" w:type="dxa"/>
            <w:vAlign w:val="bottom"/>
            <w:gridSpan w:val="14"/>
          </w:tcPr>
          <w:p>
            <w:pPr>
              <w:spacing w:after="0" w:line="169" w:lineRule="exact"/>
              <w:rPr>
                <w:sz w:val="20"/>
                <w:szCs w:val="20"/>
                <w:color w:val="auto"/>
              </w:rPr>
            </w:pPr>
            <w:r>
              <w:rPr>
                <w:rFonts w:ascii="Times New Roman" w:cs="Times New Roman" w:eastAsia="Times New Roman" w:hAnsi="Times New Roman"/>
                <w:sz w:val="18"/>
                <w:szCs w:val="18"/>
                <w:color w:val="auto"/>
              </w:rPr>
              <w:t>United States Code**</w:t>
            </w:r>
          </w:p>
        </w:tc>
        <w:tc>
          <w:tcPr>
            <w:tcW w:w="500" w:type="dxa"/>
            <w:vAlign w:val="bottom"/>
            <w:gridSpan w:val="11"/>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97.1</w:t>
            </w:r>
          </w:p>
        </w:tc>
        <w:tc>
          <w:tcPr>
            <w:tcW w:w="1480" w:type="dxa"/>
            <w:vAlign w:val="bottom"/>
            <w:tcBorders>
              <w:top w:val="single" w:sz="8" w:color="auto"/>
            </w:tcBorders>
            <w:gridSpan w:val="4"/>
          </w:tcPr>
          <w:p>
            <w:pPr>
              <w:spacing w:after="0"/>
              <w:rPr>
                <w:rFonts w:ascii="Times New Roman" w:cs="Times New Roman" w:eastAsia="Times New Roman" w:hAnsi="Times New Roman"/>
                <w:sz w:val="18"/>
                <w:szCs w:val="18"/>
                <w:color w:val="auto"/>
              </w:rPr>
            </w:pPr>
            <w:hyperlink r:id="rId139">
              <w:r>
                <w:rPr>
                  <w:rFonts w:ascii="Times New Roman" w:cs="Times New Roman" w:eastAsia="Times New Roman" w:hAnsi="Times New Roman"/>
                  <w:sz w:val="18"/>
                  <w:szCs w:val="18"/>
                  <w:color w:val="auto"/>
                </w:rPr>
                <w:t>Clawback Policy</w:t>
              </w:r>
            </w:hyperlink>
          </w:p>
        </w:tc>
        <w:tc>
          <w:tcPr>
            <w:tcW w:w="2260" w:type="dxa"/>
            <w:vAlign w:val="bottom"/>
            <w:gridSpan w:val="21"/>
          </w:tcPr>
          <w:p>
            <w:pPr>
              <w:spacing w:after="0"/>
              <w:rPr>
                <w:sz w:val="18"/>
                <w:szCs w:val="18"/>
                <w:color w:val="auto"/>
              </w:rPr>
            </w:pPr>
          </w:p>
        </w:tc>
        <w:tc>
          <w:tcPr>
            <w:tcW w:w="1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20-F</w:t>
            </w:r>
          </w:p>
        </w:tc>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001-14832</w:t>
            </w:r>
          </w:p>
        </w:tc>
        <w:tc>
          <w:tcPr>
            <w:tcW w:w="160" w:type="dxa"/>
            <w:vAlign w:val="bottom"/>
          </w:tcPr>
          <w:p>
            <w:pPr>
              <w:spacing w:after="0"/>
              <w:rPr>
                <w:sz w:val="18"/>
                <w:szCs w:val="18"/>
                <w:color w:val="auto"/>
              </w:rPr>
            </w:pPr>
          </w:p>
        </w:tc>
        <w:tc>
          <w:tcPr>
            <w:tcW w:w="1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March 11, 2024</w:t>
            </w:r>
          </w:p>
        </w:tc>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97.1</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220" w:type="dxa"/>
            <w:vAlign w:val="bottom"/>
            <w:gridSpan w:val="2"/>
            <w:shd w:val="clear" w:color="auto" w:fill="000000"/>
          </w:tcPr>
          <w:p>
            <w:pPr>
              <w:spacing w:after="0" w:line="20" w:lineRule="exact"/>
              <w:rPr>
                <w:sz w:val="1"/>
                <w:szCs w:val="1"/>
                <w:color w:val="auto"/>
              </w:rPr>
            </w:pPr>
          </w:p>
        </w:tc>
        <w:tc>
          <w:tcPr>
            <w:tcW w:w="2520" w:type="dxa"/>
            <w:vAlign w:val="bottom"/>
            <w:gridSpan w:val="23"/>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101.INS</w:t>
            </w:r>
          </w:p>
        </w:tc>
        <w:tc>
          <w:tcPr>
            <w:tcW w:w="374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auto"/>
              </w:rPr>
              <w:t>XBRL Instance Document - the instance</w:t>
            </w: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84"/>
        </w:trPr>
        <w:tc>
          <w:tcPr>
            <w:tcW w:w="1060" w:type="dxa"/>
            <w:vAlign w:val="bottom"/>
          </w:tcPr>
          <w:p>
            <w:pPr>
              <w:spacing w:after="0"/>
              <w:rPr>
                <w:sz w:val="16"/>
                <w:szCs w:val="16"/>
                <w:color w:val="auto"/>
              </w:rPr>
            </w:pPr>
          </w:p>
        </w:tc>
        <w:tc>
          <w:tcPr>
            <w:tcW w:w="3740" w:type="dxa"/>
            <w:vAlign w:val="bottom"/>
            <w:gridSpan w:val="25"/>
          </w:tcPr>
          <w:p>
            <w:pPr>
              <w:spacing w:after="0" w:line="184" w:lineRule="exact"/>
              <w:rPr>
                <w:sz w:val="20"/>
                <w:szCs w:val="20"/>
                <w:color w:val="auto"/>
              </w:rPr>
            </w:pPr>
            <w:r>
              <w:rPr>
                <w:rFonts w:ascii="Times New Roman" w:cs="Times New Roman" w:eastAsia="Times New Roman" w:hAnsi="Times New Roman"/>
                <w:sz w:val="18"/>
                <w:szCs w:val="18"/>
                <w:color w:val="auto"/>
              </w:rPr>
              <w:t>document does not appear in the Interactive data</w:t>
            </w: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060" w:type="dxa"/>
            <w:vAlign w:val="bottom"/>
          </w:tcPr>
          <w:p>
            <w:pPr>
              <w:spacing w:after="0"/>
              <w:rPr>
                <w:sz w:val="15"/>
                <w:szCs w:val="15"/>
                <w:color w:val="auto"/>
              </w:rPr>
            </w:pPr>
          </w:p>
        </w:tc>
        <w:tc>
          <w:tcPr>
            <w:tcW w:w="3740" w:type="dxa"/>
            <w:vAlign w:val="bottom"/>
            <w:gridSpan w:val="25"/>
          </w:tcPr>
          <w:p>
            <w:pPr>
              <w:spacing w:after="0" w:line="181" w:lineRule="exact"/>
              <w:rPr>
                <w:sz w:val="20"/>
                <w:szCs w:val="20"/>
                <w:color w:val="auto"/>
              </w:rPr>
            </w:pPr>
            <w:r>
              <w:rPr>
                <w:rFonts w:ascii="Times New Roman" w:cs="Times New Roman" w:eastAsia="Times New Roman" w:hAnsi="Times New Roman"/>
                <w:sz w:val="18"/>
                <w:szCs w:val="18"/>
                <w:color w:val="auto"/>
              </w:rPr>
              <w:t>File because its XBRL tags are embedded within</w:t>
            </w: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1060" w:type="dxa"/>
            <w:vAlign w:val="bottom"/>
          </w:tcPr>
          <w:p>
            <w:pPr>
              <w:spacing w:after="0"/>
              <w:rPr>
                <w:sz w:val="19"/>
                <w:szCs w:val="19"/>
                <w:color w:val="auto"/>
              </w:rPr>
            </w:pPr>
          </w:p>
        </w:tc>
        <w:tc>
          <w:tcPr>
            <w:tcW w:w="374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the Inline XBRL document</w:t>
            </w: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106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101.SCH</w:t>
            </w:r>
          </w:p>
        </w:tc>
        <w:tc>
          <w:tcPr>
            <w:tcW w:w="3740" w:type="dxa"/>
            <w:vAlign w:val="bottom"/>
            <w:gridSpan w:val="25"/>
          </w:tcPr>
          <w:p>
            <w:pPr>
              <w:spacing w:after="0" w:line="181" w:lineRule="exact"/>
              <w:rPr>
                <w:sz w:val="20"/>
                <w:szCs w:val="20"/>
                <w:color w:val="auto"/>
              </w:rPr>
            </w:pPr>
            <w:r>
              <w:rPr>
                <w:rFonts w:ascii="Times New Roman" w:cs="Times New Roman" w:eastAsia="Times New Roman" w:hAnsi="Times New Roman"/>
                <w:sz w:val="18"/>
                <w:szCs w:val="18"/>
                <w:color w:val="auto"/>
              </w:rPr>
              <w:t>Inline XBRL Taxonomy Extension Schema</w:t>
            </w: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4"/>
        </w:trPr>
        <w:tc>
          <w:tcPr>
            <w:tcW w:w="1060" w:type="dxa"/>
            <w:vAlign w:val="bottom"/>
          </w:tcPr>
          <w:p>
            <w:pPr>
              <w:spacing w:after="0"/>
              <w:rPr>
                <w:sz w:val="20"/>
                <w:szCs w:val="20"/>
                <w:color w:val="auto"/>
              </w:rPr>
            </w:pPr>
          </w:p>
        </w:tc>
        <w:tc>
          <w:tcPr>
            <w:tcW w:w="374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Document</w:t>
            </w: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10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101.CAL</w:t>
            </w:r>
          </w:p>
        </w:tc>
        <w:tc>
          <w:tcPr>
            <w:tcW w:w="3740" w:type="dxa"/>
            <w:vAlign w:val="bottom"/>
            <w:gridSpan w:val="25"/>
          </w:tcPr>
          <w:p>
            <w:pPr>
              <w:spacing w:after="0" w:line="184" w:lineRule="exact"/>
              <w:rPr>
                <w:sz w:val="20"/>
                <w:szCs w:val="20"/>
                <w:color w:val="auto"/>
              </w:rPr>
            </w:pPr>
            <w:r>
              <w:rPr>
                <w:rFonts w:ascii="Times New Roman" w:cs="Times New Roman" w:eastAsia="Times New Roman" w:hAnsi="Times New Roman"/>
                <w:sz w:val="18"/>
                <w:szCs w:val="18"/>
                <w:color w:val="auto"/>
              </w:rPr>
              <w:t>Inline XBRL Taxonomy Extension Calculation</w:t>
            </w: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4"/>
        </w:trPr>
        <w:tc>
          <w:tcPr>
            <w:tcW w:w="1060" w:type="dxa"/>
            <w:vAlign w:val="bottom"/>
          </w:tcPr>
          <w:p>
            <w:pPr>
              <w:spacing w:after="0"/>
              <w:rPr>
                <w:sz w:val="20"/>
                <w:szCs w:val="20"/>
                <w:color w:val="auto"/>
              </w:rPr>
            </w:pPr>
          </w:p>
        </w:tc>
        <w:tc>
          <w:tcPr>
            <w:tcW w:w="374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10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101.DEF</w:t>
            </w:r>
          </w:p>
        </w:tc>
        <w:tc>
          <w:tcPr>
            <w:tcW w:w="3740" w:type="dxa"/>
            <w:vAlign w:val="bottom"/>
            <w:gridSpan w:val="25"/>
          </w:tcPr>
          <w:p>
            <w:pPr>
              <w:spacing w:after="0" w:line="184" w:lineRule="exact"/>
              <w:rPr>
                <w:sz w:val="20"/>
                <w:szCs w:val="20"/>
                <w:color w:val="auto"/>
              </w:rPr>
            </w:pPr>
            <w:r>
              <w:rPr>
                <w:rFonts w:ascii="Times New Roman" w:cs="Times New Roman" w:eastAsia="Times New Roman" w:hAnsi="Times New Roman"/>
                <w:sz w:val="18"/>
                <w:szCs w:val="18"/>
                <w:color w:val="auto"/>
              </w:rPr>
              <w:t>Inline XBRL Taxonomy Extension Definition</w:t>
            </w: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4"/>
        </w:trPr>
        <w:tc>
          <w:tcPr>
            <w:tcW w:w="1060" w:type="dxa"/>
            <w:vAlign w:val="bottom"/>
          </w:tcPr>
          <w:p>
            <w:pPr>
              <w:spacing w:after="0"/>
              <w:rPr>
                <w:sz w:val="20"/>
                <w:szCs w:val="20"/>
                <w:color w:val="auto"/>
              </w:rPr>
            </w:pPr>
          </w:p>
        </w:tc>
        <w:tc>
          <w:tcPr>
            <w:tcW w:w="374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10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101.LAB</w:t>
            </w:r>
          </w:p>
        </w:tc>
        <w:tc>
          <w:tcPr>
            <w:tcW w:w="3740" w:type="dxa"/>
            <w:vAlign w:val="bottom"/>
            <w:gridSpan w:val="25"/>
          </w:tcPr>
          <w:p>
            <w:pPr>
              <w:spacing w:after="0" w:line="184" w:lineRule="exact"/>
              <w:rPr>
                <w:sz w:val="20"/>
                <w:szCs w:val="20"/>
                <w:color w:val="auto"/>
              </w:rPr>
            </w:pPr>
            <w:r>
              <w:rPr>
                <w:rFonts w:ascii="Times New Roman" w:cs="Times New Roman" w:eastAsia="Times New Roman" w:hAnsi="Times New Roman"/>
                <w:sz w:val="18"/>
                <w:szCs w:val="18"/>
                <w:color w:val="auto"/>
              </w:rPr>
              <w:t>Inline XBRL Taxonomy Extension Label</w:t>
            </w: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4"/>
        </w:trPr>
        <w:tc>
          <w:tcPr>
            <w:tcW w:w="1060" w:type="dxa"/>
            <w:vAlign w:val="bottom"/>
          </w:tcPr>
          <w:p>
            <w:pPr>
              <w:spacing w:after="0"/>
              <w:rPr>
                <w:sz w:val="20"/>
                <w:szCs w:val="20"/>
                <w:color w:val="auto"/>
              </w:rPr>
            </w:pPr>
          </w:p>
        </w:tc>
        <w:tc>
          <w:tcPr>
            <w:tcW w:w="374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10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101.PRE</w:t>
            </w:r>
          </w:p>
        </w:tc>
        <w:tc>
          <w:tcPr>
            <w:tcW w:w="3740" w:type="dxa"/>
            <w:vAlign w:val="bottom"/>
            <w:gridSpan w:val="25"/>
          </w:tcPr>
          <w:p>
            <w:pPr>
              <w:spacing w:after="0" w:line="184" w:lineRule="exact"/>
              <w:rPr>
                <w:sz w:val="20"/>
                <w:szCs w:val="20"/>
                <w:color w:val="auto"/>
              </w:rPr>
            </w:pPr>
            <w:r>
              <w:rPr>
                <w:rFonts w:ascii="Times New Roman" w:cs="Times New Roman" w:eastAsia="Times New Roman" w:hAnsi="Times New Roman"/>
                <w:sz w:val="18"/>
                <w:szCs w:val="18"/>
                <w:color w:val="auto"/>
              </w:rPr>
              <w:t>Inline XBRL Taxonomy Extension Presentation</w:t>
            </w: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4"/>
        </w:trPr>
        <w:tc>
          <w:tcPr>
            <w:tcW w:w="1060" w:type="dxa"/>
            <w:vAlign w:val="bottom"/>
          </w:tcPr>
          <w:p>
            <w:pPr>
              <w:spacing w:after="0"/>
              <w:rPr>
                <w:sz w:val="20"/>
                <w:szCs w:val="20"/>
                <w:color w:val="auto"/>
              </w:rPr>
            </w:pPr>
          </w:p>
        </w:tc>
        <w:tc>
          <w:tcPr>
            <w:tcW w:w="374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10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104</w:t>
            </w:r>
          </w:p>
        </w:tc>
        <w:tc>
          <w:tcPr>
            <w:tcW w:w="3740" w:type="dxa"/>
            <w:vAlign w:val="bottom"/>
            <w:gridSpan w:val="25"/>
          </w:tcPr>
          <w:p>
            <w:pPr>
              <w:spacing w:after="0" w:line="184" w:lineRule="exact"/>
              <w:rPr>
                <w:sz w:val="20"/>
                <w:szCs w:val="20"/>
                <w:color w:val="auto"/>
              </w:rPr>
            </w:pPr>
            <w:r>
              <w:rPr>
                <w:rFonts w:ascii="Times New Roman" w:cs="Times New Roman" w:eastAsia="Times New Roman" w:hAnsi="Times New Roman"/>
                <w:sz w:val="18"/>
                <w:szCs w:val="18"/>
                <w:color w:val="auto"/>
              </w:rPr>
              <w:t>Cover Page Interactive Data File - formatted as</w:t>
            </w: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4"/>
        </w:trPr>
        <w:tc>
          <w:tcPr>
            <w:tcW w:w="1060" w:type="dxa"/>
            <w:vAlign w:val="bottom"/>
          </w:tcPr>
          <w:p>
            <w:pPr>
              <w:spacing w:after="0"/>
              <w:rPr>
                <w:sz w:val="20"/>
                <w:szCs w:val="20"/>
                <w:color w:val="auto"/>
              </w:rPr>
            </w:pPr>
          </w:p>
        </w:tc>
        <w:tc>
          <w:tcPr>
            <w:tcW w:w="374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Inline XBRL and contained in Exhibit 101</w:t>
            </w: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w:t>
      </w:r>
    </w:p>
    <w:p>
      <w:pPr>
        <w:spacing w:after="0" w:line="91"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6"/>
          <w:szCs w:val="16"/>
          <w:color w:val="auto"/>
        </w:rPr>
        <w:t>*</w:t>
        <w:tab/>
        <w:t>Management contract or compensatory plan</w:t>
      </w:r>
    </w:p>
    <w:p>
      <w:pPr>
        <w:spacing w:after="0" w:line="86" w:lineRule="exact"/>
        <w:rPr>
          <w:sz w:val="20"/>
          <w:szCs w:val="20"/>
          <w:color w:val="auto"/>
        </w:rPr>
      </w:pPr>
    </w:p>
    <w:p>
      <w:pPr>
        <w:ind w:left="660" w:hanging="652"/>
        <w:spacing w:after="0" w:line="263" w:lineRule="auto"/>
        <w:tabs>
          <w:tab w:leader="none" w:pos="354"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Will not be deemed "filed" for purposes of Section 18 of the U.S. Exchange Act, or otherwise subject to the liability of Section 18 of the U.S. Exchange Act, and will not be incorporated by reference into any filing under the U.S. Securities Act, or the U.S. Exchange Act, except to the extent that the registrant specifically incorporates it by reference.</w:t>
      </w:r>
    </w:p>
    <w:p>
      <w:pPr>
        <w:spacing w:after="0" w:line="43" w:lineRule="exact"/>
        <w:rPr>
          <w:sz w:val="20"/>
          <w:szCs w:val="20"/>
          <w:color w:val="auto"/>
        </w:rPr>
      </w:pPr>
    </w:p>
    <w:p>
      <w:pPr>
        <w:ind w:left="260" w:hanging="252"/>
        <w:spacing w:after="0"/>
        <w:tabs>
          <w:tab w:leader="none" w:pos="26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portions of this exhibit have been omitted because they are both: (i) not material; and (ii) of the type that the registrant treats as private or confidential.</w:t>
      </w: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361" w:lineRule="exact"/>
        <w:rPr>
          <w:rFonts w:ascii="Times New Roman" w:cs="Times New Roman" w:eastAsia="Times New Roman" w:hAnsi="Times New Roman"/>
          <w:sz w:val="16"/>
          <w:szCs w:val="16"/>
          <w:color w:val="auto"/>
        </w:rPr>
      </w:pPr>
    </w:p>
    <w:p>
      <w:pPr>
        <w:ind w:left="54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55" w:right="339" w:bottom="1440" w:gutter="0" w:footer="0" w:header="0"/>
        </w:sectPr>
      </w:pPr>
    </w:p>
    <w:bookmarkStart w:id="105" w:name="page106"/>
    <w:bookmarkEnd w:id="105"/>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Form 10-K Summary</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right"/>
        <w:ind w:right="437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927" w:right="1440" w:bottom="1440" w:gutter="0" w:footer="0" w:header="0"/>
        </w:sectPr>
      </w:pPr>
    </w:p>
    <w:bookmarkStart w:id="106" w:name="page107"/>
    <w:bookmarkEnd w:id="10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48" w:lineRule="exact"/>
        <w:rPr>
          <w:sz w:val="20"/>
          <w:szCs w:val="20"/>
          <w:color w:val="auto"/>
        </w:rPr>
      </w:pPr>
    </w:p>
    <w:p>
      <w:pPr>
        <w:jc w:val="both"/>
        <w:ind w:right="20" w:firstLine="44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29"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CELESTICA INC.</w:t>
      </w:r>
    </w:p>
    <w:p>
      <w:pPr>
        <w:spacing w:after="0" w:line="27"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By: /s/ Douglas Parker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942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2">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11"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Douglas Parker</w:t>
      </w:r>
    </w:p>
    <w:p>
      <w:pPr>
        <w:spacing w:after="0" w:line="27"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Chief Legal Officer and Corporate Secretary</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3, 2025</w:t>
      </w:r>
    </w:p>
    <w:p>
      <w:pPr>
        <w:spacing w:after="0" w:line="154"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4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the undersigned directors and officers of Celestica Inc., hereby severally constitute Douglas Parker and Mandeep Chawla, and each of them singly, our true and lawful attorneys with full power to them and each of them to sign for us, in our names in the capacities indicated below, any and all amendments to this Annual Report on Form 10-K filed with the Securities and Exchange Commission.</w:t>
      </w:r>
    </w:p>
    <w:p>
      <w:pPr>
        <w:spacing w:after="0" w:line="108"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80" w:type="dxa"/>
            <w:vAlign w:val="bottom"/>
          </w:tcPr>
          <w:p>
            <w:pPr>
              <w:ind w:left="1120"/>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536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258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DATE</w:t>
            </w:r>
          </w:p>
        </w:tc>
        <w:tc>
          <w:tcPr>
            <w:tcW w:w="0" w:type="dxa"/>
            <w:vAlign w:val="bottom"/>
          </w:tcPr>
          <w:p>
            <w:pPr>
              <w:spacing w:after="0"/>
              <w:rPr>
                <w:sz w:val="1"/>
                <w:szCs w:val="1"/>
                <w:color w:val="auto"/>
              </w:rPr>
            </w:pPr>
          </w:p>
        </w:tc>
      </w:tr>
      <w:tr>
        <w:trPr>
          <w:trHeight w:val="527"/>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Robert A. Mionis</w:t>
            </w:r>
          </w:p>
        </w:tc>
        <w:tc>
          <w:tcPr>
            <w:tcW w:w="5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Director, President and Chief Executive Officer</w:t>
            </w:r>
          </w:p>
        </w:tc>
        <w:tc>
          <w:tcPr>
            <w:tcW w:w="2580" w:type="dxa"/>
            <w:vAlign w:val="bottom"/>
          </w:tcPr>
          <w:p>
            <w:pPr>
              <w:ind w:left="1520"/>
              <w:spacing w:after="0"/>
              <w:rPr>
                <w:sz w:val="20"/>
                <w:szCs w:val="20"/>
                <w:color w:val="auto"/>
              </w:rPr>
            </w:pPr>
            <w:r>
              <w:rPr>
                <w:rFonts w:ascii="Times New Roman" w:cs="Times New Roman" w:eastAsia="Times New Roman" w:hAnsi="Times New Roman"/>
                <w:sz w:val="18"/>
                <w:szCs w:val="18"/>
                <w:color w:val="auto"/>
                <w:w w:val="98"/>
              </w:rPr>
              <w:t>March 3, 2025</w:t>
            </w:r>
          </w:p>
        </w:tc>
        <w:tc>
          <w:tcPr>
            <w:tcW w:w="0" w:type="dxa"/>
            <w:vAlign w:val="bottom"/>
          </w:tcPr>
          <w:p>
            <w:pPr>
              <w:spacing w:after="0"/>
              <w:rPr>
                <w:sz w:val="1"/>
                <w:szCs w:val="1"/>
                <w:color w:val="auto"/>
              </w:rPr>
            </w:pPr>
          </w:p>
        </w:tc>
      </w:tr>
      <w:tr>
        <w:trPr>
          <w:trHeight w:val="27"/>
        </w:trPr>
        <w:tc>
          <w:tcPr>
            <w:tcW w:w="3280" w:type="dxa"/>
            <w:vAlign w:val="bottom"/>
            <w:tcBorders>
              <w:bottom w:val="single" w:sz="8" w:color="auto"/>
            </w:tcBorders>
          </w:tcPr>
          <w:p>
            <w:pPr>
              <w:spacing w:after="0"/>
              <w:rPr>
                <w:sz w:val="2"/>
                <w:szCs w:val="2"/>
                <w:color w:val="auto"/>
              </w:rPr>
            </w:pPr>
          </w:p>
        </w:tc>
        <w:tc>
          <w:tcPr>
            <w:tcW w:w="536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Robert A. Mionis</w:t>
            </w:r>
          </w:p>
        </w:tc>
        <w:tc>
          <w:tcPr>
            <w:tcW w:w="5360" w:type="dxa"/>
            <w:vAlign w:val="bottom"/>
            <w:vMerge w:val="continue"/>
          </w:tcPr>
          <w:p>
            <w:pPr>
              <w:spacing w:after="0"/>
              <w:rPr>
                <w:sz w:val="19"/>
                <w:szCs w:val="19"/>
                <w:color w:val="auto"/>
              </w:rPr>
            </w:pPr>
          </w:p>
        </w:tc>
        <w:tc>
          <w:tcPr>
            <w:tcW w:w="2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0"/>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Mandeep Chawla</w:t>
            </w:r>
          </w:p>
        </w:tc>
        <w:tc>
          <w:tcPr>
            <w:tcW w:w="5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Chief Financial Officer</w:t>
            </w:r>
          </w:p>
        </w:tc>
        <w:tc>
          <w:tcPr>
            <w:tcW w:w="2580" w:type="dxa"/>
            <w:vAlign w:val="bottom"/>
          </w:tcPr>
          <w:p>
            <w:pPr>
              <w:ind w:left="1520"/>
              <w:spacing w:after="0"/>
              <w:rPr>
                <w:sz w:val="20"/>
                <w:szCs w:val="20"/>
                <w:color w:val="auto"/>
              </w:rPr>
            </w:pPr>
            <w:r>
              <w:rPr>
                <w:rFonts w:ascii="Times New Roman" w:cs="Times New Roman" w:eastAsia="Times New Roman" w:hAnsi="Times New Roman"/>
                <w:sz w:val="18"/>
                <w:szCs w:val="18"/>
                <w:color w:val="auto"/>
                <w:w w:val="98"/>
              </w:rPr>
              <w:t>March 3, 2025</w:t>
            </w:r>
          </w:p>
        </w:tc>
        <w:tc>
          <w:tcPr>
            <w:tcW w:w="0" w:type="dxa"/>
            <w:vAlign w:val="bottom"/>
          </w:tcPr>
          <w:p>
            <w:pPr>
              <w:spacing w:after="0"/>
              <w:rPr>
                <w:sz w:val="1"/>
                <w:szCs w:val="1"/>
                <w:color w:val="auto"/>
              </w:rPr>
            </w:pPr>
          </w:p>
        </w:tc>
      </w:tr>
      <w:tr>
        <w:trPr>
          <w:trHeight w:val="27"/>
        </w:trPr>
        <w:tc>
          <w:tcPr>
            <w:tcW w:w="3280" w:type="dxa"/>
            <w:vAlign w:val="bottom"/>
            <w:tcBorders>
              <w:bottom w:val="single" w:sz="8" w:color="auto"/>
            </w:tcBorders>
          </w:tcPr>
          <w:p>
            <w:pPr>
              <w:spacing w:after="0"/>
              <w:rPr>
                <w:sz w:val="2"/>
                <w:szCs w:val="2"/>
                <w:color w:val="auto"/>
              </w:rPr>
            </w:pPr>
          </w:p>
        </w:tc>
        <w:tc>
          <w:tcPr>
            <w:tcW w:w="536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tc>
        <w:tc>
          <w:tcPr>
            <w:tcW w:w="2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Mandeep Chawla</w:t>
            </w:r>
          </w:p>
        </w:tc>
        <w:tc>
          <w:tcPr>
            <w:tcW w:w="5360" w:type="dxa"/>
            <w:vAlign w:val="bottom"/>
            <w:vMerge w:val="continue"/>
          </w:tcPr>
          <w:p>
            <w:pPr>
              <w:spacing w:after="0"/>
              <w:rPr>
                <w:sz w:val="19"/>
                <w:szCs w:val="19"/>
                <w:color w:val="auto"/>
              </w:rPr>
            </w:pPr>
          </w:p>
        </w:tc>
        <w:tc>
          <w:tcPr>
            <w:tcW w:w="2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0"/>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/s/Michael M. Wilson</w:t>
            </w:r>
          </w:p>
        </w:tc>
        <w:tc>
          <w:tcPr>
            <w:tcW w:w="5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Chair of the Board and Director</w:t>
            </w:r>
          </w:p>
        </w:tc>
        <w:tc>
          <w:tcPr>
            <w:tcW w:w="2580" w:type="dxa"/>
            <w:vAlign w:val="bottom"/>
          </w:tcPr>
          <w:p>
            <w:pPr>
              <w:ind w:left="1520"/>
              <w:spacing w:after="0"/>
              <w:rPr>
                <w:sz w:val="20"/>
                <w:szCs w:val="20"/>
                <w:color w:val="auto"/>
              </w:rPr>
            </w:pPr>
            <w:r>
              <w:rPr>
                <w:rFonts w:ascii="Times New Roman" w:cs="Times New Roman" w:eastAsia="Times New Roman" w:hAnsi="Times New Roman"/>
                <w:sz w:val="18"/>
                <w:szCs w:val="18"/>
                <w:color w:val="auto"/>
                <w:w w:val="98"/>
              </w:rPr>
              <w:t>March 3, 2025</w:t>
            </w:r>
          </w:p>
        </w:tc>
        <w:tc>
          <w:tcPr>
            <w:tcW w:w="0" w:type="dxa"/>
            <w:vAlign w:val="bottom"/>
          </w:tcPr>
          <w:p>
            <w:pPr>
              <w:spacing w:after="0"/>
              <w:rPr>
                <w:sz w:val="1"/>
                <w:szCs w:val="1"/>
                <w:color w:val="auto"/>
              </w:rPr>
            </w:pPr>
          </w:p>
        </w:tc>
      </w:tr>
      <w:tr>
        <w:trPr>
          <w:trHeight w:val="27"/>
        </w:trPr>
        <w:tc>
          <w:tcPr>
            <w:tcW w:w="3280" w:type="dxa"/>
            <w:vAlign w:val="bottom"/>
            <w:tcBorders>
              <w:bottom w:val="single" w:sz="8" w:color="auto"/>
            </w:tcBorders>
          </w:tcPr>
          <w:p>
            <w:pPr>
              <w:spacing w:after="0"/>
              <w:rPr>
                <w:sz w:val="2"/>
                <w:szCs w:val="2"/>
                <w:color w:val="auto"/>
              </w:rPr>
            </w:pPr>
          </w:p>
        </w:tc>
        <w:tc>
          <w:tcPr>
            <w:tcW w:w="53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Michael M. Wilson</w:t>
            </w:r>
          </w:p>
        </w:tc>
        <w:tc>
          <w:tcPr>
            <w:tcW w:w="536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0"/>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Kulvinder (Kelly) Ahuja            </w:t>
            </w:r>
          </w:p>
        </w:tc>
        <w:tc>
          <w:tcPr>
            <w:tcW w:w="5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2580" w:type="dxa"/>
            <w:vAlign w:val="bottom"/>
          </w:tcPr>
          <w:p>
            <w:pPr>
              <w:ind w:left="1520"/>
              <w:spacing w:after="0"/>
              <w:rPr>
                <w:sz w:val="20"/>
                <w:szCs w:val="20"/>
                <w:color w:val="auto"/>
              </w:rPr>
            </w:pPr>
            <w:r>
              <w:rPr>
                <w:rFonts w:ascii="Times New Roman" w:cs="Times New Roman" w:eastAsia="Times New Roman" w:hAnsi="Times New Roman"/>
                <w:sz w:val="18"/>
                <w:szCs w:val="18"/>
                <w:color w:val="auto"/>
                <w:w w:val="98"/>
              </w:rPr>
              <w:t>March 3, 2025</w:t>
            </w:r>
          </w:p>
        </w:tc>
        <w:tc>
          <w:tcPr>
            <w:tcW w:w="0" w:type="dxa"/>
            <w:vAlign w:val="bottom"/>
          </w:tcPr>
          <w:p>
            <w:pPr>
              <w:spacing w:after="0"/>
              <w:rPr>
                <w:sz w:val="1"/>
                <w:szCs w:val="1"/>
                <w:color w:val="auto"/>
              </w:rPr>
            </w:pPr>
          </w:p>
        </w:tc>
      </w:tr>
      <w:tr>
        <w:trPr>
          <w:trHeight w:val="27"/>
        </w:trPr>
        <w:tc>
          <w:tcPr>
            <w:tcW w:w="3280" w:type="dxa"/>
            <w:vAlign w:val="bottom"/>
            <w:tcBorders>
              <w:bottom w:val="single" w:sz="8" w:color="auto"/>
            </w:tcBorders>
          </w:tcPr>
          <w:p>
            <w:pPr>
              <w:spacing w:after="0"/>
              <w:rPr>
                <w:sz w:val="2"/>
                <w:szCs w:val="2"/>
                <w:color w:val="auto"/>
              </w:rPr>
            </w:pPr>
          </w:p>
        </w:tc>
        <w:tc>
          <w:tcPr>
            <w:tcW w:w="53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Kulvinder (Kelly) Ahuja</w:t>
            </w:r>
          </w:p>
        </w:tc>
        <w:tc>
          <w:tcPr>
            <w:tcW w:w="536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0"/>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Robert A. Cascella            </w:t>
            </w:r>
          </w:p>
        </w:tc>
        <w:tc>
          <w:tcPr>
            <w:tcW w:w="5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2580" w:type="dxa"/>
            <w:vAlign w:val="bottom"/>
          </w:tcPr>
          <w:p>
            <w:pPr>
              <w:ind w:left="1520"/>
              <w:spacing w:after="0"/>
              <w:rPr>
                <w:sz w:val="20"/>
                <w:szCs w:val="20"/>
                <w:color w:val="auto"/>
              </w:rPr>
            </w:pPr>
            <w:r>
              <w:rPr>
                <w:rFonts w:ascii="Times New Roman" w:cs="Times New Roman" w:eastAsia="Times New Roman" w:hAnsi="Times New Roman"/>
                <w:sz w:val="18"/>
                <w:szCs w:val="18"/>
                <w:color w:val="auto"/>
                <w:w w:val="98"/>
              </w:rPr>
              <w:t>March 3, 2025</w:t>
            </w:r>
          </w:p>
        </w:tc>
        <w:tc>
          <w:tcPr>
            <w:tcW w:w="0" w:type="dxa"/>
            <w:vAlign w:val="bottom"/>
          </w:tcPr>
          <w:p>
            <w:pPr>
              <w:spacing w:after="0"/>
              <w:rPr>
                <w:sz w:val="1"/>
                <w:szCs w:val="1"/>
                <w:color w:val="auto"/>
              </w:rPr>
            </w:pPr>
          </w:p>
        </w:tc>
      </w:tr>
      <w:tr>
        <w:trPr>
          <w:trHeight w:val="27"/>
        </w:trPr>
        <w:tc>
          <w:tcPr>
            <w:tcW w:w="3280" w:type="dxa"/>
            <w:vAlign w:val="bottom"/>
            <w:tcBorders>
              <w:bottom w:val="single" w:sz="8" w:color="auto"/>
            </w:tcBorders>
          </w:tcPr>
          <w:p>
            <w:pPr>
              <w:spacing w:after="0"/>
              <w:rPr>
                <w:sz w:val="2"/>
                <w:szCs w:val="2"/>
                <w:color w:val="auto"/>
              </w:rPr>
            </w:pPr>
          </w:p>
        </w:tc>
        <w:tc>
          <w:tcPr>
            <w:tcW w:w="53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Robert A. Cascella</w:t>
            </w:r>
          </w:p>
        </w:tc>
        <w:tc>
          <w:tcPr>
            <w:tcW w:w="536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0"/>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Françoise Colpron            </w:t>
            </w:r>
          </w:p>
        </w:tc>
        <w:tc>
          <w:tcPr>
            <w:tcW w:w="5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2580" w:type="dxa"/>
            <w:vAlign w:val="bottom"/>
          </w:tcPr>
          <w:p>
            <w:pPr>
              <w:ind w:left="1520"/>
              <w:spacing w:after="0"/>
              <w:rPr>
                <w:sz w:val="20"/>
                <w:szCs w:val="20"/>
                <w:color w:val="auto"/>
              </w:rPr>
            </w:pPr>
            <w:r>
              <w:rPr>
                <w:rFonts w:ascii="Times New Roman" w:cs="Times New Roman" w:eastAsia="Times New Roman" w:hAnsi="Times New Roman"/>
                <w:sz w:val="18"/>
                <w:szCs w:val="18"/>
                <w:color w:val="auto"/>
                <w:w w:val="98"/>
              </w:rPr>
              <w:t>March 3, 2025</w:t>
            </w:r>
          </w:p>
        </w:tc>
        <w:tc>
          <w:tcPr>
            <w:tcW w:w="0" w:type="dxa"/>
            <w:vAlign w:val="bottom"/>
          </w:tcPr>
          <w:p>
            <w:pPr>
              <w:spacing w:after="0"/>
              <w:rPr>
                <w:sz w:val="1"/>
                <w:szCs w:val="1"/>
                <w:color w:val="auto"/>
              </w:rPr>
            </w:pPr>
          </w:p>
        </w:tc>
      </w:tr>
      <w:tr>
        <w:trPr>
          <w:trHeight w:val="27"/>
        </w:trPr>
        <w:tc>
          <w:tcPr>
            <w:tcW w:w="3280" w:type="dxa"/>
            <w:vAlign w:val="bottom"/>
            <w:tcBorders>
              <w:bottom w:val="single" w:sz="8" w:color="auto"/>
            </w:tcBorders>
          </w:tcPr>
          <w:p>
            <w:pPr>
              <w:spacing w:after="0"/>
              <w:rPr>
                <w:sz w:val="2"/>
                <w:szCs w:val="2"/>
                <w:color w:val="auto"/>
              </w:rPr>
            </w:pPr>
          </w:p>
        </w:tc>
        <w:tc>
          <w:tcPr>
            <w:tcW w:w="53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Françoise Colpron</w:t>
            </w:r>
          </w:p>
        </w:tc>
        <w:tc>
          <w:tcPr>
            <w:tcW w:w="536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0"/>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Jill Kale            </w:t>
            </w:r>
          </w:p>
        </w:tc>
        <w:tc>
          <w:tcPr>
            <w:tcW w:w="5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2580" w:type="dxa"/>
            <w:vAlign w:val="bottom"/>
          </w:tcPr>
          <w:p>
            <w:pPr>
              <w:ind w:left="1520"/>
              <w:spacing w:after="0"/>
              <w:rPr>
                <w:sz w:val="20"/>
                <w:szCs w:val="20"/>
                <w:color w:val="auto"/>
              </w:rPr>
            </w:pPr>
            <w:r>
              <w:rPr>
                <w:rFonts w:ascii="Times New Roman" w:cs="Times New Roman" w:eastAsia="Times New Roman" w:hAnsi="Times New Roman"/>
                <w:sz w:val="18"/>
                <w:szCs w:val="18"/>
                <w:color w:val="auto"/>
                <w:w w:val="98"/>
              </w:rPr>
              <w:t>March 3, 2025</w:t>
            </w:r>
          </w:p>
        </w:tc>
        <w:tc>
          <w:tcPr>
            <w:tcW w:w="0" w:type="dxa"/>
            <w:vAlign w:val="bottom"/>
          </w:tcPr>
          <w:p>
            <w:pPr>
              <w:spacing w:after="0"/>
              <w:rPr>
                <w:sz w:val="1"/>
                <w:szCs w:val="1"/>
                <w:color w:val="auto"/>
              </w:rPr>
            </w:pPr>
          </w:p>
        </w:tc>
      </w:tr>
      <w:tr>
        <w:trPr>
          <w:trHeight w:val="27"/>
        </w:trPr>
        <w:tc>
          <w:tcPr>
            <w:tcW w:w="3280" w:type="dxa"/>
            <w:vAlign w:val="bottom"/>
            <w:tcBorders>
              <w:bottom w:val="single" w:sz="8" w:color="auto"/>
            </w:tcBorders>
          </w:tcPr>
          <w:p>
            <w:pPr>
              <w:spacing w:after="0"/>
              <w:rPr>
                <w:sz w:val="2"/>
                <w:szCs w:val="2"/>
                <w:color w:val="auto"/>
              </w:rPr>
            </w:pPr>
          </w:p>
        </w:tc>
        <w:tc>
          <w:tcPr>
            <w:tcW w:w="53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Jill Kale</w:t>
            </w:r>
          </w:p>
        </w:tc>
        <w:tc>
          <w:tcPr>
            <w:tcW w:w="536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0"/>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Amar Maletira            </w:t>
            </w:r>
          </w:p>
        </w:tc>
        <w:tc>
          <w:tcPr>
            <w:tcW w:w="5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2580" w:type="dxa"/>
            <w:vAlign w:val="bottom"/>
          </w:tcPr>
          <w:p>
            <w:pPr>
              <w:ind w:left="1520"/>
              <w:spacing w:after="0"/>
              <w:rPr>
                <w:sz w:val="20"/>
                <w:szCs w:val="20"/>
                <w:color w:val="auto"/>
              </w:rPr>
            </w:pPr>
            <w:r>
              <w:rPr>
                <w:rFonts w:ascii="Times New Roman" w:cs="Times New Roman" w:eastAsia="Times New Roman" w:hAnsi="Times New Roman"/>
                <w:sz w:val="18"/>
                <w:szCs w:val="18"/>
                <w:color w:val="auto"/>
                <w:w w:val="98"/>
              </w:rPr>
              <w:t>March 3, 2025</w:t>
            </w:r>
          </w:p>
        </w:tc>
        <w:tc>
          <w:tcPr>
            <w:tcW w:w="0" w:type="dxa"/>
            <w:vAlign w:val="bottom"/>
          </w:tcPr>
          <w:p>
            <w:pPr>
              <w:spacing w:after="0"/>
              <w:rPr>
                <w:sz w:val="1"/>
                <w:szCs w:val="1"/>
                <w:color w:val="auto"/>
              </w:rPr>
            </w:pPr>
          </w:p>
        </w:tc>
      </w:tr>
      <w:tr>
        <w:trPr>
          <w:trHeight w:val="27"/>
        </w:trPr>
        <w:tc>
          <w:tcPr>
            <w:tcW w:w="3280" w:type="dxa"/>
            <w:vAlign w:val="bottom"/>
            <w:tcBorders>
              <w:bottom w:val="single" w:sz="8" w:color="auto"/>
            </w:tcBorders>
          </w:tcPr>
          <w:p>
            <w:pPr>
              <w:spacing w:after="0"/>
              <w:rPr>
                <w:sz w:val="2"/>
                <w:szCs w:val="2"/>
                <w:color w:val="auto"/>
              </w:rPr>
            </w:pPr>
          </w:p>
        </w:tc>
        <w:tc>
          <w:tcPr>
            <w:tcW w:w="53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Amar Maletira</w:t>
            </w:r>
          </w:p>
        </w:tc>
        <w:tc>
          <w:tcPr>
            <w:tcW w:w="536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0"/>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Luis A. Müller</w:t>
            </w:r>
          </w:p>
        </w:tc>
        <w:tc>
          <w:tcPr>
            <w:tcW w:w="5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2580" w:type="dxa"/>
            <w:vAlign w:val="bottom"/>
          </w:tcPr>
          <w:p>
            <w:pPr>
              <w:ind w:left="1520"/>
              <w:spacing w:after="0"/>
              <w:rPr>
                <w:sz w:val="20"/>
                <w:szCs w:val="20"/>
                <w:color w:val="auto"/>
              </w:rPr>
            </w:pPr>
            <w:r>
              <w:rPr>
                <w:rFonts w:ascii="Times New Roman" w:cs="Times New Roman" w:eastAsia="Times New Roman" w:hAnsi="Times New Roman"/>
                <w:sz w:val="18"/>
                <w:szCs w:val="18"/>
                <w:color w:val="auto"/>
                <w:w w:val="98"/>
              </w:rPr>
              <w:t>March 3, 2025</w:t>
            </w:r>
          </w:p>
        </w:tc>
        <w:tc>
          <w:tcPr>
            <w:tcW w:w="0" w:type="dxa"/>
            <w:vAlign w:val="bottom"/>
          </w:tcPr>
          <w:p>
            <w:pPr>
              <w:spacing w:after="0"/>
              <w:rPr>
                <w:sz w:val="1"/>
                <w:szCs w:val="1"/>
                <w:color w:val="auto"/>
              </w:rPr>
            </w:pPr>
          </w:p>
        </w:tc>
      </w:tr>
      <w:tr>
        <w:trPr>
          <w:trHeight w:val="27"/>
        </w:trPr>
        <w:tc>
          <w:tcPr>
            <w:tcW w:w="3280" w:type="dxa"/>
            <w:vAlign w:val="bottom"/>
            <w:tcBorders>
              <w:bottom w:val="single" w:sz="8" w:color="auto"/>
            </w:tcBorders>
          </w:tcPr>
          <w:p>
            <w:pPr>
              <w:spacing w:after="0"/>
              <w:rPr>
                <w:sz w:val="2"/>
                <w:szCs w:val="2"/>
                <w:color w:val="auto"/>
              </w:rPr>
            </w:pPr>
          </w:p>
        </w:tc>
        <w:tc>
          <w:tcPr>
            <w:tcW w:w="53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Luis A. Müller</w:t>
            </w:r>
          </w:p>
        </w:tc>
        <w:tc>
          <w:tcPr>
            <w:tcW w:w="536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107" w:name="page108"/>
    <w:bookmarkEnd w:id="10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management of Celestica Inc. (the Company) is responsible for establishing and maintaining adequate internal control over financial reporting for the Company. The Company’s internal control system is designed to provide reasonable assurance regarding the reliability of financial reporting and the preparation of financial statements for external purposes in accordance with accounting principles generally accepted in the United States of America (GAAP). All internal control systems, no matter how well designed, have inherent limitations. Therefore, even those systems determined to be effective can provide only reasonable assurance with respect to financial statement preparation and presentation.</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internal control over financial reporting includes those policies and procedures that: pertain to the maintenance of records that, in reasonable detail, accurately and fairly reflect the transactions and dispositions of our assets; provide reasonable assurance that transactions are recorded as necessary to permit preparation of financial statements in accordance with GAAP, and that our receipts and expenditures are being made only in accordance with authorizations of our management and directors; and provide reasonable assurance regarding prevention or timely detection of unauthorized acquisition, use or disposition of our assets that could have a material effect on our financial statements.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Management assessed the effectiveness of the Company’s internal control over financial reporting as of December 31, 2024 based on the criteria set forth in Internal Control — Integrated Framework (2013) issued by the Committee of Sponsoring Organizations of the Treadway Commission. Based on this assessment, management has concluded that, as of December 31, 2024, the Company’s internal control over financial reporting was effective.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effectiveness of our internal control over financial reporting as of December 31, 2024 has been audited by KPMG LLP, Chartered Professional Accountants, the independent registered public accounting firm that audited the consolidated financial statements included in this Annual Report, as stated in their report appearing on page F-2.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28,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8" w:name="page109"/>
    <w:bookmarkEnd w:id="108"/>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Board of Directors of Celestica Inc.:</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 on Internal Control Over Financial Reporting</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have audited Celestica Inc.'s (the Company) internal control over financial reporting as of December 31, 2024, based on criteria established in </w:t>
      </w:r>
      <w:r>
        <w:rPr>
          <w:rFonts w:ascii="Times New Roman" w:cs="Times New Roman" w:eastAsia="Times New Roman" w:hAnsi="Times New Roman"/>
          <w:sz w:val="18"/>
          <w:szCs w:val="18"/>
          <w:i w:val="1"/>
          <w:iCs w:val="1"/>
          <w:color w:val="auto"/>
        </w:rPr>
        <w:t>Internal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Control — Integrated Framework (2013) </w:t>
      </w:r>
      <w:r>
        <w:rPr>
          <w:rFonts w:ascii="Times New Roman" w:cs="Times New Roman" w:eastAsia="Times New Roman" w:hAnsi="Times New Roman"/>
          <w:sz w:val="18"/>
          <w:szCs w:val="18"/>
          <w:color w:val="auto"/>
        </w:rPr>
        <w:t>issued by the Committee of Sponsoring Organizations of the Treadway Commission. In our opinion,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Company maintained, in all material respects, effective internal control over financial reporting as of December 31, 2024, based on criteria established in </w:t>
      </w:r>
      <w:r>
        <w:rPr>
          <w:rFonts w:ascii="Times New Roman" w:cs="Times New Roman" w:eastAsia="Times New Roman" w:hAnsi="Times New Roman"/>
          <w:sz w:val="18"/>
          <w:szCs w:val="18"/>
          <w:i w:val="1"/>
          <w:iCs w:val="1"/>
          <w:color w:val="auto"/>
        </w:rPr>
        <w:t xml:space="preserve">Internal Control – Integrated Framework (2013) </w:t>
      </w:r>
      <w:r>
        <w:rPr>
          <w:rFonts w:ascii="Times New Roman" w:cs="Times New Roman" w:eastAsia="Times New Roman" w:hAnsi="Times New Roman"/>
          <w:sz w:val="18"/>
          <w:szCs w:val="18"/>
          <w:color w:val="auto"/>
        </w:rPr>
        <w:t>issued by the Committee of Sponsoring Organizations of the Treadway Commission.</w:t>
      </w:r>
    </w:p>
    <w:p>
      <w:pPr>
        <w:spacing w:after="0" w:line="7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the Company as of December 31, 2024 and 2023, the related consolidated statements of operations, comprehensive income, changes in equity, and cash flows for each of the years in the three-year period ended December 31, 2024, and the related notes (collectively, the consolidated financial statements), and our report dated February 28, 2025 expressed an unqualified opinion on those consolidated financial statements.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Definition and Limitations of Internal Control Over Financial Reporting</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40" w:type="dxa"/>
            <w:vAlign w:val="bottom"/>
          </w:tcPr>
          <w:p>
            <w:pPr>
              <w:spacing w:after="0"/>
              <w:rPr>
                <w:sz w:val="18"/>
                <w:szCs w:val="18"/>
                <w:color w:val="auto"/>
              </w:rPr>
            </w:pPr>
          </w:p>
        </w:tc>
        <w:tc>
          <w:tcPr>
            <w:tcW w:w="720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/s/ KPMG LLP</w:t>
            </w:r>
          </w:p>
        </w:tc>
      </w:tr>
      <w:tr>
        <w:trPr>
          <w:trHeight w:val="184"/>
        </w:trPr>
        <w:tc>
          <w:tcPr>
            <w:tcW w:w="4040" w:type="dxa"/>
            <w:vAlign w:val="bottom"/>
          </w:tcPr>
          <w:p>
            <w:pPr>
              <w:spacing w:after="0"/>
              <w:rPr>
                <w:sz w:val="16"/>
                <w:szCs w:val="16"/>
                <w:color w:val="auto"/>
              </w:rPr>
            </w:pPr>
          </w:p>
        </w:tc>
        <w:tc>
          <w:tcPr>
            <w:tcW w:w="7200" w:type="dxa"/>
            <w:vAlign w:val="bottom"/>
          </w:tcPr>
          <w:p>
            <w:pPr>
              <w:ind w:left="1600"/>
              <w:spacing w:after="0" w:line="184" w:lineRule="exact"/>
              <w:rPr>
                <w:sz w:val="20"/>
                <w:szCs w:val="20"/>
                <w:color w:val="auto"/>
              </w:rPr>
            </w:pPr>
            <w:r>
              <w:rPr>
                <w:rFonts w:ascii="Times New Roman" w:cs="Times New Roman" w:eastAsia="Times New Roman" w:hAnsi="Times New Roman"/>
                <w:sz w:val="18"/>
                <w:szCs w:val="18"/>
                <w:color w:val="auto"/>
              </w:rPr>
              <w:t>Chartered Professional Accountants,</w:t>
            </w:r>
          </w:p>
        </w:tc>
      </w:tr>
      <w:tr>
        <w:trPr>
          <w:trHeight w:val="234"/>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Toronto, Canada February 28, 2025</w:t>
            </w:r>
          </w:p>
        </w:tc>
        <w:tc>
          <w:tcPr>
            <w:tcW w:w="720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Licensed Public Accountants</w:t>
            </w:r>
          </w:p>
        </w:tc>
      </w:tr>
      <w:tr>
        <w:trPr>
          <w:trHeight w:val="823"/>
        </w:trPr>
        <w:tc>
          <w:tcPr>
            <w:tcW w:w="4040" w:type="dxa"/>
            <w:vAlign w:val="bottom"/>
          </w:tcPr>
          <w:p>
            <w:pPr>
              <w:spacing w:after="0"/>
              <w:rPr>
                <w:sz w:val="24"/>
                <w:szCs w:val="24"/>
                <w:color w:val="auto"/>
              </w:rPr>
            </w:pPr>
          </w:p>
        </w:tc>
        <w:tc>
          <w:tcPr>
            <w:tcW w:w="72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F-2</w:t>
            </w:r>
          </w:p>
        </w:tc>
      </w:tr>
      <w:tr>
        <w:trPr>
          <w:trHeight w:val="358"/>
        </w:trPr>
        <w:tc>
          <w:tcPr>
            <w:tcW w:w="4040" w:type="dxa"/>
            <w:vAlign w:val="bottom"/>
            <w:tcBorders>
              <w:bottom w:val="single" w:sz="8" w:color="9A9A9A"/>
            </w:tcBorders>
          </w:tcPr>
          <w:p>
            <w:pPr>
              <w:spacing w:after="0"/>
              <w:rPr>
                <w:sz w:val="24"/>
                <w:szCs w:val="24"/>
                <w:color w:val="auto"/>
              </w:rPr>
            </w:pPr>
          </w:p>
        </w:tc>
        <w:tc>
          <w:tcPr>
            <w:tcW w:w="72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09" w:name="page110"/>
    <w:bookmarkEnd w:id="109"/>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Board of Directors of Celestica Inc.:</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 on the Consolidated Financial Statements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Celestica Inc. (the Company) as of December 31, 2024 and 2023, the related consolidated statements of operations, comprehensive income, changes in equity and cash flows for each of the years in the three-year period ended December 31, 2024, and the related notes (collectively, the consolidated financial statements). In our opinion, the consolidated financial statements present fairly, in all material respects, the financial position of the Company as of December 31, 2024 and 2023, and the results of its operations and its cash flows for each of the years in the three-year period ended December 31, 2024, in conformity with U.S. generally accepted accounting principles.</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also have audited, in accordance with the standards of the Public Company Accounting Oversight Board (United States) (PCAOB), the Company’s internal control over financial reporting as of December 31, 2024,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and our report dated February 28, 2025 expressed an unqualified opinion on the effectiveness of the Company’s internal control over financial reporting.</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Valuation of goodwill for the capital equipment reporting unit</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discussed in Note 2(j) to the consolidated financial statements, goodwill is tested for impairment on an annual basis, during the fourth quarter of each year, and whenever events and changes in circumstances suggest that the carrying amount may be impaired. Recoverability of goodwill is measured at the reporting unit level by comparing the reporting unit's carrying amount, including goodwill, to the fair value of the reporting unit, which is typically measured using a discounted cash flow analysis. As discussed in Note 8 to the consolidated financial statements, as of December 31, 2024, the Company's consolidated goodwill balance was $340.5 million, of which the goodwill associated with the capital equipment reporting unit was $131.0 million.</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identified the valuation of goodwill for the capital equipment reporting unit as a critical audit matter. Subjective and challenging auditor judgement was required to evaluate certain assumptions in the impairment model used in the Company’s estimate of the fair value of the capital equipment reporting unit. Specifically, certain assumptions used to estimate the fair value were challenging to assess, as minor changes to the future revenue growth rate, profitability, and the discount rate assumptions could have had a significant effect on the fair value and resulting impairment conclusion.</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10" w:name="page111"/>
    <w:bookmarkEnd w:id="110"/>
    <w:p>
      <w:pPr>
        <w:jc w:val="both"/>
        <w:spacing w:after="0" w:line="254" w:lineRule="auto"/>
        <w:rPr>
          <w:sz w:val="20"/>
          <w:szCs w:val="20"/>
          <w:color w:val="auto"/>
        </w:rPr>
      </w:pPr>
      <w:r>
        <w:rPr>
          <w:rFonts w:ascii="Times New Roman" w:cs="Times New Roman" w:eastAsia="Times New Roman" w:hAnsi="Times New Roman"/>
          <w:sz w:val="18"/>
          <w:szCs w:val="18"/>
          <w:color w:val="auto"/>
        </w:rPr>
        <w:t>The following are the primary procedures we performed to address this critical audit matter. We evaluated the design and tested the operating effectiveness of certain internal controls related to the critical audit matter. This included controls related to the review of the future revenue growth rate, profitability, and the discount rate assumptions used in the impairment model. We assessed the Company’s future revenue growth rates and profitability by comparing them to the underlying forecast, evidence of future customer demand, industry reports and historical results. We compared the Company’s historical revenue and profitability forecasts of the capital equipment reporting unit to actual results to assess the Company’s ability to accurately forecast. We involved valuation professionals with specialized skills and knowledge, who assisted in the evaluation of the discount rate, by comparing the Company's inputs to the discount rate to publicly available data for comparable entities, independently developing a range of discount rates and comparing those to the Company's discount rate.</w:t>
      </w:r>
    </w:p>
    <w:p>
      <w:pPr>
        <w:spacing w:after="0" w:line="11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KPMG LLP</w:t>
      </w:r>
    </w:p>
    <w:p>
      <w:pPr>
        <w:ind w:left="5640"/>
        <w:spacing w:after="0" w:line="219" w:lineRule="auto"/>
        <w:rPr>
          <w:sz w:val="20"/>
          <w:szCs w:val="20"/>
          <w:color w:val="auto"/>
        </w:rPr>
      </w:pPr>
      <w:r>
        <w:rPr>
          <w:rFonts w:ascii="Times New Roman" w:cs="Times New Roman" w:eastAsia="Times New Roman" w:hAnsi="Times New Roman"/>
          <w:sz w:val="18"/>
          <w:szCs w:val="18"/>
          <w:color w:val="auto"/>
        </w:rPr>
        <w:t>Chartered Professional Accountants,</w:t>
      </w:r>
    </w:p>
    <w:p>
      <w:pPr>
        <w:ind w:left="20"/>
        <w:spacing w:after="0"/>
        <w:tabs>
          <w:tab w:leader="none" w:pos="5620" w:val="left"/>
        </w:tabs>
        <w:rPr>
          <w:sz w:val="20"/>
          <w:szCs w:val="20"/>
          <w:color w:val="auto"/>
        </w:rPr>
      </w:pPr>
      <w:r>
        <w:rPr>
          <w:rFonts w:ascii="Times New Roman" w:cs="Times New Roman" w:eastAsia="Times New Roman" w:hAnsi="Times New Roman"/>
          <w:sz w:val="18"/>
          <w:szCs w:val="18"/>
          <w:color w:val="auto"/>
        </w:rPr>
        <w:t>Toronto, Canada February 28, 2025</w:t>
      </w:r>
      <w:r>
        <w:rPr>
          <w:sz w:val="20"/>
          <w:szCs w:val="20"/>
          <w:color w:val="auto"/>
        </w:rPr>
        <w:tab/>
      </w:r>
      <w:r>
        <w:rPr>
          <w:rFonts w:ascii="Times New Roman" w:cs="Times New Roman" w:eastAsia="Times New Roman" w:hAnsi="Times New Roman"/>
          <w:sz w:val="17"/>
          <w:szCs w:val="17"/>
          <w:color w:val="auto"/>
        </w:rPr>
        <w:t>Licensed Public Accountants</w:t>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We have served as the Company's auditor since 1997.</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11" w:name="page112"/>
    <w:bookmarkEnd w:id="11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CELESTICA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millions of U.S. dollars)</w:t>
      </w:r>
    </w:p>
    <w:p>
      <w:pPr>
        <w:spacing w:after="0" w:line="117" w:lineRule="exact"/>
        <w:rPr>
          <w:sz w:val="20"/>
          <w:szCs w:val="20"/>
          <w:color w:val="auto"/>
        </w:rPr>
      </w:pPr>
    </w:p>
    <w:tbl>
      <w:tblPr>
        <w:tblLayout w:type="fixed"/>
        <w:tblInd w:w="80" w:type="dxa"/>
        <w:tblCellMar>
          <w:top w:w="0" w:type="dxa"/>
          <w:left w:w="0" w:type="dxa"/>
          <w:bottom w:w="0" w:type="dxa"/>
          <w:right w:w="0" w:type="dxa"/>
        </w:tblCellMar>
      </w:tblPr>
      <w:tr>
        <w:trPr>
          <w:trHeight w:val="184"/>
        </w:trPr>
        <w:tc>
          <w:tcPr>
            <w:tcW w:w="7020" w:type="dxa"/>
            <w:vAlign w:val="bottom"/>
          </w:tcPr>
          <w:p>
            <w:pPr>
              <w:spacing w:after="0"/>
              <w:rPr>
                <w:sz w:val="16"/>
                <w:szCs w:val="16"/>
                <w:color w:val="auto"/>
              </w:rPr>
            </w:pPr>
          </w:p>
        </w:tc>
        <w:tc>
          <w:tcPr>
            <w:tcW w:w="9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6"/>
                <w:szCs w:val="16"/>
                <w:b w:val="1"/>
                <w:bCs w:val="1"/>
                <w:color w:val="auto"/>
              </w:rPr>
              <w:t>Note</w:t>
            </w:r>
          </w:p>
        </w:tc>
        <w:tc>
          <w:tcPr>
            <w:tcW w:w="200" w:type="dxa"/>
            <w:vAlign w:val="bottom"/>
          </w:tcPr>
          <w:p>
            <w:pPr>
              <w:spacing w:after="0"/>
              <w:rPr>
                <w:sz w:val="16"/>
                <w:szCs w:val="16"/>
                <w:color w:val="auto"/>
              </w:rPr>
            </w:pPr>
          </w:p>
        </w:tc>
        <w:tc>
          <w:tcPr>
            <w:tcW w:w="14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00" w:type="dxa"/>
            <w:vAlign w:val="bottom"/>
          </w:tcPr>
          <w:p>
            <w:pPr>
              <w:spacing w:after="0"/>
              <w:rPr>
                <w:sz w:val="16"/>
                <w:szCs w:val="16"/>
                <w:color w:val="auto"/>
              </w:rPr>
            </w:pPr>
          </w:p>
        </w:tc>
        <w:tc>
          <w:tcPr>
            <w:tcW w:w="132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2"/>
        </w:trPr>
        <w:tc>
          <w:tcPr>
            <w:tcW w:w="702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194"/>
        </w:trPr>
        <w:tc>
          <w:tcPr>
            <w:tcW w:w="70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8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0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Current assets:</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i w:val="1"/>
                <w:iCs w:val="1"/>
                <w:color w:val="auto"/>
                <w:w w:val="99"/>
              </w:rPr>
              <w:t>19</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423.3</w:t>
            </w:r>
          </w:p>
        </w:tc>
        <w:tc>
          <w:tcPr>
            <w:tcW w:w="120" w:type="dxa"/>
            <w:vAlign w:val="bottom"/>
          </w:tcPr>
          <w:p>
            <w:pPr>
              <w:spacing w:after="0"/>
              <w:rPr>
                <w:sz w:val="18"/>
                <w:szCs w:val="18"/>
                <w:color w:val="auto"/>
              </w:rPr>
            </w:pP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370.4</w:t>
            </w:r>
          </w:p>
        </w:tc>
        <w:tc>
          <w:tcPr>
            <w:tcW w:w="0" w:type="dxa"/>
            <w:vAlign w:val="bottom"/>
          </w:tcPr>
          <w:p>
            <w:pPr>
              <w:spacing w:after="0"/>
              <w:rPr>
                <w:sz w:val="1"/>
                <w:szCs w:val="1"/>
                <w:color w:val="auto"/>
              </w:rPr>
            </w:pPr>
          </w:p>
        </w:tc>
      </w:tr>
      <w:tr>
        <w:trPr>
          <w:trHeight w:val="216"/>
        </w:trPr>
        <w:tc>
          <w:tcPr>
            <w:tcW w:w="70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Accounts receivable, net</w:t>
            </w: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i w:val="1"/>
                <w:iCs w:val="1"/>
                <w:color w:val="auto"/>
              </w:rPr>
              <w:t>4 &amp; 19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2,069.0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1,795.7</w:t>
            </w:r>
          </w:p>
        </w:tc>
        <w:tc>
          <w:tcPr>
            <w:tcW w:w="0" w:type="dxa"/>
            <w:vAlign w:val="bottom"/>
          </w:tcPr>
          <w:p>
            <w:pPr>
              <w:spacing w:after="0"/>
              <w:rPr>
                <w:sz w:val="1"/>
                <w:szCs w:val="1"/>
                <w:color w:val="auto"/>
              </w:rPr>
            </w:pPr>
          </w:p>
        </w:tc>
      </w:tr>
      <w:tr>
        <w:trPr>
          <w:trHeight w:val="216"/>
        </w:trPr>
        <w:tc>
          <w:tcPr>
            <w:tcW w:w="70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Inventories</w:t>
            </w: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i w:val="1"/>
                <w:iCs w:val="1"/>
                <w:color w:val="auto"/>
                <w:w w:val="99"/>
              </w:rPr>
              <w:t>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1,760.6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2,104.3</w:t>
            </w:r>
          </w:p>
        </w:tc>
        <w:tc>
          <w:tcPr>
            <w:tcW w:w="0" w:type="dxa"/>
            <w:vAlign w:val="bottom"/>
          </w:tcPr>
          <w:p>
            <w:pPr>
              <w:spacing w:after="0"/>
              <w:rPr>
                <w:sz w:val="1"/>
                <w:szCs w:val="1"/>
                <w:color w:val="auto"/>
              </w:rPr>
            </w:pPr>
          </w:p>
        </w:tc>
      </w:tr>
      <w:tr>
        <w:trPr>
          <w:trHeight w:val="216"/>
        </w:trPr>
        <w:tc>
          <w:tcPr>
            <w:tcW w:w="70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Income taxes receivable</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0" w:type="dxa"/>
            <w:vAlign w:val="bottom"/>
          </w:tcPr>
          <w:p>
            <w:pPr>
              <w:spacing w:after="0"/>
              <w:rPr>
                <w:sz w:val="1"/>
                <w:szCs w:val="1"/>
                <w:color w:val="auto"/>
              </w:rPr>
            </w:pPr>
          </w:p>
        </w:tc>
      </w:tr>
      <w:tr>
        <w:trPr>
          <w:trHeight w:val="216"/>
        </w:trPr>
        <w:tc>
          <w:tcPr>
            <w:tcW w:w="70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Other current assets</w:t>
            </w: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i w:val="1"/>
                <w:iCs w:val="1"/>
                <w:color w:val="auto"/>
                <w:w w:val="99"/>
              </w:rPr>
              <w:t>19</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250.8</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228.3</w:t>
            </w:r>
          </w:p>
        </w:tc>
        <w:tc>
          <w:tcPr>
            <w:tcW w:w="0" w:type="dxa"/>
            <w:vAlign w:val="bottom"/>
          </w:tcPr>
          <w:p>
            <w:pPr>
              <w:spacing w:after="0"/>
              <w:rPr>
                <w:sz w:val="1"/>
                <w:szCs w:val="1"/>
                <w:color w:val="auto"/>
              </w:rPr>
            </w:pPr>
          </w:p>
        </w:tc>
      </w:tr>
      <w:tr>
        <w:trPr>
          <w:trHeight w:val="210"/>
        </w:trPr>
        <w:tc>
          <w:tcPr>
            <w:tcW w:w="70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Total current assets</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4,512.2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4,510.6</w:t>
            </w:r>
          </w:p>
        </w:tc>
        <w:tc>
          <w:tcPr>
            <w:tcW w:w="0" w:type="dxa"/>
            <w:vAlign w:val="bottom"/>
          </w:tcPr>
          <w:p>
            <w:pPr>
              <w:spacing w:after="0"/>
              <w:rPr>
                <w:sz w:val="1"/>
                <w:szCs w:val="1"/>
                <w:color w:val="auto"/>
              </w:rPr>
            </w:pPr>
          </w:p>
        </w:tc>
      </w:tr>
      <w:tr>
        <w:trPr>
          <w:trHeight w:val="216"/>
        </w:trPr>
        <w:tc>
          <w:tcPr>
            <w:tcW w:w="70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i w:val="1"/>
                <w:iCs w:val="1"/>
                <w:color w:val="auto"/>
                <w:w w:val="99"/>
              </w:rPr>
              <w:t>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537.2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524.0</w:t>
            </w:r>
          </w:p>
        </w:tc>
        <w:tc>
          <w:tcPr>
            <w:tcW w:w="0" w:type="dxa"/>
            <w:vAlign w:val="bottom"/>
          </w:tcPr>
          <w:p>
            <w:pPr>
              <w:spacing w:after="0"/>
              <w:rPr>
                <w:sz w:val="1"/>
                <w:szCs w:val="1"/>
                <w:color w:val="auto"/>
              </w:rPr>
            </w:pPr>
          </w:p>
        </w:tc>
      </w:tr>
      <w:tr>
        <w:trPr>
          <w:trHeight w:val="216"/>
        </w:trPr>
        <w:tc>
          <w:tcPr>
            <w:tcW w:w="70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i w:val="1"/>
                <w:iCs w:val="1"/>
                <w:color w:val="auto"/>
                <w:w w:val="99"/>
              </w:rPr>
              <w:t>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107.8</w:t>
            </w:r>
          </w:p>
        </w:tc>
        <w:tc>
          <w:tcPr>
            <w:tcW w:w="0" w:type="dxa"/>
            <w:vAlign w:val="bottom"/>
          </w:tcPr>
          <w:p>
            <w:pPr>
              <w:spacing w:after="0"/>
              <w:rPr>
                <w:sz w:val="1"/>
                <w:szCs w:val="1"/>
                <w:color w:val="auto"/>
              </w:rPr>
            </w:pPr>
          </w:p>
        </w:tc>
      </w:tr>
      <w:tr>
        <w:trPr>
          <w:trHeight w:val="216"/>
        </w:trPr>
        <w:tc>
          <w:tcPr>
            <w:tcW w:w="70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Goodwill</w:t>
            </w: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i w:val="1"/>
                <w:iCs w:val="1"/>
                <w:color w:val="auto"/>
                <w:w w:val="99"/>
              </w:rPr>
              <w:t>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321.7</w:t>
            </w:r>
          </w:p>
        </w:tc>
        <w:tc>
          <w:tcPr>
            <w:tcW w:w="0" w:type="dxa"/>
            <w:vAlign w:val="bottom"/>
          </w:tcPr>
          <w:p>
            <w:pPr>
              <w:spacing w:after="0"/>
              <w:rPr>
                <w:sz w:val="1"/>
                <w:szCs w:val="1"/>
                <w:color w:val="auto"/>
              </w:rPr>
            </w:pPr>
          </w:p>
        </w:tc>
      </w:tr>
      <w:tr>
        <w:trPr>
          <w:trHeight w:val="216"/>
        </w:trPr>
        <w:tc>
          <w:tcPr>
            <w:tcW w:w="70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Intangible assets</w:t>
            </w: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i w:val="1"/>
                <w:iCs w:val="1"/>
                <w:color w:val="auto"/>
                <w:w w:val="99"/>
              </w:rPr>
              <w:t>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318.3</w:t>
            </w:r>
          </w:p>
        </w:tc>
        <w:tc>
          <w:tcPr>
            <w:tcW w:w="0" w:type="dxa"/>
            <w:vAlign w:val="bottom"/>
          </w:tcPr>
          <w:p>
            <w:pPr>
              <w:spacing w:after="0"/>
              <w:rPr>
                <w:sz w:val="1"/>
                <w:szCs w:val="1"/>
                <w:color w:val="auto"/>
              </w:rPr>
            </w:pPr>
          </w:p>
        </w:tc>
      </w:tr>
      <w:tr>
        <w:trPr>
          <w:trHeight w:val="216"/>
        </w:trPr>
        <w:tc>
          <w:tcPr>
            <w:tcW w:w="70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Deferred income taxes</w:t>
            </w: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i w:val="1"/>
                <w:iCs w:val="1"/>
                <w:color w:val="auto"/>
                <w:w w:val="99"/>
              </w:rPr>
              <w:t>18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57.0</w:t>
            </w:r>
          </w:p>
        </w:tc>
        <w:tc>
          <w:tcPr>
            <w:tcW w:w="0" w:type="dxa"/>
            <w:vAlign w:val="bottom"/>
          </w:tcPr>
          <w:p>
            <w:pPr>
              <w:spacing w:after="0"/>
              <w:rPr>
                <w:sz w:val="1"/>
                <w:szCs w:val="1"/>
                <w:color w:val="auto"/>
              </w:rPr>
            </w:pPr>
          </w:p>
        </w:tc>
      </w:tr>
      <w:tr>
        <w:trPr>
          <w:trHeight w:val="229"/>
        </w:trPr>
        <w:tc>
          <w:tcPr>
            <w:tcW w:w="70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Other non-current assets</w:t>
            </w: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i w:val="1"/>
                <w:iCs w:val="1"/>
                <w:color w:val="auto"/>
                <w:w w:val="99"/>
              </w:rPr>
              <w:t>9</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78.2</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51.1</w:t>
            </w:r>
          </w:p>
        </w:tc>
        <w:tc>
          <w:tcPr>
            <w:tcW w:w="0" w:type="dxa"/>
            <w:vAlign w:val="bottom"/>
          </w:tcPr>
          <w:p>
            <w:pPr>
              <w:spacing w:after="0"/>
              <w:rPr>
                <w:sz w:val="1"/>
                <w:szCs w:val="1"/>
                <w:color w:val="auto"/>
              </w:rPr>
            </w:pPr>
          </w:p>
        </w:tc>
      </w:tr>
      <w:tr>
        <w:trPr>
          <w:trHeight w:val="210"/>
        </w:trPr>
        <w:tc>
          <w:tcPr>
            <w:tcW w:w="70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5,988.2</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5,890.5</w:t>
            </w:r>
          </w:p>
        </w:tc>
        <w:tc>
          <w:tcPr>
            <w:tcW w:w="0" w:type="dxa"/>
            <w:vAlign w:val="bottom"/>
          </w:tcPr>
          <w:p>
            <w:pPr>
              <w:spacing w:after="0"/>
              <w:rPr>
                <w:sz w:val="1"/>
                <w:szCs w:val="1"/>
                <w:color w:val="auto"/>
              </w:rPr>
            </w:pPr>
          </w:p>
        </w:tc>
      </w:tr>
      <w:tr>
        <w:trPr>
          <w:trHeight w:val="26"/>
        </w:trPr>
        <w:tc>
          <w:tcPr>
            <w:tcW w:w="70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Liabilities and Equity</w:t>
            </w: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7"/>
        </w:trPr>
        <w:tc>
          <w:tcPr>
            <w:tcW w:w="7020" w:type="dxa"/>
            <w:vAlign w:val="bottom"/>
            <w:vMerge w:val="continue"/>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0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Current liabilities:</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Current portion of borrowings under credit facility and finance lease obligations</w:t>
            </w: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i w:val="1"/>
                <w:iCs w:val="1"/>
                <w:color w:val="auto"/>
                <w:w w:val="87"/>
              </w:rPr>
              <w:t>11</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w:t>
            </w:r>
          </w:p>
        </w:tc>
        <w:tc>
          <w:tcPr>
            <w:tcW w:w="120" w:type="dxa"/>
            <w:vAlign w:val="bottom"/>
          </w:tcPr>
          <w:p>
            <w:pPr>
              <w:spacing w:after="0"/>
              <w:rPr>
                <w:sz w:val="18"/>
                <w:szCs w:val="18"/>
                <w:color w:val="auto"/>
              </w:rPr>
            </w:pP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w:t>
            </w:r>
          </w:p>
        </w:tc>
        <w:tc>
          <w:tcPr>
            <w:tcW w:w="0" w:type="dxa"/>
            <w:vAlign w:val="bottom"/>
          </w:tcPr>
          <w:p>
            <w:pPr>
              <w:spacing w:after="0"/>
              <w:rPr>
                <w:sz w:val="1"/>
                <w:szCs w:val="1"/>
                <w:color w:val="auto"/>
              </w:rPr>
            </w:pPr>
          </w:p>
        </w:tc>
      </w:tr>
      <w:tr>
        <w:trPr>
          <w:trHeight w:val="216"/>
        </w:trPr>
        <w:tc>
          <w:tcPr>
            <w:tcW w:w="70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Accounts payable</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1,294.8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1,298.2</w:t>
            </w:r>
          </w:p>
        </w:tc>
        <w:tc>
          <w:tcPr>
            <w:tcW w:w="0" w:type="dxa"/>
            <w:vAlign w:val="bottom"/>
          </w:tcPr>
          <w:p>
            <w:pPr>
              <w:spacing w:after="0"/>
              <w:rPr>
                <w:sz w:val="1"/>
                <w:szCs w:val="1"/>
                <w:color w:val="auto"/>
              </w:rPr>
            </w:pPr>
          </w:p>
        </w:tc>
      </w:tr>
      <w:tr>
        <w:trPr>
          <w:trHeight w:val="216"/>
        </w:trPr>
        <w:tc>
          <w:tcPr>
            <w:tcW w:w="70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Accrued and other current liabilities</w:t>
            </w: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i w:val="1"/>
                <w:iCs w:val="1"/>
                <w:color w:val="auto"/>
                <w:w w:val="99"/>
              </w:rPr>
              <w:t>19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1,586.7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1,810.6</w:t>
            </w:r>
          </w:p>
        </w:tc>
        <w:tc>
          <w:tcPr>
            <w:tcW w:w="0" w:type="dxa"/>
            <w:vAlign w:val="bottom"/>
          </w:tcPr>
          <w:p>
            <w:pPr>
              <w:spacing w:after="0"/>
              <w:rPr>
                <w:sz w:val="1"/>
                <w:szCs w:val="1"/>
                <w:color w:val="auto"/>
              </w:rPr>
            </w:pPr>
          </w:p>
        </w:tc>
      </w:tr>
      <w:tr>
        <w:trPr>
          <w:trHeight w:val="216"/>
        </w:trPr>
        <w:tc>
          <w:tcPr>
            <w:tcW w:w="70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Income taxes payable</w:t>
            </w: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i w:val="1"/>
                <w:iCs w:val="1"/>
                <w:color w:val="auto"/>
                <w:w w:val="99"/>
              </w:rPr>
              <w:t>18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64.3</w:t>
            </w:r>
          </w:p>
        </w:tc>
        <w:tc>
          <w:tcPr>
            <w:tcW w:w="0" w:type="dxa"/>
            <w:vAlign w:val="bottom"/>
          </w:tcPr>
          <w:p>
            <w:pPr>
              <w:spacing w:after="0"/>
              <w:rPr>
                <w:sz w:val="1"/>
                <w:szCs w:val="1"/>
                <w:color w:val="auto"/>
              </w:rPr>
            </w:pPr>
          </w:p>
        </w:tc>
      </w:tr>
      <w:tr>
        <w:trPr>
          <w:trHeight w:val="216"/>
        </w:trPr>
        <w:tc>
          <w:tcPr>
            <w:tcW w:w="70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Current portion of provisions</w:t>
            </w: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i w:val="1"/>
                <w:iCs w:val="1"/>
                <w:color w:val="auto"/>
                <w:w w:val="99"/>
              </w:rPr>
              <w:t>10</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19.9</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20.4</w:t>
            </w:r>
          </w:p>
        </w:tc>
        <w:tc>
          <w:tcPr>
            <w:tcW w:w="0" w:type="dxa"/>
            <w:vAlign w:val="bottom"/>
          </w:tcPr>
          <w:p>
            <w:pPr>
              <w:spacing w:after="0"/>
              <w:rPr>
                <w:sz w:val="1"/>
                <w:szCs w:val="1"/>
                <w:color w:val="auto"/>
              </w:rPr>
            </w:pPr>
          </w:p>
        </w:tc>
      </w:tr>
      <w:tr>
        <w:trPr>
          <w:trHeight w:val="210"/>
        </w:trPr>
        <w:tc>
          <w:tcPr>
            <w:tcW w:w="70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3,021.4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3,220.5</w:t>
            </w:r>
          </w:p>
        </w:tc>
        <w:tc>
          <w:tcPr>
            <w:tcW w:w="0" w:type="dxa"/>
            <w:vAlign w:val="bottom"/>
          </w:tcPr>
          <w:p>
            <w:pPr>
              <w:spacing w:after="0"/>
              <w:rPr>
                <w:sz w:val="1"/>
                <w:szCs w:val="1"/>
                <w:color w:val="auto"/>
              </w:rPr>
            </w:pPr>
          </w:p>
        </w:tc>
      </w:tr>
      <w:tr>
        <w:trPr>
          <w:trHeight w:val="216"/>
        </w:trPr>
        <w:tc>
          <w:tcPr>
            <w:tcW w:w="70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Long-term portion of borrowings under credit facility and finance lease obligations</w:t>
            </w: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i w:val="1"/>
                <w:iCs w:val="1"/>
                <w:color w:val="auto"/>
                <w:w w:val="87"/>
              </w:rPr>
              <w:t>11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770.2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648.3</w:t>
            </w:r>
          </w:p>
        </w:tc>
        <w:tc>
          <w:tcPr>
            <w:tcW w:w="0" w:type="dxa"/>
            <w:vAlign w:val="bottom"/>
          </w:tcPr>
          <w:p>
            <w:pPr>
              <w:spacing w:after="0"/>
              <w:rPr>
                <w:sz w:val="1"/>
                <w:szCs w:val="1"/>
                <w:color w:val="auto"/>
              </w:rPr>
            </w:pPr>
          </w:p>
        </w:tc>
      </w:tr>
      <w:tr>
        <w:trPr>
          <w:trHeight w:val="216"/>
        </w:trPr>
        <w:tc>
          <w:tcPr>
            <w:tcW w:w="70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Pension and non-pension post-employment benefit obligations</w:t>
            </w: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i w:val="1"/>
                <w:iCs w:val="1"/>
                <w:color w:val="auto"/>
                <w:w w:val="99"/>
              </w:rPr>
              <w:t>17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83.9</w:t>
            </w:r>
          </w:p>
        </w:tc>
        <w:tc>
          <w:tcPr>
            <w:tcW w:w="0" w:type="dxa"/>
            <w:vAlign w:val="bottom"/>
          </w:tcPr>
          <w:p>
            <w:pPr>
              <w:spacing w:after="0"/>
              <w:rPr>
                <w:sz w:val="1"/>
                <w:szCs w:val="1"/>
                <w:color w:val="auto"/>
              </w:rPr>
            </w:pPr>
          </w:p>
        </w:tc>
      </w:tr>
      <w:tr>
        <w:trPr>
          <w:trHeight w:val="216"/>
        </w:trPr>
        <w:tc>
          <w:tcPr>
            <w:tcW w:w="70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Long-term portion of provisions and other non-current liabilities</w:t>
            </w: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i w:val="1"/>
                <w:iCs w:val="1"/>
                <w:color w:val="auto"/>
                <w:w w:val="99"/>
              </w:rPr>
              <w:t>10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124.6</w:t>
            </w:r>
          </w:p>
        </w:tc>
        <w:tc>
          <w:tcPr>
            <w:tcW w:w="0" w:type="dxa"/>
            <w:vAlign w:val="bottom"/>
          </w:tcPr>
          <w:p>
            <w:pPr>
              <w:spacing w:after="0"/>
              <w:rPr>
                <w:sz w:val="1"/>
                <w:szCs w:val="1"/>
                <w:color w:val="auto"/>
              </w:rPr>
            </w:pPr>
          </w:p>
        </w:tc>
      </w:tr>
      <w:tr>
        <w:trPr>
          <w:trHeight w:val="216"/>
        </w:trPr>
        <w:tc>
          <w:tcPr>
            <w:tcW w:w="70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Deferred income taxes</w:t>
            </w: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i w:val="1"/>
                <w:iCs w:val="1"/>
                <w:color w:val="auto"/>
                <w:w w:val="99"/>
              </w:rPr>
              <w:t>18</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49.4</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42.2</w:t>
            </w:r>
          </w:p>
        </w:tc>
        <w:tc>
          <w:tcPr>
            <w:tcW w:w="0" w:type="dxa"/>
            <w:vAlign w:val="bottom"/>
          </w:tcPr>
          <w:p>
            <w:pPr>
              <w:spacing w:after="0"/>
              <w:rPr>
                <w:sz w:val="1"/>
                <w:szCs w:val="1"/>
                <w:color w:val="auto"/>
              </w:rPr>
            </w:pPr>
          </w:p>
        </w:tc>
      </w:tr>
      <w:tr>
        <w:trPr>
          <w:trHeight w:val="210"/>
        </w:trPr>
        <w:tc>
          <w:tcPr>
            <w:tcW w:w="70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Total liabilities</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4,092.2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4,119.5</w:t>
            </w:r>
          </w:p>
        </w:tc>
        <w:tc>
          <w:tcPr>
            <w:tcW w:w="0" w:type="dxa"/>
            <w:vAlign w:val="bottom"/>
          </w:tcPr>
          <w:p>
            <w:pPr>
              <w:spacing w:after="0"/>
              <w:rPr>
                <w:sz w:val="1"/>
                <w:szCs w:val="1"/>
                <w:color w:val="auto"/>
              </w:rPr>
            </w:pPr>
          </w:p>
        </w:tc>
      </w:tr>
      <w:tr>
        <w:trPr>
          <w:trHeight w:val="216"/>
        </w:trPr>
        <w:tc>
          <w:tcPr>
            <w:tcW w:w="70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Equity:</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Capital stock</w:t>
            </w: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i w:val="1"/>
                <w:iCs w:val="1"/>
                <w:color w:val="auto"/>
                <w:w w:val="99"/>
              </w:rPr>
              <w:t>12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1,632.8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1,672.5</w:t>
            </w:r>
          </w:p>
        </w:tc>
        <w:tc>
          <w:tcPr>
            <w:tcW w:w="0" w:type="dxa"/>
            <w:vAlign w:val="bottom"/>
          </w:tcPr>
          <w:p>
            <w:pPr>
              <w:spacing w:after="0"/>
              <w:rPr>
                <w:sz w:val="1"/>
                <w:szCs w:val="1"/>
                <w:color w:val="auto"/>
              </w:rPr>
            </w:pPr>
          </w:p>
        </w:tc>
      </w:tr>
      <w:tr>
        <w:trPr>
          <w:trHeight w:val="216"/>
        </w:trPr>
        <w:tc>
          <w:tcPr>
            <w:tcW w:w="70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Treasury stock</w:t>
            </w: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i w:val="1"/>
                <w:iCs w:val="1"/>
                <w:color w:val="auto"/>
                <w:w w:val="99"/>
              </w:rPr>
              <w:t>12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(80.1)</w:t>
            </w:r>
          </w:p>
        </w:tc>
        <w:tc>
          <w:tcPr>
            <w:tcW w:w="0" w:type="dxa"/>
            <w:vAlign w:val="bottom"/>
          </w:tcPr>
          <w:p>
            <w:pPr>
              <w:spacing w:after="0"/>
              <w:rPr>
                <w:sz w:val="1"/>
                <w:szCs w:val="1"/>
                <w:color w:val="auto"/>
              </w:rPr>
            </w:pPr>
          </w:p>
        </w:tc>
      </w:tr>
      <w:tr>
        <w:trPr>
          <w:trHeight w:val="216"/>
        </w:trPr>
        <w:tc>
          <w:tcPr>
            <w:tcW w:w="70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797.5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1,030.6</w:t>
            </w:r>
          </w:p>
        </w:tc>
        <w:tc>
          <w:tcPr>
            <w:tcW w:w="0" w:type="dxa"/>
            <w:vAlign w:val="bottom"/>
          </w:tcPr>
          <w:p>
            <w:pPr>
              <w:spacing w:after="0"/>
              <w:rPr>
                <w:sz w:val="1"/>
                <w:szCs w:val="1"/>
                <w:color w:val="auto"/>
              </w:rPr>
            </w:pPr>
          </w:p>
        </w:tc>
      </w:tr>
      <w:tr>
        <w:trPr>
          <w:trHeight w:val="216"/>
        </w:trPr>
        <w:tc>
          <w:tcPr>
            <w:tcW w:w="70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Accumulated deficit</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(423.8)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(851.8)</w:t>
            </w:r>
          </w:p>
        </w:tc>
        <w:tc>
          <w:tcPr>
            <w:tcW w:w="0" w:type="dxa"/>
            <w:vAlign w:val="bottom"/>
          </w:tcPr>
          <w:p>
            <w:pPr>
              <w:spacing w:after="0"/>
              <w:rPr>
                <w:sz w:val="1"/>
                <w:szCs w:val="1"/>
                <w:color w:val="auto"/>
              </w:rPr>
            </w:pPr>
          </w:p>
        </w:tc>
      </w:tr>
      <w:tr>
        <w:trPr>
          <w:trHeight w:val="230"/>
        </w:trPr>
        <w:tc>
          <w:tcPr>
            <w:tcW w:w="70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i w:val="1"/>
                <w:iCs w:val="1"/>
                <w:color w:val="auto"/>
                <w:w w:val="99"/>
              </w:rPr>
              <w:t>13</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0" w:type="dxa"/>
            <w:vAlign w:val="bottom"/>
          </w:tcPr>
          <w:p>
            <w:pPr>
              <w:spacing w:after="0"/>
              <w:rPr>
                <w:sz w:val="1"/>
                <w:szCs w:val="1"/>
                <w:color w:val="auto"/>
              </w:rPr>
            </w:pPr>
          </w:p>
        </w:tc>
      </w:tr>
      <w:tr>
        <w:trPr>
          <w:trHeight w:val="210"/>
        </w:trPr>
        <w:tc>
          <w:tcPr>
            <w:tcW w:w="70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Total equity</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1,896.0</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1,771.0</w:t>
            </w:r>
          </w:p>
        </w:tc>
        <w:tc>
          <w:tcPr>
            <w:tcW w:w="0" w:type="dxa"/>
            <w:vAlign w:val="bottom"/>
          </w:tcPr>
          <w:p>
            <w:pPr>
              <w:spacing w:after="0"/>
              <w:rPr>
                <w:sz w:val="1"/>
                <w:szCs w:val="1"/>
                <w:color w:val="auto"/>
              </w:rPr>
            </w:pPr>
          </w:p>
        </w:tc>
      </w:tr>
      <w:tr>
        <w:trPr>
          <w:trHeight w:val="212"/>
        </w:trPr>
        <w:tc>
          <w:tcPr>
            <w:tcW w:w="70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liabilities and equity</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5,988.2</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5,890.5</w:t>
            </w:r>
          </w:p>
        </w:tc>
        <w:tc>
          <w:tcPr>
            <w:tcW w:w="0" w:type="dxa"/>
            <w:vAlign w:val="bottom"/>
          </w:tcPr>
          <w:p>
            <w:pPr>
              <w:spacing w:after="0"/>
              <w:rPr>
                <w:sz w:val="1"/>
                <w:szCs w:val="1"/>
                <w:color w:val="auto"/>
              </w:rPr>
            </w:pPr>
          </w:p>
        </w:tc>
      </w:tr>
      <w:tr>
        <w:trPr>
          <w:trHeight w:val="23"/>
        </w:trPr>
        <w:tc>
          <w:tcPr>
            <w:tcW w:w="70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Commitments, contingencies and guarantees (note 21)</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Signed on behalf of the Board of Directors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[Signed] Michael M. Wilson, Director</w:t>
      </w:r>
    </w:p>
    <w:p>
      <w:pPr>
        <w:spacing w:after="0" w:line="200" w:lineRule="exact"/>
        <w:rPr>
          <w:sz w:val="20"/>
          <w:szCs w:val="20"/>
          <w:color w:val="auto"/>
        </w:rPr>
      </w:pPr>
    </w:p>
    <w:p>
      <w:pPr>
        <w:spacing w:after="0" w:line="2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consolidated financial statements.</w:t>
      </w:r>
    </w:p>
    <w:p>
      <w:pPr>
        <w:spacing w:after="0" w:line="200" w:lineRule="exact"/>
        <w:rPr>
          <w:sz w:val="20"/>
          <w:szCs w:val="20"/>
          <w:color w:val="auto"/>
        </w:rPr>
      </w:pPr>
    </w:p>
    <w:p>
      <w:pPr>
        <w:spacing w:after="0" w:line="3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9" w:right="379" w:bottom="1440" w:gutter="0" w:footer="0" w:header="0"/>
        </w:sectPr>
      </w:pPr>
    </w:p>
    <w:bookmarkStart w:id="112" w:name="page113"/>
    <w:bookmarkEnd w:id="11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CELESTICA INC.</w:t>
      </w:r>
    </w:p>
    <w:p>
      <w:pPr>
        <w:spacing w:after="0" w:line="50"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CONSOLIDATED STATEMENT OF OPERATIONS</w:t>
      </w:r>
    </w:p>
    <w:p>
      <w:pPr>
        <w:spacing w:after="0" w:line="36"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(in millions of U.S. dollars, except per share amounts)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7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gridSpan w:val="6"/>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0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5720" w:type="dxa"/>
            <w:vAlign w:val="bottom"/>
          </w:tcPr>
          <w:p>
            <w:pPr>
              <w:spacing w:after="0"/>
              <w:rPr>
                <w:sz w:val="18"/>
                <w:szCs w:val="18"/>
                <w:color w:val="auto"/>
              </w:rPr>
            </w:pPr>
          </w:p>
        </w:tc>
        <w:tc>
          <w:tcPr>
            <w:tcW w:w="1320" w:type="dxa"/>
            <w:vAlign w:val="bottom"/>
          </w:tcPr>
          <w:p>
            <w:pPr>
              <w:ind w:left="800"/>
              <w:spacing w:after="0"/>
              <w:rPr>
                <w:sz w:val="20"/>
                <w:szCs w:val="20"/>
                <w:color w:val="auto"/>
              </w:rPr>
            </w:pPr>
            <w:r>
              <w:rPr>
                <w:rFonts w:ascii="Times New Roman" w:cs="Times New Roman" w:eastAsia="Times New Roman" w:hAnsi="Times New Roman"/>
                <w:sz w:val="16"/>
                <w:szCs w:val="16"/>
                <w:b w:val="1"/>
                <w:bCs w:val="1"/>
                <w:color w:val="auto"/>
              </w:rPr>
              <w:t>Note</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356"/>
        </w:trPr>
        <w:tc>
          <w:tcPr>
            <w:tcW w:w="5720" w:type="dxa"/>
            <w:vAlign w:val="bottom"/>
          </w:tcPr>
          <w:p>
            <w:pPr>
              <w:spacing w:after="0"/>
              <w:rPr>
                <w:sz w:val="20"/>
                <w:szCs w:val="20"/>
                <w:color w:val="auto"/>
              </w:rPr>
            </w:pPr>
            <w:r>
              <w:rPr>
                <w:rFonts w:ascii="Times New Roman" w:cs="Times New Roman" w:eastAsia="Times New Roman" w:hAnsi="Times New Roman"/>
                <w:sz w:val="16"/>
                <w:szCs w:val="16"/>
                <w:color w:val="auto"/>
              </w:rPr>
              <w:t>Revenue</w:t>
            </w:r>
          </w:p>
        </w:tc>
        <w:tc>
          <w:tcPr>
            <w:tcW w:w="162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9,646.0</w:t>
            </w:r>
          </w:p>
        </w:tc>
        <w:tc>
          <w:tcPr>
            <w:tcW w:w="120" w:type="dxa"/>
            <w:vAlign w:val="bottom"/>
          </w:tcPr>
          <w:p>
            <w:pPr>
              <w:spacing w:after="0"/>
              <w:rPr>
                <w:sz w:val="24"/>
                <w:szCs w:val="24"/>
                <w:color w:val="auto"/>
              </w:rPr>
            </w:pPr>
          </w:p>
        </w:tc>
        <w:tc>
          <w:tcPr>
            <w:tcW w:w="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7,961.0</w:t>
            </w:r>
          </w:p>
        </w:tc>
        <w:tc>
          <w:tcPr>
            <w:tcW w:w="120" w:type="dxa"/>
            <w:vAlign w:val="bottom"/>
          </w:tcPr>
          <w:p>
            <w:pPr>
              <w:spacing w:after="0"/>
              <w:rPr>
                <w:sz w:val="24"/>
                <w:szCs w:val="24"/>
                <w:color w:val="auto"/>
              </w:rPr>
            </w:pPr>
          </w:p>
        </w:tc>
        <w:tc>
          <w:tcPr>
            <w:tcW w:w="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7,250.0</w:t>
            </w:r>
          </w:p>
        </w:tc>
        <w:tc>
          <w:tcPr>
            <w:tcW w:w="0" w:type="dxa"/>
            <w:vAlign w:val="bottom"/>
          </w:tcPr>
          <w:p>
            <w:pPr>
              <w:spacing w:after="0"/>
              <w:rPr>
                <w:sz w:val="1"/>
                <w:szCs w:val="1"/>
                <w:color w:val="auto"/>
              </w:rPr>
            </w:pPr>
          </w:p>
        </w:tc>
      </w:tr>
      <w:tr>
        <w:trPr>
          <w:trHeight w:val="229"/>
        </w:trPr>
        <w:tc>
          <w:tcPr>
            <w:tcW w:w="5720" w:type="dxa"/>
            <w:vAlign w:val="bottom"/>
          </w:tcPr>
          <w:p>
            <w:pPr>
              <w:spacing w:after="0"/>
              <w:rPr>
                <w:sz w:val="20"/>
                <w:szCs w:val="20"/>
                <w:color w:val="auto"/>
              </w:rPr>
            </w:pPr>
            <w:r>
              <w:rPr>
                <w:rFonts w:ascii="Times New Roman" w:cs="Times New Roman" w:eastAsia="Times New Roman" w:hAnsi="Times New Roman"/>
                <w:sz w:val="16"/>
                <w:szCs w:val="16"/>
                <w:color w:val="auto"/>
              </w:rPr>
              <w:t>Cost of sales</w:t>
            </w:r>
          </w:p>
        </w:tc>
        <w:tc>
          <w:tcPr>
            <w:tcW w:w="1320" w:type="dxa"/>
            <w:vAlign w:val="bottom"/>
          </w:tcPr>
          <w:p>
            <w:pPr>
              <w:jc w:val="center"/>
              <w:ind w:left="519"/>
              <w:spacing w:after="0"/>
              <w:rPr>
                <w:sz w:val="20"/>
                <w:szCs w:val="20"/>
                <w:color w:val="auto"/>
              </w:rPr>
            </w:pPr>
            <w:r>
              <w:rPr>
                <w:rFonts w:ascii="Times New Roman" w:cs="Times New Roman" w:eastAsia="Times New Roman" w:hAnsi="Times New Roman"/>
                <w:sz w:val="16"/>
                <w:szCs w:val="16"/>
                <w:i w:val="1"/>
                <w:iCs w:val="1"/>
                <w:color w:val="auto"/>
                <w:w w:val="99"/>
              </w:rPr>
              <w:t>5</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8,612.3</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7,206.9</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6,600.3</w:t>
            </w:r>
          </w:p>
        </w:tc>
        <w:tc>
          <w:tcPr>
            <w:tcW w:w="0" w:type="dxa"/>
            <w:vAlign w:val="bottom"/>
          </w:tcPr>
          <w:p>
            <w:pPr>
              <w:spacing w:after="0"/>
              <w:rPr>
                <w:sz w:val="1"/>
                <w:szCs w:val="1"/>
                <w:color w:val="auto"/>
              </w:rPr>
            </w:pPr>
          </w:p>
        </w:tc>
      </w:tr>
      <w:tr>
        <w:trPr>
          <w:trHeight w:val="210"/>
        </w:trPr>
        <w:tc>
          <w:tcPr>
            <w:tcW w:w="5720" w:type="dxa"/>
            <w:vAlign w:val="bottom"/>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1,033.7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754.1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649.7</w:t>
            </w: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267.3</w:t>
            </w: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6"/>
                <w:szCs w:val="16"/>
                <w:color w:val="auto"/>
              </w:rPr>
              <w:t>Research and development</w:t>
            </w:r>
          </w:p>
        </w:tc>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46.3</w:t>
            </w: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1320" w:type="dxa"/>
            <w:vAlign w:val="bottom"/>
          </w:tcPr>
          <w:p>
            <w:pPr>
              <w:jc w:val="center"/>
              <w:ind w:left="519"/>
              <w:spacing w:after="0"/>
              <w:rPr>
                <w:sz w:val="20"/>
                <w:szCs w:val="20"/>
                <w:color w:val="auto"/>
              </w:rPr>
            </w:pPr>
            <w:r>
              <w:rPr>
                <w:rFonts w:ascii="Times New Roman" w:cs="Times New Roman" w:eastAsia="Times New Roman" w:hAnsi="Times New Roman"/>
                <w:sz w:val="16"/>
                <w:szCs w:val="16"/>
                <w:i w:val="1"/>
                <w:iCs w:val="1"/>
                <w:color w:val="auto"/>
                <w:w w:val="99"/>
              </w:rPr>
              <w:t>8</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40.1</w:t>
            </w: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6"/>
                <w:szCs w:val="16"/>
                <w:color w:val="auto"/>
              </w:rPr>
              <w:t>Restructuring and other charges, net of recoveries</w:t>
            </w:r>
          </w:p>
        </w:tc>
        <w:tc>
          <w:tcPr>
            <w:tcW w:w="1320" w:type="dxa"/>
            <w:vAlign w:val="bottom"/>
          </w:tcPr>
          <w:p>
            <w:pPr>
              <w:jc w:val="center"/>
              <w:ind w:left="519"/>
              <w:spacing w:after="0"/>
              <w:rPr>
                <w:sz w:val="20"/>
                <w:szCs w:val="20"/>
                <w:color w:val="auto"/>
              </w:rPr>
            </w:pPr>
            <w:r>
              <w:rPr>
                <w:rFonts w:ascii="Times New Roman" w:cs="Times New Roman" w:eastAsia="Times New Roman" w:hAnsi="Times New Roman"/>
                <w:sz w:val="16"/>
                <w:szCs w:val="16"/>
                <w:i w:val="1"/>
                <w:iCs w:val="1"/>
                <w:color w:val="auto"/>
                <w:w w:val="99"/>
              </w:rPr>
              <w:t>14</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0" w:type="dxa"/>
            <w:vAlign w:val="bottom"/>
          </w:tcPr>
          <w:p>
            <w:pPr>
              <w:spacing w:after="0"/>
              <w:rPr>
                <w:sz w:val="1"/>
                <w:szCs w:val="1"/>
                <w:color w:val="auto"/>
              </w:rPr>
            </w:pPr>
          </w:p>
        </w:tc>
      </w:tr>
      <w:tr>
        <w:trPr>
          <w:trHeight w:val="210"/>
        </w:trPr>
        <w:tc>
          <w:tcPr>
            <w:tcW w:w="5720" w:type="dxa"/>
            <w:vAlign w:val="bottom"/>
          </w:tcPr>
          <w:p>
            <w:pPr>
              <w:spacing w:after="0"/>
              <w:rPr>
                <w:sz w:val="20"/>
                <w:szCs w:val="20"/>
                <w:color w:val="auto"/>
              </w:rPr>
            </w:pPr>
            <w:r>
              <w:rPr>
                <w:rFonts w:ascii="Times New Roman" w:cs="Times New Roman" w:eastAsia="Times New Roman" w:hAnsi="Times New Roman"/>
                <w:sz w:val="16"/>
                <w:szCs w:val="16"/>
                <w:color w:val="auto"/>
              </w:rPr>
              <w:t>Earnings from operations</w:t>
            </w:r>
          </w:p>
        </w:tc>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599.3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289.3</w:t>
            </w: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6"/>
                <w:szCs w:val="16"/>
                <w:color w:val="auto"/>
              </w:rPr>
              <w:t>Finance costs</w:t>
            </w:r>
          </w:p>
        </w:tc>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51.7</w:t>
            </w: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6"/>
                <w:szCs w:val="16"/>
                <w:color w:val="auto"/>
              </w:rPr>
              <w:t>Miscellaneous expense (income)</w:t>
            </w:r>
          </w:p>
        </w:tc>
        <w:tc>
          <w:tcPr>
            <w:tcW w:w="1320" w:type="dxa"/>
            <w:vAlign w:val="bottom"/>
          </w:tcPr>
          <w:p>
            <w:pPr>
              <w:jc w:val="center"/>
              <w:ind w:left="519"/>
              <w:spacing w:after="0"/>
              <w:rPr>
                <w:sz w:val="20"/>
                <w:szCs w:val="20"/>
                <w:color w:val="auto"/>
              </w:rPr>
            </w:pPr>
            <w:r>
              <w:rPr>
                <w:rFonts w:ascii="Times New Roman" w:cs="Times New Roman" w:eastAsia="Times New Roman" w:hAnsi="Times New Roman"/>
                <w:sz w:val="16"/>
                <w:szCs w:val="16"/>
                <w:i w:val="1"/>
                <w:iCs w:val="1"/>
                <w:color w:val="auto"/>
                <w:w w:val="99"/>
              </w:rPr>
              <w:t>15</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(46.6)</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10"/>
        </w:trPr>
        <w:tc>
          <w:tcPr>
            <w:tcW w:w="5720" w:type="dxa"/>
            <w:vAlign w:val="bottom"/>
          </w:tcPr>
          <w:p>
            <w:pPr>
              <w:spacing w:after="0"/>
              <w:rPr>
                <w:sz w:val="20"/>
                <w:szCs w:val="20"/>
                <w:color w:val="auto"/>
              </w:rPr>
            </w:pPr>
            <w:r>
              <w:rPr>
                <w:rFonts w:ascii="Times New Roman" w:cs="Times New Roman" w:eastAsia="Times New Roman" w:hAnsi="Times New Roman"/>
                <w:sz w:val="16"/>
                <w:szCs w:val="16"/>
                <w:color w:val="auto"/>
              </w:rPr>
              <w:t>Earnings before income taxes</w:t>
            </w:r>
          </w:p>
        </w:tc>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532.2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239.1</w:t>
            </w: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6"/>
                <w:szCs w:val="16"/>
                <w:color w:val="auto"/>
              </w:rPr>
              <w:t>Income tax expense (recovery)</w:t>
            </w:r>
          </w:p>
        </w:tc>
        <w:tc>
          <w:tcPr>
            <w:tcW w:w="1320" w:type="dxa"/>
            <w:vAlign w:val="bottom"/>
          </w:tcPr>
          <w:p>
            <w:pPr>
              <w:jc w:val="center"/>
              <w:ind w:left="519"/>
              <w:spacing w:after="0"/>
              <w:rPr>
                <w:sz w:val="20"/>
                <w:szCs w:val="20"/>
                <w:color w:val="auto"/>
              </w:rPr>
            </w:pPr>
            <w:r>
              <w:rPr>
                <w:rFonts w:ascii="Times New Roman" w:cs="Times New Roman" w:eastAsia="Times New Roman" w:hAnsi="Times New Roman"/>
                <w:sz w:val="16"/>
                <w:szCs w:val="16"/>
                <w:i w:val="1"/>
                <w:iCs w:val="1"/>
                <w:color w:val="auto"/>
                <w:w w:val="99"/>
              </w:rPr>
              <w:t>18</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Current</w:t>
            </w:r>
          </w:p>
        </w:tc>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86.9</w:t>
            </w:r>
          </w:p>
        </w:tc>
        <w:tc>
          <w:tcPr>
            <w:tcW w:w="0" w:type="dxa"/>
            <w:vAlign w:val="bottom"/>
          </w:tcPr>
          <w:p>
            <w:pPr>
              <w:spacing w:after="0"/>
              <w:rPr>
                <w:sz w:val="1"/>
                <w:szCs w:val="1"/>
                <w:color w:val="auto"/>
              </w:rPr>
            </w:pPr>
          </w:p>
        </w:tc>
      </w:tr>
      <w:tr>
        <w:trPr>
          <w:trHeight w:val="233"/>
        </w:trPr>
        <w:tc>
          <w:tcPr>
            <w:tcW w:w="57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Deferred</w:t>
            </w:r>
          </w:p>
        </w:tc>
        <w:tc>
          <w:tcPr>
            <w:tcW w:w="13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(31.9)</w:t>
            </w: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(27.9)</w:t>
            </w:r>
          </w:p>
        </w:tc>
        <w:tc>
          <w:tcPr>
            <w:tcW w:w="0" w:type="dxa"/>
            <w:vAlign w:val="bottom"/>
          </w:tcPr>
          <w:p>
            <w:pPr>
              <w:spacing w:after="0"/>
              <w:rPr>
                <w:sz w:val="1"/>
                <w:szCs w:val="1"/>
                <w:color w:val="auto"/>
              </w:rPr>
            </w:pPr>
          </w:p>
        </w:tc>
      </w:tr>
      <w:tr>
        <w:trPr>
          <w:trHeight w:val="207"/>
        </w:trPr>
        <w:tc>
          <w:tcPr>
            <w:tcW w:w="57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104.2</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61.6</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59.0</w:t>
            </w:r>
          </w:p>
        </w:tc>
        <w:tc>
          <w:tcPr>
            <w:tcW w:w="0" w:type="dxa"/>
            <w:vAlign w:val="bottom"/>
          </w:tcPr>
          <w:p>
            <w:pPr>
              <w:spacing w:after="0"/>
              <w:rPr>
                <w:sz w:val="1"/>
                <w:szCs w:val="1"/>
                <w:color w:val="auto"/>
              </w:rPr>
            </w:pPr>
          </w:p>
        </w:tc>
      </w:tr>
      <w:tr>
        <w:trPr>
          <w:trHeight w:val="209"/>
        </w:trPr>
        <w:tc>
          <w:tcPr>
            <w:tcW w:w="5720" w:type="dxa"/>
            <w:vAlign w:val="bottom"/>
          </w:tcPr>
          <w:p>
            <w:pPr>
              <w:spacing w:after="0"/>
              <w:rPr>
                <w:sz w:val="20"/>
                <w:szCs w:val="20"/>
                <w:color w:val="auto"/>
              </w:rPr>
            </w:pPr>
            <w:r>
              <w:rPr>
                <w:rFonts w:ascii="Times New Roman" w:cs="Times New Roman" w:eastAsia="Times New Roman" w:hAnsi="Times New Roman"/>
                <w:sz w:val="16"/>
                <w:szCs w:val="16"/>
                <w:color w:val="auto"/>
              </w:rPr>
              <w:t>Net earnings</w:t>
            </w:r>
          </w:p>
        </w:tc>
        <w:tc>
          <w:tcPr>
            <w:tcW w:w="132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428.0</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244.4</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180.1</w:t>
            </w:r>
          </w:p>
        </w:tc>
        <w:tc>
          <w:tcPr>
            <w:tcW w:w="0" w:type="dxa"/>
            <w:vAlign w:val="bottom"/>
          </w:tcPr>
          <w:p>
            <w:pPr>
              <w:spacing w:after="0"/>
              <w:rPr>
                <w:sz w:val="1"/>
                <w:szCs w:val="1"/>
                <w:color w:val="auto"/>
              </w:rPr>
            </w:pPr>
          </w:p>
        </w:tc>
      </w:tr>
      <w:tr>
        <w:trPr>
          <w:trHeight w:val="26"/>
        </w:trPr>
        <w:tc>
          <w:tcPr>
            <w:tcW w:w="57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Earnings per share:</w:t>
            </w:r>
          </w:p>
        </w:tc>
        <w:tc>
          <w:tcPr>
            <w:tcW w:w="13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46"/>
        </w:trPr>
        <w:tc>
          <w:tcPr>
            <w:tcW w:w="5720" w:type="dxa"/>
            <w:vAlign w:val="bottom"/>
            <w:vMerge w:val="continue"/>
          </w:tcPr>
          <w:p>
            <w:pPr>
              <w:spacing w:after="0"/>
              <w:rPr>
                <w:sz w:val="24"/>
                <w:szCs w:val="24"/>
                <w:color w:val="auto"/>
              </w:rPr>
            </w:pPr>
          </w:p>
        </w:tc>
        <w:tc>
          <w:tcPr>
            <w:tcW w:w="1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7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Basic</w:t>
            </w:r>
          </w:p>
        </w:tc>
        <w:tc>
          <w:tcPr>
            <w:tcW w:w="162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w:t>
            </w:r>
          </w:p>
        </w:tc>
        <w:tc>
          <w:tcPr>
            <w:tcW w:w="120" w:type="dxa"/>
            <w:vAlign w:val="bottom"/>
          </w:tcPr>
          <w:p>
            <w:pPr>
              <w:spacing w:after="0"/>
              <w:rPr>
                <w:sz w:val="18"/>
                <w:szCs w:val="18"/>
                <w:color w:val="auto"/>
              </w:rPr>
            </w:pPr>
          </w:p>
        </w:tc>
        <w:tc>
          <w:tcPr>
            <w:tcW w:w="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120" w:type="dxa"/>
            <w:vAlign w:val="bottom"/>
          </w:tcPr>
          <w:p>
            <w:pPr>
              <w:spacing w:after="0"/>
              <w:rPr>
                <w:sz w:val="18"/>
                <w:szCs w:val="18"/>
                <w:color w:val="auto"/>
              </w:rPr>
            </w:pPr>
          </w:p>
        </w:tc>
        <w:tc>
          <w:tcPr>
            <w:tcW w:w="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0" w:type="dxa"/>
            <w:vAlign w:val="bottom"/>
          </w:tcPr>
          <w:p>
            <w:pPr>
              <w:spacing w:after="0"/>
              <w:rPr>
                <w:sz w:val="1"/>
                <w:szCs w:val="1"/>
                <w:color w:val="auto"/>
              </w:rPr>
            </w:pPr>
          </w:p>
        </w:tc>
      </w:tr>
      <w:tr>
        <w:trPr>
          <w:trHeight w:val="216"/>
        </w:trPr>
        <w:tc>
          <w:tcPr>
            <w:tcW w:w="57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Diluted</w:t>
            </w:r>
          </w:p>
        </w:tc>
        <w:tc>
          <w:tcPr>
            <w:tcW w:w="162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w:t>
            </w:r>
          </w:p>
        </w:tc>
        <w:tc>
          <w:tcPr>
            <w:tcW w:w="120" w:type="dxa"/>
            <w:vAlign w:val="bottom"/>
          </w:tcPr>
          <w:p>
            <w:pPr>
              <w:spacing w:after="0"/>
              <w:rPr>
                <w:sz w:val="18"/>
                <w:szCs w:val="18"/>
                <w:color w:val="auto"/>
              </w:rPr>
            </w:pPr>
          </w:p>
        </w:tc>
        <w:tc>
          <w:tcPr>
            <w:tcW w:w="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120" w:type="dxa"/>
            <w:vAlign w:val="bottom"/>
          </w:tcPr>
          <w:p>
            <w:pPr>
              <w:spacing w:after="0"/>
              <w:rPr>
                <w:sz w:val="18"/>
                <w:szCs w:val="18"/>
                <w:color w:val="auto"/>
              </w:rPr>
            </w:pPr>
          </w:p>
        </w:tc>
        <w:tc>
          <w:tcPr>
            <w:tcW w:w="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0" w:type="dxa"/>
            <w:vAlign w:val="bottom"/>
          </w:tcPr>
          <w:p>
            <w:pPr>
              <w:spacing w:after="0"/>
              <w:rPr>
                <w:sz w:val="1"/>
                <w:szCs w:val="1"/>
                <w:color w:val="auto"/>
              </w:rPr>
            </w:pPr>
          </w:p>
        </w:tc>
      </w:tr>
      <w:tr>
        <w:trPr>
          <w:trHeight w:val="432"/>
        </w:trPr>
        <w:tc>
          <w:tcPr>
            <w:tcW w:w="5720" w:type="dxa"/>
            <w:vAlign w:val="bottom"/>
          </w:tcPr>
          <w:p>
            <w:pPr>
              <w:spacing w:after="0"/>
              <w:rPr>
                <w:sz w:val="20"/>
                <w:szCs w:val="20"/>
                <w:color w:val="auto"/>
              </w:rPr>
            </w:pPr>
            <w:r>
              <w:rPr>
                <w:rFonts w:ascii="Times New Roman" w:cs="Times New Roman" w:eastAsia="Times New Roman" w:hAnsi="Times New Roman"/>
                <w:sz w:val="16"/>
                <w:szCs w:val="16"/>
                <w:color w:val="auto"/>
              </w:rPr>
              <w:t>Weighted-average shares used in computing per share amounts (in millions)</w:t>
            </w:r>
          </w:p>
        </w:tc>
        <w:tc>
          <w:tcPr>
            <w:tcW w:w="1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7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Basic</w:t>
            </w:r>
          </w:p>
        </w:tc>
        <w:tc>
          <w:tcPr>
            <w:tcW w:w="1320" w:type="dxa"/>
            <w:vAlign w:val="bottom"/>
          </w:tcPr>
          <w:p>
            <w:pPr>
              <w:jc w:val="center"/>
              <w:ind w:left="519"/>
              <w:spacing w:after="0"/>
              <w:rPr>
                <w:sz w:val="20"/>
                <w:szCs w:val="20"/>
                <w:color w:val="auto"/>
              </w:rPr>
            </w:pPr>
            <w:r>
              <w:rPr>
                <w:rFonts w:ascii="Times New Roman" w:cs="Times New Roman" w:eastAsia="Times New Roman" w:hAnsi="Times New Roman"/>
                <w:sz w:val="16"/>
                <w:szCs w:val="16"/>
                <w:i w:val="1"/>
                <w:iCs w:val="1"/>
                <w:color w:val="auto"/>
                <w:w w:val="99"/>
              </w:rPr>
              <w:t>20</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123.5</w:t>
            </w:r>
          </w:p>
        </w:tc>
        <w:tc>
          <w:tcPr>
            <w:tcW w:w="0" w:type="dxa"/>
            <w:vAlign w:val="bottom"/>
          </w:tcPr>
          <w:p>
            <w:pPr>
              <w:spacing w:after="0"/>
              <w:rPr>
                <w:sz w:val="1"/>
                <w:szCs w:val="1"/>
                <w:color w:val="auto"/>
              </w:rPr>
            </w:pPr>
          </w:p>
        </w:tc>
      </w:tr>
      <w:tr>
        <w:trPr>
          <w:trHeight w:val="216"/>
        </w:trPr>
        <w:tc>
          <w:tcPr>
            <w:tcW w:w="57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Diluted</w:t>
            </w:r>
          </w:p>
        </w:tc>
        <w:tc>
          <w:tcPr>
            <w:tcW w:w="1320" w:type="dxa"/>
            <w:vAlign w:val="bottom"/>
          </w:tcPr>
          <w:p>
            <w:pPr>
              <w:jc w:val="center"/>
              <w:ind w:left="519"/>
              <w:spacing w:after="0"/>
              <w:rPr>
                <w:sz w:val="20"/>
                <w:szCs w:val="20"/>
                <w:color w:val="auto"/>
              </w:rPr>
            </w:pPr>
            <w:r>
              <w:rPr>
                <w:rFonts w:ascii="Times New Roman" w:cs="Times New Roman" w:eastAsia="Times New Roman" w:hAnsi="Times New Roman"/>
                <w:sz w:val="16"/>
                <w:szCs w:val="16"/>
                <w:i w:val="1"/>
                <w:iCs w:val="1"/>
                <w:color w:val="auto"/>
                <w:w w:val="99"/>
              </w:rPr>
              <w:t>20</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consolidated financial statements.</w:t>
      </w:r>
    </w:p>
    <w:p>
      <w:pPr>
        <w:spacing w:after="0" w:line="200" w:lineRule="exact"/>
        <w:rPr>
          <w:sz w:val="20"/>
          <w:szCs w:val="20"/>
          <w:color w:val="auto"/>
        </w:rPr>
      </w:pPr>
    </w:p>
    <w:p>
      <w:pPr>
        <w:spacing w:after="0" w:line="31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227330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80" w:top="1089" w:right="359" w:bottom="1440" w:gutter="0" w:footer="0" w:header="0"/>
        </w:sectPr>
      </w:pPr>
    </w:p>
    <w:bookmarkStart w:id="113" w:name="page114"/>
    <w:bookmarkEnd w:id="113"/>
    <w:p>
      <w:pPr>
        <w:ind w:left="4820"/>
        <w:spacing w:after="0"/>
        <w:rPr>
          <w:sz w:val="20"/>
          <w:szCs w:val="20"/>
          <w:color w:val="auto"/>
        </w:rPr>
      </w:pPr>
      <w:r>
        <w:rPr>
          <w:rFonts w:ascii="Times New Roman" w:cs="Times New Roman" w:eastAsia="Times New Roman" w:hAnsi="Times New Roman"/>
          <w:sz w:val="18"/>
          <w:szCs w:val="18"/>
          <w:b w:val="1"/>
          <w:bCs w:val="1"/>
          <w:color w:val="auto"/>
        </w:rPr>
        <w:t>CELESTICA INC.</w:t>
      </w:r>
    </w:p>
    <w:p>
      <w:pPr>
        <w:spacing w:after="0" w:line="50"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CONSOLIDATED STATEMENT OF COMPREHENSIVE INCOME</w:t>
      </w:r>
    </w:p>
    <w:p>
      <w:pPr>
        <w:spacing w:after="0" w:line="3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millions of U.S. dollars)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7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620" w:type="dxa"/>
            <w:vAlign w:val="bottom"/>
            <w:tcBorders>
              <w:bottom w:val="single" w:sz="8" w:color="auto"/>
            </w:tcBorders>
            <w:gridSpan w:val="6"/>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9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670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Note</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462"/>
        </w:trPr>
        <w:tc>
          <w:tcPr>
            <w:tcW w:w="6700" w:type="dxa"/>
            <w:vAlign w:val="bottom"/>
          </w:tcPr>
          <w:p>
            <w:pPr>
              <w:spacing w:after="0"/>
              <w:rPr>
                <w:sz w:val="20"/>
                <w:szCs w:val="20"/>
                <w:color w:val="auto"/>
              </w:rPr>
            </w:pPr>
            <w:r>
              <w:rPr>
                <w:rFonts w:ascii="Times New Roman" w:cs="Times New Roman" w:eastAsia="Times New Roman" w:hAnsi="Times New Roman"/>
                <w:sz w:val="16"/>
                <w:szCs w:val="16"/>
                <w:color w:val="auto"/>
              </w:rPr>
              <w:t>Net earnings</w:t>
            </w:r>
          </w:p>
        </w:tc>
        <w:tc>
          <w:tcPr>
            <w:tcW w:w="90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428.0</w:t>
            </w:r>
          </w:p>
        </w:tc>
        <w:tc>
          <w:tcPr>
            <w:tcW w:w="120" w:type="dxa"/>
            <w:vAlign w:val="bottom"/>
          </w:tcPr>
          <w:p>
            <w:pPr>
              <w:spacing w:after="0"/>
              <w:rPr>
                <w:sz w:val="24"/>
                <w:szCs w:val="24"/>
                <w:color w:val="auto"/>
              </w:rPr>
            </w:pP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244.4</w:t>
            </w:r>
          </w:p>
        </w:tc>
        <w:tc>
          <w:tcPr>
            <w:tcW w:w="120" w:type="dxa"/>
            <w:vAlign w:val="bottom"/>
          </w:tcPr>
          <w:p>
            <w:pPr>
              <w:spacing w:after="0"/>
              <w:rPr>
                <w:sz w:val="24"/>
                <w:szCs w:val="24"/>
                <w:color w:val="auto"/>
              </w:rPr>
            </w:pPr>
          </w:p>
        </w:tc>
        <w:tc>
          <w:tcPr>
            <w:tcW w:w="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180.1</w:t>
            </w:r>
          </w:p>
        </w:tc>
        <w:tc>
          <w:tcPr>
            <w:tcW w:w="0" w:type="dxa"/>
            <w:vAlign w:val="bottom"/>
          </w:tcPr>
          <w:p>
            <w:pPr>
              <w:spacing w:after="0"/>
              <w:rPr>
                <w:sz w:val="1"/>
                <w:szCs w:val="1"/>
                <w:color w:val="auto"/>
              </w:rPr>
            </w:pPr>
          </w:p>
        </w:tc>
      </w:tr>
      <w:tr>
        <w:trPr>
          <w:trHeight w:val="432"/>
        </w:trPr>
        <w:tc>
          <w:tcPr>
            <w:tcW w:w="670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income (loss), net of tax</w:t>
            </w:r>
          </w:p>
        </w:tc>
        <w:tc>
          <w:tcPr>
            <w:tcW w:w="640" w:type="dxa"/>
            <w:vAlign w:val="bottom"/>
          </w:tcPr>
          <w:p>
            <w:pPr>
              <w:jc w:val="center"/>
              <w:spacing w:after="0"/>
              <w:rPr>
                <w:sz w:val="20"/>
                <w:szCs w:val="20"/>
                <w:color w:val="auto"/>
              </w:rPr>
            </w:pPr>
            <w:r>
              <w:rPr>
                <w:rFonts w:ascii="Times New Roman" w:cs="Times New Roman" w:eastAsia="Times New Roman" w:hAnsi="Times New Roman"/>
                <w:sz w:val="16"/>
                <w:szCs w:val="16"/>
                <w:i w:val="1"/>
                <w:iCs w:val="1"/>
                <w:color w:val="auto"/>
                <w:w w:val="99"/>
              </w:rPr>
              <w:t>13</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Gains (losses) related to defined benefit pension and non-pension post-employment benefit plans</w:t>
            </w:r>
          </w:p>
        </w:tc>
        <w:tc>
          <w:tcPr>
            <w:tcW w:w="640" w:type="dxa"/>
            <w:vAlign w:val="bottom"/>
          </w:tcPr>
          <w:p>
            <w:pPr>
              <w:jc w:val="center"/>
              <w:spacing w:after="0"/>
              <w:rPr>
                <w:sz w:val="20"/>
                <w:szCs w:val="20"/>
                <w:color w:val="auto"/>
              </w:rPr>
            </w:pPr>
            <w:r>
              <w:rPr>
                <w:rFonts w:ascii="Times New Roman" w:cs="Times New Roman" w:eastAsia="Times New Roman" w:hAnsi="Times New Roman"/>
                <w:sz w:val="16"/>
                <w:szCs w:val="16"/>
                <w:i w:val="1"/>
                <w:iCs w:val="1"/>
                <w:color w:val="auto"/>
                <w:w w:val="99"/>
              </w:rPr>
              <w:t>17</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w:t>
            </w:r>
          </w:p>
        </w:tc>
        <w:tc>
          <w:tcPr>
            <w:tcW w:w="0" w:type="dxa"/>
            <w:vAlign w:val="bottom"/>
          </w:tcPr>
          <w:p>
            <w:pPr>
              <w:spacing w:after="0"/>
              <w:rPr>
                <w:sz w:val="1"/>
                <w:szCs w:val="1"/>
                <w:color w:val="auto"/>
              </w:rPr>
            </w:pPr>
          </w:p>
        </w:tc>
      </w:tr>
      <w:tr>
        <w:trPr>
          <w:trHeight w:val="216"/>
        </w:trPr>
        <w:tc>
          <w:tcPr>
            <w:tcW w:w="6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Currency translation differences for foreign operations</w:t>
            </w:r>
          </w:p>
        </w:tc>
        <w:tc>
          <w:tcPr>
            <w:tcW w:w="640" w:type="dxa"/>
            <w:vAlign w:val="bottom"/>
          </w:tcPr>
          <w:p>
            <w:pPr>
              <w:jc w:val="center"/>
              <w:spacing w:after="0"/>
              <w:rPr>
                <w:sz w:val="20"/>
                <w:szCs w:val="20"/>
                <w:color w:val="auto"/>
              </w:rPr>
            </w:pPr>
            <w:r>
              <w:rPr>
                <w:rFonts w:ascii="Times New Roman" w:cs="Times New Roman" w:eastAsia="Times New Roman" w:hAnsi="Times New Roman"/>
                <w:sz w:val="16"/>
                <w:szCs w:val="16"/>
                <w:i w:val="1"/>
                <w:iCs w:val="1"/>
                <w:color w:val="auto"/>
                <w:w w:val="99"/>
              </w:rPr>
              <w:t>13</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0" w:type="dxa"/>
            <w:vAlign w:val="bottom"/>
          </w:tcPr>
          <w:p>
            <w:pPr>
              <w:spacing w:after="0"/>
              <w:rPr>
                <w:sz w:val="1"/>
                <w:szCs w:val="1"/>
                <w:color w:val="auto"/>
              </w:rPr>
            </w:pPr>
          </w:p>
        </w:tc>
      </w:tr>
      <w:tr>
        <w:trPr>
          <w:trHeight w:val="230"/>
        </w:trPr>
        <w:tc>
          <w:tcPr>
            <w:tcW w:w="6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Unrealized loss on currency forward derivative hedges</w:t>
            </w:r>
          </w:p>
        </w:tc>
        <w:tc>
          <w:tcPr>
            <w:tcW w:w="640" w:type="dxa"/>
            <w:vAlign w:val="bottom"/>
          </w:tcPr>
          <w:p>
            <w:pPr>
              <w:jc w:val="center"/>
              <w:spacing w:after="0"/>
              <w:rPr>
                <w:sz w:val="20"/>
                <w:szCs w:val="20"/>
                <w:color w:val="auto"/>
              </w:rPr>
            </w:pPr>
            <w:r>
              <w:rPr>
                <w:rFonts w:ascii="Times New Roman" w:cs="Times New Roman" w:eastAsia="Times New Roman" w:hAnsi="Times New Roman"/>
                <w:sz w:val="16"/>
                <w:szCs w:val="16"/>
                <w:i w:val="1"/>
                <w:iCs w:val="1"/>
                <w:color w:val="auto"/>
                <w:w w:val="99"/>
              </w:rPr>
              <w:t>13</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9"/>
        </w:trPr>
        <w:tc>
          <w:tcPr>
            <w:tcW w:w="6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Unrealized gain on interest rate swap derivative hedges</w:t>
            </w:r>
          </w:p>
        </w:tc>
        <w:tc>
          <w:tcPr>
            <w:tcW w:w="640" w:type="dxa"/>
            <w:vAlign w:val="bottom"/>
          </w:tcPr>
          <w:p>
            <w:pPr>
              <w:jc w:val="center"/>
              <w:spacing w:after="0"/>
              <w:rPr>
                <w:sz w:val="20"/>
                <w:szCs w:val="20"/>
                <w:color w:val="auto"/>
              </w:rPr>
            </w:pPr>
            <w:r>
              <w:rPr>
                <w:rFonts w:ascii="Times New Roman" w:cs="Times New Roman" w:eastAsia="Times New Roman" w:hAnsi="Times New Roman"/>
                <w:sz w:val="16"/>
                <w:szCs w:val="16"/>
                <w:i w:val="1"/>
                <w:iCs w:val="1"/>
                <w:color w:val="auto"/>
                <w:w w:val="99"/>
              </w:rPr>
              <w:t>13</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6700" w:type="dxa"/>
            <w:vAlign w:val="bottom"/>
          </w:tcPr>
          <w:p>
            <w:pPr>
              <w:spacing w:after="0"/>
              <w:rPr>
                <w:sz w:val="20"/>
                <w:szCs w:val="20"/>
                <w:color w:val="auto"/>
              </w:rPr>
            </w:pPr>
            <w:r>
              <w:rPr>
                <w:rFonts w:ascii="Times New Roman" w:cs="Times New Roman" w:eastAsia="Times New Roman" w:hAnsi="Times New Roman"/>
                <w:sz w:val="16"/>
                <w:szCs w:val="16"/>
                <w:color w:val="auto"/>
              </w:rPr>
              <w:t>Total other comprehensive income (loss), net of tax</w:t>
            </w:r>
          </w:p>
        </w:tc>
        <w:tc>
          <w:tcPr>
            <w:tcW w:w="64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120" w:type="dxa"/>
            <w:vAlign w:val="bottom"/>
          </w:tcPr>
          <w:p>
            <w:pPr>
              <w:spacing w:after="0"/>
              <w:rPr>
                <w:sz w:val="18"/>
                <w:szCs w:val="18"/>
                <w:color w:val="auto"/>
              </w:rPr>
            </w:pPr>
          </w:p>
        </w:tc>
        <w:tc>
          <w:tcPr>
            <w:tcW w:w="26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120" w:type="dxa"/>
            <w:vAlign w:val="bottom"/>
          </w:tcPr>
          <w:p>
            <w:pPr>
              <w:spacing w:after="0"/>
              <w:rPr>
                <w:sz w:val="18"/>
                <w:szCs w:val="18"/>
                <w:color w:val="auto"/>
              </w:rPr>
            </w:pPr>
          </w:p>
        </w:tc>
        <w:tc>
          <w:tcPr>
            <w:tcW w:w="28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0" w:type="dxa"/>
            <w:vAlign w:val="bottom"/>
          </w:tcPr>
          <w:p>
            <w:pPr>
              <w:spacing w:after="0"/>
              <w:rPr>
                <w:sz w:val="1"/>
                <w:szCs w:val="1"/>
                <w:color w:val="auto"/>
              </w:rPr>
            </w:pPr>
          </w:p>
        </w:tc>
      </w:tr>
      <w:tr>
        <w:trPr>
          <w:trHeight w:val="222"/>
        </w:trPr>
        <w:tc>
          <w:tcPr>
            <w:tcW w:w="67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Total comprehensive income</w:t>
            </w:r>
          </w:p>
        </w:tc>
        <w:tc>
          <w:tcPr>
            <w:tcW w:w="900" w:type="dxa"/>
            <w:vAlign w:val="bottom"/>
            <w:gridSpan w:val="2"/>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6700" w:type="dxa"/>
            <w:vAlign w:val="bottom"/>
            <w:vMerge w:val="continue"/>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410.6</w:t>
            </w:r>
          </w:p>
        </w:tc>
        <w:tc>
          <w:tcPr>
            <w:tcW w:w="12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232.1</w:t>
            </w:r>
          </w:p>
        </w:tc>
        <w:tc>
          <w:tcPr>
            <w:tcW w:w="12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199.6</w:t>
            </w:r>
          </w:p>
        </w:tc>
        <w:tc>
          <w:tcPr>
            <w:tcW w:w="0" w:type="dxa"/>
            <w:vAlign w:val="bottom"/>
          </w:tcPr>
          <w:p>
            <w:pPr>
              <w:spacing w:after="0"/>
              <w:rPr>
                <w:sz w:val="1"/>
                <w:szCs w:val="1"/>
                <w:color w:val="auto"/>
              </w:rPr>
            </w:pPr>
          </w:p>
        </w:tc>
      </w:tr>
      <w:tr>
        <w:trPr>
          <w:trHeight w:val="23"/>
        </w:trPr>
        <w:tc>
          <w:tcPr>
            <w:tcW w:w="67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227330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400" w:top="1089" w:right="379" w:bottom="1440" w:gutter="0" w:footer="0" w:header="0"/>
        </w:sectPr>
      </w:pPr>
    </w:p>
    <w:bookmarkStart w:id="114" w:name="page115"/>
    <w:bookmarkEnd w:id="114"/>
    <w:p>
      <w:pPr>
        <w:ind w:left="4900"/>
        <w:spacing w:after="0"/>
        <w:rPr>
          <w:sz w:val="20"/>
          <w:szCs w:val="20"/>
          <w:color w:val="auto"/>
        </w:rPr>
      </w:pPr>
      <w:r>
        <w:rPr>
          <w:rFonts w:ascii="Times New Roman" w:cs="Times New Roman" w:eastAsia="Times New Roman" w:hAnsi="Times New Roman"/>
          <w:sz w:val="18"/>
          <w:szCs w:val="18"/>
          <w:b w:val="1"/>
          <w:bCs w:val="1"/>
          <w:color w:val="auto"/>
        </w:rPr>
        <w:t>CELESTICA INC.</w:t>
      </w:r>
    </w:p>
    <w:p>
      <w:pPr>
        <w:spacing w:after="0" w:line="50"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b w:val="1"/>
          <w:bCs w:val="1"/>
          <w:color w:val="auto"/>
        </w:rPr>
        <w:t>CONSOLIDATED STATEMENT OF CHANGES IN EQUITY</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of U.S. dollars)</w:t>
      </w:r>
    </w:p>
    <w:p>
      <w:pPr>
        <w:spacing w:after="0" w:line="14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36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Additional paid-</w:t>
            </w:r>
          </w:p>
        </w:tc>
        <w:tc>
          <w:tcPr>
            <w:tcW w:w="140" w:type="dxa"/>
            <w:vAlign w:val="bottom"/>
          </w:tcPr>
          <w:p>
            <w:pPr>
              <w:spacing w:after="0"/>
              <w:rPr>
                <w:sz w:val="13"/>
                <w:szCs w:val="13"/>
                <w:color w:val="auto"/>
              </w:rPr>
            </w:pPr>
          </w:p>
        </w:tc>
        <w:tc>
          <w:tcPr>
            <w:tcW w:w="11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3"/>
                <w:szCs w:val="13"/>
                <w:color w:val="auto"/>
              </w:rPr>
            </w:pPr>
          </w:p>
        </w:tc>
        <w:tc>
          <w:tcPr>
            <w:tcW w:w="13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60" w:type="dxa"/>
            <w:vAlign w:val="bottom"/>
          </w:tcPr>
          <w:p>
            <w:pPr>
              <w:spacing w:after="0"/>
              <w:rPr>
                <w:sz w:val="13"/>
                <w:szCs w:val="13"/>
                <w:color w:val="auto"/>
              </w:rPr>
            </w:pPr>
          </w:p>
        </w:tc>
        <w:tc>
          <w:tcPr>
            <w:tcW w:w="66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53"/>
        </w:trPr>
        <w:tc>
          <w:tcPr>
            <w:tcW w:w="36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center"/>
              <w:ind w:right="220"/>
              <w:spacing w:after="0" w:line="153" w:lineRule="exact"/>
              <w:rPr>
                <w:sz w:val="20"/>
                <w:szCs w:val="20"/>
                <w:color w:val="auto"/>
              </w:rPr>
            </w:pPr>
            <w:r>
              <w:rPr>
                <w:rFonts w:ascii="Times New Roman" w:cs="Times New Roman" w:eastAsia="Times New Roman" w:hAnsi="Times New Roman"/>
                <w:sz w:val="14"/>
                <w:szCs w:val="14"/>
                <w:b w:val="1"/>
                <w:bCs w:val="1"/>
                <w:color w:val="auto"/>
              </w:rPr>
              <w:t>Treasury</w:t>
            </w:r>
          </w:p>
        </w:tc>
        <w:tc>
          <w:tcPr>
            <w:tcW w:w="114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gridSpan w:val="2"/>
          </w:tcPr>
          <w:p>
            <w:pPr>
              <w:jc w:val="center"/>
              <w:ind w:right="180"/>
              <w:spacing w:after="0" w:line="153"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6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3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Balance — December 31, 2021</w:t>
            </w:r>
          </w:p>
        </w:tc>
        <w:tc>
          <w:tcPr>
            <w:tcW w:w="184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Note   Capital stock</w:t>
            </w:r>
          </w:p>
        </w:tc>
        <w:tc>
          <w:tcPr>
            <w:tcW w:w="120" w:type="dxa"/>
            <w:vAlign w:val="bottom"/>
          </w:tcPr>
          <w:p>
            <w:pPr>
              <w:spacing w:after="0"/>
              <w:rPr>
                <w:sz w:val="18"/>
                <w:szCs w:val="18"/>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6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in capital</w:t>
            </w:r>
          </w:p>
        </w:tc>
        <w:tc>
          <w:tcPr>
            <w:tcW w:w="140" w:type="dxa"/>
            <w:vAlign w:val="bottom"/>
          </w:tcPr>
          <w:p>
            <w:pPr>
              <w:spacing w:after="0"/>
              <w:rPr>
                <w:sz w:val="18"/>
                <w:szCs w:val="18"/>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Pr>
          <w:p>
            <w:pPr>
              <w:spacing w:after="0"/>
              <w:rPr>
                <w:sz w:val="18"/>
                <w:szCs w:val="18"/>
                <w:color w:val="auto"/>
              </w:rPr>
            </w:pPr>
          </w:p>
        </w:tc>
        <w:tc>
          <w:tcPr>
            <w:tcW w:w="13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income (loss)</w:t>
            </w:r>
            <w:r>
              <w:rPr>
                <w:rFonts w:ascii="Times New Roman" w:cs="Times New Roman" w:eastAsia="Times New Roman" w:hAnsi="Times New Roman"/>
                <w:sz w:val="18"/>
                <w:szCs w:val="18"/>
                <w:b w:val="1"/>
                <w:bCs w:val="1"/>
                <w:color w:val="auto"/>
                <w:vertAlign w:val="superscript"/>
              </w:rPr>
              <w:t>(a)</w:t>
            </w:r>
          </w:p>
        </w:tc>
        <w:tc>
          <w:tcPr>
            <w:tcW w:w="160" w:type="dxa"/>
            <w:vAlign w:val="bottom"/>
          </w:tcPr>
          <w:p>
            <w:pPr>
              <w:spacing w:after="0"/>
              <w:rPr>
                <w:sz w:val="18"/>
                <w:szCs w:val="18"/>
                <w:color w:val="auto"/>
              </w:rPr>
            </w:pPr>
          </w:p>
        </w:tc>
        <w:tc>
          <w:tcPr>
            <w:tcW w:w="66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82"/>
        </w:trPr>
        <w:tc>
          <w:tcPr>
            <w:tcW w:w="3620" w:type="dxa"/>
            <w:vAlign w:val="bottom"/>
            <w:vMerge w:val="continue"/>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1,764.5</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(48.9)</w:t>
            </w:r>
          </w:p>
        </w:tc>
        <w:tc>
          <w:tcPr>
            <w:tcW w:w="100" w:type="dxa"/>
            <w:vAlign w:val="bottom"/>
          </w:tcPr>
          <w:p>
            <w:pPr>
              <w:spacing w:after="0"/>
              <w:rPr>
                <w:sz w:val="15"/>
                <w:szCs w:val="15"/>
                <w:color w:val="auto"/>
              </w:rPr>
            </w:pPr>
          </w:p>
        </w:tc>
        <w:tc>
          <w:tcPr>
            <w:tcW w:w="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1,029.8</w:t>
            </w:r>
          </w:p>
        </w:tc>
        <w:tc>
          <w:tcPr>
            <w:tcW w:w="8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(1,276.3)</w:t>
            </w:r>
          </w:p>
        </w:tc>
        <w:tc>
          <w:tcPr>
            <w:tcW w:w="100" w:type="dxa"/>
            <w:vAlign w:val="bottom"/>
          </w:tcPr>
          <w:p>
            <w:pPr>
              <w:spacing w:after="0"/>
              <w:rPr>
                <w:sz w:val="15"/>
                <w:szCs w:val="15"/>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100" w:type="dxa"/>
            <w:vAlign w:val="bottom"/>
          </w:tcPr>
          <w:p>
            <w:pPr>
              <w:spacing w:after="0"/>
              <w:rPr>
                <w:sz w:val="15"/>
                <w:szCs w:val="15"/>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1,461.7</w:t>
            </w:r>
          </w:p>
        </w:tc>
        <w:tc>
          <w:tcPr>
            <w:tcW w:w="0" w:type="dxa"/>
            <w:vAlign w:val="bottom"/>
          </w:tcPr>
          <w:p>
            <w:pPr>
              <w:spacing w:after="0"/>
              <w:rPr>
                <w:sz w:val="1"/>
                <w:szCs w:val="1"/>
                <w:color w:val="auto"/>
              </w:rPr>
            </w:pPr>
          </w:p>
        </w:tc>
      </w:tr>
      <w:tr>
        <w:trPr>
          <w:trHeight w:val="193"/>
        </w:trPr>
        <w:tc>
          <w:tcPr>
            <w:tcW w:w="36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Capital transactions:</w:t>
            </w:r>
          </w:p>
        </w:tc>
        <w:tc>
          <w:tcPr>
            <w:tcW w:w="880" w:type="dxa"/>
            <w:vAlign w:val="bottom"/>
          </w:tcPr>
          <w:p>
            <w:pPr>
              <w:jc w:val="right"/>
              <w:ind w:right="108"/>
              <w:spacing w:after="0"/>
              <w:rPr>
                <w:sz w:val="20"/>
                <w:szCs w:val="20"/>
                <w:color w:val="auto"/>
              </w:rPr>
            </w:pPr>
            <w:r>
              <w:rPr>
                <w:rFonts w:ascii="Times New Roman" w:cs="Times New Roman" w:eastAsia="Times New Roman" w:hAnsi="Times New Roman"/>
                <w:sz w:val="14"/>
                <w:szCs w:val="14"/>
                <w:i w:val="1"/>
                <w:iCs w:val="1"/>
                <w:color w:val="auto"/>
              </w:rPr>
              <w:t>12</w:t>
            </w: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6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Issuance of capital stock</w:t>
            </w: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203"/>
        </w:trPr>
        <w:tc>
          <w:tcPr>
            <w:tcW w:w="36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 xml:space="preserve">Repurchase of capital stock for cancellation </w:t>
            </w:r>
            <w:r>
              <w:rPr>
                <w:rFonts w:ascii="Times New Roman" w:cs="Times New Roman" w:eastAsia="Times New Roman" w:hAnsi="Times New Roman"/>
                <w:sz w:val="9"/>
                <w:szCs w:val="9"/>
                <w:color w:val="auto"/>
              </w:rPr>
              <w:t>(b)</w:t>
            </w: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w:t>
            </w:r>
          </w:p>
        </w:tc>
        <w:tc>
          <w:tcPr>
            <w:tcW w:w="0" w:type="dxa"/>
            <w:vAlign w:val="bottom"/>
          </w:tcPr>
          <w:p>
            <w:pPr>
              <w:spacing w:after="0"/>
              <w:rPr>
                <w:sz w:val="1"/>
                <w:szCs w:val="1"/>
                <w:color w:val="auto"/>
              </w:rPr>
            </w:pPr>
          </w:p>
        </w:tc>
      </w:tr>
      <w:tr>
        <w:trPr>
          <w:trHeight w:val="203"/>
        </w:trPr>
        <w:tc>
          <w:tcPr>
            <w:tcW w:w="36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 xml:space="preserve">Purchase of treasury stock for stock-based plans </w:t>
            </w:r>
            <w:r>
              <w:rPr>
                <w:rFonts w:ascii="Times New Roman" w:cs="Times New Roman" w:eastAsia="Times New Roman" w:hAnsi="Times New Roman"/>
                <w:sz w:val="9"/>
                <w:szCs w:val="9"/>
                <w:color w:val="auto"/>
              </w:rPr>
              <w:t>(c)</w:t>
            </w: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0" w:type="dxa"/>
            <w:vAlign w:val="bottom"/>
          </w:tcPr>
          <w:p>
            <w:pPr>
              <w:spacing w:after="0"/>
              <w:rPr>
                <w:sz w:val="1"/>
                <w:szCs w:val="1"/>
                <w:color w:val="auto"/>
              </w:rPr>
            </w:pPr>
          </w:p>
        </w:tc>
      </w:tr>
      <w:tr>
        <w:trPr>
          <w:trHeight w:val="203"/>
        </w:trPr>
        <w:tc>
          <w:tcPr>
            <w:tcW w:w="36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Stock-based compensation (SBC)</w:t>
            </w: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52.6</w:t>
            </w:r>
          </w:p>
        </w:tc>
        <w:tc>
          <w:tcPr>
            <w:tcW w:w="0" w:type="dxa"/>
            <w:vAlign w:val="bottom"/>
          </w:tcPr>
          <w:p>
            <w:pPr>
              <w:spacing w:after="0"/>
              <w:rPr>
                <w:sz w:val="1"/>
                <w:szCs w:val="1"/>
                <w:color w:val="auto"/>
              </w:rPr>
            </w:pPr>
          </w:p>
        </w:tc>
      </w:tr>
      <w:tr>
        <w:trPr>
          <w:trHeight w:val="203"/>
        </w:trPr>
        <w:tc>
          <w:tcPr>
            <w:tcW w:w="36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Total comprehensive income:</w:t>
            </w: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Net earnings for 2022</w:t>
            </w: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180.1</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180.1</w:t>
            </w:r>
          </w:p>
        </w:tc>
        <w:tc>
          <w:tcPr>
            <w:tcW w:w="0" w:type="dxa"/>
            <w:vAlign w:val="bottom"/>
          </w:tcPr>
          <w:p>
            <w:pPr>
              <w:spacing w:after="0"/>
              <w:rPr>
                <w:sz w:val="1"/>
                <w:szCs w:val="1"/>
                <w:color w:val="auto"/>
              </w:rPr>
            </w:pPr>
          </w:p>
        </w:tc>
      </w:tr>
      <w:tr>
        <w:trPr>
          <w:trHeight w:val="216"/>
        </w:trPr>
        <w:tc>
          <w:tcPr>
            <w:tcW w:w="36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w:t>
            </w:r>
          </w:p>
        </w:tc>
        <w:tc>
          <w:tcPr>
            <w:tcW w:w="0" w:type="dxa"/>
            <w:vAlign w:val="bottom"/>
          </w:tcPr>
          <w:p>
            <w:pPr>
              <w:spacing w:after="0"/>
              <w:rPr>
                <w:sz w:val="1"/>
                <w:szCs w:val="1"/>
                <w:color w:val="auto"/>
              </w:rPr>
            </w:pPr>
          </w:p>
        </w:tc>
      </w:tr>
      <w:tr>
        <w:trPr>
          <w:trHeight w:val="23"/>
        </w:trPr>
        <w:tc>
          <w:tcPr>
            <w:tcW w:w="3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Balance — December 31, 2022</w:t>
            </w:r>
          </w:p>
        </w:tc>
        <w:tc>
          <w:tcPr>
            <w:tcW w:w="1100" w:type="dxa"/>
            <w:vAlign w:val="bottom"/>
            <w:gridSpan w:val="2"/>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3620" w:type="dxa"/>
            <w:vAlign w:val="bottom"/>
            <w:vMerge w:val="continue"/>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1,714.9</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(18.5)</w:t>
            </w:r>
          </w:p>
        </w:tc>
        <w:tc>
          <w:tcPr>
            <w:tcW w:w="100" w:type="dxa"/>
            <w:vAlign w:val="bottom"/>
          </w:tcPr>
          <w:p>
            <w:pPr>
              <w:spacing w:after="0"/>
              <w:rPr>
                <w:sz w:val="15"/>
                <w:szCs w:val="15"/>
                <w:color w:val="auto"/>
              </w:rPr>
            </w:pPr>
          </w:p>
        </w:tc>
        <w:tc>
          <w:tcPr>
            <w:tcW w:w="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1,063.6</w:t>
            </w:r>
          </w:p>
        </w:tc>
        <w:tc>
          <w:tcPr>
            <w:tcW w:w="8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(1,096.2)</w:t>
            </w:r>
          </w:p>
        </w:tc>
        <w:tc>
          <w:tcPr>
            <w:tcW w:w="100" w:type="dxa"/>
            <w:vAlign w:val="bottom"/>
          </w:tcPr>
          <w:p>
            <w:pPr>
              <w:spacing w:after="0"/>
              <w:rPr>
                <w:sz w:val="15"/>
                <w:szCs w:val="15"/>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100" w:type="dxa"/>
            <w:vAlign w:val="bottom"/>
          </w:tcPr>
          <w:p>
            <w:pPr>
              <w:spacing w:after="0"/>
              <w:rPr>
                <w:sz w:val="15"/>
                <w:szCs w:val="15"/>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1,675.9</w:t>
            </w:r>
          </w:p>
        </w:tc>
        <w:tc>
          <w:tcPr>
            <w:tcW w:w="0" w:type="dxa"/>
            <w:vAlign w:val="bottom"/>
          </w:tcPr>
          <w:p>
            <w:pPr>
              <w:spacing w:after="0"/>
              <w:rPr>
                <w:sz w:val="1"/>
                <w:szCs w:val="1"/>
                <w:color w:val="auto"/>
              </w:rPr>
            </w:pPr>
          </w:p>
        </w:tc>
      </w:tr>
      <w:tr>
        <w:trPr>
          <w:trHeight w:val="193"/>
        </w:trPr>
        <w:tc>
          <w:tcPr>
            <w:tcW w:w="36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Capital transactions:</w:t>
            </w:r>
          </w:p>
        </w:tc>
        <w:tc>
          <w:tcPr>
            <w:tcW w:w="880" w:type="dxa"/>
            <w:vAlign w:val="bottom"/>
          </w:tcPr>
          <w:p>
            <w:pPr>
              <w:jc w:val="right"/>
              <w:ind w:right="108"/>
              <w:spacing w:after="0"/>
              <w:rPr>
                <w:sz w:val="20"/>
                <w:szCs w:val="20"/>
                <w:color w:val="auto"/>
              </w:rPr>
            </w:pPr>
            <w:r>
              <w:rPr>
                <w:rFonts w:ascii="Times New Roman" w:cs="Times New Roman" w:eastAsia="Times New Roman" w:hAnsi="Times New Roman"/>
                <w:sz w:val="14"/>
                <w:szCs w:val="14"/>
                <w:i w:val="1"/>
                <w:iCs w:val="1"/>
                <w:color w:val="auto"/>
              </w:rPr>
              <w:t>12</w:t>
            </w: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6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Issuance of capital stock</w:t>
            </w:r>
            <w:r>
              <w:rPr>
                <w:rFonts w:ascii="Times New Roman" w:cs="Times New Roman" w:eastAsia="Times New Roman" w:hAnsi="Times New Roman"/>
                <w:sz w:val="9"/>
                <w:szCs w:val="9"/>
                <w:color w:val="auto"/>
              </w:rPr>
              <w:t>(d)</w:t>
            </w: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0" w:type="dxa"/>
            <w:vAlign w:val="bottom"/>
          </w:tcPr>
          <w:p>
            <w:pPr>
              <w:spacing w:after="0"/>
              <w:rPr>
                <w:sz w:val="1"/>
                <w:szCs w:val="1"/>
                <w:color w:val="auto"/>
              </w:rPr>
            </w:pPr>
          </w:p>
        </w:tc>
      </w:tr>
      <w:tr>
        <w:trPr>
          <w:trHeight w:val="203"/>
        </w:trPr>
        <w:tc>
          <w:tcPr>
            <w:tcW w:w="36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Repurchase of capital stock for cancellation</w:t>
            </w:r>
            <w:r>
              <w:rPr>
                <w:rFonts w:ascii="Times New Roman" w:cs="Times New Roman" w:eastAsia="Times New Roman" w:hAnsi="Times New Roman"/>
                <w:sz w:val="9"/>
                <w:szCs w:val="9"/>
                <w:color w:val="auto"/>
              </w:rPr>
              <w:t>(e)</w:t>
            </w: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(38.3)</w:t>
            </w:r>
          </w:p>
        </w:tc>
        <w:tc>
          <w:tcPr>
            <w:tcW w:w="0" w:type="dxa"/>
            <w:vAlign w:val="bottom"/>
          </w:tcPr>
          <w:p>
            <w:pPr>
              <w:spacing w:after="0"/>
              <w:rPr>
                <w:sz w:val="1"/>
                <w:szCs w:val="1"/>
                <w:color w:val="auto"/>
              </w:rPr>
            </w:pPr>
          </w:p>
        </w:tc>
      </w:tr>
      <w:tr>
        <w:trPr>
          <w:trHeight w:val="203"/>
        </w:trPr>
        <w:tc>
          <w:tcPr>
            <w:tcW w:w="36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Purchase of treasury stock for stock-based plans</w:t>
            </w:r>
            <w:r>
              <w:rPr>
                <w:rFonts w:ascii="Times New Roman" w:cs="Times New Roman" w:eastAsia="Times New Roman" w:hAnsi="Times New Roman"/>
                <w:sz w:val="9"/>
                <w:szCs w:val="9"/>
                <w:color w:val="auto"/>
              </w:rPr>
              <w:t>(f)</w:t>
            </w: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(89.8)</w:t>
            </w:r>
          </w:p>
        </w:tc>
        <w:tc>
          <w:tcPr>
            <w:tcW w:w="0" w:type="dxa"/>
            <w:vAlign w:val="bottom"/>
          </w:tcPr>
          <w:p>
            <w:pPr>
              <w:spacing w:after="0"/>
              <w:rPr>
                <w:sz w:val="1"/>
                <w:szCs w:val="1"/>
                <w:color w:val="auto"/>
              </w:rPr>
            </w:pPr>
          </w:p>
        </w:tc>
      </w:tr>
      <w:tr>
        <w:trPr>
          <w:trHeight w:val="203"/>
        </w:trPr>
        <w:tc>
          <w:tcPr>
            <w:tcW w:w="36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SBC cash settlement</w:t>
            </w: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(66.7)</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(66.7)</w:t>
            </w:r>
          </w:p>
        </w:tc>
        <w:tc>
          <w:tcPr>
            <w:tcW w:w="0" w:type="dxa"/>
            <w:vAlign w:val="bottom"/>
          </w:tcPr>
          <w:p>
            <w:pPr>
              <w:spacing w:after="0"/>
              <w:rPr>
                <w:sz w:val="1"/>
                <w:szCs w:val="1"/>
                <w:color w:val="auto"/>
              </w:rPr>
            </w:pPr>
          </w:p>
        </w:tc>
      </w:tr>
      <w:tr>
        <w:trPr>
          <w:trHeight w:val="203"/>
        </w:trPr>
        <w:tc>
          <w:tcPr>
            <w:tcW w:w="36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SBC</w:t>
            </w: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57.5</w:t>
            </w:r>
          </w:p>
        </w:tc>
        <w:tc>
          <w:tcPr>
            <w:tcW w:w="0" w:type="dxa"/>
            <w:vAlign w:val="bottom"/>
          </w:tcPr>
          <w:p>
            <w:pPr>
              <w:spacing w:after="0"/>
              <w:rPr>
                <w:sz w:val="1"/>
                <w:szCs w:val="1"/>
                <w:color w:val="auto"/>
              </w:rPr>
            </w:pPr>
          </w:p>
        </w:tc>
      </w:tr>
      <w:tr>
        <w:trPr>
          <w:trHeight w:val="203"/>
        </w:trPr>
        <w:tc>
          <w:tcPr>
            <w:tcW w:w="36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Total comprehensive income:</w:t>
            </w: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Net earnings for 2023</w:t>
            </w: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244.4</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244.4</w:t>
            </w:r>
          </w:p>
        </w:tc>
        <w:tc>
          <w:tcPr>
            <w:tcW w:w="0" w:type="dxa"/>
            <w:vAlign w:val="bottom"/>
          </w:tcPr>
          <w:p>
            <w:pPr>
              <w:spacing w:after="0"/>
              <w:rPr>
                <w:sz w:val="1"/>
                <w:szCs w:val="1"/>
                <w:color w:val="auto"/>
              </w:rPr>
            </w:pPr>
          </w:p>
        </w:tc>
      </w:tr>
      <w:tr>
        <w:trPr>
          <w:trHeight w:val="216"/>
        </w:trPr>
        <w:tc>
          <w:tcPr>
            <w:tcW w:w="36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0" w:type="dxa"/>
            <w:vAlign w:val="bottom"/>
          </w:tcPr>
          <w:p>
            <w:pPr>
              <w:spacing w:after="0"/>
              <w:rPr>
                <w:sz w:val="1"/>
                <w:szCs w:val="1"/>
                <w:color w:val="auto"/>
              </w:rPr>
            </w:pPr>
          </w:p>
        </w:tc>
      </w:tr>
      <w:tr>
        <w:trPr>
          <w:trHeight w:val="23"/>
        </w:trPr>
        <w:tc>
          <w:tcPr>
            <w:tcW w:w="3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Balance — December 31, 2023</w:t>
            </w:r>
          </w:p>
        </w:tc>
        <w:tc>
          <w:tcPr>
            <w:tcW w:w="1100" w:type="dxa"/>
            <w:vAlign w:val="bottom"/>
            <w:gridSpan w:val="2"/>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3620" w:type="dxa"/>
            <w:vAlign w:val="bottom"/>
            <w:vMerge w:val="continue"/>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1,672.5</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(80.1)</w:t>
            </w:r>
          </w:p>
        </w:tc>
        <w:tc>
          <w:tcPr>
            <w:tcW w:w="100" w:type="dxa"/>
            <w:vAlign w:val="bottom"/>
          </w:tcPr>
          <w:p>
            <w:pPr>
              <w:spacing w:after="0"/>
              <w:rPr>
                <w:sz w:val="15"/>
                <w:szCs w:val="15"/>
                <w:color w:val="auto"/>
              </w:rPr>
            </w:pPr>
          </w:p>
        </w:tc>
        <w:tc>
          <w:tcPr>
            <w:tcW w:w="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1,030.6</w:t>
            </w:r>
          </w:p>
        </w:tc>
        <w:tc>
          <w:tcPr>
            <w:tcW w:w="8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(851.8)</w:t>
            </w:r>
          </w:p>
        </w:tc>
        <w:tc>
          <w:tcPr>
            <w:tcW w:w="100" w:type="dxa"/>
            <w:vAlign w:val="bottom"/>
          </w:tcPr>
          <w:p>
            <w:pPr>
              <w:spacing w:after="0"/>
              <w:rPr>
                <w:sz w:val="15"/>
                <w:szCs w:val="15"/>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tcPr>
          <w:p>
            <w:pPr>
              <w:spacing w:after="0"/>
              <w:rPr>
                <w:sz w:val="15"/>
                <w:szCs w:val="15"/>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1,771.0</w:t>
            </w:r>
          </w:p>
        </w:tc>
        <w:tc>
          <w:tcPr>
            <w:tcW w:w="0" w:type="dxa"/>
            <w:vAlign w:val="bottom"/>
          </w:tcPr>
          <w:p>
            <w:pPr>
              <w:spacing w:after="0"/>
              <w:rPr>
                <w:sz w:val="1"/>
                <w:szCs w:val="1"/>
                <w:color w:val="auto"/>
              </w:rPr>
            </w:pPr>
          </w:p>
        </w:tc>
      </w:tr>
      <w:tr>
        <w:trPr>
          <w:trHeight w:val="193"/>
        </w:trPr>
        <w:tc>
          <w:tcPr>
            <w:tcW w:w="36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Capital transactions:</w:t>
            </w:r>
          </w:p>
        </w:tc>
        <w:tc>
          <w:tcPr>
            <w:tcW w:w="880" w:type="dxa"/>
            <w:vAlign w:val="bottom"/>
          </w:tcPr>
          <w:p>
            <w:pPr>
              <w:jc w:val="right"/>
              <w:ind w:right="108"/>
              <w:spacing w:after="0"/>
              <w:rPr>
                <w:sz w:val="20"/>
                <w:szCs w:val="20"/>
                <w:color w:val="auto"/>
              </w:rPr>
            </w:pPr>
            <w:r>
              <w:rPr>
                <w:rFonts w:ascii="Times New Roman" w:cs="Times New Roman" w:eastAsia="Times New Roman" w:hAnsi="Times New Roman"/>
                <w:sz w:val="14"/>
                <w:szCs w:val="14"/>
                <w:i w:val="1"/>
                <w:iCs w:val="1"/>
                <w:color w:val="auto"/>
              </w:rPr>
              <w:t>12</w:t>
            </w: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6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Issuance of capital stock</w:t>
            </w: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0" w:type="dxa"/>
            <w:vAlign w:val="bottom"/>
          </w:tcPr>
          <w:p>
            <w:pPr>
              <w:spacing w:after="0"/>
              <w:rPr>
                <w:sz w:val="1"/>
                <w:szCs w:val="1"/>
                <w:color w:val="auto"/>
              </w:rPr>
            </w:pPr>
          </w:p>
        </w:tc>
      </w:tr>
      <w:tr>
        <w:trPr>
          <w:trHeight w:val="203"/>
        </w:trPr>
        <w:tc>
          <w:tcPr>
            <w:tcW w:w="36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Repurchase of capital stock for cancellation</w:t>
            </w:r>
            <w:r>
              <w:rPr>
                <w:rFonts w:ascii="Times New Roman" w:cs="Times New Roman" w:eastAsia="Times New Roman" w:hAnsi="Times New Roman"/>
                <w:sz w:val="9"/>
                <w:szCs w:val="9"/>
                <w:color w:val="auto"/>
              </w:rPr>
              <w:t>(g)</w:t>
            </w: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(106.7)</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(152.1)</w:t>
            </w:r>
          </w:p>
        </w:tc>
        <w:tc>
          <w:tcPr>
            <w:tcW w:w="0" w:type="dxa"/>
            <w:vAlign w:val="bottom"/>
          </w:tcPr>
          <w:p>
            <w:pPr>
              <w:spacing w:after="0"/>
              <w:rPr>
                <w:sz w:val="1"/>
                <w:szCs w:val="1"/>
                <w:color w:val="auto"/>
              </w:rPr>
            </w:pPr>
          </w:p>
        </w:tc>
      </w:tr>
      <w:tr>
        <w:trPr>
          <w:trHeight w:val="203"/>
        </w:trPr>
        <w:tc>
          <w:tcPr>
            <w:tcW w:w="36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Purchase of treasury stock for stock-based plans</w:t>
            </w:r>
            <w:r>
              <w:rPr>
                <w:rFonts w:ascii="Times New Roman" w:cs="Times New Roman" w:eastAsia="Times New Roman" w:hAnsi="Times New Roman"/>
                <w:sz w:val="9"/>
                <w:szCs w:val="9"/>
                <w:color w:val="auto"/>
              </w:rPr>
              <w:t>(h)</w:t>
            </w: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(112.1)</w:t>
            </w:r>
          </w:p>
        </w:tc>
        <w:tc>
          <w:tcPr>
            <w:tcW w:w="0" w:type="dxa"/>
            <w:vAlign w:val="bottom"/>
          </w:tcPr>
          <w:p>
            <w:pPr>
              <w:spacing w:after="0"/>
              <w:rPr>
                <w:sz w:val="1"/>
                <w:szCs w:val="1"/>
                <w:color w:val="auto"/>
              </w:rPr>
            </w:pPr>
          </w:p>
        </w:tc>
      </w:tr>
      <w:tr>
        <w:trPr>
          <w:trHeight w:val="203"/>
        </w:trPr>
        <w:tc>
          <w:tcPr>
            <w:tcW w:w="36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SBC cash settlement</w:t>
            </w: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(84.6)</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(84.6)</w:t>
            </w:r>
          </w:p>
        </w:tc>
        <w:tc>
          <w:tcPr>
            <w:tcW w:w="0" w:type="dxa"/>
            <w:vAlign w:val="bottom"/>
          </w:tcPr>
          <w:p>
            <w:pPr>
              <w:spacing w:after="0"/>
              <w:rPr>
                <w:sz w:val="1"/>
                <w:szCs w:val="1"/>
                <w:color w:val="auto"/>
              </w:rPr>
            </w:pPr>
          </w:p>
        </w:tc>
      </w:tr>
      <w:tr>
        <w:trPr>
          <w:trHeight w:val="203"/>
        </w:trPr>
        <w:tc>
          <w:tcPr>
            <w:tcW w:w="36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SBC</w:t>
            </w: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59.3</w:t>
            </w:r>
          </w:p>
        </w:tc>
        <w:tc>
          <w:tcPr>
            <w:tcW w:w="0" w:type="dxa"/>
            <w:vAlign w:val="bottom"/>
          </w:tcPr>
          <w:p>
            <w:pPr>
              <w:spacing w:after="0"/>
              <w:rPr>
                <w:sz w:val="1"/>
                <w:szCs w:val="1"/>
                <w:color w:val="auto"/>
              </w:rPr>
            </w:pPr>
          </w:p>
        </w:tc>
      </w:tr>
      <w:tr>
        <w:trPr>
          <w:trHeight w:val="203"/>
        </w:trPr>
        <w:tc>
          <w:tcPr>
            <w:tcW w:w="36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Total comprehensive income:</w:t>
            </w: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Net earnings for 2024</w:t>
            </w: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428.0</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428.0</w:t>
            </w:r>
          </w:p>
        </w:tc>
        <w:tc>
          <w:tcPr>
            <w:tcW w:w="0" w:type="dxa"/>
            <w:vAlign w:val="bottom"/>
          </w:tcPr>
          <w:p>
            <w:pPr>
              <w:spacing w:after="0"/>
              <w:rPr>
                <w:sz w:val="1"/>
                <w:szCs w:val="1"/>
                <w:color w:val="auto"/>
              </w:rPr>
            </w:pPr>
          </w:p>
        </w:tc>
      </w:tr>
      <w:tr>
        <w:trPr>
          <w:trHeight w:val="216"/>
        </w:trPr>
        <w:tc>
          <w:tcPr>
            <w:tcW w:w="36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w:t>
            </w:r>
          </w:p>
        </w:tc>
        <w:tc>
          <w:tcPr>
            <w:tcW w:w="0" w:type="dxa"/>
            <w:vAlign w:val="bottom"/>
          </w:tcPr>
          <w:p>
            <w:pPr>
              <w:spacing w:after="0"/>
              <w:rPr>
                <w:sz w:val="1"/>
                <w:szCs w:val="1"/>
                <w:color w:val="auto"/>
              </w:rPr>
            </w:pPr>
          </w:p>
        </w:tc>
      </w:tr>
      <w:tr>
        <w:trPr>
          <w:trHeight w:val="23"/>
        </w:trPr>
        <w:tc>
          <w:tcPr>
            <w:tcW w:w="3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Balance — December 31, 2024</w:t>
            </w:r>
          </w:p>
        </w:tc>
        <w:tc>
          <w:tcPr>
            <w:tcW w:w="1100" w:type="dxa"/>
            <w:vAlign w:val="bottom"/>
            <w:gridSpan w:val="2"/>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620" w:type="dxa"/>
            <w:vAlign w:val="bottom"/>
            <w:vMerge w:val="continue"/>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1,632.8</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(92.9)</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797.5</w:t>
            </w: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(423.8)</w:t>
            </w:r>
          </w:p>
        </w:tc>
        <w:tc>
          <w:tcPr>
            <w:tcW w:w="10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(17.6)</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1,896.0</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240" w:hanging="232"/>
        <w:spacing w:after="0"/>
        <w:tabs>
          <w:tab w:leader="none" w:pos="24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Accumulated other comprehensive income (loss) is net of tax. See note 13.</w:t>
      </w:r>
    </w:p>
    <w:p>
      <w:pPr>
        <w:spacing w:after="0" w:line="55" w:lineRule="exact"/>
        <w:rPr>
          <w:rFonts w:ascii="Times New Roman" w:cs="Times New Roman" w:eastAsia="Times New Roman" w:hAnsi="Times New Roman"/>
          <w:sz w:val="14"/>
          <w:szCs w:val="14"/>
          <w:color w:val="auto"/>
        </w:rPr>
      </w:pPr>
    </w:p>
    <w:p>
      <w:pPr>
        <w:jc w:val="both"/>
        <w:ind w:left="260" w:hanging="252"/>
        <w:spacing w:after="0" w:line="282" w:lineRule="auto"/>
        <w:tabs>
          <w:tab w:leader="none" w:pos="387"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$34.6 paid to repurchase common shares for cancellation in 2022, offset in part by the reversal of the $7.5 accrued as of December 31, 2021 for the estimated contractual maximum quantity of permitted common shares repurchases (Contractual Maximum Quantity) under an automatic share purchase plan (ASPP) executed in December 2021 for such purpose. See note 12.</w:t>
      </w:r>
    </w:p>
    <w:p>
      <w:pPr>
        <w:spacing w:after="0" w:line="175" w:lineRule="exact"/>
        <w:rPr>
          <w:rFonts w:ascii="Times New Roman" w:cs="Times New Roman" w:eastAsia="Times New Roman" w:hAnsi="Times New Roman"/>
          <w:sz w:val="14"/>
          <w:szCs w:val="14"/>
          <w:color w:val="auto"/>
        </w:rPr>
      </w:pPr>
    </w:p>
    <w:p>
      <w:pPr>
        <w:ind w:left="260" w:right="20" w:hanging="252"/>
        <w:spacing w:after="0" w:line="281" w:lineRule="auto"/>
        <w:tabs>
          <w:tab w:leader="none" w:pos="321"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$44.9 paid to repurchase common shares for delivery obligations under our SBC plans in 2022, offset in part by the reversal of the $33.8 accrued as of December 31, 2021 for the Contractual Maximum Quantity under an ASPP executed in December 2021 for such purpose. See note 12.</w:t>
      </w:r>
    </w:p>
    <w:p>
      <w:pPr>
        <w:spacing w:after="0" w:line="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2023, we issued 18.6 million common shares upon conversion of an equivalent number of our multiple voting shares, with nil impact on our aggregate capital stock amount. See note 12.</w:t>
      </w:r>
    </w:p>
    <w:p>
      <w:pPr>
        <w:spacing w:after="0" w:line="55" w:lineRule="exact"/>
        <w:rPr>
          <w:rFonts w:ascii="Times New Roman" w:cs="Times New Roman" w:eastAsia="Times New Roman" w:hAnsi="Times New Roman"/>
          <w:sz w:val="14"/>
          <w:szCs w:val="14"/>
          <w:color w:val="auto"/>
        </w:rPr>
      </w:pPr>
    </w:p>
    <w:p>
      <w:pPr>
        <w:ind w:left="260" w:hanging="252"/>
        <w:spacing w:after="0" w:line="281" w:lineRule="auto"/>
        <w:tabs>
          <w:tab w:leader="none" w:pos="368"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$35.6 paid to repurchase common shares for cancellation in 2023 and $2.7 accrued at December 31, 2023 for the estimated Contractual Maximum Quantity under an ASPP executed in December 2023 for such purpose (2023 NCIB Accrual). See note 12.</w:t>
      </w:r>
    </w:p>
    <w:p>
      <w:pPr>
        <w:spacing w:after="0" w:line="1" w:lineRule="exact"/>
        <w:rPr>
          <w:rFonts w:ascii="Times New Roman" w:cs="Times New Roman" w:eastAsia="Times New Roman" w:hAnsi="Times New Roman"/>
          <w:sz w:val="14"/>
          <w:szCs w:val="14"/>
          <w:color w:val="auto"/>
        </w:rPr>
      </w:pPr>
    </w:p>
    <w:p>
      <w:pPr>
        <w:ind w:left="260" w:hanging="252"/>
        <w:spacing w:after="0" w:line="281" w:lineRule="auto"/>
        <w:tabs>
          <w:tab w:leader="none" w:pos="323"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$82.3 paid to repurchase common shares for delivery obligations under our SBC plans in 2023 and $7.5 accrued at December 31, 2023 for the estimated Contractual Maximum Quantity under an ASPP executed in September 2023 for such purpose (2023 SBC Accrual). See note 12.</w:t>
      </w:r>
    </w:p>
    <w:p>
      <w:pPr>
        <w:spacing w:after="0" w:line="1" w:lineRule="exact"/>
        <w:rPr>
          <w:rFonts w:ascii="Times New Roman" w:cs="Times New Roman" w:eastAsia="Times New Roman" w:hAnsi="Times New Roman"/>
          <w:sz w:val="14"/>
          <w:szCs w:val="14"/>
          <w:color w:val="auto"/>
        </w:rPr>
      </w:pPr>
    </w:p>
    <w:p>
      <w:pPr>
        <w:ind w:left="260" w:hanging="252"/>
        <w:spacing w:after="0" w:line="281" w:lineRule="auto"/>
        <w:tabs>
          <w:tab w:leader="none" w:pos="346"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$152.0 paid to repurchase common shares for cancellation in 2024 and $2.8 accrued at December 31, 2024 for share buyback taxes, offset in part by the reversal of 2023 NCIB Accrual. See note 12.</w:t>
      </w:r>
    </w:p>
    <w:p>
      <w:pPr>
        <w:spacing w:after="0" w:line="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$119.6 paid to repurchase common shares for delivery obligations under our SBC plans in 2024, offset in part by the reversal of 2023 SBC Accrual. See note 12.</w:t>
      </w:r>
    </w:p>
    <w:p>
      <w:pPr>
        <w:spacing w:after="0" w:line="264"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consolidated financial statements.</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15" w:name="page116"/>
    <w:bookmarkEnd w:id="115"/>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CELESTICA INC.</w:t>
      </w:r>
    </w:p>
    <w:p>
      <w:pPr>
        <w:spacing w:after="0" w:line="3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 OF CASH FLOWS</w:t>
      </w:r>
    </w:p>
    <w:p>
      <w:pPr>
        <w:spacing w:after="0" w:line="5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millions of U.S. dollars)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7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7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67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provided by (used in):</w:t>
            </w:r>
          </w:p>
        </w:tc>
        <w:tc>
          <w:tcPr>
            <w:tcW w:w="900" w:type="dxa"/>
            <w:vAlign w:val="bottom"/>
          </w:tcPr>
          <w:p>
            <w:pPr>
              <w:ind w:left="380"/>
              <w:spacing w:after="0"/>
              <w:rPr>
                <w:sz w:val="20"/>
                <w:szCs w:val="20"/>
                <w:color w:val="auto"/>
              </w:rPr>
            </w:pPr>
            <w:r>
              <w:rPr>
                <w:rFonts w:ascii="Times New Roman" w:cs="Times New Roman" w:eastAsia="Times New Roman" w:hAnsi="Times New Roman"/>
                <w:sz w:val="16"/>
                <w:szCs w:val="16"/>
                <w:b w:val="1"/>
                <w:bCs w:val="1"/>
                <w:color w:val="auto"/>
              </w:rPr>
              <w:t>Note</w:t>
            </w: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194"/>
        </w:trPr>
        <w:tc>
          <w:tcPr>
            <w:tcW w:w="67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7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Net earnings</w:t>
            </w:r>
          </w:p>
        </w:tc>
        <w:tc>
          <w:tcPr>
            <w:tcW w:w="11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428.0</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244.4</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180.1</w:t>
            </w:r>
          </w:p>
        </w:tc>
        <w:tc>
          <w:tcPr>
            <w:tcW w:w="0" w:type="dxa"/>
            <w:vAlign w:val="bottom"/>
          </w:tcPr>
          <w:p>
            <w:pPr>
              <w:spacing w:after="0"/>
              <w:rPr>
                <w:sz w:val="1"/>
                <w:szCs w:val="1"/>
                <w:color w:val="auto"/>
              </w:rPr>
            </w:pPr>
          </w:p>
        </w:tc>
      </w:tr>
      <w:tr>
        <w:trPr>
          <w:trHeight w:val="216"/>
        </w:trPr>
        <w:tc>
          <w:tcPr>
            <w:tcW w:w="67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Adjustments to reconcile net earnings to net cash flows provided by operating activities:</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115.9</w:t>
            </w:r>
          </w:p>
        </w:tc>
        <w:tc>
          <w:tcPr>
            <w:tcW w:w="0" w:type="dxa"/>
            <w:vAlign w:val="bottom"/>
          </w:tcPr>
          <w:p>
            <w:pPr>
              <w:spacing w:after="0"/>
              <w:rPr>
                <w:sz w:val="1"/>
                <w:szCs w:val="1"/>
                <w:color w:val="auto"/>
              </w:rPr>
            </w:pPr>
          </w:p>
        </w:tc>
      </w:tr>
      <w:tr>
        <w:trPr>
          <w:trHeight w:val="216"/>
        </w:trPr>
        <w:tc>
          <w:tcPr>
            <w:tcW w:w="676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SBC</w:t>
            </w:r>
          </w:p>
        </w:tc>
        <w:tc>
          <w:tcPr>
            <w:tcW w:w="900" w:type="dxa"/>
            <w:vAlign w:val="bottom"/>
          </w:tcPr>
          <w:p>
            <w:pPr>
              <w:jc w:val="center"/>
              <w:ind w:left="99"/>
              <w:spacing w:after="0"/>
              <w:rPr>
                <w:sz w:val="20"/>
                <w:szCs w:val="20"/>
                <w:color w:val="auto"/>
              </w:rPr>
            </w:pPr>
            <w:r>
              <w:rPr>
                <w:rFonts w:ascii="Times New Roman" w:cs="Times New Roman" w:eastAsia="Times New Roman" w:hAnsi="Times New Roman"/>
                <w:sz w:val="16"/>
                <w:szCs w:val="16"/>
                <w:i w:val="1"/>
                <w:iCs w:val="1"/>
                <w:color w:val="auto"/>
                <w:w w:val="99"/>
              </w:rPr>
              <w:t>12</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51.0</w:t>
            </w:r>
          </w:p>
        </w:tc>
        <w:tc>
          <w:tcPr>
            <w:tcW w:w="0" w:type="dxa"/>
            <w:vAlign w:val="bottom"/>
          </w:tcPr>
          <w:p>
            <w:pPr>
              <w:spacing w:after="0"/>
              <w:rPr>
                <w:sz w:val="1"/>
                <w:szCs w:val="1"/>
                <w:color w:val="auto"/>
              </w:rPr>
            </w:pPr>
          </w:p>
        </w:tc>
      </w:tr>
      <w:tr>
        <w:trPr>
          <w:trHeight w:val="216"/>
        </w:trPr>
        <w:tc>
          <w:tcPr>
            <w:tcW w:w="676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Total return swap (TRS) fair value adjustments</w:t>
            </w:r>
          </w:p>
        </w:tc>
        <w:tc>
          <w:tcPr>
            <w:tcW w:w="900" w:type="dxa"/>
            <w:vAlign w:val="bottom"/>
          </w:tcPr>
          <w:p>
            <w:pPr>
              <w:jc w:val="center"/>
              <w:ind w:left="99"/>
              <w:spacing w:after="0"/>
              <w:rPr>
                <w:sz w:val="20"/>
                <w:szCs w:val="20"/>
                <w:color w:val="auto"/>
              </w:rPr>
            </w:pPr>
            <w:r>
              <w:rPr>
                <w:rFonts w:ascii="Times New Roman" w:cs="Times New Roman" w:eastAsia="Times New Roman" w:hAnsi="Times New Roman"/>
                <w:sz w:val="16"/>
                <w:szCs w:val="16"/>
                <w:i w:val="1"/>
                <w:iCs w:val="1"/>
                <w:color w:val="auto"/>
                <w:w w:val="99"/>
              </w:rPr>
              <w:t>12</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676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Restructuring and other charges</w:t>
            </w:r>
          </w:p>
        </w:tc>
        <w:tc>
          <w:tcPr>
            <w:tcW w:w="900" w:type="dxa"/>
            <w:vAlign w:val="bottom"/>
          </w:tcPr>
          <w:p>
            <w:pPr>
              <w:jc w:val="center"/>
              <w:ind w:left="99"/>
              <w:spacing w:after="0"/>
              <w:rPr>
                <w:sz w:val="20"/>
                <w:szCs w:val="20"/>
                <w:color w:val="auto"/>
              </w:rPr>
            </w:pPr>
            <w:r>
              <w:rPr>
                <w:rFonts w:ascii="Times New Roman" w:cs="Times New Roman" w:eastAsia="Times New Roman" w:hAnsi="Times New Roman"/>
                <w:sz w:val="16"/>
                <w:szCs w:val="16"/>
                <w:i w:val="1"/>
                <w:iCs w:val="1"/>
                <w:color w:val="auto"/>
                <w:w w:val="99"/>
              </w:rPr>
              <w:t>14</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0" w:type="dxa"/>
            <w:vAlign w:val="bottom"/>
          </w:tcPr>
          <w:p>
            <w:pPr>
              <w:spacing w:after="0"/>
              <w:rPr>
                <w:sz w:val="1"/>
                <w:szCs w:val="1"/>
                <w:color w:val="auto"/>
              </w:rPr>
            </w:pPr>
          </w:p>
        </w:tc>
      </w:tr>
      <w:tr>
        <w:trPr>
          <w:trHeight w:val="216"/>
        </w:trPr>
        <w:tc>
          <w:tcPr>
            <w:tcW w:w="676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Unrealized losses (gains) on hedge derivatives</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w:t>
            </w:r>
          </w:p>
        </w:tc>
        <w:tc>
          <w:tcPr>
            <w:tcW w:w="0" w:type="dxa"/>
            <w:vAlign w:val="bottom"/>
          </w:tcPr>
          <w:p>
            <w:pPr>
              <w:spacing w:after="0"/>
              <w:rPr>
                <w:sz w:val="1"/>
                <w:szCs w:val="1"/>
                <w:color w:val="auto"/>
              </w:rPr>
            </w:pPr>
          </w:p>
        </w:tc>
      </w:tr>
      <w:tr>
        <w:trPr>
          <w:trHeight w:val="216"/>
        </w:trPr>
        <w:tc>
          <w:tcPr>
            <w:tcW w:w="676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Deferred income taxes</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w:t>
            </w:r>
          </w:p>
        </w:tc>
        <w:tc>
          <w:tcPr>
            <w:tcW w:w="0" w:type="dxa"/>
            <w:vAlign w:val="bottom"/>
          </w:tcPr>
          <w:p>
            <w:pPr>
              <w:spacing w:after="0"/>
              <w:rPr>
                <w:sz w:val="1"/>
                <w:szCs w:val="1"/>
                <w:color w:val="auto"/>
              </w:rPr>
            </w:pPr>
          </w:p>
        </w:tc>
      </w:tr>
      <w:tr>
        <w:trPr>
          <w:trHeight w:val="216"/>
        </w:trPr>
        <w:tc>
          <w:tcPr>
            <w:tcW w:w="67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Other</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0" w:type="dxa"/>
            <w:vAlign w:val="bottom"/>
          </w:tcPr>
          <w:p>
            <w:pPr>
              <w:spacing w:after="0"/>
              <w:rPr>
                <w:sz w:val="1"/>
                <w:szCs w:val="1"/>
                <w:color w:val="auto"/>
              </w:rPr>
            </w:pPr>
          </w:p>
        </w:tc>
      </w:tr>
      <w:tr>
        <w:trPr>
          <w:trHeight w:val="216"/>
        </w:trPr>
        <w:tc>
          <w:tcPr>
            <w:tcW w:w="67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Changes in non-cash working capital items:</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Accounts receivable</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(402.2)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(133.3)</w:t>
            </w:r>
          </w:p>
        </w:tc>
        <w:tc>
          <w:tcPr>
            <w:tcW w:w="0" w:type="dxa"/>
            <w:vAlign w:val="bottom"/>
          </w:tcPr>
          <w:p>
            <w:pPr>
              <w:spacing w:after="0"/>
              <w:rPr>
                <w:sz w:val="1"/>
                <w:szCs w:val="1"/>
                <w:color w:val="auto"/>
              </w:rPr>
            </w:pPr>
          </w:p>
        </w:tc>
      </w:tr>
      <w:tr>
        <w:trPr>
          <w:trHeight w:val="216"/>
        </w:trPr>
        <w:tc>
          <w:tcPr>
            <w:tcW w:w="676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Inventories</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343.7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(717.2)</w:t>
            </w:r>
          </w:p>
        </w:tc>
        <w:tc>
          <w:tcPr>
            <w:tcW w:w="0" w:type="dxa"/>
            <w:vAlign w:val="bottom"/>
          </w:tcPr>
          <w:p>
            <w:pPr>
              <w:spacing w:after="0"/>
              <w:rPr>
                <w:sz w:val="1"/>
                <w:szCs w:val="1"/>
                <w:color w:val="auto"/>
              </w:rPr>
            </w:pPr>
          </w:p>
        </w:tc>
      </w:tr>
      <w:tr>
        <w:trPr>
          <w:trHeight w:val="216"/>
        </w:trPr>
        <w:tc>
          <w:tcPr>
            <w:tcW w:w="676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Other current assets</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(51.2)</w:t>
            </w:r>
          </w:p>
        </w:tc>
        <w:tc>
          <w:tcPr>
            <w:tcW w:w="0" w:type="dxa"/>
            <w:vAlign w:val="bottom"/>
          </w:tcPr>
          <w:p>
            <w:pPr>
              <w:spacing w:after="0"/>
              <w:rPr>
                <w:sz w:val="1"/>
                <w:szCs w:val="1"/>
                <w:color w:val="auto"/>
              </w:rPr>
            </w:pPr>
          </w:p>
        </w:tc>
      </w:tr>
      <w:tr>
        <w:trPr>
          <w:trHeight w:val="229"/>
        </w:trPr>
        <w:tc>
          <w:tcPr>
            <w:tcW w:w="676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Accounts payable, accrued and other current liabilities, provisions and income taxes payable</w:t>
            </w:r>
          </w:p>
        </w:tc>
        <w:tc>
          <w:tcPr>
            <w:tcW w:w="9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(188.8)</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87.4</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831.4</w:t>
            </w:r>
          </w:p>
        </w:tc>
        <w:tc>
          <w:tcPr>
            <w:tcW w:w="0" w:type="dxa"/>
            <w:vAlign w:val="bottom"/>
          </w:tcPr>
          <w:p>
            <w:pPr>
              <w:spacing w:after="0"/>
              <w:rPr>
                <w:sz w:val="1"/>
                <w:szCs w:val="1"/>
                <w:color w:val="auto"/>
              </w:rPr>
            </w:pPr>
          </w:p>
        </w:tc>
      </w:tr>
      <w:tr>
        <w:trPr>
          <w:trHeight w:val="210"/>
        </w:trPr>
        <w:tc>
          <w:tcPr>
            <w:tcW w:w="6760" w:type="dxa"/>
            <w:vAlign w:val="bottom"/>
          </w:tcPr>
          <w:p>
            <w:pPr>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473.9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211.1</w:t>
            </w:r>
          </w:p>
        </w:tc>
        <w:tc>
          <w:tcPr>
            <w:tcW w:w="0" w:type="dxa"/>
            <w:vAlign w:val="bottom"/>
          </w:tcPr>
          <w:p>
            <w:pPr>
              <w:spacing w:after="0"/>
              <w:rPr>
                <w:sz w:val="1"/>
                <w:szCs w:val="1"/>
                <w:color w:val="auto"/>
              </w:rPr>
            </w:pPr>
          </w:p>
        </w:tc>
      </w:tr>
      <w:tr>
        <w:trPr>
          <w:trHeight w:val="364"/>
        </w:trPr>
        <w:tc>
          <w:tcPr>
            <w:tcW w:w="67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7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Cash paid for business acquisition, net of cash required</w:t>
            </w:r>
          </w:p>
        </w:tc>
        <w:tc>
          <w:tcPr>
            <w:tcW w:w="900" w:type="dxa"/>
            <w:vAlign w:val="bottom"/>
          </w:tcPr>
          <w:p>
            <w:pPr>
              <w:jc w:val="center"/>
              <w:ind w:left="99"/>
              <w:spacing w:after="0"/>
              <w:rPr>
                <w:sz w:val="20"/>
                <w:szCs w:val="20"/>
                <w:color w:val="auto"/>
              </w:rPr>
            </w:pPr>
            <w:r>
              <w:rPr>
                <w:rFonts w:ascii="Times New Roman" w:cs="Times New Roman" w:eastAsia="Times New Roman" w:hAnsi="Times New Roman"/>
                <w:sz w:val="16"/>
                <w:szCs w:val="16"/>
                <w:i w:val="1"/>
                <w:iCs w:val="1"/>
                <w:color w:val="auto"/>
                <w:w w:val="99"/>
              </w:rPr>
              <w:t>3</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9"/>
        </w:trPr>
        <w:tc>
          <w:tcPr>
            <w:tcW w:w="67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Purchase of computer software and property, plant and equipment</w:t>
            </w: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(109.0)</w:t>
            </w:r>
          </w:p>
        </w:tc>
        <w:tc>
          <w:tcPr>
            <w:tcW w:w="0" w:type="dxa"/>
            <w:vAlign w:val="bottom"/>
          </w:tcPr>
          <w:p>
            <w:pPr>
              <w:spacing w:after="0"/>
              <w:rPr>
                <w:sz w:val="1"/>
                <w:szCs w:val="1"/>
                <w:color w:val="auto"/>
              </w:rPr>
            </w:pPr>
          </w:p>
        </w:tc>
      </w:tr>
      <w:tr>
        <w:trPr>
          <w:trHeight w:val="229"/>
        </w:trPr>
        <w:tc>
          <w:tcPr>
            <w:tcW w:w="67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Proceeds from sale of assets</w:t>
            </w: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16"/>
        </w:trPr>
        <w:tc>
          <w:tcPr>
            <w:tcW w:w="67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Other</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6760" w:type="dxa"/>
            <w:vAlign w:val="bottom"/>
          </w:tcPr>
          <w:p>
            <w:pPr>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9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(212.5)</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(122.4)</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(108.9)</w:t>
            </w:r>
          </w:p>
        </w:tc>
        <w:tc>
          <w:tcPr>
            <w:tcW w:w="0" w:type="dxa"/>
            <w:vAlign w:val="bottom"/>
          </w:tcPr>
          <w:p>
            <w:pPr>
              <w:spacing w:after="0"/>
              <w:rPr>
                <w:sz w:val="1"/>
                <w:szCs w:val="1"/>
                <w:color w:val="auto"/>
              </w:rPr>
            </w:pPr>
          </w:p>
        </w:tc>
      </w:tr>
      <w:tr>
        <w:trPr>
          <w:trHeight w:val="364"/>
        </w:trPr>
        <w:tc>
          <w:tcPr>
            <w:tcW w:w="67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7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Borrowings under revolving loans</w:t>
            </w:r>
          </w:p>
        </w:tc>
        <w:tc>
          <w:tcPr>
            <w:tcW w:w="900" w:type="dxa"/>
            <w:vAlign w:val="bottom"/>
          </w:tcPr>
          <w:p>
            <w:pPr>
              <w:jc w:val="center"/>
              <w:ind w:left="79"/>
              <w:spacing w:after="0"/>
              <w:rPr>
                <w:sz w:val="20"/>
                <w:szCs w:val="20"/>
                <w:color w:val="auto"/>
              </w:rPr>
            </w:pPr>
            <w:r>
              <w:rPr>
                <w:rFonts w:ascii="Times New Roman" w:cs="Times New Roman" w:eastAsia="Times New Roman" w:hAnsi="Times New Roman"/>
                <w:sz w:val="16"/>
                <w:szCs w:val="16"/>
                <w:i w:val="1"/>
                <w:iCs w:val="1"/>
                <w:color w:val="auto"/>
                <w:w w:val="87"/>
              </w:rPr>
              <w:t>11</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798.0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891.0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1,235.0</w:t>
            </w:r>
          </w:p>
        </w:tc>
        <w:tc>
          <w:tcPr>
            <w:tcW w:w="0" w:type="dxa"/>
            <w:vAlign w:val="bottom"/>
          </w:tcPr>
          <w:p>
            <w:pPr>
              <w:spacing w:after="0"/>
              <w:rPr>
                <w:sz w:val="1"/>
                <w:szCs w:val="1"/>
                <w:color w:val="auto"/>
              </w:rPr>
            </w:pPr>
          </w:p>
        </w:tc>
      </w:tr>
      <w:tr>
        <w:trPr>
          <w:trHeight w:val="216"/>
        </w:trPr>
        <w:tc>
          <w:tcPr>
            <w:tcW w:w="67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Repayments under revolving loans</w:t>
            </w:r>
          </w:p>
        </w:tc>
        <w:tc>
          <w:tcPr>
            <w:tcW w:w="900" w:type="dxa"/>
            <w:vAlign w:val="bottom"/>
          </w:tcPr>
          <w:p>
            <w:pPr>
              <w:jc w:val="center"/>
              <w:ind w:left="79"/>
              <w:spacing w:after="0"/>
              <w:rPr>
                <w:sz w:val="20"/>
                <w:szCs w:val="20"/>
                <w:color w:val="auto"/>
              </w:rPr>
            </w:pPr>
            <w:r>
              <w:rPr>
                <w:rFonts w:ascii="Times New Roman" w:cs="Times New Roman" w:eastAsia="Times New Roman" w:hAnsi="Times New Roman"/>
                <w:sz w:val="16"/>
                <w:szCs w:val="16"/>
                <w:i w:val="1"/>
                <w:iCs w:val="1"/>
                <w:color w:val="auto"/>
                <w:w w:val="87"/>
              </w:rPr>
              <w:t>11</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(798.0)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(891.0)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(1,235.0)</w:t>
            </w:r>
          </w:p>
        </w:tc>
        <w:tc>
          <w:tcPr>
            <w:tcW w:w="0" w:type="dxa"/>
            <w:vAlign w:val="bottom"/>
          </w:tcPr>
          <w:p>
            <w:pPr>
              <w:spacing w:after="0"/>
              <w:rPr>
                <w:sz w:val="1"/>
                <w:szCs w:val="1"/>
                <w:color w:val="auto"/>
              </w:rPr>
            </w:pPr>
          </w:p>
        </w:tc>
      </w:tr>
      <w:tr>
        <w:trPr>
          <w:trHeight w:val="216"/>
        </w:trPr>
        <w:tc>
          <w:tcPr>
            <w:tcW w:w="67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Borrowing under term loans</w:t>
            </w:r>
          </w:p>
        </w:tc>
        <w:tc>
          <w:tcPr>
            <w:tcW w:w="900" w:type="dxa"/>
            <w:vAlign w:val="bottom"/>
          </w:tcPr>
          <w:p>
            <w:pPr>
              <w:jc w:val="center"/>
              <w:ind w:left="79"/>
              <w:spacing w:after="0"/>
              <w:rPr>
                <w:sz w:val="20"/>
                <w:szCs w:val="20"/>
                <w:color w:val="auto"/>
              </w:rPr>
            </w:pPr>
            <w:r>
              <w:rPr>
                <w:rFonts w:ascii="Times New Roman" w:cs="Times New Roman" w:eastAsia="Times New Roman" w:hAnsi="Times New Roman"/>
                <w:sz w:val="16"/>
                <w:szCs w:val="16"/>
                <w:i w:val="1"/>
                <w:iCs w:val="1"/>
                <w:color w:val="auto"/>
                <w:w w:val="87"/>
              </w:rPr>
              <w:t>11</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67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Repayments under term loans</w:t>
            </w:r>
          </w:p>
        </w:tc>
        <w:tc>
          <w:tcPr>
            <w:tcW w:w="900" w:type="dxa"/>
            <w:vAlign w:val="bottom"/>
          </w:tcPr>
          <w:p>
            <w:pPr>
              <w:jc w:val="center"/>
              <w:ind w:left="79"/>
              <w:spacing w:after="0"/>
              <w:rPr>
                <w:sz w:val="20"/>
                <w:szCs w:val="20"/>
                <w:color w:val="auto"/>
              </w:rPr>
            </w:pPr>
            <w:r>
              <w:rPr>
                <w:rFonts w:ascii="Times New Roman" w:cs="Times New Roman" w:eastAsia="Times New Roman" w:hAnsi="Times New Roman"/>
                <w:sz w:val="16"/>
                <w:szCs w:val="16"/>
                <w:i w:val="1"/>
                <w:iCs w:val="1"/>
                <w:color w:val="auto"/>
                <w:w w:val="87"/>
              </w:rPr>
              <w:t>11</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(617.7)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w:t>
            </w:r>
          </w:p>
        </w:tc>
        <w:tc>
          <w:tcPr>
            <w:tcW w:w="0" w:type="dxa"/>
            <w:vAlign w:val="bottom"/>
          </w:tcPr>
          <w:p>
            <w:pPr>
              <w:spacing w:after="0"/>
              <w:rPr>
                <w:sz w:val="1"/>
                <w:szCs w:val="1"/>
                <w:color w:val="auto"/>
              </w:rPr>
            </w:pPr>
          </w:p>
        </w:tc>
      </w:tr>
      <w:tr>
        <w:trPr>
          <w:trHeight w:val="216"/>
        </w:trPr>
        <w:tc>
          <w:tcPr>
            <w:tcW w:w="67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Principal payments of finance leases</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0" w:type="dxa"/>
            <w:vAlign w:val="bottom"/>
          </w:tcPr>
          <w:p>
            <w:pPr>
              <w:spacing w:after="0"/>
              <w:rPr>
                <w:sz w:val="1"/>
                <w:szCs w:val="1"/>
                <w:color w:val="auto"/>
              </w:rPr>
            </w:pPr>
          </w:p>
        </w:tc>
      </w:tr>
      <w:tr>
        <w:trPr>
          <w:trHeight w:val="216"/>
        </w:trPr>
        <w:tc>
          <w:tcPr>
            <w:tcW w:w="67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Proceeds from issuance of capital stock</w:t>
            </w:r>
          </w:p>
        </w:tc>
        <w:tc>
          <w:tcPr>
            <w:tcW w:w="900" w:type="dxa"/>
            <w:vAlign w:val="bottom"/>
          </w:tcPr>
          <w:p>
            <w:pPr>
              <w:jc w:val="center"/>
              <w:ind w:left="99"/>
              <w:spacing w:after="0"/>
              <w:rPr>
                <w:sz w:val="20"/>
                <w:szCs w:val="20"/>
                <w:color w:val="auto"/>
              </w:rPr>
            </w:pPr>
            <w:r>
              <w:rPr>
                <w:rFonts w:ascii="Times New Roman" w:cs="Times New Roman" w:eastAsia="Times New Roman" w:hAnsi="Times New Roman"/>
                <w:sz w:val="16"/>
                <w:szCs w:val="16"/>
                <w:i w:val="1"/>
                <w:iCs w:val="1"/>
                <w:color w:val="auto"/>
                <w:w w:val="99"/>
              </w:rPr>
              <w:t>12</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0" w:type="dxa"/>
            <w:vAlign w:val="bottom"/>
          </w:tcPr>
          <w:p>
            <w:pPr>
              <w:spacing w:after="0"/>
              <w:rPr>
                <w:sz w:val="1"/>
                <w:szCs w:val="1"/>
                <w:color w:val="auto"/>
              </w:rPr>
            </w:pPr>
          </w:p>
        </w:tc>
      </w:tr>
      <w:tr>
        <w:trPr>
          <w:trHeight w:val="216"/>
        </w:trPr>
        <w:tc>
          <w:tcPr>
            <w:tcW w:w="67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Repurchase of capital stock for cancellation</w:t>
            </w:r>
          </w:p>
        </w:tc>
        <w:tc>
          <w:tcPr>
            <w:tcW w:w="900" w:type="dxa"/>
            <w:vAlign w:val="bottom"/>
          </w:tcPr>
          <w:p>
            <w:pPr>
              <w:jc w:val="center"/>
              <w:ind w:left="99"/>
              <w:spacing w:after="0"/>
              <w:rPr>
                <w:sz w:val="20"/>
                <w:szCs w:val="20"/>
                <w:color w:val="auto"/>
              </w:rPr>
            </w:pPr>
            <w:r>
              <w:rPr>
                <w:rFonts w:ascii="Times New Roman" w:cs="Times New Roman" w:eastAsia="Times New Roman" w:hAnsi="Times New Roman"/>
                <w:sz w:val="16"/>
                <w:szCs w:val="16"/>
                <w:i w:val="1"/>
                <w:iCs w:val="1"/>
                <w:color w:val="auto"/>
                <w:w w:val="99"/>
              </w:rPr>
              <w:t>12</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w:t>
            </w:r>
          </w:p>
        </w:tc>
        <w:tc>
          <w:tcPr>
            <w:tcW w:w="0" w:type="dxa"/>
            <w:vAlign w:val="bottom"/>
          </w:tcPr>
          <w:p>
            <w:pPr>
              <w:spacing w:after="0"/>
              <w:rPr>
                <w:sz w:val="1"/>
                <w:szCs w:val="1"/>
                <w:color w:val="auto"/>
              </w:rPr>
            </w:pPr>
          </w:p>
        </w:tc>
      </w:tr>
      <w:tr>
        <w:trPr>
          <w:trHeight w:val="216"/>
        </w:trPr>
        <w:tc>
          <w:tcPr>
            <w:tcW w:w="67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Purchase of treasury stock for stock-based plans</w:t>
            </w:r>
          </w:p>
        </w:tc>
        <w:tc>
          <w:tcPr>
            <w:tcW w:w="900" w:type="dxa"/>
            <w:vAlign w:val="bottom"/>
          </w:tcPr>
          <w:p>
            <w:pPr>
              <w:jc w:val="center"/>
              <w:ind w:left="99"/>
              <w:spacing w:after="0"/>
              <w:rPr>
                <w:sz w:val="20"/>
                <w:szCs w:val="20"/>
                <w:color w:val="auto"/>
              </w:rPr>
            </w:pPr>
            <w:r>
              <w:rPr>
                <w:rFonts w:ascii="Times New Roman" w:cs="Times New Roman" w:eastAsia="Times New Roman" w:hAnsi="Times New Roman"/>
                <w:sz w:val="16"/>
                <w:szCs w:val="16"/>
                <w:i w:val="1"/>
                <w:iCs w:val="1"/>
                <w:color w:val="auto"/>
                <w:w w:val="99"/>
              </w:rPr>
              <w:t>12</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(44.9)</w:t>
            </w:r>
          </w:p>
        </w:tc>
        <w:tc>
          <w:tcPr>
            <w:tcW w:w="0" w:type="dxa"/>
            <w:vAlign w:val="bottom"/>
          </w:tcPr>
          <w:p>
            <w:pPr>
              <w:spacing w:after="0"/>
              <w:rPr>
                <w:sz w:val="1"/>
                <w:szCs w:val="1"/>
                <w:color w:val="auto"/>
              </w:rPr>
            </w:pPr>
          </w:p>
        </w:tc>
      </w:tr>
      <w:tr>
        <w:trPr>
          <w:trHeight w:val="216"/>
        </w:trPr>
        <w:tc>
          <w:tcPr>
            <w:tcW w:w="67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Proceeds from TRS settlement</w:t>
            </w:r>
          </w:p>
        </w:tc>
        <w:tc>
          <w:tcPr>
            <w:tcW w:w="900" w:type="dxa"/>
            <w:vAlign w:val="bottom"/>
          </w:tcPr>
          <w:p>
            <w:pPr>
              <w:jc w:val="center"/>
              <w:ind w:left="99"/>
              <w:spacing w:after="0"/>
              <w:rPr>
                <w:sz w:val="20"/>
                <w:szCs w:val="20"/>
                <w:color w:val="auto"/>
              </w:rPr>
            </w:pPr>
            <w:r>
              <w:rPr>
                <w:rFonts w:ascii="Times New Roman" w:cs="Times New Roman" w:eastAsia="Times New Roman" w:hAnsi="Times New Roman"/>
                <w:sz w:val="16"/>
                <w:szCs w:val="16"/>
                <w:i w:val="1"/>
                <w:iCs w:val="1"/>
                <w:color w:val="auto"/>
                <w:w w:val="99"/>
              </w:rPr>
              <w:t>19</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67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SBC cash settlement</w:t>
            </w:r>
          </w:p>
        </w:tc>
        <w:tc>
          <w:tcPr>
            <w:tcW w:w="900" w:type="dxa"/>
            <w:vAlign w:val="bottom"/>
          </w:tcPr>
          <w:p>
            <w:pPr>
              <w:jc w:val="center"/>
              <w:ind w:left="99"/>
              <w:spacing w:after="0"/>
              <w:rPr>
                <w:sz w:val="20"/>
                <w:szCs w:val="20"/>
                <w:color w:val="auto"/>
              </w:rPr>
            </w:pPr>
            <w:r>
              <w:rPr>
                <w:rFonts w:ascii="Times New Roman" w:cs="Times New Roman" w:eastAsia="Times New Roman" w:hAnsi="Times New Roman"/>
                <w:sz w:val="16"/>
                <w:szCs w:val="16"/>
                <w:i w:val="1"/>
                <w:iCs w:val="1"/>
                <w:color w:val="auto"/>
                <w:w w:val="99"/>
              </w:rPr>
              <w:t>12</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0"/>
        </w:trPr>
        <w:tc>
          <w:tcPr>
            <w:tcW w:w="67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Debt issuance costs paid</w:t>
            </w:r>
          </w:p>
        </w:tc>
        <w:tc>
          <w:tcPr>
            <w:tcW w:w="9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0" w:type="dxa"/>
            <w:vAlign w:val="bottom"/>
          </w:tcPr>
          <w:p>
            <w:pPr>
              <w:spacing w:after="0"/>
              <w:rPr>
                <w:sz w:val="1"/>
                <w:szCs w:val="1"/>
                <w:color w:val="auto"/>
              </w:rPr>
            </w:pPr>
          </w:p>
        </w:tc>
      </w:tr>
      <w:tr>
        <w:trPr>
          <w:trHeight w:val="213"/>
        </w:trPr>
        <w:tc>
          <w:tcPr>
            <w:tcW w:w="6760" w:type="dxa"/>
            <w:vAlign w:val="bottom"/>
          </w:tcPr>
          <w:p>
            <w:pPr>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9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(208.5)</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(207.9)</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(121.7)</w:t>
            </w:r>
          </w:p>
        </w:tc>
        <w:tc>
          <w:tcPr>
            <w:tcW w:w="0" w:type="dxa"/>
            <w:vAlign w:val="bottom"/>
          </w:tcPr>
          <w:p>
            <w:pPr>
              <w:spacing w:after="0"/>
              <w:rPr>
                <w:sz w:val="1"/>
                <w:szCs w:val="1"/>
                <w:color w:val="auto"/>
              </w:rPr>
            </w:pPr>
          </w:p>
        </w:tc>
      </w:tr>
      <w:tr>
        <w:trPr>
          <w:trHeight w:val="341"/>
        </w:trPr>
        <w:tc>
          <w:tcPr>
            <w:tcW w:w="6760" w:type="dxa"/>
            <w:vAlign w:val="bottom"/>
          </w:tcPr>
          <w:p>
            <w:pPr>
              <w:spacing w:after="0"/>
              <w:rPr>
                <w:sz w:val="20"/>
                <w:szCs w:val="20"/>
                <w:color w:val="auto"/>
              </w:rPr>
            </w:pPr>
            <w:r>
              <w:rPr>
                <w:rFonts w:ascii="Times New Roman" w:cs="Times New Roman" w:eastAsia="Times New Roman" w:hAnsi="Times New Roman"/>
                <w:sz w:val="16"/>
                <w:szCs w:val="16"/>
                <w:color w:val="auto"/>
              </w:rPr>
              <w:t>Net increase (decrease) in cash and cash equivalents</w:t>
            </w: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52.9</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0" w:type="dxa"/>
            <w:vAlign w:val="bottom"/>
          </w:tcPr>
          <w:p>
            <w:pPr>
              <w:spacing w:after="0"/>
              <w:rPr>
                <w:sz w:val="1"/>
                <w:szCs w:val="1"/>
                <w:color w:val="auto"/>
              </w:rPr>
            </w:pPr>
          </w:p>
        </w:tc>
      </w:tr>
      <w:tr>
        <w:trPr>
          <w:trHeight w:val="230"/>
        </w:trPr>
        <w:tc>
          <w:tcPr>
            <w:tcW w:w="6760" w:type="dxa"/>
            <w:vAlign w:val="bottom"/>
          </w:tcPr>
          <w:p>
            <w:pPr>
              <w:spacing w:after="0"/>
              <w:rPr>
                <w:sz w:val="20"/>
                <w:szCs w:val="20"/>
                <w:color w:val="auto"/>
              </w:rPr>
            </w:pPr>
            <w:r>
              <w:rPr>
                <w:rFonts w:ascii="Times New Roman" w:cs="Times New Roman" w:eastAsia="Times New Roman" w:hAnsi="Times New Roman"/>
                <w:sz w:val="16"/>
                <w:szCs w:val="16"/>
                <w:color w:val="auto"/>
              </w:rPr>
              <w:t>Cash and cash equivalents, beginning of year</w:t>
            </w:r>
          </w:p>
        </w:tc>
        <w:tc>
          <w:tcPr>
            <w:tcW w:w="9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370.4</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374.5</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394.0</w:t>
            </w:r>
          </w:p>
        </w:tc>
        <w:tc>
          <w:tcPr>
            <w:tcW w:w="0" w:type="dxa"/>
            <w:vAlign w:val="bottom"/>
          </w:tcPr>
          <w:p>
            <w:pPr>
              <w:spacing w:after="0"/>
              <w:rPr>
                <w:sz w:val="1"/>
                <w:szCs w:val="1"/>
                <w:color w:val="auto"/>
              </w:rPr>
            </w:pPr>
          </w:p>
        </w:tc>
      </w:tr>
      <w:tr>
        <w:trPr>
          <w:trHeight w:val="210"/>
        </w:trPr>
        <w:tc>
          <w:tcPr>
            <w:tcW w:w="6760" w:type="dxa"/>
            <w:vAlign w:val="bottom"/>
          </w:tcPr>
          <w:p>
            <w:pPr>
              <w:spacing w:after="0"/>
              <w:rPr>
                <w:sz w:val="20"/>
                <w:szCs w:val="20"/>
                <w:color w:val="auto"/>
              </w:rPr>
            </w:pPr>
            <w:r>
              <w:rPr>
                <w:rFonts w:ascii="Times New Roman" w:cs="Times New Roman" w:eastAsia="Times New Roman" w:hAnsi="Times New Roman"/>
                <w:sz w:val="16"/>
                <w:szCs w:val="16"/>
                <w:color w:val="auto"/>
              </w:rPr>
              <w:t>Cash and cash equivalents, end of year</w:t>
            </w:r>
          </w:p>
        </w:tc>
        <w:tc>
          <w:tcPr>
            <w:tcW w:w="9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423.3</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370.4</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374.5</w:t>
            </w:r>
          </w:p>
        </w:tc>
        <w:tc>
          <w:tcPr>
            <w:tcW w:w="0" w:type="dxa"/>
            <w:vAlign w:val="bottom"/>
          </w:tcPr>
          <w:p>
            <w:pPr>
              <w:spacing w:after="0"/>
              <w:rPr>
                <w:sz w:val="1"/>
                <w:szCs w:val="1"/>
                <w:color w:val="auto"/>
              </w:rPr>
            </w:pPr>
          </w:p>
        </w:tc>
      </w:tr>
      <w:tr>
        <w:trPr>
          <w:trHeight w:val="26"/>
        </w:trPr>
        <w:tc>
          <w:tcPr>
            <w:tcW w:w="676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Supplemental disclosure information:</w:t>
            </w:r>
          </w:p>
        </w:tc>
        <w:tc>
          <w:tcPr>
            <w:tcW w:w="9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92"/>
        </w:trPr>
        <w:tc>
          <w:tcPr>
            <w:tcW w:w="676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7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Interest paid</w:t>
            </w:r>
          </w:p>
        </w:tc>
        <w:tc>
          <w:tcPr>
            <w:tcW w:w="11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52.9</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68.8</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52.9</w:t>
            </w:r>
          </w:p>
        </w:tc>
        <w:tc>
          <w:tcPr>
            <w:tcW w:w="0" w:type="dxa"/>
            <w:vAlign w:val="bottom"/>
          </w:tcPr>
          <w:p>
            <w:pPr>
              <w:spacing w:after="0"/>
              <w:rPr>
                <w:sz w:val="1"/>
                <w:szCs w:val="1"/>
                <w:color w:val="auto"/>
              </w:rPr>
            </w:pPr>
          </w:p>
        </w:tc>
      </w:tr>
      <w:tr>
        <w:trPr>
          <w:trHeight w:val="229"/>
        </w:trPr>
        <w:tc>
          <w:tcPr>
            <w:tcW w:w="67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Net income taxes paid</w:t>
            </w:r>
          </w:p>
        </w:tc>
        <w:tc>
          <w:tcPr>
            <w:tcW w:w="11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106.3</w:t>
            </w:r>
          </w:p>
        </w:tc>
        <w:tc>
          <w:tcPr>
            <w:tcW w:w="100" w:type="dxa"/>
            <w:vAlign w:val="bottom"/>
          </w:tcPr>
          <w:p>
            <w:pPr>
              <w:spacing w:after="0"/>
              <w:rPr>
                <w:sz w:val="19"/>
                <w:szCs w:val="19"/>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78.4</w:t>
            </w:r>
          </w:p>
        </w:tc>
        <w:tc>
          <w:tcPr>
            <w:tcW w:w="10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65.1</w:t>
            </w:r>
          </w:p>
        </w:tc>
        <w:tc>
          <w:tcPr>
            <w:tcW w:w="0" w:type="dxa"/>
            <w:vAlign w:val="bottom"/>
          </w:tcPr>
          <w:p>
            <w:pPr>
              <w:spacing w:after="0"/>
              <w:rPr>
                <w:sz w:val="1"/>
                <w:szCs w:val="1"/>
                <w:color w:val="auto"/>
              </w:rPr>
            </w:pPr>
          </w:p>
        </w:tc>
      </w:tr>
      <w:tr>
        <w:trPr>
          <w:trHeight w:val="216"/>
        </w:trPr>
        <w:tc>
          <w:tcPr>
            <w:tcW w:w="67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Non-cash investing activity:</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Unpaid purchases of property, plant and equipment at end of period</w:t>
            </w:r>
          </w:p>
        </w:tc>
        <w:tc>
          <w:tcPr>
            <w:tcW w:w="11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52.5</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33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227330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40" w:top="900" w:right="419" w:bottom="1440" w:gutter="0" w:footer="0" w:header="0"/>
        </w:sectPr>
      </w:pPr>
    </w:p>
    <w:bookmarkStart w:id="116" w:name="page117"/>
    <w:bookmarkEnd w:id="116"/>
    <w:p>
      <w:pPr>
        <w:jc w:val="center"/>
        <w:spacing w:after="0"/>
        <w:rPr>
          <w:sz w:val="20"/>
          <w:szCs w:val="20"/>
          <w:color w:val="auto"/>
        </w:rPr>
      </w:pPr>
      <w:r>
        <w:rPr>
          <w:rFonts w:ascii="Times New Roman" w:cs="Times New Roman" w:eastAsia="Times New Roman" w:hAnsi="Times New Roman"/>
          <w:sz w:val="18"/>
          <w:szCs w:val="18"/>
          <w:b w:val="1"/>
          <w:bCs w:val="1"/>
          <w:color w:val="auto"/>
        </w:rPr>
        <w:t>CELESTICA INC.</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of U.S. dollars, except percentages and per share amounts)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REPORTING ENTITY:</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Celestica Inc. (referred to herein as Celestica, the Company, we, us, or our) is incorporated in Ontario with its corporate headquarters located in Toronto, Ontario, Canada. Celestica’s subordinate voting shares (SVS) were re-designated as common shares (Common Shares) effective April 25, 2024 (see note 12), and are listed as such on the Toronto Stock Exchange (TSX) and the New York Stock Exchange (NYSE). We refer to our common equity as Common Shares for all periods presented herein. Our operating and reportable segments consist of our Advanced Technology Solutions (ATS) segment and our Connectivity &amp; Cloud Solutions (CCS) segment. See note 22 for further detail regarding segment information.</w:t>
      </w:r>
    </w:p>
    <w:p>
      <w:pPr>
        <w:spacing w:after="0" w:line="20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7"/>
          <w:szCs w:val="17"/>
          <w:b w:val="1"/>
          <w:bCs w:val="1"/>
          <w:color w:val="auto"/>
        </w:rPr>
        <w:t>BASIS OF PREPARATION AND SIGNIFICANT ACCOUNTING POLICIES: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preparation:</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have been prepared in accordance with accounting principles generally accepted in the United States of America (GAAP).</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Functional and presentation currency:</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are presented in United States (U.S.) dollars, which is also Celestica's functional currency. Unless otherwise noted, all financial information is presented in millions of U.S. dollars (except percentages and per share/per unit amounts).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 and judgments:</w:t>
      </w:r>
    </w:p>
    <w:p>
      <w:pPr>
        <w:spacing w:after="0" w:line="31"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The preparation of financial statements requires management to make judgments, estimates and assumptions that affect the application of accounting policies, the reported amounts of assets, liabilities, revenue and expenses, and related disclosures with respect to contingent assets and liabilities. We base our judgments, estimates and assumptions on current facts, historical experience and various other factors that we believe are reasonable under the circumstances. The economic environment also impacts certain estimates and discount rates necessary to prepare our consolidated financial statements, including significant estimates and discount rates applicable to the determination of the fair values used in the impairment testing of our non-financial assets. Our assessment of these factors forms the basis for our judgments on the carrying values of our assets and liabilities, and the accrual of our costs and expenses. Actual results could differ materially from our estimates and assumptions. We review our estimates and underlying assumptions on an ongoing basis and make revisions as determined necessary by management. Revisions are recognized in the period in which the estimates are revised and may also impact future periods.</w:t>
      </w:r>
    </w:p>
    <w:p>
      <w:pPr>
        <w:spacing w:after="0" w:line="22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review of the estimates, judgments and assumptions used in the preparation of our financial statements for 2024 included those relating to, among others: our determination of the timing of revenue recognition, the determination of whether indicators of impairment existed for our assets and reporting units, our measurement of deferred tax assets and liabilities, our estimated inventory write-downs and expected credit losses, customer creditworthiness and the determination of the fair value of assets acquired, liabilities assumed and contingent consideration in connection with a business combination. Any revisions to estimates, judgments or assumptions may result in, among other things, impairments to our assets or our reporting units, any of which could have a material impact on our financial performance and financial condition.</w:t>
      </w:r>
    </w:p>
    <w:p>
      <w:pPr>
        <w:spacing w:after="0" w:line="21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February 1, 2025, the President of the United States issued three executive orders directing the U.S. to impose new tariffs on imports originating from Canada, Mexico and China. On February 3, 2025, the U.S. announced that the implementation of tariffs on Canada and Mexico would be paused for 30 days. Our review of the estimates, judgments and assumptions also included consideration of the potential impacts of these tariffs, including with respect to the determination of whether indicators of impairment existed for our reporting units.</w:t>
      </w:r>
    </w:p>
    <w:p>
      <w:pPr>
        <w:spacing w:after="0" w:line="20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Key sources of estimation uncertainty and judgment</w:t>
      </w:r>
      <w:r>
        <w:rPr>
          <w:rFonts w:ascii="Times New Roman" w:cs="Times New Roman" w:eastAsia="Times New Roman" w:hAnsi="Times New Roman"/>
          <w:sz w:val="18"/>
          <w:szCs w:val="18"/>
          <w:color w:val="auto"/>
        </w:rPr>
        <w:t>: We have applied significant estimates, judgments and assumptions in the following areas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we believe could have a significant impact on our reported results and financial position: our determination of the timing of revenue recognition; whether events or changes in circumstances are indicators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17" w:name="page118"/>
    <w:bookmarkEnd w:id="117"/>
    <w:p>
      <w:pPr>
        <w:jc w:val="center"/>
        <w:spacing w:after="0"/>
        <w:rPr>
          <w:sz w:val="20"/>
          <w:szCs w:val="20"/>
          <w:color w:val="auto"/>
        </w:rPr>
      </w:pPr>
      <w:r>
        <w:rPr>
          <w:rFonts w:ascii="Times New Roman" w:cs="Times New Roman" w:eastAsia="Times New Roman" w:hAnsi="Times New Roman"/>
          <w:sz w:val="18"/>
          <w:szCs w:val="18"/>
          <w:b w:val="1"/>
          <w:bCs w:val="1"/>
          <w:color w:val="auto"/>
        </w:rPr>
        <w:t>CELESTICA INC.</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of U.S. dollars, except percentages and per share amounts)</w:t>
      </w:r>
    </w:p>
    <w:p>
      <w:pPr>
        <w:spacing w:after="0" w:line="39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that an impairment review of our assets or reporting units should be conducted; the measurement of our reporting units' fair value using market participant assumptions, which includes estimating future growth, profitability, and discount and terminal growth rates; and the allocation of the purchase price and other valuations related to our business acquisitions.</w:t>
      </w:r>
    </w:p>
    <w:p>
      <w:pPr>
        <w:spacing w:after="0" w:line="203" w:lineRule="exact"/>
        <w:rPr>
          <w:sz w:val="20"/>
          <w:szCs w:val="20"/>
          <w:color w:val="auto"/>
        </w:rPr>
      </w:pPr>
    </w:p>
    <w:p>
      <w:pPr>
        <w:jc w:val="both"/>
        <w:ind w:firstLine="275"/>
        <w:spacing w:after="0" w:line="282" w:lineRule="auto"/>
        <w:rPr>
          <w:sz w:val="20"/>
          <w:szCs w:val="20"/>
          <w:color w:val="auto"/>
        </w:rPr>
      </w:pPr>
      <w:r>
        <w:rPr>
          <w:rFonts w:ascii="Times New Roman" w:cs="Times New Roman" w:eastAsia="Times New Roman" w:hAnsi="Times New Roman"/>
          <w:sz w:val="18"/>
          <w:szCs w:val="18"/>
          <w:color w:val="auto"/>
        </w:rPr>
        <w:t>We describe our use of judgment and estimation uncertainties in greater detail in the accounting policies described under “Significant Accounting Policies” below.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December 2022, the Financial Accounting Standards Board (FASB) issued ASU 2022-06, Deferral of the Sunset Date of Topic 848 (Topic 848), which defers the sunset date of ASC 848 from December 31, 2022 to December 31, 2024. ASC 848 provides relief for companies preparing for the discontinuation of interest rates, such as LIBOR. The adoption of the guidance during the second quarter of 2023 had no material impact on our consolidated financial statements.</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November 2023, the FASB issued ASU 2023-07 Segment Reporting (Topic 280): Improvements to Reportable Segment Disclosures, which expands reportable segment disclosure requirements, primarily through enhanced disclosures about significant segment expenses that are regularly provided to the chief operating decision maker and included within each reported measure of segment profit or loss. The impact of our adoption of the guidance in 2024 is reflected in note 22.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 not yet adopted:</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October 2023, the FASB issued ASU 2023-06 Disclosure Improvements — Codification Amendments in Response to the U.S. Securities and Exchange Commission’s Disclosure Update and Simplification Initiative, which amends disclosure guidance over an entity’s accounting policy related to derivative instruments, material prior period adjustments upon a change in a reporting entity, earnings-per-share, encumbered assets, unused lines of credit and unfunded commitments, and liquidation preferences of preferred stock. The amendments are effective prospectively on the date each individual amendment is effectively removed from Regulation S-X or Regulation S-K.</w:t>
      </w:r>
    </w:p>
    <w:p>
      <w:pPr>
        <w:spacing w:after="0" w:line="210"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which enhances income tax disclosures, primarily through changes to the rate reconciliation and disaggregation of income taxes paid. ASU 2023-09 is effective for annual periods beginning after December 15, 2024, with early adoption permitted.</w:t>
      </w:r>
    </w:p>
    <w:p>
      <w:pPr>
        <w:spacing w:after="0" w:line="20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 - Reporting Comprehensive Income - Expense Disaggregation Disclosures (Subtopic 220-40): Disaggregation of Income Statement Expenses, which requires public business entities to disclose disaggregated information about certain costs and expenses in the notes to their financial statements. The objective of this update is to provide more detailed information about the types of expenses included in commonly presented expense captions, such as cost of sales, selling, general and administrative expenses (SG&amp;A), and research and development expenses. The update mandates that entities present a tabular disclosure of each relevant expense caption on the face of the income statement, disaggregated into specified categories, including purchases of inventory, employee compensation, depreciation, intangible asset amortization, and other significant expenses. This enhanced disclosure aims to improve the transparency and decision-usefulness of financial statements for investors and other users. ASU 2024-03 is effective for annual periods beginning after December 15, 2026, with early adoption permitted.</w:t>
      </w:r>
    </w:p>
    <w:p>
      <w:pPr>
        <w:spacing w:after="0" w:line="21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are currently evaluating the impact that the updated standards will have on our financial statement disclosures. We believe that other recently issued accounting standards will either not have a material impact on the consolidated financial statements or will not apply to our operations.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18" w:name="page119"/>
    <w:bookmarkEnd w:id="118"/>
    <w:p>
      <w:pPr>
        <w:jc w:val="center"/>
        <w:spacing w:after="0"/>
        <w:rPr>
          <w:sz w:val="20"/>
          <w:szCs w:val="20"/>
          <w:color w:val="auto"/>
        </w:rPr>
      </w:pPr>
      <w:r>
        <w:rPr>
          <w:rFonts w:ascii="Times New Roman" w:cs="Times New Roman" w:eastAsia="Times New Roman" w:hAnsi="Times New Roman"/>
          <w:sz w:val="18"/>
          <w:szCs w:val="18"/>
          <w:b w:val="1"/>
          <w:bCs w:val="1"/>
          <w:color w:val="auto"/>
        </w:rPr>
        <w:t>CELESTICA INC.</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of U.S. dollars, except percentages and per share amounts)</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ACCOUNTING POLICIES: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accounting policies below have been applied consistently to all periods presented in these consolidated financial statements.</w:t>
      </w:r>
    </w:p>
    <w:p>
      <w:pPr>
        <w:spacing w:after="0" w:line="248" w:lineRule="exact"/>
        <w:rPr>
          <w:sz w:val="20"/>
          <w:szCs w:val="20"/>
          <w:color w:val="auto"/>
        </w:rPr>
      </w:pPr>
    </w:p>
    <w:p>
      <w:pPr>
        <w:ind w:left="440" w:hanging="432"/>
        <w:spacing w:after="0"/>
        <w:tabs>
          <w:tab w:leader="none" w:pos="440" w:val="left"/>
        </w:tabs>
        <w:numPr>
          <w:ilvl w:val="0"/>
          <w:numId w:val="4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Basis of measurement:</w:t>
      </w:r>
    </w:p>
    <w:p>
      <w:pPr>
        <w:spacing w:after="0" w:line="256"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These consolidated financial statements have been prepared on the going concern basis, primarily on the historical cost basis. Other measurement bases, where used, are described in the applicable notes.</w:t>
      </w:r>
    </w:p>
    <w:p>
      <w:pPr>
        <w:spacing w:after="0" w:line="185" w:lineRule="exact"/>
        <w:rPr>
          <w:sz w:val="20"/>
          <w:szCs w:val="20"/>
          <w:color w:val="auto"/>
        </w:rPr>
      </w:pPr>
    </w:p>
    <w:p>
      <w:pPr>
        <w:ind w:left="400" w:hanging="392"/>
        <w:spacing w:after="0"/>
        <w:tabs>
          <w:tab w:leader="none" w:pos="400" w:val="left"/>
        </w:tabs>
        <w:numPr>
          <w:ilvl w:val="0"/>
          <w:numId w:val="4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Basis of consolidation:</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These consolidated financial statements include our subsidiaries, all of which are wholly owned. Any subsidiaries that are formed or acquired during the year are consolidated from their respective dates of formation or acquisition. Inter-company transactions and balances are eliminated on consolidation. Some of our subsidiaries are considered variable interest entities (VIEs) as they do not have sufficient equity at risk to finance their activities without additional financial support. Such VIEs are consolidated as we are their primary beneficiary. Subsidiaries that are not considered VIEs are consolidated as we own, directly or indirectly, a controlling interest in the entities. We perform an assessment at inception and regularly reevaluate whether the legal entity is a VIE and whether we continue to be the primary beneficiary.</w:t>
      </w:r>
    </w:p>
    <w:p>
      <w:pPr>
        <w:spacing w:after="0" w:line="210"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i w:val="1"/>
          <w:iCs w:val="1"/>
          <w:color w:val="auto"/>
        </w:rPr>
        <w:t>(c)</w:t>
        <w:tab/>
        <w:t>Business combinations and goodwill:</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use the acquisition method to account for any business combinations. All identifiable assets acquired and liabilities assumed, including contingent assets and liabilities are recorded at fair value on our consolidated balance sheet as of the acquisition date.</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Goodwill represents the excess of the consideration transferred for the acquisition over the net of the acquisition-date amounts of the identifiable assets acquired and liabilities assumed. Following initial recognition, goodwill is measured at cost less any accumulated impairment losses. We do not amortize goodwill. Goodwill is tested at least annually for impairment, or more frequently, if events occur or circumstances change that would more likely than not reduce the fair value of a reporting unit below its carrying amount (see note 2(</w:t>
      </w:r>
      <w:r>
        <w:rPr>
          <w:rFonts w:ascii="Times New Roman" w:cs="Times New Roman" w:eastAsia="Times New Roman" w:hAnsi="Times New Roman"/>
          <w:sz w:val="18"/>
          <w:szCs w:val="18"/>
          <w:i w:val="1"/>
          <w:iCs w:val="1"/>
          <w:color w:val="auto"/>
        </w:rPr>
        <w:t>j</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Contingent consideration is also recorded at fair value on our consolidated balance sheet as of the acquisition date. We record subsequent changes in the fair value of contingent consideration that is classified as a liability from the date of acquisition to the settlement date in our consolidated statement of operations. We expense integration costs (for the establishment of business processes, infrastructure and information systems for acquired operations) and acquisition-related consulting and transaction costs as incurred in our consolidated statement of operations.</w:t>
      </w:r>
    </w:p>
    <w:p>
      <w:pPr>
        <w:spacing w:after="0" w:line="20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use judgment to determine the estimates used to value identifiable assets acquired, liabilities assumed, and the fair value of contingent consideration and other potential obligations, if applicable, at the acquisition date. We may engage third parties to determine the fair value of certain inventory, property, plant and equipment and intangible assets. We use estimates to determine cash flow projections, including the period of expected future benefit, future growth and discount rates, among other factors, to value intangible assets and contingent consideration. The fair value of acquired tangible assets are measured by applying the market, cost or replacement cost, or income approach (using discounted cash flows and forecasts by management), as appropriate. The fair value of acquired intangible assets are measured by applying the income approach using a discounted cash flow model and forecasts based on management's estimates and assumptions.</w:t>
      </w:r>
    </w:p>
    <w:p>
      <w:pPr>
        <w:spacing w:after="0" w:line="212" w:lineRule="exact"/>
        <w:rPr>
          <w:sz w:val="20"/>
          <w:szCs w:val="20"/>
          <w:color w:val="auto"/>
        </w:rPr>
      </w:pPr>
    </w:p>
    <w:p>
      <w:pPr>
        <w:ind w:left="400" w:hanging="392"/>
        <w:spacing w:after="0"/>
        <w:tabs>
          <w:tab w:leader="none" w:pos="400" w:val="left"/>
        </w:tabs>
        <w:numPr>
          <w:ilvl w:val="0"/>
          <w:numId w:val="4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Foreign currency translation:</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majority of our subsidiaries have a U.S. dollar functional currency, which represents the currency of the primary economic environment in which they operate. For these subsidiaries, we translate: (i) monetary assets and liabilities denominated in foreign currencies into U.S. dollars at the period-end exchange rates; (ii) non-monetary assets and liabilities denominated in foreign currencies into U.S. dollars at historic rates; and (iii) revenue and expenses denominated in foreign currencies into U.S. dollars at the average exchange rates prevailing during the month of the transaction. Exchange gains and</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19" w:name="page120"/>
    <w:bookmarkEnd w:id="119"/>
    <w:p>
      <w:pPr>
        <w:jc w:val="center"/>
        <w:spacing w:after="0"/>
        <w:rPr>
          <w:sz w:val="20"/>
          <w:szCs w:val="20"/>
          <w:color w:val="auto"/>
        </w:rPr>
      </w:pPr>
      <w:r>
        <w:rPr>
          <w:rFonts w:ascii="Times New Roman" w:cs="Times New Roman" w:eastAsia="Times New Roman" w:hAnsi="Times New Roman"/>
          <w:sz w:val="18"/>
          <w:szCs w:val="18"/>
          <w:b w:val="1"/>
          <w:bCs w:val="1"/>
          <w:color w:val="auto"/>
        </w:rPr>
        <w:t>CELESTICA INC.</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of U.S. dollars, except percentages and per share amounts)</w:t>
      </w:r>
    </w:p>
    <w:p>
      <w:pPr>
        <w:spacing w:after="0" w:line="39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losses also arise on the settlement of foreign-currency denominated transactions. We recognize foreign currency differences arising on translation in our consolidated statement of operations.</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Upon consolidation, for our subsidiaries with a non-U.S. dollar functional currency, we translate assets and liabilities denominated in foreign currencies into U.S. dollars using the period-end exchange rates, and we translate revenue and expenses into U.S. dollars at the average exchange rates prevailing during the month of the transaction. We defer gains and losses arising from the translation of these operations in the foreign currency translation account included in accumulated other comprehensive income (loss) (OCI). For these subsidiaries, we translate foreign currency transactions into the relevant non-U.S. dollar functional currency using the exchange rate prevailing during the month of the transaction for revenues and expenses, and the exchange rate as at period end for the translation of these foreign currency denominated monetary assets and liabilities, and such gains and losses arising from these translations are recorded in the statement of operations in their non-U.S. dollar functional currency before translation into U.S. dollar for consolidation purposes.</w:t>
      </w:r>
    </w:p>
    <w:p>
      <w:pPr>
        <w:spacing w:after="0" w:line="215"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i w:val="1"/>
          <w:iCs w:val="1"/>
          <w:color w:val="auto"/>
        </w:rPr>
        <w:t>(e)</w:t>
        <w:tab/>
        <w:t>Cash and cash equivalents:</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Cash and cash equivalents include cash on account and short-term investments in money market funds with original maturities of three months or less. The short-term investments are purchased with the intention of generating earnings in the near term and therefore are classified as trading with changes in fair value recognized in our consolidated statement of operations. We expense transaction costs related to short-term investments classified as trading as incurred in our consolidated statement of operations. These instruments are subject to an insignificant risk of change in fair value over their terms and, as a result, we carry cash and cash equivalents at cost.</w:t>
      </w:r>
    </w:p>
    <w:p>
      <w:pPr>
        <w:spacing w:after="0" w:line="206"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i w:val="1"/>
          <w:iCs w:val="1"/>
          <w:color w:val="auto"/>
        </w:rPr>
        <w:t>(f)</w:t>
        <w:tab/>
        <w:t>Inventories:</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procure inventory and manufacture products based on specific customer orders and forecasts, and value our inventory at the lower of cost (on a first-in, first-out basis) and net realizable value. The cost of our finished goods and work in progress includes direct materials, labor and overhead. All direct and indirect costs related to inventories are capitalized as incurred and are subsequently recorded in cost of sales in the consolidated statement of operations at the time inventories are sold. We determine the net realizable value as the estimated selling price in the ordinary course of business, less reasonably predictable costs of completion, disposal and transportation.</w:t>
      </w:r>
    </w:p>
    <w:p>
      <w:pPr>
        <w:spacing w:after="0" w:line="21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At the end of each reporting period, we perform assessments and record inventory write-downs if actual market conditions or demand for our products or services are less favorable than originally projected. The determination of net realizable value involves significant management judgment and estimation. When estimating the net realizable value of our inventory, we consider factors such as shrinkage, the aging of and future demand for the inventory, and contractual arrangements with customers. We attempt to utilize excess inventory in other products we manufacture or return such inventory to the relevant suppliers or customers. We use future sales volume forecasts to estimate excess inventory on-hand. A change to these assumptions may impact our inventory valuation and our gross margins.</w:t>
      </w:r>
    </w:p>
    <w:p>
      <w:pPr>
        <w:spacing w:after="0" w:line="210" w:lineRule="exact"/>
        <w:rPr>
          <w:sz w:val="20"/>
          <w:szCs w:val="20"/>
          <w:color w:val="auto"/>
        </w:rPr>
      </w:pPr>
    </w:p>
    <w:p>
      <w:pPr>
        <w:ind w:left="400" w:hanging="392"/>
        <w:spacing w:after="0"/>
        <w:tabs>
          <w:tab w:leader="none" w:pos="400" w:val="left"/>
        </w:tabs>
        <w:numPr>
          <w:ilvl w:val="0"/>
          <w:numId w:val="4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Property, plant and equipment (PP&amp;E):</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carry PP&amp;E at cost less accumulated depreciation and accumulated impairment losses. Cost consists of expenditures necessarily incurred to bringing the asset to the condition and location necessary for its intended use. We capitalize the cost of an asset when the economic benefits associated with that asset are probable and when the cost can be measured reliably. We capitalize the costs of major renovations and we write-off the carrying amount of replaced assets. We expense all other maintenance and repair costs in our consolidated statement of operations as incurred. We do not depreciate land. We recognize depreciation expense on a straight-line basis over the estimated useful life of the asset as follows:</w:t>
      </w:r>
    </w:p>
    <w:p>
      <w:pPr>
        <w:sectPr>
          <w:pgSz w:w="11900" w:h="16838" w:orient="portrait"/>
          <w:cols w:equalWidth="0" w:num="1">
            <w:col w:w="11240"/>
          </w:cols>
          <w:pgMar w:left="320" w:top="360" w:right="339" w:bottom="1440" w:gutter="0" w:footer="0" w:header="0"/>
        </w:sectPr>
      </w:pPr>
    </w:p>
    <w:p>
      <w:pPr>
        <w:spacing w:after="0" w:line="25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Buildings</w:t>
      </w:r>
    </w:p>
    <w:p>
      <w:pPr>
        <w:spacing w:after="0" w:line="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Building/leasehold improvements</w:t>
      </w:r>
    </w:p>
    <w:p>
      <w:pPr>
        <w:spacing w:after="0" w:line="2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Machinery and equipment</w:t>
      </w:r>
    </w:p>
    <w:p>
      <w:pPr>
        <w:spacing w:after="0" w:line="2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Finance lease right-of-use (ROU) assets</w:t>
      </w:r>
    </w:p>
    <w:p>
      <w:pPr>
        <w:spacing w:after="0" w:line="20" w:lineRule="exact"/>
        <w:rPr>
          <w:sz w:val="20"/>
          <w:szCs w:val="20"/>
          <w:color w:val="auto"/>
        </w:rPr>
      </w:pPr>
      <w:r>
        <w:rPr>
          <w:sz w:val="20"/>
          <w:szCs w:val="20"/>
          <w:color w:val="auto"/>
        </w:rPr>
        <w:br w:type="column"/>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 to 40 years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 to 40 years or if shorter, term of lease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 to 15 years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Lesser of the lease term and the useful life of the leased asset</w:t>
      </w:r>
    </w:p>
    <w:p>
      <w:pPr>
        <w:spacing w:after="0" w:line="200" w:lineRule="exact"/>
        <w:rPr>
          <w:sz w:val="20"/>
          <w:szCs w:val="20"/>
          <w:color w:val="auto"/>
        </w:rPr>
      </w:pPr>
    </w:p>
    <w:p>
      <w:pPr>
        <w:sectPr>
          <w:pgSz w:w="11900" w:h="16838" w:orient="portrait"/>
          <w:cols w:equalWidth="0" w:num="2">
            <w:col w:w="3960" w:space="720"/>
            <w:col w:w="6560"/>
          </w:cols>
          <w:pgMar w:left="320" w:top="36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120" w:name="page121"/>
    <w:bookmarkEnd w:id="120"/>
    <w:p>
      <w:pPr>
        <w:jc w:val="center"/>
        <w:spacing w:after="0"/>
        <w:rPr>
          <w:sz w:val="20"/>
          <w:szCs w:val="20"/>
          <w:color w:val="auto"/>
        </w:rPr>
      </w:pPr>
      <w:r>
        <w:rPr>
          <w:rFonts w:ascii="Times New Roman" w:cs="Times New Roman" w:eastAsia="Times New Roman" w:hAnsi="Times New Roman"/>
          <w:sz w:val="18"/>
          <w:szCs w:val="18"/>
          <w:b w:val="1"/>
          <w:bCs w:val="1"/>
          <w:color w:val="auto"/>
        </w:rPr>
        <w:t>CELESTICA INC.</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of U.S. dollars, except percentages and per share amounts)</w:t>
      </w:r>
    </w:p>
    <w:p>
      <w:pPr>
        <w:spacing w:after="0" w:line="39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estimate the useful life of PP&amp;E based on the nature of the asset, historical experience, expected changes in technology, and the expected duration of related customer programs. When major components of an asset have a significantly different useful life than their primary asset, the components are accounted for and depreciated separately. We review our estimates of residual values, useful lives and the methods of depreciation annually at year-end and, if required, adjust them prospectively. We determine gains and losses on the disposal or retirement of PP&amp;E by comparing the proceeds from disposal with the carrying amount of the asset and we recognize these gains and losses in our consolidated statement of operations in the period of disposal or retirement. Also, see note 2(</w:t>
      </w:r>
      <w:r>
        <w:rPr>
          <w:rFonts w:ascii="Times New Roman" w:cs="Times New Roman" w:eastAsia="Times New Roman" w:hAnsi="Times New Roman"/>
          <w:sz w:val="18"/>
          <w:szCs w:val="18"/>
          <w:i w:val="1"/>
          <w:iCs w:val="1"/>
          <w:color w:val="auto"/>
        </w:rPr>
        <w:t>j</w:t>
      </w:r>
      <w:r>
        <w:rPr>
          <w:rFonts w:ascii="Times New Roman" w:cs="Times New Roman" w:eastAsia="Times New Roman" w:hAnsi="Times New Roman"/>
          <w:sz w:val="18"/>
          <w:szCs w:val="18"/>
          <w:color w:val="auto"/>
        </w:rPr>
        <w:t>).</w:t>
      </w:r>
    </w:p>
    <w:p>
      <w:pPr>
        <w:spacing w:after="0" w:line="210"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i w:val="1"/>
          <w:iCs w:val="1"/>
          <w:color w:val="auto"/>
        </w:rPr>
        <w:t>(h)</w:t>
        <w:tab/>
        <w:t>Leases:</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are the lessee of land, buildings and machinery. We determine if an arrangement is a lease at inception. An arrangement is a lease or contains a lease when (i) there is an identified asset, and (ii) the Company has the right to control the use of the identified asset. Operating leases are included in operating lease ROU assets, accrued and other current liabilities and long-term portion of provisions and other non-current liabilities on our consolidated balance sheet. Finance leases are included in PP&amp;E, current portion of borrowings under credit facility and finance lease obligations and long-term portion of borrowings under credit facility and finance lease obligations on our consolidated balance sheet.</w:t>
      </w:r>
    </w:p>
    <w:p>
      <w:pPr>
        <w:spacing w:after="0" w:line="21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ROU assets represent our right to use an underlying asset for the lease term and lease liabilities represent our obligation to make lease payments arising from the lease. ROU assets and lease liabilities are recognized at lease commencement based on the present value of lease payments over the lease term. As most of our leases do not provide an implicit rate, we use our incremental borrowing rate (taking country specific risks into consideration) based on the information available at commencement date in determining the present value of lease payments. The ROU assets also include any initial direct costs, lease payments made at or before lease commencement and exclude lease incentives. Our lease terms may include options to extend or terminate the lease when it is reasonably certain that we will exercise that option.</w:t>
      </w:r>
    </w:p>
    <w:p>
      <w:pPr>
        <w:spacing w:after="0" w:line="21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Variable lease payments are generally expensed as incurred, including certain non-lease components, such as maintenance and other services provided by the lessor, and other charges included in the lease. Our lease agreements generally do not contain any material residual value guarantees or material restrictive covenants.</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operating leases, the lease expense is recognized on a straight-line basis over the lease term and is included in cost of sales or selling, general</w:t>
      </w:r>
    </w:p>
    <w:p>
      <w:pPr>
        <w:spacing w:after="0" w:line="27" w:lineRule="exact"/>
        <w:rPr>
          <w:sz w:val="20"/>
          <w:szCs w:val="20"/>
          <w:color w:val="auto"/>
        </w:rPr>
      </w:pPr>
    </w:p>
    <w:p>
      <w:pPr>
        <w:jc w:val="both"/>
        <w:ind w:firstLine="8"/>
        <w:spacing w:after="0" w:line="255" w:lineRule="auto"/>
        <w:tabs>
          <w:tab w:leader="none" w:pos="186"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administrative expenses (SG&amp;A), primarily based on the nature and use of the asset, in our consolidated statement of operations. Depreciation of finance lease ROU assets is included in cost of sales or SG&amp;A in our consolidated statement of operations, primarily based on the nature and use of the asset, and we record interest expense (included in finance costs) over the lease term on the lease liability recognized at lease commencement.</w:t>
      </w:r>
    </w:p>
    <w:p>
      <w:pPr>
        <w:spacing w:after="0" w:line="21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elected the practical expedient, for each class of underlying asset, to not separate lease and non-lease components, as such non-lease components are included in the calculation of the ROU assets and lease liabilities and included in the lease expense over the term of the lease. We also elected to apply the portfolio approach and used a single discount rate for a portfolio of leases with reasonably similar characteristics.</w:t>
      </w:r>
    </w:p>
    <w:p>
      <w:pPr>
        <w:spacing w:after="0" w:line="203"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We elected not to recognize ROU assets and lease liabilities for short-term leases (defined as leases with a lease term of 12 months or less that do not include an option to purchase the underlying asset that we are reasonably certain to exercise). We recognize lease expense for these leases on a straight-line basis over the lease term.</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21" w:name="page122"/>
    <w:bookmarkEnd w:id="121"/>
    <w:p>
      <w:pPr>
        <w:jc w:val="center"/>
        <w:spacing w:after="0"/>
        <w:rPr>
          <w:sz w:val="20"/>
          <w:szCs w:val="20"/>
          <w:color w:val="auto"/>
        </w:rPr>
      </w:pPr>
      <w:r>
        <w:rPr>
          <w:rFonts w:ascii="Times New Roman" w:cs="Times New Roman" w:eastAsia="Times New Roman" w:hAnsi="Times New Roman"/>
          <w:sz w:val="18"/>
          <w:szCs w:val="18"/>
          <w:b w:val="1"/>
          <w:bCs w:val="1"/>
          <w:color w:val="auto"/>
        </w:rPr>
        <w:t>CELESTICA INC.</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of U.S. dollars, except percentages and per share amounts)</w:t>
      </w:r>
    </w:p>
    <w:p>
      <w:pPr>
        <w:spacing w:after="0" w:line="387" w:lineRule="exact"/>
        <w:rPr>
          <w:sz w:val="20"/>
          <w:szCs w:val="20"/>
          <w:color w:val="auto"/>
        </w:rPr>
      </w:pPr>
    </w:p>
    <w:p>
      <w:pPr>
        <w:ind w:left="360" w:hanging="352"/>
        <w:spacing w:after="0"/>
        <w:tabs>
          <w:tab w:leader="none" w:pos="360" w:val="left"/>
        </w:tabs>
        <w:numPr>
          <w:ilvl w:val="0"/>
          <w:numId w:val="5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Intangible assets:</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record acquired intangible assets on our consolidated balance sheet at cost less accumulated amortization and accumulated impairment losses, if any. We capitalize acquired intangible assets when the economic benefits associated with the asset are probable and when the cost can be measured reliably. We estimate the useful life of acquired intangible assets based on the nature of the asset, historical experience and the projected period of expected future economic benefits to be provided by the asset. We amortize these assets on a straight-line basis over their estimated useful lives as follows:</w:t>
      </w:r>
    </w:p>
    <w:p>
      <w:pPr>
        <w:sectPr>
          <w:pgSz w:w="11900" w:h="16838" w:orient="portrait"/>
          <w:cols w:equalWidth="0" w:num="1">
            <w:col w:w="11240"/>
          </w:cols>
          <w:pgMar w:left="320" w:top="360" w:right="339" w:bottom="1440" w:gutter="0" w:footer="0" w:header="0"/>
        </w:sectPr>
      </w:pPr>
    </w:p>
    <w:p>
      <w:pPr>
        <w:spacing w:after="0" w:line="24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Intellectual property</w:t>
      </w:r>
    </w:p>
    <w:p>
      <w:pPr>
        <w:spacing w:after="0" w:line="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Other intangible assets</w:t>
      </w:r>
    </w:p>
    <w:p>
      <w:pPr>
        <w:spacing w:after="0" w:line="2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Computer software assets</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 to 5 years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4 to 15 years</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 to 10 years</w:t>
      </w:r>
    </w:p>
    <w:p>
      <w:pPr>
        <w:spacing w:after="0" w:line="211" w:lineRule="exact"/>
        <w:rPr>
          <w:sz w:val="20"/>
          <w:szCs w:val="20"/>
          <w:color w:val="auto"/>
        </w:rPr>
      </w:pPr>
    </w:p>
    <w:p>
      <w:pPr>
        <w:sectPr>
          <w:pgSz w:w="11900" w:h="16838" w:orient="portrait"/>
          <w:cols w:equalWidth="0" w:num="2">
            <w:col w:w="8380" w:space="720"/>
            <w:col w:w="2140"/>
          </w:cols>
          <w:pgMar w:left="320" w:top="360" w:right="339" w:bottom="1440" w:gutter="0" w:footer="0" w:header="0"/>
          <w:type w:val="continuous"/>
        </w:sectPr>
      </w:pPr>
    </w:p>
    <w:p>
      <w:pPr>
        <w:spacing w:after="0" w:line="12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Intellectual property assets consist primarily of certain acquired non-patented intellectual property and process technology. Other intangible assets consist primarily of customer relationships and contract intangibles. Computer software assets consist primarily of software licenses. We review our estimates of residual values, useful lives and the methods of amortization annually at year end and, if required, adjust for these prospectively.</w:t>
      </w:r>
    </w:p>
    <w:p>
      <w:pPr>
        <w:spacing w:after="0" w:line="199" w:lineRule="exact"/>
        <w:rPr>
          <w:sz w:val="20"/>
          <w:szCs w:val="20"/>
          <w:color w:val="auto"/>
        </w:rPr>
      </w:pPr>
    </w:p>
    <w:p>
      <w:pPr>
        <w:ind w:left="360" w:hanging="352"/>
        <w:spacing w:after="0"/>
        <w:tabs>
          <w:tab w:leader="none" w:pos="360" w:val="left"/>
        </w:tabs>
        <w:numPr>
          <w:ilvl w:val="0"/>
          <w:numId w:val="5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Impairment of goodwill, intangible assets, PP&amp;E, and operating lease ROU assets: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of goodwill:</w:t>
      </w:r>
    </w:p>
    <w:p>
      <w:pPr>
        <w:spacing w:after="0" w:line="25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For purposes of impairment testing, we allocate goodwill to a reporting unit, which is an operating segment or one level below an operating segment (component), that we expect will benefit from the related acquisition. Goodwill is tested for impairment on an annual basis, during the fourth quarter to correspond with our annual planning cycle (Annual Impairment Assessment), and whenever events and changes in circumstances suggest that the carrying amount may be impaired. Circumstances that may lead to the impairment of goodwill include unforeseen decreases in future performance or industry demand or the restructuring of our operations as a result of a change in our business strategy. A qualitative assessment is allowed to determine if goodwill is potentially impaired. Based on this qualitative assessment, if we determine that it is more likely than not that the reporting unit’s fair value is less than its carrying value (including goodwill), then we perform a quantitative assessment, otherwise no further analysis is required.</w:t>
      </w:r>
    </w:p>
    <w:p>
      <w:pPr>
        <w:spacing w:after="0" w:line="21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Recoverability of goodwill is measured at the reporting unit level by comparing the reporting unit's carrying amount, including goodwill, to the fair value of the reporting unit, which is typically measured using a discounted cash flow analysis. Certain of these approaches use significant unobservable inputs, or Level 3 inputs, as defined by the fair value hierarchy (see 2</w:t>
      </w:r>
      <w:r>
        <w:rPr>
          <w:rFonts w:ascii="Times New Roman" w:cs="Times New Roman" w:eastAsia="Times New Roman" w:hAnsi="Times New Roman"/>
          <w:sz w:val="18"/>
          <w:szCs w:val="18"/>
          <w:i w:val="1"/>
          <w:iCs w:val="1"/>
          <w:color w:val="auto"/>
        </w:rPr>
        <w:t>(q)</w:t>
      </w:r>
      <w:r>
        <w:rPr>
          <w:rFonts w:ascii="Times New Roman" w:cs="Times New Roman" w:eastAsia="Times New Roman" w:hAnsi="Times New Roman"/>
          <w:sz w:val="18"/>
          <w:szCs w:val="18"/>
          <w:color w:val="auto"/>
        </w:rPr>
        <w:t>) and require management to make various judgmental assumptions about revenue growth rates, operating margins, and discount rates which consider our plan for the following year, our three-year strategic plan, and other financial projections, and are believed to reflect market participant views. Some of the inherent estimates and assumptions used in determining fair value of the reporting units are outside the control of management, including interest rates, cost of capital, tax rates, market conditions and credit ratings. While we believe we have made reasonable estimates and assumptions to calculate the fair value of the reporting units, it is possible a material change could occur. If the actual results are not consistent with management's estimates and assumptions used to calculate fair value, it could result in material impairments of our goodwill. If the carrying amount of any reporting unit exceeds its fair value, we will record an impairment loss based on the difference. The impairment loss will be limited to the amount of goodwill allocated to that reporting unit. We do not reverse impairment losses in future periods.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of long-lived assets:</w:t>
      </w:r>
    </w:p>
    <w:p>
      <w:pPr>
        <w:spacing w:after="0" w:line="25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Long-lived assets, including PP&amp;E, operating lease ROU assets and intangible assets with finite lives are reviewed for impairment whenever events or changes in circumstances indicate that the carrying value of an asset may not be recoverable. In order to determine if assets have been impaired, assets are grouped and tested at the lowest level for which identifiable independent cash flows are available (asset group). An impairment loss is recognized when the sum of projected undiscounted cash flows is less than the carrying amount of the asset group. The measurement of the impairment loss to be recognized is based on the difference between the fair value and the carrying amount of the asset group. Fair value may be determined using a market approach or income approach and is based on management’s assumptions, including future</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122" w:name="page123"/>
    <w:bookmarkEnd w:id="122"/>
    <w:p>
      <w:pPr>
        <w:jc w:val="center"/>
        <w:spacing w:after="0"/>
        <w:rPr>
          <w:sz w:val="20"/>
          <w:szCs w:val="20"/>
          <w:color w:val="auto"/>
        </w:rPr>
      </w:pPr>
      <w:r>
        <w:rPr>
          <w:rFonts w:ascii="Times New Roman" w:cs="Times New Roman" w:eastAsia="Times New Roman" w:hAnsi="Times New Roman"/>
          <w:sz w:val="18"/>
          <w:szCs w:val="18"/>
          <w:b w:val="1"/>
          <w:bCs w:val="1"/>
          <w:color w:val="auto"/>
        </w:rPr>
        <w:t>CELESTICA INC.</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of U.S. dollars, except percentages and per share amounts)</w:t>
      </w:r>
    </w:p>
    <w:p>
      <w:pPr>
        <w:spacing w:after="0" w:line="39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revenue and cash flow projections. Circumstances that may lead to impairment of long-lived assets include reduced expectations for future performance or industry demand and possible further restructurings, among others. We do not reverse impairment losses in future periods.</w:t>
      </w:r>
    </w:p>
    <w:p>
      <w:pPr>
        <w:spacing w:after="0" w:line="185" w:lineRule="exact"/>
        <w:rPr>
          <w:sz w:val="20"/>
          <w:szCs w:val="20"/>
          <w:color w:val="auto"/>
        </w:rPr>
      </w:pPr>
    </w:p>
    <w:p>
      <w:pPr>
        <w:ind w:left="400" w:hanging="392"/>
        <w:spacing w:after="0"/>
        <w:tabs>
          <w:tab w:leader="none" w:pos="400" w:val="left"/>
        </w:tabs>
        <w:numPr>
          <w:ilvl w:val="0"/>
          <w:numId w:val="5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Provisions:</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recognize a provision for obligations arising from past events when the amount can be reasonably estimated and it is probable that an outflow of resources will be required to settle an obligation. The nature and type of provisions vary and management judgment is required to determine the extent of an obligation and whether the outflow of resources is probable. At the end of each reporting period, we evaluate the appropriateness of the remaining balances. We may be required to adjust recorded amounts to reflect actual experience or changes in estimates for future periods.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Restructuring:</w:t>
      </w:r>
    </w:p>
    <w:p>
      <w:pPr>
        <w:spacing w:after="0" w:line="25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incur restructuring charges relating to workforce reductions, site consolidations, and costs associated with businesses we are downsizing or exiting. Our restructuring charges include employee severance and benefit costs, consultant costs, gains, losses or impairments related to owned sites and equipment we no longer use and which are available for sale, and costs or impairments related to leased sites and equipment we no longer use.</w:t>
      </w:r>
    </w:p>
    <w:p>
      <w:pPr>
        <w:spacing w:after="0" w:line="20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recognition of restructuring charges requires management to make certain judgments and estimates regarding the nature, timing and amounts associated with our restructuring actions. Our assumptions include the timing of employee terminations, the measurement of termination costs, any anticipated sublease recoveries from exited sites, the timing of dispositions, and the estimated fair values less costs of disposal for assets we no longer use and which are available for sale. We develop detailed plans and record termination costs in the period that employees are informed of their termination. For owned sites and equipment that are no longer in use and are available for sale, we recognize an impairment loss based on their estimated fair value less costs of disposal, with estimated fair value based on market prices for similar assets. We may engage third parties to assist in the determination of the estimated fair values less costs of disposal for these assets. For leased sites that we intend to exit in connection with restructuring activities, we assess the recoverability of our ROU assets, and write down such assets (recorded as restructuring charges) if the carrying value exceeds any estimated sublease recoveries. To estimate future sublease recoveries, we may engage independent brokers to determine the estimated tenant rents we can expect to realize. At the end of each reporting period, we evaluate the appropriateness of our restructuring charges and balances. We may be required to adjust recorded amounts to reflect actual experience or changes in estimates for future periods. See note 14</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and other contingencies:</w:t>
      </w:r>
    </w:p>
    <w:p>
      <w:pPr>
        <w:spacing w:after="0" w:line="25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the normal course of our operations, we may be subject to lawsuits, investigations and other claims, including, but not limited to, environmental, labor, product, customer disputes, and other matters. The filing of a suit or formal assertion of a claim does not automatically trigger a requirement to record a provision. We record a provision for loss contingencies, including legal claims, based on management’s estimate of the probable outcome. Judgment is required when there is a range of possible outcomes. Management considers the degree of probability of the outcome and the ability to make a reasonable estimate of the loss. A provision is recorded at the most likely outcome within a range, or at the low end of the range if no amount within the range is a better estimate than another. We may also use third party advisors in making our determination. The ultimate outcome, including the amount and timing of any payments required, may vary significantly from our original estimates. Potential material legal and other material contingent obligations that have not been recognized as provisions, as the outcome is remote or not probable, or the amount cannot be reliably estimated, are disclosed as contingent liabilities. See note 21.</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Warranty:</w:t>
      </w:r>
    </w:p>
    <w:p>
      <w:pPr>
        <w:spacing w:after="0" w:line="25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offer product and service warranties to our customers. We record a provision for future warranty costs based on management’s estimate of probable claims under these warranties. In determining the amount of the provision, we consider several factors including the terms of the warranty (which vary by customer, product or service), the current volume of products sold or services rendered during the warranty period, and historical warranty information. We review and adjust these estimates as necessary to reflect our experience and new information. The amount and aging of our provision will vary</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23" w:name="page124"/>
    <w:bookmarkEnd w:id="123"/>
    <w:p>
      <w:pPr>
        <w:jc w:val="center"/>
        <w:spacing w:after="0"/>
        <w:rPr>
          <w:sz w:val="20"/>
          <w:szCs w:val="20"/>
          <w:color w:val="auto"/>
        </w:rPr>
      </w:pPr>
      <w:r>
        <w:rPr>
          <w:rFonts w:ascii="Times New Roman" w:cs="Times New Roman" w:eastAsia="Times New Roman" w:hAnsi="Times New Roman"/>
          <w:sz w:val="18"/>
          <w:szCs w:val="18"/>
          <w:b w:val="1"/>
          <w:bCs w:val="1"/>
          <w:color w:val="auto"/>
        </w:rPr>
        <w:t>CELESTICA INC.</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of U.S. dollars, except percentages and per share amounts)</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depending on various factors including the length of the warranty offered, the remaining life of the warranty and the extent and timing of warranty claims.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classify the portion of our warranty provision for which payment is expected in the next 12 months as current, and the remainder as non-current.</w:t>
      </w:r>
    </w:p>
    <w:p>
      <w:pPr>
        <w:spacing w:after="0" w:line="230" w:lineRule="exact"/>
        <w:rPr>
          <w:sz w:val="20"/>
          <w:szCs w:val="20"/>
          <w:color w:val="auto"/>
        </w:rPr>
      </w:pPr>
    </w:p>
    <w:p>
      <w:pPr>
        <w:ind w:left="360" w:hanging="352"/>
        <w:spacing w:after="0"/>
        <w:tabs>
          <w:tab w:leader="none" w:pos="360" w:val="left"/>
        </w:tabs>
        <w:numPr>
          <w:ilvl w:val="0"/>
          <w:numId w:val="5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Employee benefits: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Pension and non-pension post-employment benefits:</w:t>
      </w:r>
    </w:p>
    <w:p>
      <w:pPr>
        <w:spacing w:after="0" w:line="2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classify pension and non-pension post-employment benefits as either defined contribution plans or defined benefit plans.</w:t>
      </w:r>
    </w:p>
    <w:p>
      <w:pPr>
        <w:spacing w:after="0" w:line="25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Under defined contribution plans, our obligation is to make a fixed contribution to a separate entity. The related investment risk is borne by the employee. We recognize our obligations to make contributions to defined contribution plans as an employee benefit expense in our consolidated statement of operations in the period the employee services are rendered.</w:t>
      </w:r>
    </w:p>
    <w:p>
      <w:pPr>
        <w:spacing w:after="0" w:line="20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Under defined benefit plans, our obligation is to provide an agreed-upon benefit to specified plan participants. We remain exposed to both actuarial and investment risks with respect to defined benefit plans. Our obligation is actuarially determined using the projected unit credit method for pension post-employment benefits and the unit credit with service prorated actuarial cost method for non-pension post-employment benefits, based on service and management’s estimates. Actuarial valuations require management to make judgments and estimates relating to salary escalation, compensation levels at the time of retirement, retirement ages, the discount rate used in measuring the net interest on the net defined benefit asset or liability, and expected healthcare costs (as applicable). These actuarial assumptions could change from period-to-period and actual results could differ materially from the estimates originally made by management. We evaluate our assumptions on a regular basis, taking into consideration current market conditions and historical data. For purposes of determining the expected return on plan assets, we utilize a fair market value approach. Market-driven changes may affect the actual rate of return on plan assets compared to our assumptions, as well as our discount rates and other variables which could cause actual results to differ materially from our estimates. Changes in assumptions could impact our defined benefit pension plan valuations and our future defined benefit pension expense and required funding.</w:t>
      </w:r>
    </w:p>
    <w:p>
      <w:pPr>
        <w:spacing w:after="0" w:line="21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over-funded or under-funded status of defined benefit pension and other post-retirement plans are recognized as an asset or a liability, respectively, on our consolidated balance sheet. Actuarial gains or losses in excess of 10% of the projected benefit obligation are recognized as a component of OCI, net of tax and subsequently amortized as a component of net periodic benefit costs over the average remaining service period of the plan’s active employees. If all or almost all of a plan’s participants are inactive, the average remaining life expectancy of the inactive participants is used instead of average remaining service period. In the case of a pension plan buy-out and a planned subsequent wind-up, a shorter period (other than applying the above minimum amortization method) may be used for accelerated amortization of previously accumulated actuarial gains or losses on annuity purchases, as deemed appropriate based on the specific plan requirements, on a plan-by-plan basis.</w:t>
      </w:r>
    </w:p>
    <w:p>
      <w:pPr>
        <w:spacing w:after="0" w:line="21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amortize prior service costs or credits arising from retroactive plan amendments as a component of net periodic pension cost in our consolidated statement of operations. Curtailment gains or losses may arise from significant changes to a plan. We record total curtailment gains or losses in our consolidated statement of operations when the curtailment occurs.</w:t>
      </w:r>
    </w:p>
    <w:p>
      <w:pPr>
        <w:spacing w:after="0" w:line="20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To mitigate the actuarial and investment risks of our defined benefit pension plans, we from time-to-time purchase annuities (using existing plan assets) from third party insurance companies for certain, or all, plan participants. The purchase of annuities by the pension plan substantially hedges the financial risks associated with the related pension obligations. When we purchase annuities from insurance companies on behalf of applicable plan participants with the intention of winding-up the relevant plan in the future (with the expectation of transferring the annuities to the individual plan members), the insurance company assumes responsibility for the payment of benefits to the relevant plan participants once the wind-up is complete. Settlement accounting is applied to the purchase of the annuities and the loss (if any) is recorded in miscellaneous expense (income) in our consolidated statement of operations. In addition, both the pension assets and liabilities will be removed from our consolidated balance sheet once the wind-up of the plan is complete. When insurance policies are purchased on behalf of, and held by the pension plan, plan assets have been segregated and restricted to provide benefits to plan participants and we would retain the pension assets and liabilities on our consolidated balance sheet. Our annuity</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24" w:name="page125"/>
    <w:bookmarkEnd w:id="124"/>
    <w:p>
      <w:pPr>
        <w:jc w:val="center"/>
        <w:spacing w:after="0"/>
        <w:rPr>
          <w:sz w:val="20"/>
          <w:szCs w:val="20"/>
          <w:color w:val="auto"/>
        </w:rPr>
      </w:pPr>
      <w:r>
        <w:rPr>
          <w:rFonts w:ascii="Times New Roman" w:cs="Times New Roman" w:eastAsia="Times New Roman" w:hAnsi="Times New Roman"/>
          <w:sz w:val="18"/>
          <w:szCs w:val="18"/>
          <w:b w:val="1"/>
          <w:bCs w:val="1"/>
          <w:color w:val="auto"/>
        </w:rPr>
        <w:t>CELESTICA INC.</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of U.S. dollars, except percentages and per share amounts)</w:t>
      </w:r>
    </w:p>
    <w:p>
      <w:pPr>
        <w:spacing w:after="0" w:line="39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purchases have resulted (and future annuity purchases may result) in settlement losses that are recognized from OCI to earnings, net of tax in our consolidated statement of operations, when the settlement occurs.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Stock-based compensation (SBC):</w:t>
      </w:r>
    </w:p>
    <w:p>
      <w:pPr>
        <w:spacing w:after="0" w:line="25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generally grant restricted share units (RSUs) and performance share units (PSUs), and from time to time grant stock options, to employees under our SBC plans. Stock options and RSUs vest in installments over the vesting period. Stock options generally vest one-quarter per year over a four-year period, and RSUs generally vest one-third per year over a three-year period. We treat each installment under a grant of stock options and RSUs as a separate grant in determining the compensation expense. PSUs vest at the end of their respective terms, generally three years from the grant date, to the extent that specified performance conditions have been met. We estimate forfeitures at the time of grant and revise these estimates in subsequent periods if actual forfeitures differ significantly from those estimates. Any revisions are recognized on our consolidated statements of operations such that the cumulative expense reflects the revised estimate.</w:t>
      </w:r>
    </w:p>
    <w:p>
      <w:pPr>
        <w:spacing w:after="0" w:line="21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may grant stock options to employees under our Long-Term Incentive Plan (LTIP). We may grant RSUs and PSUs to employees under either our LTIP or our Celestica Share Unit Plan (CSUP). Under the CSUP, we may settle vested awards (in our discretion) with Common Shares purchased in the open market (on a one-for-one basis) or with cash. Under the LTIP, we may (at the time of grant) authorize the grantees to elect to settle vested awards in either cash or Common Shares issued from treasury (up to a specified limit) or purchased in the open market (in either case on a one-for-one basis). Absent such permitted election for LTIP grants, we intend to settle all employee RSUs and PSUs under the LTIP and CSUP in Common Shares (net of withholding taxes). As a result, we account for these share unit awards as equity-settled awards.</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25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Stock options are exercisable for Common Shares. We recognize the grant date fair value of stock options granted to employees as compensation expense in our consolidated statement of operations, with a corresponding charge to additional paid-in capital on our consolidated balance sheet, over the vesting period. We adjust compensation expense to reflect the estimated number of options we expect to vest at the end of the vesting period. When options are exercised, we credit the proceeds to capital stock on our consolidated balance sheet. We measure the fair value of stock options using the Black-Scholes option pricing model. Measurement inputs include the price of our Common Shares on the grant date, the exercise price of the stock option, and our estimates of the following: expected price volatility of our Common Shares (based on weighted average historic volatility), weighted average expected life of the stock option (based on historical experience and general option-holder behavior), and the risk-free interest rate.</w:t>
      </w: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RSUs:</w:t>
      </w:r>
    </w:p>
    <w:p>
      <w:pPr>
        <w:spacing w:after="0" w:line="25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cost we record for RSUs is based on the market value of our Common Shares at the time of grant. We amortize the cost of RSUs to compensation expense in our consolidated statement of operations, with a corresponding charge to additional paid-in capital on our consolidated balance sheet, over the vesting period.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25" w:name="page126"/>
    <w:bookmarkEnd w:id="125"/>
    <w:p>
      <w:pPr>
        <w:jc w:val="center"/>
        <w:spacing w:after="0"/>
        <w:rPr>
          <w:sz w:val="20"/>
          <w:szCs w:val="20"/>
          <w:color w:val="auto"/>
        </w:rPr>
      </w:pPr>
      <w:r>
        <w:rPr>
          <w:rFonts w:ascii="Times New Roman" w:cs="Times New Roman" w:eastAsia="Times New Roman" w:hAnsi="Times New Roman"/>
          <w:sz w:val="18"/>
          <w:szCs w:val="18"/>
          <w:b w:val="1"/>
          <w:bCs w:val="1"/>
          <w:color w:val="auto"/>
        </w:rPr>
        <w:t>CELESTICA INC.</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of U.S. dollars, except percentages and per share amounts)</w:t>
      </w:r>
    </w:p>
    <w:p>
      <w:pPr>
        <w:spacing w:after="0" w:line="3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PSUs:</w:t>
      </w:r>
    </w:p>
    <w:p>
      <w:pPr>
        <w:spacing w:after="0" w:line="25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number of PSUs that will actually vest varies from 0% to 200% of a target amount granted. For PSUs granted in 2022, the number of PSUs that vested or will vest are based on the level of achievement of a pre-determined non-market performance measurement in the final year of the three-year performance period, subject to modification by each of a separate pre-determined non-market financial target, and our relative total shareholder return (TSR), a market performance condition, compared to a pre-defined group of companies, over the three-year performance period. Commencing in 2023, the number of PSUs that will vest are based on the level of achievement of a different pre-determined non-market performance measurement, subject to modification by our relative TSR compared to a pre-defined group of companies, in each case over the three-year performance period. The cost we record for PSUs is based on our estimate of the outcome of the applicable performance conditions. The grant date fair value of the non-TSR-based performance measurement and modifier (where applicable) is based on the market value of our Common Shares at the time of grant and is subject to adjustment in subsequent periods to reflect changes in the estimated level of achievement related to the applicable performance condition. The grant date fair value of the TSR modifier is based on a Monte Carlo simulation model. We recognize compensation expense in our consolidated statement of operations on a straight-line basis over the requisite service period and we reduce this expense for the estimated PSU awards that are not expected to vest because the employment conditions are not expected to be satisfied.</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Deferred Share Units (DSUs):</w:t>
      </w:r>
    </w:p>
    <w:p>
      <w:pPr>
        <w:spacing w:after="0" w:line="25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compensation of our directors is comprised of annual Board and Board Chair retainer fees, annual standing Board committee Chair retainer fees (where applicable), and travel fees (collectively, Annual Fees) payable in quarterly installments in arrears**. Directors must elect to receive 0%, 25% or 50% of their Annual Fees in cash, with the balance in DSUs, until such director satisfies the requirements of the Company's Director Share Ownership Guidelines. Once a director has satisfied such requirements, the director may then elect to receive 0%, 25% or 50% of their Annual Fees in cash, with the balance either in DSUs or in RSUs (if no election is made, 100% of such director's Annual Fees will be paid in DSUs). The number of DSUs or RSUs we grant is determined by dividing the elected percentage of the dollar value of the Annual Fees earned in the quarter by the closing price of our Common Shares on the NYSE on the last business day of such quarter (in the case of DSUs) or the trading day preceding the date of grant (in the case of RSUs). Each DSU represents the right to receive one common share or an equivalent value in cash (at the discretion of the Company) after the individual ceases to serve as a director, and is neither an employee of the Company, nor a director or employee of any corporation that does not deal at arm's length with the Company (Retires). DSUs granted to directors may be settled with Common Shares purchased in the open market, or with cash. We intend to settle DSU awards with Common Shares. RSUs granted to directors vest ratably over a three-year period and are governed by the terms of our LTIP. Each vested RSU entitles the holder thereof to one common share; however, if permitted by the Company under the terms of the grant, a director may elect to receive a payment of cash in lieu of Common Shares. Absent such permitted election, we intend to settle these RSU awards with Common Shares. We account for DSUs and RSUs granted to directors as equity-settled awards. Unvested RSUs vest immediately on the date the director Retires. We expense the cost of director compensation through SG&amp;A in our consolidated statement of operations in the period the services are rendered.</w:t>
      </w:r>
    </w:p>
    <w:p>
      <w:pPr>
        <w:spacing w:after="0" w:line="225" w:lineRule="exact"/>
        <w:rPr>
          <w:sz w:val="20"/>
          <w:szCs w:val="20"/>
          <w:color w:val="auto"/>
        </w:rPr>
      </w:pPr>
    </w:p>
    <w:p>
      <w:pPr>
        <w:jc w:val="both"/>
        <w:ind w:firstLine="8"/>
        <w:spacing w:after="0" w:line="264" w:lineRule="auto"/>
        <w:tabs>
          <w:tab w:leader="none" w:pos="225" w:val="left"/>
        </w:tabs>
        <w:numPr>
          <w:ilvl w:val="0"/>
          <w:numId w:val="55"/>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 xml:space="preserve">Prior to September 3, 2023, we were party to a services agreement (Services Agreement) with Onex Corporation (Onex), our then-controlling shareholder, for the services of Mr. Tawfiq Popatia, an officer of Onex, as a director of Celestica, pursuant to which Onex received compensation for such services. The Services Agreement terminated automatically on September 3, 2023. Mr. Popatia resigned from our Board on September 3, 2023. Onex’s outstanding DSUs were settled in October 2023. See notes 12 </w:t>
      </w:r>
      <w:r>
        <w:rPr>
          <w:rFonts w:ascii="Times New Roman" w:cs="Times New Roman" w:eastAsia="Times New Roman" w:hAnsi="Times New Roman"/>
          <w:sz w:val="16"/>
          <w:szCs w:val="16"/>
          <w:color w:val="auto"/>
        </w:rPr>
        <w:t>and</w:t>
      </w:r>
      <w:r>
        <w:rPr>
          <w:rFonts w:ascii="Times New Roman" w:cs="Times New Roman" w:eastAsia="Times New Roman" w:hAnsi="Times New Roman"/>
          <w:sz w:val="16"/>
          <w:szCs w:val="16"/>
          <w:i w:val="1"/>
          <w:iCs w:val="1"/>
          <w:color w:val="auto"/>
        </w:rPr>
        <w:t xml:space="preserve"> 16.</w:t>
      </w:r>
    </w:p>
    <w:p>
      <w:pPr>
        <w:spacing w:after="0" w:line="196" w:lineRule="exact"/>
        <w:rPr>
          <w:sz w:val="20"/>
          <w:szCs w:val="20"/>
          <w:color w:val="auto"/>
        </w:rPr>
      </w:pPr>
    </w:p>
    <w:p>
      <w:pPr>
        <w:ind w:left="440" w:hanging="432"/>
        <w:spacing w:after="0"/>
        <w:tabs>
          <w:tab w:leader="none" w:pos="440" w:val="left"/>
        </w:tabs>
        <w:numPr>
          <w:ilvl w:val="0"/>
          <w:numId w:val="5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Income taxes: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income tax expense for each reporting period is comprised of current and deferred income taxes. Current income taxes and deferred income taxes are recognized in our consolidated statement of operations, except to the extent that they relate to items recognized in OCI or directly in equity, in which case they are recognized in OCI or directly in equity, respectively.</w:t>
      </w:r>
    </w:p>
    <w:p>
      <w:pPr>
        <w:spacing w:after="0" w:line="20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the ordinary course of business, there are many transactions for which the ultimate tax outcome is uncertain until we resolve it with the relevant tax authority, which may take many years. The final tax outcome of these matters may be different from the estimates management originally made in determining our tax provision. Management periodically evaluates the positions taken in our tax returns where applicable tax rules are subject to interpretation. We establish</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26" w:name="page127"/>
    <w:bookmarkEnd w:id="126"/>
    <w:p>
      <w:pPr>
        <w:jc w:val="center"/>
        <w:spacing w:after="0"/>
        <w:rPr>
          <w:sz w:val="20"/>
          <w:szCs w:val="20"/>
          <w:color w:val="auto"/>
        </w:rPr>
      </w:pPr>
      <w:r>
        <w:rPr>
          <w:rFonts w:ascii="Times New Roman" w:cs="Times New Roman" w:eastAsia="Times New Roman" w:hAnsi="Times New Roman"/>
          <w:sz w:val="18"/>
          <w:szCs w:val="18"/>
          <w:b w:val="1"/>
          <w:bCs w:val="1"/>
          <w:color w:val="auto"/>
        </w:rPr>
        <w:t>CELESTICA INC.</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of U.S. dollars, except percentages and per share amounts)</w:t>
      </w:r>
    </w:p>
    <w:p>
      <w:pPr>
        <w:spacing w:after="0" w:line="39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provisions related to tax uncertainties where appropriate, based on our estimate of the amount that ultimately will be paid to or received from the tax authorities. We recognize accrued interest and penalties relating to tax uncertainties in current income tax expense. The various judgments and estimates used by management in establishing provisions related to tax uncertainties can significantly affect the amounts we recognize in our consolidated financial statements.</w:t>
      </w:r>
    </w:p>
    <w:p>
      <w:pPr>
        <w:spacing w:after="0" w:line="20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use the asset and liability method of accounting for deferred income taxes. Under this method, we recognize deferred income tax assets and liabilities for future income tax consequences attributable to temporary differences between the financial statement carrying amounts of assets and liabilities and their respective income tax bases, and on unused tax losses and tax credit carryforwards. We measure deferred income taxes using tax rates and laws that have been enacted at the reporting date and that we expect will apply when the related deferred income tax asset is realized, or the deferred income tax liability is settled. Deferred tax assets are recognized in full and a valuation allowance is separately recognized to reduce the deferred tax assets to an amount that is more likely than not to be realized based on management’s estimates that future taxable profit will be available against which the deductible temporary differences as well as unused tax losses and tax credit carryforwards can be utilized. Estimates of future taxable profit in different tax jurisdictions are an area of estimation uncertainty. We review our deferred income tax assets for realizability at each reporting date. We recognize the effect of a change in income tax rates in the period of enactment.</w:t>
      </w:r>
    </w:p>
    <w:p>
      <w:pPr>
        <w:spacing w:after="0" w:line="21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Deferred taxes are recognized for temporary differences arising on the initial recognition of an acquired asset or liability. We do not recognize deferred income taxes if they arise from the initial recognition of goodwill. We also do not recognize deferred income taxes on temporary differences relating to investments in subsidiaries to the extent that it is essentially permanent in duration, unless it becomes apparent that the difference will reverse in the foreseeable future.</w:t>
      </w:r>
    </w:p>
    <w:p>
      <w:pPr>
        <w:spacing w:after="0" w:line="20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During each period, we record current income tax expense or recovery based on taxable income earned or loss incurred in each tax jurisdiction where we operate, and for any adjustments to taxes payable in respect of previous years, using tax laws that are enacted at the balance sheet date.</w:t>
      </w:r>
    </w:p>
    <w:p>
      <w:pPr>
        <w:spacing w:after="0" w:line="185"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i w:val="1"/>
          <w:iCs w:val="1"/>
          <w:color w:val="auto"/>
        </w:rPr>
        <w:t>(n)</w:t>
        <w:tab/>
        <w:t>Derivatives and hedge accounting:</w:t>
      </w:r>
    </w:p>
    <w:p>
      <w:pPr>
        <w:spacing w:after="0" w:line="256" w:lineRule="exact"/>
        <w:rPr>
          <w:sz w:val="20"/>
          <w:szCs w:val="20"/>
          <w:color w:val="auto"/>
        </w:rPr>
      </w:pPr>
    </w:p>
    <w:p>
      <w:pPr>
        <w:jc w:val="both"/>
        <w:ind w:firstLine="291"/>
        <w:spacing w:after="0" w:line="256" w:lineRule="auto"/>
        <w:rPr>
          <w:sz w:val="20"/>
          <w:szCs w:val="20"/>
          <w:color w:val="auto"/>
        </w:rPr>
      </w:pPr>
      <w:r>
        <w:rPr>
          <w:rFonts w:ascii="Times New Roman" w:cs="Times New Roman" w:eastAsia="Times New Roman" w:hAnsi="Times New Roman"/>
          <w:sz w:val="18"/>
          <w:szCs w:val="18"/>
          <w:color w:val="auto"/>
        </w:rPr>
        <w:t>We enter into foreign exchange derivatives, interest rate swap and total return swap (TRS) contracts to hedge the cash flow risk associated with forecasted transactions that we consider to be highly probable, including those in foreign currencies, and to hedge foreign-currency denominated balances. We use estimates to forecast future cash flows and the future financial position of monetary assets or liabilities denominated in foreign currencies. We enter into interest rate swap agreements to mitigate the interest rate risk on a portion of our term loan borrowings. We are party to a TRS agreement (TRS Agreement) to manage our cash flow requirements and exposure to fluctuations in the share price of the Common Shares in connection with the settlement of certain outstanding equity awards under our SBC plans.</w:t>
      </w:r>
    </w:p>
    <w:p>
      <w:pPr>
        <w:spacing w:after="0" w:line="21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Derivative instruments are reported in other current and non-current assets or other current and non-current liabilities at fair value. We value our derivative assets and liabilities based on inputs that are either readily available in public markets or derived from information available in public markets. The inputs we use include discount rates, forward exchange rates, interest rate yield curves and volatility, the share price of our Common Shares, and credit risk adjustments. Changes in these inputs can cause significant volatility in the fair value of our financial instruments.</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do not enter into derivative contracts for speculative purposes. Starting January 2024, we link all derivatives to specific assets and liabilities on our consolidated balance sheet or forecasted transactions and we record the gain or loss from these derivatives in the same line item where the underlying exposures are recognized in our consolidated statement of operations. Cash receipts and cash payments related to these derivatives are recorded in the same category as the cash flows from the hedged items on the consolidated statement of cash flows. See note 19 for detail.</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27" w:name="page128"/>
    <w:bookmarkEnd w:id="127"/>
    <w:p>
      <w:pPr>
        <w:jc w:val="center"/>
        <w:spacing w:after="0"/>
        <w:rPr>
          <w:sz w:val="20"/>
          <w:szCs w:val="20"/>
          <w:color w:val="auto"/>
        </w:rPr>
      </w:pPr>
      <w:r>
        <w:rPr>
          <w:rFonts w:ascii="Times New Roman" w:cs="Times New Roman" w:eastAsia="Times New Roman" w:hAnsi="Times New Roman"/>
          <w:sz w:val="18"/>
          <w:szCs w:val="18"/>
          <w:b w:val="1"/>
          <w:bCs w:val="1"/>
          <w:color w:val="auto"/>
        </w:rPr>
        <w:t>CELESTICA INC.</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of U.S. dollars, except percentages and per share amounts)</w:t>
      </w:r>
    </w:p>
    <w:p>
      <w:pPr>
        <w:spacing w:after="0" w:line="39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apply hedge accounting to those hedge relationships that are considered effective. At the inception of a hedging relationship, we formally document the relationship between our hedging instrument and the hedged item, as well as our risk management objectives and strategy for undertaking the various hedge transactions. Management performs an assessment, at inception and, at a minimum, quarterly thereafter, to determine the effectiveness of the derivatives in offsetting changes in the cash flows of the hedged items. Subsequent revisions in estimates of future cash flow forecasts, if significant, may result in the discontinuation of hedge accounting for that hedge. The majority of our derivative assets and liabilities arise from the foreign currency forward and swap contracts and interest rate swaps that we designate as cash flow hedges. In a cash flow hedge, we defer the changes in the fair value of the hedging derivative in accumulated OCI (AOCI) until we recognize the hedged transaction in our consolidated statement of operations. For hedging instruments that we discontinue before the end of the original hedge term, we amortize the unrealized hedge gain or loss in AOCI to our consolidated statement of operations over the remaining term of the hedging relationship or when the hedged item is recognized in net income, if this occurs prior to the end of the original term of the hedging relationship. If the hedged item ceases to exist before the end of the original hedge term, we recognize the unrealized hedge gain or loss in AOCI immediately in our consolidated statement of operations. For our current foreign currency forward and swap cash flow hedges, the majority of the underlying expenses we hedge are for inventory, labor and facility costs, which are included in cost of sales in our consolidated statement of operations. For our interest rate swap agreements, the underlying interest expenses that we hedge are included in finance costs in our consolidated statement of operations. Derivatives that are not effective hedges for accounting purposes are marked to market each period, resulting in a gain or loss in our consolidated statement of operations.</w:t>
      </w:r>
    </w:p>
    <w:p>
      <w:pPr>
        <w:spacing w:after="0" w:line="219" w:lineRule="exact"/>
        <w:rPr>
          <w:sz w:val="20"/>
          <w:szCs w:val="20"/>
          <w:color w:val="auto"/>
        </w:rPr>
      </w:pPr>
    </w:p>
    <w:p>
      <w:pPr>
        <w:ind w:left="400" w:hanging="392"/>
        <w:spacing w:after="0"/>
        <w:tabs>
          <w:tab w:leader="none" w:pos="400" w:val="left"/>
        </w:tabs>
        <w:numPr>
          <w:ilvl w:val="0"/>
          <w:numId w:val="5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Impairment of financial assets:</w:t>
      </w:r>
    </w:p>
    <w:p>
      <w:pPr>
        <w:spacing w:after="0" w:line="25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We review financial assets for impairment at each reporting date. Financial assets are deemed to be impaired when objective evidence resulting from one or more events subsequent to the initial recognition of the asset indicates the estimated future cash flows of the asset have decreased. We use a current expected credit loss model in determining our allowance for credit losses as it relates to trade receivables, contract assets under ASC 606, </w:t>
      </w:r>
      <w:r>
        <w:rPr>
          <w:rFonts w:ascii="Times New Roman" w:cs="Times New Roman" w:eastAsia="Times New Roman" w:hAnsi="Times New Roman"/>
          <w:sz w:val="18"/>
          <w:szCs w:val="18"/>
          <w:i w:val="1"/>
          <w:iCs w:val="1"/>
          <w:color w:val="auto"/>
        </w:rPr>
        <w:t>Revenue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from Contracts with Customers</w:t>
      </w:r>
      <w:r>
        <w:rPr>
          <w:rFonts w:ascii="Times New Roman" w:cs="Times New Roman" w:eastAsia="Times New Roman" w:hAnsi="Times New Roman"/>
          <w:sz w:val="18"/>
          <w:szCs w:val="18"/>
          <w:color w:val="auto"/>
        </w:rPr>
        <w:t>, and other financial assets. Our allowance is based on historical experience, and includes consideration of the aging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balances, the customer's creditworthiness, current economic conditions, expectation of bankruptcies, and political and economic volatility in the markets/location of our customers, among other factors. We measure an impairment loss as the excess of the carrying amount over the present value of the estimated future cash flows discounted using the financial asset’s original discount rate, and we recognize this loss in our consolidated statement of operations. A financial asset is written-off or written-down to its net realizable value as soon as it is determined to be impaired. We adjust previous write-downs to reflect changes in estimates or actual experience.</w:t>
      </w:r>
    </w:p>
    <w:p>
      <w:pPr>
        <w:spacing w:after="0" w:line="211" w:lineRule="exact"/>
        <w:rPr>
          <w:sz w:val="20"/>
          <w:szCs w:val="20"/>
          <w:color w:val="auto"/>
        </w:rPr>
      </w:pPr>
    </w:p>
    <w:p>
      <w:pPr>
        <w:ind w:left="400" w:hanging="392"/>
        <w:spacing w:after="0"/>
        <w:tabs>
          <w:tab w:leader="none" w:pos="400" w:val="left"/>
        </w:tabs>
        <w:numPr>
          <w:ilvl w:val="0"/>
          <w:numId w:val="5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Revenue:</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We derive the majority of our revenue from the sale of electronic products we manufacture and services we provide to customer specifications. In determining when to recognize revenue, and in what amount, we apply the following steps in accordance with ASC 606, </w:t>
      </w:r>
      <w:r>
        <w:rPr>
          <w:rFonts w:ascii="Times New Roman" w:cs="Times New Roman" w:eastAsia="Times New Roman" w:hAnsi="Times New Roman"/>
          <w:sz w:val="18"/>
          <w:szCs w:val="18"/>
          <w:i w:val="1"/>
          <w:iCs w:val="1"/>
          <w:color w:val="auto"/>
        </w:rPr>
        <w:t>Revenue from Contracts with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Customers</w:t>
      </w:r>
      <w:r>
        <w:rPr>
          <w:rFonts w:ascii="Times New Roman" w:cs="Times New Roman" w:eastAsia="Times New Roman" w:hAnsi="Times New Roman"/>
          <w:sz w:val="18"/>
          <w:szCs w:val="18"/>
          <w:color w:val="auto"/>
        </w:rPr>
        <w:t>: (i) identify the contract with a customer; (ii) identify the performance obligations in the contract; (iii) determine the transaction price; (iv)</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allocate the transaction price to the performance obligations in the contract; and (v) recognize revenue when (or as) we satisfy a performance obligation. We assess whether control of a product or services promised under a contract is transferred to the customer at a point-in-time or over time as the product is being manufactured or the services are being provided.</w:t>
      </w:r>
    </w:p>
    <w:p>
      <w:pPr>
        <w:spacing w:after="0" w:line="21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contracts with customers may include certain forms of variable consideration such as cost of materials adjustments, committed and other periodic price reductions and other rebates. We include an estimate of variable consideration when determining the transaction price and the appropriate amount of revenue to be recognized. This estimate is limited to an amount which will not result in a significant reversal of revenue in a future period. Factors considered in our estimate of variable consideration are the potential amount subject to these contract provisions, historical experience and other relevant facts and circumstances.</w:t>
      </w:r>
    </w:p>
    <w:p>
      <w:pPr>
        <w:spacing w:after="0" w:line="21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 contract’s transaction price is allocated to each distinct performance obligation and recognized as revenue when, or as, the performance obligation is satisfied. In the event that more than one performance obligation is identified in a contract, we are required to allocate a portion of the transaction price to each performance obligation. This allocation would generally be based on the relative standalone price of each performance obligation, which most often would represent the price at which we would sell similar goods or services separately. As most of our contracts have an expected duration of one</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28" w:name="page129"/>
    <w:bookmarkEnd w:id="128"/>
    <w:p>
      <w:pPr>
        <w:jc w:val="center"/>
        <w:spacing w:after="0"/>
        <w:rPr>
          <w:sz w:val="20"/>
          <w:szCs w:val="20"/>
          <w:color w:val="auto"/>
        </w:rPr>
      </w:pPr>
      <w:r>
        <w:rPr>
          <w:rFonts w:ascii="Times New Roman" w:cs="Times New Roman" w:eastAsia="Times New Roman" w:hAnsi="Times New Roman"/>
          <w:sz w:val="18"/>
          <w:szCs w:val="18"/>
          <w:b w:val="1"/>
          <w:bCs w:val="1"/>
          <w:color w:val="auto"/>
        </w:rPr>
        <w:t>CELESTICA INC.</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of U.S. dollars, except percentages and per share amounts)</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 or less, we have applied the optional exemption such that specified disclosures pertaining to remaining performance obligations are not required.</w:t>
      </w:r>
    </w:p>
    <w:p>
      <w:pPr>
        <w:spacing w:after="0" w:line="25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recognize revenue from the sale of products and services rendered when our performance obligations have been satisfied or when the associated control over the products has passed to the customer and no material uncertainties remain as to the collection of our receivables. Where the products are custom-made to meet a customer's specific requirements, and such customer is obligated to compensate us for the work performed to date, we recognize revenue over time as production progresses to completion, or as services are rendered. We generally estimate revenue for our work in progress based on costs incurred to date plus a reasonable profit margin for eligible products for which we do not have alternative uses. For other contracts that do not qualify for revenue recognition over time, we recognize revenue at a point in time where control is passed to the customer, which is generally upon shipment when no further performance obligation remains except for our standard manufacturing or service warranties. We apply significant estimates, judgment and assumptions in interpreting our customer contracts, determining the timing of revenue recognition and measuring work in progress. As our invoices are typically issued at the time of the delivery of final products to the customers, the earlier recognition of revenue on certain custom-made products has resulted in unbilled contract assets which we include in A/R on our consolidated balance sheet.</w:t>
      </w:r>
    </w:p>
    <w:p>
      <w:pPr>
        <w:spacing w:after="0" w:line="22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Taxes assessed by governmental authorities that are both imposed on and concurrent with a specific revenue-producing transaction, and are collected by us from a customer, are excluded from revenue.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 Fair value measurement:</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The three levels within the fair value hierarchy, based on the reliability of inputs, are as follows:</w:t>
      </w:r>
    </w:p>
    <w:p>
      <w:pPr>
        <w:spacing w:after="0" w:line="203" w:lineRule="exact"/>
        <w:rPr>
          <w:sz w:val="20"/>
          <w:szCs w:val="20"/>
          <w:color w:val="auto"/>
        </w:rPr>
      </w:pPr>
    </w:p>
    <w:p>
      <w:pPr>
        <w:ind w:left="940" w:hanging="284"/>
        <w:spacing w:after="0"/>
        <w:tabs>
          <w:tab w:leader="none" w:pos="94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inputs are quoted prices (unadjusted) in active markets for identical assets or liabilities;</w:t>
      </w:r>
    </w:p>
    <w:p>
      <w:pPr>
        <w:spacing w:after="0" w:line="27" w:lineRule="exact"/>
        <w:rPr>
          <w:rFonts w:ascii="Times New Roman" w:cs="Times New Roman" w:eastAsia="Times New Roman" w:hAnsi="Times New Roman"/>
          <w:sz w:val="18"/>
          <w:szCs w:val="18"/>
          <w:color w:val="auto"/>
        </w:rPr>
      </w:pPr>
    </w:p>
    <w:p>
      <w:pPr>
        <w:ind w:left="900" w:right="20" w:hanging="244"/>
        <w:spacing w:after="0" w:line="250" w:lineRule="auto"/>
        <w:tabs>
          <w:tab w:leader="none" w:pos="956"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inputs are inputs other than quoted prices included in Level 1 that are observable for the asset or liability either directly (i.e. prices) or indirectly (i.e. derived from prices); and</w:t>
      </w:r>
    </w:p>
    <w:p>
      <w:pPr>
        <w:ind w:left="900" w:hanging="244"/>
        <w:spacing w:after="0"/>
        <w:tabs>
          <w:tab w:leader="none" w:pos="90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inputs are inputs for the asset or liability that are not based on observable market data (i.e. unobservable inputs).</w:t>
      </w:r>
    </w:p>
    <w:p>
      <w:pPr>
        <w:spacing w:after="0" w:line="22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April 26, 2024, we completed the acquisition of 100% of the interests of NCS Global Services LLC (NCS), a U.S.-based IT infrastructure and asset management business, for a purchase price of $39.6. The purchase price was funded with the revolving portion of our credit facility (see note 11). The NCS acquisition agreement also includes a potential earn-out of up to $20 if certain adjusted earnings before interest, taxes, depreciation and amortization targets are achieved during the period from May 2024 to April 2025. We estimated the fair value of such potential earn-out to be $6.6 at the date of acquisition. We recorded purchase consideration of $46.2 for the fair value of the acquired assets (including $3.5 of cash) and liabilities at the date of acquisition on our consolidated balance sheet.</w:t>
      </w: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Details of our final purchase price allocation for the NCS acquisition are as follows: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29" w:name="page130"/>
    <w:bookmarkEnd w:id="129"/>
    <w:p>
      <w:pPr>
        <w:jc w:val="center"/>
        <w:spacing w:after="0"/>
        <w:rPr>
          <w:sz w:val="20"/>
          <w:szCs w:val="20"/>
          <w:color w:val="auto"/>
        </w:rPr>
      </w:pPr>
      <w:r>
        <w:rPr>
          <w:rFonts w:ascii="Times New Roman" w:cs="Times New Roman" w:eastAsia="Times New Roman" w:hAnsi="Times New Roman"/>
          <w:sz w:val="18"/>
          <w:szCs w:val="18"/>
          <w:b w:val="1"/>
          <w:bCs w:val="1"/>
          <w:color w:val="auto"/>
        </w:rPr>
        <w:t>CELESTICA INC.</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of U.S. dollars, except percentages and per share amounts)</w:t>
      </w:r>
    </w:p>
    <w:p>
      <w:pPr>
        <w:spacing w:after="0" w:line="200" w:lineRule="exact"/>
        <w:rPr>
          <w:sz w:val="20"/>
          <w:szCs w:val="20"/>
          <w:color w:val="auto"/>
        </w:rPr>
      </w:pPr>
    </w:p>
    <w:p>
      <w:pPr>
        <w:spacing w:after="0" w:line="232"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97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6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29"/>
        </w:trPr>
        <w:tc>
          <w:tcPr>
            <w:tcW w:w="972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and other current assets</w:t>
            </w:r>
          </w:p>
        </w:tc>
        <w:tc>
          <w:tcPr>
            <w:tcW w:w="6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30"/>
        </w:trPr>
        <w:tc>
          <w:tcPr>
            <w:tcW w:w="9720" w:type="dxa"/>
            <w:vAlign w:val="bottom"/>
          </w:tcPr>
          <w:p>
            <w:pPr>
              <w:spacing w:after="0"/>
              <w:rPr>
                <w:sz w:val="20"/>
                <w:szCs w:val="20"/>
                <w:color w:val="auto"/>
              </w:rPr>
            </w:pPr>
            <w:r>
              <w:rPr>
                <w:rFonts w:ascii="Times New Roman" w:cs="Times New Roman" w:eastAsia="Times New Roman" w:hAnsi="Times New Roman"/>
                <w:sz w:val="18"/>
                <w:szCs w:val="18"/>
                <w:color w:val="auto"/>
              </w:rPr>
              <w:t>Right-of-use (ROU) assets</w:t>
            </w:r>
          </w:p>
        </w:tc>
        <w:tc>
          <w:tcPr>
            <w:tcW w:w="6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29"/>
        </w:trPr>
        <w:tc>
          <w:tcPr>
            <w:tcW w:w="972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6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29"/>
        </w:trPr>
        <w:tc>
          <w:tcPr>
            <w:tcW w:w="9720" w:type="dxa"/>
            <w:vAlign w:val="bottom"/>
          </w:tcPr>
          <w:p>
            <w:pPr>
              <w:spacing w:after="0"/>
              <w:rPr>
                <w:sz w:val="20"/>
                <w:szCs w:val="20"/>
                <w:color w:val="auto"/>
              </w:rPr>
            </w:pPr>
            <w:r>
              <w:rPr>
                <w:rFonts w:ascii="Times New Roman" w:cs="Times New Roman" w:eastAsia="Times New Roman" w:hAnsi="Times New Roman"/>
                <w:sz w:val="18"/>
                <w:szCs w:val="18"/>
                <w:color w:val="auto"/>
              </w:rPr>
              <w:t>Computer software assets and intellectual property</w:t>
            </w:r>
          </w:p>
        </w:tc>
        <w:tc>
          <w:tcPr>
            <w:tcW w:w="6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30"/>
        </w:trPr>
        <w:tc>
          <w:tcPr>
            <w:tcW w:w="9720" w:type="dxa"/>
            <w:vAlign w:val="bottom"/>
          </w:tcPr>
          <w:p>
            <w:pPr>
              <w:spacing w:after="0"/>
              <w:rPr>
                <w:sz w:val="20"/>
                <w:szCs w:val="20"/>
                <w:color w:val="auto"/>
              </w:rPr>
            </w:pPr>
            <w:r>
              <w:rPr>
                <w:rFonts w:ascii="Times New Roman" w:cs="Times New Roman" w:eastAsia="Times New Roman" w:hAnsi="Times New Roman"/>
                <w:sz w:val="18"/>
                <w:szCs w:val="18"/>
                <w:color w:val="auto"/>
              </w:rPr>
              <w:t>Customer and brand intangible assets</w:t>
            </w:r>
          </w:p>
        </w:tc>
        <w:tc>
          <w:tcPr>
            <w:tcW w:w="6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w:t>
            </w:r>
          </w:p>
        </w:tc>
      </w:tr>
      <w:tr>
        <w:trPr>
          <w:trHeight w:val="229"/>
        </w:trPr>
        <w:tc>
          <w:tcPr>
            <w:tcW w:w="9720" w:type="dxa"/>
            <w:vAlign w:val="bottom"/>
          </w:tcPr>
          <w:p>
            <w:pPr>
              <w:spacing w:after="0"/>
              <w:rPr>
                <w:sz w:val="20"/>
                <w:szCs w:val="20"/>
                <w:color w:val="auto"/>
              </w:rPr>
            </w:pPr>
            <w:r>
              <w:rPr>
                <w:rFonts w:ascii="Times New Roman" w:cs="Times New Roman" w:eastAsia="Times New Roman" w:hAnsi="Times New Roman"/>
                <w:sz w:val="18"/>
                <w:szCs w:val="18"/>
                <w:color w:val="auto"/>
              </w:rPr>
              <w:t>Goodwill (see note 8)</w:t>
            </w:r>
          </w:p>
        </w:tc>
        <w:tc>
          <w:tcPr>
            <w:tcW w:w="6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r>
      <w:tr>
        <w:trPr>
          <w:trHeight w:val="229"/>
        </w:trPr>
        <w:tc>
          <w:tcPr>
            <w:tcW w:w="972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6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30"/>
        </w:trPr>
        <w:tc>
          <w:tcPr>
            <w:tcW w:w="972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6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34"/>
        </w:trPr>
        <w:tc>
          <w:tcPr>
            <w:tcW w:w="972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 liabilities</w:t>
            </w:r>
          </w:p>
        </w:tc>
        <w:tc>
          <w:tcPr>
            <w:tcW w:w="6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23"/>
        </w:trPr>
        <w:tc>
          <w:tcPr>
            <w:tcW w:w="9720" w:type="dxa"/>
            <w:vAlign w:val="bottom"/>
          </w:tcPr>
          <w:p>
            <w:pPr>
              <w:spacing w:after="0"/>
              <w:rPr>
                <w:sz w:val="19"/>
                <w:szCs w:val="19"/>
                <w:color w:val="auto"/>
              </w:rPr>
            </w:pPr>
          </w:p>
        </w:tc>
        <w:tc>
          <w:tcPr>
            <w:tcW w:w="6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w:t>
            </w:r>
          </w:p>
        </w:tc>
      </w:tr>
      <w:tr>
        <w:trPr>
          <w:trHeight w:val="20"/>
        </w:trPr>
        <w:tc>
          <w:tcPr>
            <w:tcW w:w="97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engaged third-party consultants to provide valuations of acquired intangible assets and the potential earn-out. The valuation of the intangible assets and the potential earn-out was primarily based on the income approach using a discounted cash flow model and forecasts based on management's subjective estimates and assumptions. Various Level 2 and 3 data inputs of the fair value measurement hierarchy (defined in note 2</w:t>
      </w:r>
      <w:r>
        <w:rPr>
          <w:rFonts w:ascii="Times New Roman" w:cs="Times New Roman" w:eastAsia="Times New Roman" w:hAnsi="Times New Roman"/>
          <w:sz w:val="18"/>
          <w:szCs w:val="18"/>
          <w:i w:val="1"/>
          <w:iCs w:val="1"/>
          <w:color w:val="auto"/>
        </w:rPr>
        <w:t>(q)</w:t>
      </w:r>
      <w:r>
        <w:rPr>
          <w:rFonts w:ascii="Times New Roman" w:cs="Times New Roman" w:eastAsia="Times New Roman" w:hAnsi="Times New Roman"/>
          <w:sz w:val="18"/>
          <w:szCs w:val="18"/>
          <w:color w:val="auto"/>
        </w:rPr>
        <w:t>) were used in the valuation of the foregoing assets.</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Newly-recognized customer intangible assets from the acquisition is amortized on a straight line basis over an estimated useful life of 10 years. As a result, our amortization of intangible assets will increase by approximately $3 annually. Goodwill from the acquisition arose primarily from expected synergies from the combination of our operations. Such goodwill is attributable to our CCS segment and is not tax deductible.</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Had the acquisition occurred on January 1, 2024, NCS would have contributed an immaterial amount to our revenue and net earnings.</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recorded acquisition costs of $1.6 in 2024 related to our acquisition of NCS. See note 14 for all acquisition costs incurred in 2022, 2023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w:t>
      </w:r>
    </w:p>
    <w:p>
      <w:pPr>
        <w:spacing w:after="0" w:line="23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7"/>
          <w:szCs w:val="17"/>
          <w:b w:val="1"/>
          <w:bCs w:val="1"/>
          <w:color w:val="auto"/>
        </w:rPr>
        <w:t>ACCOUNTS RECEIVABLE, NET: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credit losses:</w:t>
      </w:r>
    </w:p>
    <w:p>
      <w:pPr>
        <w:spacing w:after="0" w:line="243"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We use a current expected credit loss model in determining our allowance for credit losses. Our allowance is based on historical experience, and includes consideration of the aging of the balances, the customer's creditworthiness, current economic conditions, expectations of bankruptcies, and political and economic volatility in the markets/location of our customers, among other factors. Accounts receivable was recorded net of allowance of $10.1 at December 31, 2024 (December 31, 2023 — $8.4).</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A/R sales program and supplier financing programs (SFPs):</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are party to an A/R sales program agreement with a third-party bank to sell up to $450.0 in A/R on an uncommitted, revolving basis, subject to pre-determined limits by customer. This agreement provides for automatic annual one-year extensions. This agreement may be terminated at any time by the bank or by us upon 3 months’ prior notice, or by the bank upon specified defaults. We are required to comply with covenants, including those relating to the fulfillment of payment obligations and restrictions on the sale, assignment or creation of liens, with respect to A/R sold under this agreement. At December 31, 2024 and December 31, 2023, we were in compliance with these covenants. Under our A/R sales program, we continue to collect cash from our customers and remit amounts collected to the bank weekly.</w:t>
      </w:r>
    </w:p>
    <w:p>
      <w:pPr>
        <w:spacing w:after="0" w:line="21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2024, we participate in three customer SFPs, one with a CCS segment customer and two with ATS segment customers. Pursuant to the SFPs, we sell A/R from the relevant customer to third-party banks on an uncommitted basis. The SFPs have indefinite terms and may be terminated at any time by the customer or by us upon specified prior notice. We utilize the SFPs to substantially offset the effect of extended payment terms required by these</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30" w:name="page131"/>
    <w:bookmarkEnd w:id="130"/>
    <w:p>
      <w:pPr>
        <w:jc w:val="center"/>
        <w:spacing w:after="0"/>
        <w:rPr>
          <w:sz w:val="20"/>
          <w:szCs w:val="20"/>
          <w:color w:val="auto"/>
        </w:rPr>
      </w:pPr>
      <w:r>
        <w:rPr>
          <w:rFonts w:ascii="Times New Roman" w:cs="Times New Roman" w:eastAsia="Times New Roman" w:hAnsi="Times New Roman"/>
          <w:sz w:val="18"/>
          <w:szCs w:val="18"/>
          <w:b w:val="1"/>
          <w:bCs w:val="1"/>
          <w:color w:val="auto"/>
        </w:rPr>
        <w:t>CELESTICA INC.</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of U.S. dollars, except percentages and per share amounts)</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customers on our working capital for the period. Under our SFPs, the third-party banks collect the relevant receivables directly from the customers.</w:t>
      </w:r>
    </w:p>
    <w:p>
      <w:pPr>
        <w:spacing w:after="0" w:line="25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At December 31, 2024, we sold nil of A/R (December 31, 2023 — nil) under our A/R sales program and nil of A/R (December 31, 2023 — $18.6) under our SFPs.</w:t>
      </w:r>
    </w:p>
    <w:p>
      <w:pPr>
        <w:spacing w:after="0" w:line="189" w:lineRule="exact"/>
        <w:rPr>
          <w:sz w:val="20"/>
          <w:szCs w:val="20"/>
          <w:color w:val="auto"/>
        </w:rPr>
      </w:pPr>
    </w:p>
    <w:p>
      <w:pPr>
        <w:jc w:val="both"/>
        <w:ind w:firstLine="198"/>
        <w:spacing w:after="0" w:line="261" w:lineRule="auto"/>
        <w:rPr>
          <w:sz w:val="20"/>
          <w:szCs w:val="20"/>
          <w:color w:val="auto"/>
        </w:rPr>
      </w:pPr>
      <w:r>
        <w:rPr>
          <w:rFonts w:ascii="Times New Roman" w:cs="Times New Roman" w:eastAsia="Times New Roman" w:hAnsi="Times New Roman"/>
          <w:sz w:val="18"/>
          <w:szCs w:val="18"/>
          <w:color w:val="auto"/>
        </w:rPr>
        <w:t>The A/R sold under each of these programs are de-recognized from our A/R balance at the time of sale, and the proceeds are reflected as cash provided by operating activities in our consolidated statement of cash flows. Upon sale, we assign the rights to the A/R to the banks. A/R are sold net of discount charges, which are recorded as finance costs in our consolidated statement of operations. Aggregated discount charges incurred on both of these programs was $1.2 in 2024 (2023 — $16.3; 2022 — $10.8).</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assets:</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 contract asset is recognized when we have recognized revenue but have not yet billed the customer. For performance obligations satisfied at a point in time, revenue recognition occurs at the point the customer is billed and the resulting asset is recorded in A/R. For performance obligations satisfied over time as work progresses, we have an unconditional right to payment, which results in the recognition of contract assets. We anticipate that substantially all contract assets will be invoiced in the following quarter due to the short-term nature of the manufacturing cycle. At December 31, 2024, our A/R balance included $237.9 (December 31, 2023 — $250.8) of contract assets recognized as revenue in accordance with our revenue recognition accounting policy.</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5.  INVENTORIES:</w:t>
            </w: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82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components of inventories, net of applicable net realizable value write-downs, were as follows:</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2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82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Raw materials</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18"/>
        </w:trPr>
        <w:tc>
          <w:tcPr>
            <w:tcW w:w="8220" w:type="dxa"/>
            <w:vAlign w:val="bottom"/>
            <w:vMerge w:val="continue"/>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1,521.1</w:t>
            </w:r>
          </w:p>
        </w:tc>
        <w:tc>
          <w:tcPr>
            <w:tcW w:w="100" w:type="dxa"/>
            <w:vAlign w:val="bottom"/>
          </w:tcPr>
          <w:p>
            <w:pPr>
              <w:spacing w:after="0"/>
              <w:rPr>
                <w:sz w:val="18"/>
                <w:szCs w:val="18"/>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1,883.7</w:t>
            </w:r>
          </w:p>
        </w:tc>
        <w:tc>
          <w:tcPr>
            <w:tcW w:w="0" w:type="dxa"/>
            <w:vAlign w:val="bottom"/>
          </w:tcPr>
          <w:p>
            <w:pPr>
              <w:spacing w:after="0"/>
              <w:rPr>
                <w:sz w:val="1"/>
                <w:szCs w:val="1"/>
                <w:color w:val="auto"/>
              </w:rPr>
            </w:pPr>
          </w:p>
        </w:tc>
      </w:tr>
      <w:tr>
        <w:trPr>
          <w:trHeight w:val="229"/>
        </w:trPr>
        <w:tc>
          <w:tcPr>
            <w:tcW w:w="8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Work in progress</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0" w:type="dxa"/>
            <w:vAlign w:val="bottom"/>
          </w:tcPr>
          <w:p>
            <w:pPr>
              <w:spacing w:after="0"/>
              <w:rPr>
                <w:sz w:val="1"/>
                <w:szCs w:val="1"/>
                <w:color w:val="auto"/>
              </w:rPr>
            </w:pPr>
          </w:p>
        </w:tc>
      </w:tr>
      <w:tr>
        <w:trPr>
          <w:trHeight w:val="261"/>
        </w:trPr>
        <w:tc>
          <w:tcPr>
            <w:tcW w:w="8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Finished goods</w:t>
            </w: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132.9</w:t>
            </w:r>
          </w:p>
        </w:tc>
        <w:tc>
          <w:tcPr>
            <w:tcW w:w="100" w:type="dxa"/>
            <w:vAlign w:val="bottom"/>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127.0</w:t>
            </w:r>
          </w:p>
        </w:tc>
        <w:tc>
          <w:tcPr>
            <w:tcW w:w="0" w:type="dxa"/>
            <w:vAlign w:val="bottom"/>
          </w:tcPr>
          <w:p>
            <w:pPr>
              <w:spacing w:after="0"/>
              <w:rPr>
                <w:sz w:val="1"/>
                <w:szCs w:val="1"/>
                <w:color w:val="auto"/>
              </w:rPr>
            </w:pPr>
          </w:p>
        </w:tc>
      </w:tr>
      <w:tr>
        <w:trPr>
          <w:trHeight w:val="223"/>
        </w:trPr>
        <w:tc>
          <w:tcPr>
            <w:tcW w:w="82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1,760.6</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2,104.3</w:t>
            </w:r>
          </w:p>
        </w:tc>
        <w:tc>
          <w:tcPr>
            <w:tcW w:w="0" w:type="dxa"/>
            <w:vAlign w:val="bottom"/>
          </w:tcPr>
          <w:p>
            <w:pPr>
              <w:spacing w:after="0"/>
              <w:rPr>
                <w:sz w:val="1"/>
                <w:szCs w:val="1"/>
                <w:color w:val="auto"/>
              </w:rPr>
            </w:pPr>
          </w:p>
        </w:tc>
      </w:tr>
      <w:tr>
        <w:trPr>
          <w:trHeight w:val="20"/>
        </w:trPr>
        <w:tc>
          <w:tcPr>
            <w:tcW w:w="8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recorded inventory write-downs of $49.0 in cost of sales in 2024 (2023 — $59.9; 2022 — $32.1). The accounting treatment of inventories destroyed in a fire event in June 2022 is described in note 14. We regularly review the estimates and assumptions we use to value our inventory through analysis of historical performance, current conditions and future expectations.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liabilities</w:t>
      </w:r>
    </w:p>
    <w:p>
      <w:pPr>
        <w:spacing w:after="0" w:line="256" w:lineRule="exact"/>
        <w:rPr>
          <w:sz w:val="20"/>
          <w:szCs w:val="20"/>
          <w:color w:val="auto"/>
        </w:rPr>
      </w:pPr>
    </w:p>
    <w:p>
      <w:pPr>
        <w:jc w:val="both"/>
        <w:ind w:firstLine="174"/>
        <w:spacing w:after="0" w:line="258" w:lineRule="auto"/>
        <w:rPr>
          <w:sz w:val="20"/>
          <w:szCs w:val="20"/>
          <w:color w:val="auto"/>
        </w:rPr>
      </w:pPr>
      <w:r>
        <w:rPr>
          <w:rFonts w:ascii="Times New Roman" w:cs="Times New Roman" w:eastAsia="Times New Roman" w:hAnsi="Times New Roman"/>
          <w:sz w:val="18"/>
          <w:szCs w:val="18"/>
          <w:color w:val="auto"/>
        </w:rPr>
        <w:t>A contract liability is recognized when we have an obligation to transfer goods or services to a customer for which we have received consideration (or an amount of consideration is due) from the customer. We receive cash deposits from certain of our customers primarily to reduce risks related to excess and/or obsolete inventory. Our customer cash deposit balance fluctuates depending on the levels of inventory we have been asked to procure by certain customers, or as we utilize the inventory in production. At December 31, 2024, our accrued and other current liabilities included $511.6 (December 31, 2023 — $904.8) of cash deposits.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31" w:name="page132"/>
    <w:bookmarkEnd w:id="131"/>
    <w:p>
      <w:pPr>
        <w:jc w:val="center"/>
        <w:spacing w:after="0"/>
        <w:rPr>
          <w:sz w:val="20"/>
          <w:szCs w:val="20"/>
          <w:color w:val="auto"/>
        </w:rPr>
      </w:pPr>
      <w:r>
        <w:rPr>
          <w:rFonts w:ascii="Times New Roman" w:cs="Times New Roman" w:eastAsia="Times New Roman" w:hAnsi="Times New Roman"/>
          <w:sz w:val="18"/>
          <w:szCs w:val="18"/>
          <w:b w:val="1"/>
          <w:bCs w:val="1"/>
          <w:color w:val="auto"/>
        </w:rPr>
        <w:t>CELESTICA INC.</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millions of U.S. dollars, except percentages and per share amounts)</w:t>
      </w:r>
    </w:p>
    <w:p>
      <w:pPr>
        <w:spacing w:after="0" w:line="39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7"/>
          <w:szCs w:val="17"/>
          <w:b w:val="1"/>
          <w:bCs w:val="1"/>
          <w:color w:val="auto"/>
        </w:rPr>
        <w:t>PP&amp;E, NET:</w:t>
      </w:r>
    </w:p>
    <w:p>
      <w:pPr>
        <w:sectPr>
          <w:pgSz w:w="11900" w:h="16838" w:orient="portrait"/>
          <w:cols w:equalWidth="0" w:num="1">
            <w:col w:w="11240"/>
          </w:cols>
          <w:pgMar w:left="320" w:top="360" w:right="339" w:bottom="1440" w:gutter="0" w:footer="0" w:header="0"/>
        </w:sectPr>
      </w:pPr>
    </w:p>
    <w:p>
      <w:pPr>
        <w:spacing w:after="0" w:line="17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PP&amp;E are comprised of the following:</w:t>
      </w:r>
    </w:p>
    <w:p>
      <w:pPr>
        <w:spacing w:after="0" w:line="200" w:lineRule="exact"/>
        <w:rPr>
          <w:sz w:val="20"/>
          <w:szCs w:val="20"/>
          <w:color w:val="auto"/>
        </w:rPr>
      </w:pPr>
    </w:p>
    <w:p>
      <w:pPr>
        <w:spacing w:after="0" w:line="3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Land</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Buildings including improvements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Machinery and equipment</w:t>
      </w: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Finance lease ROU assets</w:t>
      </w:r>
    </w:p>
    <w:p>
      <w:pPr>
        <w:spacing w:after="0" w:line="2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Less: accumulated amortization</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PP&amp;E, net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top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8"/>
        </w:trPr>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2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w:t>
            </w:r>
          </w:p>
        </w:tc>
      </w:tr>
      <w:tr>
        <w:trPr>
          <w:trHeight w:val="234"/>
        </w:trPr>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402.2</w:t>
            </w:r>
          </w:p>
        </w:tc>
      </w:tr>
      <w:tr>
        <w:trPr>
          <w:trHeight w:val="252"/>
        </w:trPr>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917.9</w:t>
            </w:r>
          </w:p>
        </w:tc>
      </w:tr>
      <w:tr>
        <w:trPr>
          <w:trHeight w:val="234"/>
        </w:trPr>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98.1</w:t>
            </w:r>
          </w:p>
        </w:tc>
        <w:tc>
          <w:tcPr>
            <w:tcW w:w="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94.7</w:t>
            </w:r>
          </w:p>
        </w:tc>
      </w:tr>
      <w:tr>
        <w:trPr>
          <w:trHeight w:val="218"/>
        </w:trPr>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1,532.2</w:t>
            </w:r>
          </w:p>
        </w:tc>
        <w:tc>
          <w:tcPr>
            <w:tcW w:w="12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1,448.5</w:t>
            </w:r>
          </w:p>
        </w:tc>
      </w:tr>
      <w:tr>
        <w:trPr>
          <w:trHeight w:val="234"/>
        </w:trPr>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(995.0)</w:t>
            </w:r>
          </w:p>
        </w:tc>
        <w:tc>
          <w:tcPr>
            <w:tcW w:w="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(924.5)</w:t>
            </w:r>
          </w:p>
        </w:tc>
      </w:tr>
      <w:tr>
        <w:trPr>
          <w:trHeight w:val="223"/>
        </w:trPr>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537.2</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524.0</w:t>
            </w: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360" w:space="720"/>
            <w:col w:w="3160"/>
          </w:cols>
          <w:pgMar w:left="320" w:top="360" w:right="339" w:bottom="1440" w:gutter="0" w:footer="0" w:header="0"/>
          <w:type w:val="continuous"/>
        </w:sectPr>
      </w:pPr>
    </w:p>
    <w:p>
      <w:pPr>
        <w:spacing w:after="0" w:line="10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Depreciation expense of PP&amp;E was $108.3 in 2024 (2023 — $91.1; 2022 — $75.8). In each of 2024, 2023 and 2022, depreciation expense of PP&amp;E was split approximately evenly between our two segments.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review the carrying amount of PP&amp;E for impairment whenever events or changes in circumstances (triggering events) indicate that the carrying amount of an asset or asset groups may not be recoverable. We did not identify any triggering event during the course of 2022 through 2024 indicating that the carrying amount of such asset or asset groups may not be recoverable.</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7.  LEASES:</w:t>
            </w:r>
          </w:p>
        </w:tc>
        <w:tc>
          <w:tcPr>
            <w:tcW w:w="8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7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components of lease expense were as follows:</w:t>
            </w: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724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6"/>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72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Finance lease expense:</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01"/>
        </w:trPr>
        <w:tc>
          <w:tcPr>
            <w:tcW w:w="7240" w:type="dxa"/>
            <w:vAlign w:val="bottom"/>
            <w:vMerge w:val="continue"/>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240" w:type="dxa"/>
            <w:vAlign w:val="bottom"/>
          </w:tcPr>
          <w:p>
            <w:pPr>
              <w:ind w:left="200"/>
              <w:spacing w:after="0" w:line="230" w:lineRule="exact"/>
              <w:rPr>
                <w:sz w:val="20"/>
                <w:szCs w:val="20"/>
                <w:color w:val="auto"/>
              </w:rPr>
            </w:pPr>
            <w:r>
              <w:rPr>
                <w:rFonts w:ascii="Times New Roman" w:cs="Times New Roman" w:eastAsia="Times New Roman" w:hAnsi="Times New Roman"/>
                <w:sz w:val="18"/>
                <w:szCs w:val="18"/>
                <w:color w:val="auto"/>
              </w:rPr>
              <w:t xml:space="preserve">Amortization of ROU assets </w:t>
            </w:r>
            <w:r>
              <w:rPr>
                <w:rFonts w:ascii="Times New Roman" w:cs="Times New Roman" w:eastAsia="Times New Roman" w:hAnsi="Times New Roman"/>
                <w:sz w:val="23"/>
                <w:szCs w:val="23"/>
                <w:color w:val="auto"/>
                <w:vertAlign w:val="superscript"/>
              </w:rPr>
              <w:t>(i)</w:t>
            </w:r>
          </w:p>
        </w:tc>
        <w:tc>
          <w:tcPr>
            <w:tcW w:w="84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30"/>
        </w:trPr>
        <w:tc>
          <w:tcPr>
            <w:tcW w:w="7240" w:type="dxa"/>
            <w:vAlign w:val="bottom"/>
          </w:tcPr>
          <w:p>
            <w:pPr>
              <w:ind w:left="200"/>
              <w:spacing w:after="0" w:line="230" w:lineRule="exact"/>
              <w:rPr>
                <w:sz w:val="20"/>
                <w:szCs w:val="20"/>
                <w:color w:val="auto"/>
              </w:rPr>
            </w:pPr>
            <w:r>
              <w:rPr>
                <w:rFonts w:ascii="Times New Roman" w:cs="Times New Roman" w:eastAsia="Times New Roman" w:hAnsi="Times New Roman"/>
                <w:sz w:val="18"/>
                <w:szCs w:val="18"/>
                <w:color w:val="auto"/>
              </w:rPr>
              <w:t xml:space="preserve">Interest on lease obligations </w:t>
            </w:r>
            <w:r>
              <w:rPr>
                <w:rFonts w:ascii="Times New Roman" w:cs="Times New Roman" w:eastAsia="Times New Roman" w:hAnsi="Times New Roman"/>
                <w:sz w:val="23"/>
                <w:szCs w:val="23"/>
                <w:color w:val="auto"/>
                <w:vertAlign w:val="superscript"/>
              </w:rPr>
              <w:t>(ii)</w:t>
            </w:r>
          </w:p>
        </w:tc>
        <w:tc>
          <w:tcPr>
            <w:tcW w:w="8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30"/>
        </w:trPr>
        <w:tc>
          <w:tcPr>
            <w:tcW w:w="7240" w:type="dxa"/>
            <w:vAlign w:val="bottom"/>
          </w:tcPr>
          <w:p>
            <w:pPr>
              <w:ind w:left="40"/>
              <w:spacing w:after="0" w:line="230" w:lineRule="exact"/>
              <w:rPr>
                <w:sz w:val="20"/>
                <w:szCs w:val="20"/>
                <w:color w:val="auto"/>
              </w:rPr>
            </w:pPr>
            <w:r>
              <w:rPr>
                <w:rFonts w:ascii="Times New Roman" w:cs="Times New Roman" w:eastAsia="Times New Roman" w:hAnsi="Times New Roman"/>
                <w:sz w:val="18"/>
                <w:szCs w:val="18"/>
                <w:color w:val="auto"/>
              </w:rPr>
              <w:t xml:space="preserve">Operating lease expense </w:t>
            </w:r>
            <w:r>
              <w:rPr>
                <w:rFonts w:ascii="Times New Roman" w:cs="Times New Roman" w:eastAsia="Times New Roman" w:hAnsi="Times New Roman"/>
                <w:sz w:val="23"/>
                <w:szCs w:val="23"/>
                <w:color w:val="auto"/>
                <w:vertAlign w:val="superscript"/>
              </w:rPr>
              <w:t>(i)</w:t>
            </w:r>
          </w:p>
        </w:tc>
        <w:tc>
          <w:tcPr>
            <w:tcW w:w="8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0" w:type="dxa"/>
            <w:vAlign w:val="bottom"/>
          </w:tcPr>
          <w:p>
            <w:pPr>
              <w:spacing w:after="0"/>
              <w:rPr>
                <w:sz w:val="1"/>
                <w:szCs w:val="1"/>
                <w:color w:val="auto"/>
              </w:rPr>
            </w:pPr>
          </w:p>
        </w:tc>
      </w:tr>
      <w:tr>
        <w:trPr>
          <w:trHeight w:val="238"/>
        </w:trPr>
        <w:tc>
          <w:tcPr>
            <w:tcW w:w="7240" w:type="dxa"/>
            <w:vAlign w:val="bottom"/>
          </w:tcPr>
          <w:p>
            <w:pPr>
              <w:ind w:left="40"/>
              <w:spacing w:after="0" w:line="237" w:lineRule="exact"/>
              <w:rPr>
                <w:sz w:val="20"/>
                <w:szCs w:val="20"/>
                <w:color w:val="auto"/>
              </w:rPr>
            </w:pPr>
            <w:r>
              <w:rPr>
                <w:rFonts w:ascii="Times New Roman" w:cs="Times New Roman" w:eastAsia="Times New Roman" w:hAnsi="Times New Roman"/>
                <w:sz w:val="18"/>
                <w:szCs w:val="18"/>
                <w:color w:val="auto"/>
              </w:rPr>
              <w:t xml:space="preserve">Short-term lease expense and variable lease expense </w:t>
            </w:r>
            <w:r>
              <w:rPr>
                <w:rFonts w:ascii="Times New Roman" w:cs="Times New Roman" w:eastAsia="Times New Roman" w:hAnsi="Times New Roman"/>
                <w:sz w:val="23"/>
                <w:szCs w:val="23"/>
                <w:color w:val="auto"/>
                <w:vertAlign w:val="superscript"/>
              </w:rPr>
              <w:t>(i)</w:t>
            </w:r>
          </w:p>
        </w:tc>
        <w:tc>
          <w:tcPr>
            <w:tcW w:w="8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23"/>
        </w:trPr>
        <w:tc>
          <w:tcPr>
            <w:tcW w:w="7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84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0" w:type="dxa"/>
            <w:vAlign w:val="bottom"/>
          </w:tcPr>
          <w:p>
            <w:pPr>
              <w:spacing w:after="0"/>
              <w:rPr>
                <w:sz w:val="1"/>
                <w:szCs w:val="1"/>
                <w:color w:val="auto"/>
              </w:rPr>
            </w:pPr>
          </w:p>
        </w:tc>
      </w:tr>
      <w:tr>
        <w:trPr>
          <w:trHeight w:val="20"/>
        </w:trPr>
        <w:tc>
          <w:tcPr>
            <w:tcW w:w="72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320" w:hanging="312"/>
        <w:spacing w:after="0"/>
        <w:tabs>
          <w:tab w:leader="none" w:pos="32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Recorded within either cost of sales or SG&amp;A on the consolidated statement of operations based on the nature of the leased assets.</w:t>
      </w:r>
    </w:p>
    <w:p>
      <w:pPr>
        <w:spacing w:after="0" w:line="45" w:lineRule="exact"/>
        <w:rPr>
          <w:rFonts w:ascii="Times New Roman" w:cs="Times New Roman" w:eastAsia="Times New Roman" w:hAnsi="Times New Roman"/>
          <w:sz w:val="16"/>
          <w:szCs w:val="16"/>
          <w:color w:val="auto"/>
        </w:rPr>
      </w:pPr>
    </w:p>
    <w:p>
      <w:pPr>
        <w:ind w:left="360" w:hanging="352"/>
        <w:spacing w:after="0"/>
        <w:tabs>
          <w:tab w:leader="none" w:pos="36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Recorded within finance costs on the consolidated statement of operations.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132" w:name="page133"/>
    <w:bookmarkEnd w:id="132"/>
    <w:p>
      <w:pPr>
        <w:jc w:val="center"/>
        <w:spacing w:after="0"/>
        <w:rPr>
          <w:sz w:val="20"/>
          <w:szCs w:val="20"/>
          <w:color w:val="auto"/>
        </w:rPr>
      </w:pPr>
      <w:r>
        <w:rPr>
          <w:rFonts w:ascii="Times New Roman" w:cs="Times New Roman" w:eastAsia="Times New Roman" w:hAnsi="Times New Roman"/>
          <w:sz w:val="18"/>
          <w:szCs w:val="18"/>
          <w:b w:val="1"/>
          <w:bCs w:val="1"/>
          <w:color w:val="auto"/>
        </w:rPr>
        <w:t>CELESTICA INC.</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of U.S. dollars, except percentages and per share amounts)</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information related to leases was as follows:</w:t>
            </w:r>
          </w:p>
        </w:tc>
        <w:tc>
          <w:tcPr>
            <w:tcW w:w="8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72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gridSpan w:val="6"/>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72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ROU assets:</w:t>
            </w:r>
          </w:p>
        </w:tc>
        <w:tc>
          <w:tcPr>
            <w:tcW w:w="84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05"/>
        </w:trPr>
        <w:tc>
          <w:tcPr>
            <w:tcW w:w="7260" w:type="dxa"/>
            <w:vAlign w:val="bottom"/>
            <w:vMerge w:val="continue"/>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ROU assets</w:t>
            </w:r>
          </w:p>
        </w:tc>
        <w:tc>
          <w:tcPr>
            <w:tcW w:w="84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124.4</w:t>
            </w: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107.8</w:t>
            </w:r>
          </w:p>
        </w:tc>
        <w:tc>
          <w:tcPr>
            <w:tcW w:w="0" w:type="dxa"/>
            <w:vAlign w:val="bottom"/>
          </w:tcPr>
          <w:p>
            <w:pPr>
              <w:spacing w:after="0"/>
              <w:rPr>
                <w:sz w:val="1"/>
                <w:szCs w:val="1"/>
                <w:color w:val="auto"/>
              </w:rPr>
            </w:pPr>
          </w:p>
        </w:tc>
      </w:tr>
      <w:tr>
        <w:trPr>
          <w:trHeight w:val="234"/>
        </w:trPr>
        <w:tc>
          <w:tcPr>
            <w:tcW w:w="7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Finance lease ROU assets (included in PP&amp;E, net)</w:t>
            </w:r>
          </w:p>
        </w:tc>
        <w:tc>
          <w:tcPr>
            <w:tcW w:w="84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1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62.2</w:t>
            </w:r>
          </w:p>
        </w:tc>
        <w:tc>
          <w:tcPr>
            <w:tcW w:w="0" w:type="dxa"/>
            <w:vAlign w:val="bottom"/>
          </w:tcPr>
          <w:p>
            <w:pPr>
              <w:spacing w:after="0"/>
              <w:rPr>
                <w:sz w:val="1"/>
                <w:szCs w:val="1"/>
                <w:color w:val="auto"/>
              </w:rPr>
            </w:pPr>
          </w:p>
        </w:tc>
      </w:tr>
      <w:tr>
        <w:trPr>
          <w:trHeight w:val="223"/>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ROU assets</w:t>
            </w:r>
          </w:p>
        </w:tc>
        <w:tc>
          <w:tcPr>
            <w:tcW w:w="84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180.8</w:t>
            </w:r>
          </w:p>
        </w:tc>
        <w:tc>
          <w:tcPr>
            <w:tcW w:w="1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170.0</w:t>
            </w:r>
          </w:p>
        </w:tc>
        <w:tc>
          <w:tcPr>
            <w:tcW w:w="0" w:type="dxa"/>
            <w:vAlign w:val="bottom"/>
          </w:tcPr>
          <w:p>
            <w:pPr>
              <w:spacing w:after="0"/>
              <w:rPr>
                <w:sz w:val="1"/>
                <w:szCs w:val="1"/>
                <w:color w:val="auto"/>
              </w:rPr>
            </w:pPr>
          </w:p>
        </w:tc>
      </w:tr>
      <w:tr>
        <w:trPr>
          <w:trHeight w:val="21"/>
        </w:trPr>
        <w:tc>
          <w:tcPr>
            <w:tcW w:w="72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Current portion of lease obligations:</w:t>
            </w:r>
          </w:p>
        </w:tc>
        <w:tc>
          <w:tcPr>
            <w:tcW w:w="8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3"/>
        </w:trPr>
        <w:tc>
          <w:tcPr>
            <w:tcW w:w="726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7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liability (included in accrued and other current liabilities)</w:t>
            </w:r>
          </w:p>
        </w:tc>
        <w:tc>
          <w:tcPr>
            <w:tcW w:w="84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25.1</w:t>
            </w:r>
          </w:p>
        </w:tc>
        <w:tc>
          <w:tcPr>
            <w:tcW w:w="0" w:type="dxa"/>
            <w:vAlign w:val="bottom"/>
          </w:tcPr>
          <w:p>
            <w:pPr>
              <w:spacing w:after="0"/>
              <w:rPr>
                <w:sz w:val="1"/>
                <w:szCs w:val="1"/>
                <w:color w:val="auto"/>
              </w:rPr>
            </w:pPr>
          </w:p>
        </w:tc>
      </w:tr>
      <w:tr>
        <w:trPr>
          <w:trHeight w:val="180"/>
        </w:trPr>
        <w:tc>
          <w:tcPr>
            <w:tcW w:w="8100" w:type="dxa"/>
            <w:vAlign w:val="bottom"/>
            <w:gridSpan w:val="2"/>
          </w:tcPr>
          <w:p>
            <w:pPr>
              <w:ind w:left="180"/>
              <w:spacing w:after="0" w:line="181" w:lineRule="exact"/>
              <w:rPr>
                <w:sz w:val="20"/>
                <w:szCs w:val="20"/>
                <w:color w:val="auto"/>
              </w:rPr>
            </w:pPr>
            <w:r>
              <w:rPr>
                <w:rFonts w:ascii="Times New Roman" w:cs="Times New Roman" w:eastAsia="Times New Roman" w:hAnsi="Times New Roman"/>
                <w:sz w:val="18"/>
                <w:szCs w:val="18"/>
                <w:color w:val="auto"/>
              </w:rPr>
              <w:t>Finance lease liability (included in current portion of borrowings under credit facility and finance lease</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7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obligations)</w:t>
            </w:r>
          </w:p>
        </w:tc>
        <w:tc>
          <w:tcPr>
            <w:tcW w:w="8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29"/>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portion of lease obligations:</w:t>
            </w:r>
          </w:p>
        </w:tc>
        <w:tc>
          <w:tcPr>
            <w:tcW w:w="8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Operating lease liability (included in long-term portion of provisions and other non-current liabilities)</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83.4</w:t>
            </w:r>
          </w:p>
        </w:tc>
        <w:tc>
          <w:tcPr>
            <w:tcW w:w="0" w:type="dxa"/>
            <w:vAlign w:val="bottom"/>
          </w:tcPr>
          <w:p>
            <w:pPr>
              <w:spacing w:after="0"/>
              <w:rPr>
                <w:sz w:val="1"/>
                <w:szCs w:val="1"/>
                <w:color w:val="auto"/>
              </w:rPr>
            </w:pPr>
          </w:p>
        </w:tc>
      </w:tr>
      <w:tr>
        <w:trPr>
          <w:trHeight w:val="180"/>
        </w:trPr>
        <w:tc>
          <w:tcPr>
            <w:tcW w:w="8100" w:type="dxa"/>
            <w:vAlign w:val="bottom"/>
            <w:gridSpan w:val="2"/>
          </w:tcPr>
          <w:p>
            <w:pPr>
              <w:ind w:left="180"/>
              <w:spacing w:after="0" w:line="181" w:lineRule="exact"/>
              <w:rPr>
                <w:sz w:val="20"/>
                <w:szCs w:val="20"/>
                <w:color w:val="auto"/>
              </w:rPr>
            </w:pPr>
            <w:r>
              <w:rPr>
                <w:rFonts w:ascii="Times New Roman" w:cs="Times New Roman" w:eastAsia="Times New Roman" w:hAnsi="Times New Roman"/>
                <w:sz w:val="18"/>
                <w:szCs w:val="18"/>
                <w:color w:val="auto"/>
              </w:rPr>
              <w:t>Finance lease liability (included in long-term portion of borrowings under credit facility and finance lease</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obligations)</w:t>
            </w:r>
          </w:p>
        </w:tc>
        <w:tc>
          <w:tcPr>
            <w:tcW w:w="84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14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58.4</w:t>
            </w:r>
          </w:p>
        </w:tc>
        <w:tc>
          <w:tcPr>
            <w:tcW w:w="0" w:type="dxa"/>
            <w:vAlign w:val="bottom"/>
          </w:tcPr>
          <w:p>
            <w:pPr>
              <w:spacing w:after="0"/>
              <w:rPr>
                <w:sz w:val="1"/>
                <w:szCs w:val="1"/>
                <w:color w:val="auto"/>
              </w:rPr>
            </w:pPr>
          </w:p>
        </w:tc>
      </w:tr>
      <w:tr>
        <w:trPr>
          <w:trHeight w:val="223"/>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obligations</w:t>
            </w:r>
          </w:p>
        </w:tc>
        <w:tc>
          <w:tcPr>
            <w:tcW w:w="84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196.8</w:t>
            </w:r>
          </w:p>
        </w:tc>
        <w:tc>
          <w:tcPr>
            <w:tcW w:w="1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176.5</w:t>
            </w:r>
          </w:p>
        </w:tc>
        <w:tc>
          <w:tcPr>
            <w:tcW w:w="0" w:type="dxa"/>
            <w:vAlign w:val="bottom"/>
          </w:tcPr>
          <w:p>
            <w:pPr>
              <w:spacing w:after="0"/>
              <w:rPr>
                <w:sz w:val="1"/>
                <w:szCs w:val="1"/>
                <w:color w:val="auto"/>
              </w:rPr>
            </w:pPr>
          </w:p>
        </w:tc>
      </w:tr>
      <w:tr>
        <w:trPr>
          <w:trHeight w:val="21"/>
        </w:trPr>
        <w:tc>
          <w:tcPr>
            <w:tcW w:w="72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(in years):</w:t>
            </w:r>
          </w:p>
        </w:tc>
        <w:tc>
          <w:tcPr>
            <w:tcW w:w="8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3"/>
        </w:trPr>
        <w:tc>
          <w:tcPr>
            <w:tcW w:w="726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7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leases</w:t>
            </w:r>
          </w:p>
        </w:tc>
        <w:tc>
          <w:tcPr>
            <w:tcW w:w="8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34"/>
        </w:trPr>
        <w:tc>
          <w:tcPr>
            <w:tcW w:w="7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Finance leases</w:t>
            </w:r>
          </w:p>
        </w:tc>
        <w:tc>
          <w:tcPr>
            <w:tcW w:w="8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387"/>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rates:</w:t>
            </w: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leases</w:t>
            </w:r>
          </w:p>
        </w:tc>
        <w:tc>
          <w:tcPr>
            <w:tcW w:w="8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7.3 %</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6.9 %</w:t>
            </w:r>
          </w:p>
        </w:tc>
        <w:tc>
          <w:tcPr>
            <w:tcW w:w="0" w:type="dxa"/>
            <w:vAlign w:val="bottom"/>
          </w:tcPr>
          <w:p>
            <w:pPr>
              <w:spacing w:after="0"/>
              <w:rPr>
                <w:sz w:val="1"/>
                <w:szCs w:val="1"/>
                <w:color w:val="auto"/>
              </w:rPr>
            </w:pPr>
          </w:p>
        </w:tc>
      </w:tr>
      <w:tr>
        <w:trPr>
          <w:trHeight w:val="234"/>
        </w:trPr>
        <w:tc>
          <w:tcPr>
            <w:tcW w:w="7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Finance leases</w:t>
            </w:r>
          </w:p>
        </w:tc>
        <w:tc>
          <w:tcPr>
            <w:tcW w:w="8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0" w:type="dxa"/>
            <w:vAlign w:val="bottom"/>
          </w:tcPr>
          <w:p>
            <w:pPr>
              <w:spacing w:after="0"/>
              <w:rPr>
                <w:sz w:val="1"/>
                <w:szCs w:val="1"/>
                <w:color w:val="auto"/>
              </w:rPr>
            </w:pPr>
          </w:p>
        </w:tc>
      </w:tr>
      <w:tr>
        <w:trPr>
          <w:trHeight w:val="338"/>
        </w:trPr>
        <w:tc>
          <w:tcPr>
            <w:tcW w:w="726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8"/>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72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1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05"/>
        </w:trPr>
        <w:tc>
          <w:tcPr>
            <w:tcW w:w="7260" w:type="dxa"/>
            <w:vAlign w:val="bottom"/>
            <w:vMerge w:val="continue"/>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cash flows used for operating leases</w:t>
            </w:r>
          </w:p>
        </w:tc>
        <w:tc>
          <w:tcPr>
            <w:tcW w:w="84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00" w:type="dxa"/>
            <w:vAlign w:val="bottom"/>
          </w:tcPr>
          <w:p>
            <w:pPr>
              <w:spacing w:after="0"/>
              <w:rPr>
                <w:sz w:val="19"/>
                <w:szCs w:val="19"/>
                <w:color w:val="auto"/>
              </w:rPr>
            </w:pPr>
          </w:p>
        </w:tc>
        <w:tc>
          <w:tcPr>
            <w:tcW w:w="84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0" w:type="dxa"/>
            <w:vAlign w:val="bottom"/>
          </w:tcPr>
          <w:p>
            <w:pPr>
              <w:spacing w:after="0"/>
              <w:rPr>
                <w:sz w:val="1"/>
                <w:szCs w:val="1"/>
                <w:color w:val="auto"/>
              </w:rPr>
            </w:pPr>
          </w:p>
        </w:tc>
      </w:tr>
      <w:tr>
        <w:trPr>
          <w:trHeight w:val="229"/>
        </w:trPr>
        <w:tc>
          <w:tcPr>
            <w:tcW w:w="7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cash flows used for finance leases</w:t>
            </w:r>
          </w:p>
        </w:tc>
        <w:tc>
          <w:tcPr>
            <w:tcW w:w="84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9"/>
                <w:szCs w:val="19"/>
                <w:color w:val="auto"/>
              </w:rPr>
            </w:pPr>
          </w:p>
        </w:tc>
        <w:tc>
          <w:tcPr>
            <w:tcW w:w="84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34"/>
        </w:trPr>
        <w:tc>
          <w:tcPr>
            <w:tcW w:w="7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Financing cash flows used for finance leases</w:t>
            </w:r>
          </w:p>
        </w:tc>
        <w:tc>
          <w:tcPr>
            <w:tcW w:w="84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20"/>
                <w:szCs w:val="20"/>
                <w:color w:val="auto"/>
              </w:rPr>
            </w:pPr>
          </w:p>
        </w:tc>
        <w:tc>
          <w:tcPr>
            <w:tcW w:w="84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387"/>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ROU assets obtained in exchange for lease obligations:</w:t>
            </w: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7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leases</w:t>
            </w:r>
          </w:p>
        </w:tc>
        <w:tc>
          <w:tcPr>
            <w:tcW w:w="84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100" w:type="dxa"/>
            <w:vAlign w:val="bottom"/>
          </w:tcPr>
          <w:p>
            <w:pPr>
              <w:spacing w:after="0"/>
              <w:rPr>
                <w:sz w:val="19"/>
                <w:szCs w:val="19"/>
                <w:color w:val="auto"/>
              </w:rPr>
            </w:pPr>
          </w:p>
        </w:tc>
        <w:tc>
          <w:tcPr>
            <w:tcW w:w="84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0" w:type="dxa"/>
            <w:vAlign w:val="bottom"/>
          </w:tcPr>
          <w:p>
            <w:pPr>
              <w:spacing w:after="0"/>
              <w:rPr>
                <w:sz w:val="1"/>
                <w:szCs w:val="1"/>
                <w:color w:val="auto"/>
              </w:rPr>
            </w:pPr>
          </w:p>
        </w:tc>
      </w:tr>
      <w:tr>
        <w:trPr>
          <w:trHeight w:val="234"/>
        </w:trPr>
        <w:tc>
          <w:tcPr>
            <w:tcW w:w="7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Finance leases</w:t>
            </w:r>
          </w:p>
        </w:tc>
        <w:tc>
          <w:tcPr>
            <w:tcW w:w="84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Pr>
          <w:p>
            <w:pPr>
              <w:spacing w:after="0"/>
              <w:rPr>
                <w:sz w:val="20"/>
                <w:szCs w:val="20"/>
                <w:color w:val="auto"/>
              </w:rPr>
            </w:pPr>
          </w:p>
        </w:tc>
        <w:tc>
          <w:tcPr>
            <w:tcW w:w="3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0" w:type="dxa"/>
            <w:vAlign w:val="bottom"/>
          </w:tcPr>
          <w:p>
            <w:pPr>
              <w:spacing w:after="0"/>
              <w:rPr>
                <w:sz w:val="1"/>
                <w:szCs w:val="1"/>
                <w:color w:val="auto"/>
              </w:rPr>
            </w:pPr>
          </w:p>
        </w:tc>
      </w:tr>
      <w:tr>
        <w:trPr>
          <w:trHeight w:val="824"/>
        </w:trPr>
        <w:tc>
          <w:tcPr>
            <w:tcW w:w="7260" w:type="dxa"/>
            <w:vAlign w:val="bottom"/>
          </w:tcPr>
          <w:p>
            <w:pPr>
              <w:ind w:left="5460"/>
              <w:spacing w:after="0"/>
              <w:rPr>
                <w:sz w:val="20"/>
                <w:szCs w:val="20"/>
                <w:color w:val="auto"/>
              </w:rPr>
            </w:pPr>
            <w:r>
              <w:rPr>
                <w:rFonts w:ascii="Times New Roman" w:cs="Times New Roman" w:eastAsia="Times New Roman" w:hAnsi="Times New Roman"/>
                <w:sz w:val="18"/>
                <w:szCs w:val="18"/>
                <w:color w:val="auto"/>
              </w:rPr>
              <w:t>F-26</w:t>
            </w: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72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33" w:name="page134"/>
    <w:bookmarkEnd w:id="133"/>
    <w:p>
      <w:pPr>
        <w:jc w:val="center"/>
        <w:spacing w:after="0"/>
        <w:rPr>
          <w:sz w:val="20"/>
          <w:szCs w:val="20"/>
          <w:color w:val="auto"/>
        </w:rPr>
      </w:pPr>
      <w:r>
        <w:rPr>
          <w:rFonts w:ascii="Times New Roman" w:cs="Times New Roman" w:eastAsia="Times New Roman" w:hAnsi="Times New Roman"/>
          <w:sz w:val="18"/>
          <w:szCs w:val="18"/>
          <w:b w:val="1"/>
          <w:bCs w:val="1"/>
          <w:color w:val="auto"/>
        </w:rPr>
        <w:t>CELESTICA INC.</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of U.S. dollars, except percentages and per share amounts)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Future minimum lease payments required under non-cancellable leases at December 31, 2024, were as follows:</w:t>
      </w:r>
    </w:p>
    <w:p>
      <w:pPr>
        <w:spacing w:after="0" w:line="46"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7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240" w:type="dxa"/>
            <w:vAlign w:val="bottom"/>
          </w:tcPr>
          <w:p>
            <w:pPr>
              <w:spacing w:after="0"/>
              <w:rPr>
                <w:sz w:val="20"/>
                <w:szCs w:val="20"/>
                <w:color w:val="auto"/>
              </w:rPr>
            </w:pPr>
          </w:p>
        </w:tc>
        <w:tc>
          <w:tcPr>
            <w:tcW w:w="15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Finance leases</w:t>
            </w:r>
          </w:p>
        </w:tc>
      </w:tr>
      <w:tr>
        <w:trPr>
          <w:trHeight w:val="218"/>
        </w:trPr>
        <w:tc>
          <w:tcPr>
            <w:tcW w:w="7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2025</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30"/>
        </w:trPr>
        <w:tc>
          <w:tcPr>
            <w:tcW w:w="7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2026</w:t>
            </w: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29"/>
        </w:trPr>
        <w:tc>
          <w:tcPr>
            <w:tcW w:w="7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2027</w:t>
            </w: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29"/>
        </w:trPr>
        <w:tc>
          <w:tcPr>
            <w:tcW w:w="7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2028</w:t>
            </w: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30"/>
        </w:trPr>
        <w:tc>
          <w:tcPr>
            <w:tcW w:w="7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2029</w:t>
            </w: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34"/>
        </w:trPr>
        <w:tc>
          <w:tcPr>
            <w:tcW w:w="7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Thereafter</w:t>
            </w:r>
          </w:p>
        </w:tc>
        <w:tc>
          <w:tcPr>
            <w:tcW w:w="1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w:t>
            </w:r>
          </w:p>
        </w:tc>
      </w:tr>
      <w:tr>
        <w:trPr>
          <w:trHeight w:val="218"/>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172.5</w:t>
            </w:r>
          </w:p>
        </w:tc>
        <w:tc>
          <w:tcPr>
            <w:tcW w:w="100" w:type="dxa"/>
            <w:vAlign w:val="bottom"/>
          </w:tcPr>
          <w:p>
            <w:pPr>
              <w:spacing w:after="0"/>
              <w:rPr>
                <w:sz w:val="18"/>
                <w:szCs w:val="18"/>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w:t>
            </w:r>
          </w:p>
        </w:tc>
      </w:tr>
      <w:tr>
        <w:trPr>
          <w:trHeight w:val="226"/>
        </w:trPr>
        <w:tc>
          <w:tcPr>
            <w:tcW w:w="7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Less: imputed interest</w:t>
            </w: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238"/>
        </w:trPr>
        <w:tc>
          <w:tcPr>
            <w:tcW w:w="7520" w:type="dxa"/>
            <w:vAlign w:val="bottom"/>
          </w:tcPr>
          <w:p>
            <w:pPr>
              <w:ind w:left="160"/>
              <w:spacing w:after="0" w:line="237" w:lineRule="exact"/>
              <w:rPr>
                <w:sz w:val="20"/>
                <w:szCs w:val="20"/>
                <w:color w:val="auto"/>
              </w:rPr>
            </w:pPr>
            <w:r>
              <w:rPr>
                <w:rFonts w:ascii="Times New Roman" w:cs="Times New Roman" w:eastAsia="Times New Roman" w:hAnsi="Times New Roman"/>
                <w:sz w:val="18"/>
                <w:szCs w:val="18"/>
                <w:color w:val="auto"/>
              </w:rPr>
              <w:t xml:space="preserve">Less: leases that have not yet commenced </w:t>
            </w:r>
            <w:r>
              <w:rPr>
                <w:rFonts w:ascii="Times New Roman" w:cs="Times New Roman" w:eastAsia="Times New Roman" w:hAnsi="Times New Roman"/>
                <w:sz w:val="23"/>
                <w:szCs w:val="23"/>
                <w:color w:val="auto"/>
                <w:vertAlign w:val="superscript"/>
              </w:rPr>
              <w:t>(a)</w:t>
            </w:r>
          </w:p>
        </w:tc>
        <w:tc>
          <w:tcPr>
            <w:tcW w:w="180" w:type="dxa"/>
            <w:vAlign w:val="bottom"/>
          </w:tcPr>
          <w:p>
            <w:pPr>
              <w:spacing w:after="0"/>
              <w:rPr>
                <w:sz w:val="20"/>
                <w:szCs w:val="20"/>
                <w:color w:val="auto"/>
              </w:rPr>
            </w:pPr>
          </w:p>
        </w:tc>
        <w:tc>
          <w:tcPr>
            <w:tcW w:w="1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23"/>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Total lease liabilities</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135.1</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w:t>
            </w:r>
          </w:p>
        </w:tc>
      </w:tr>
      <w:tr>
        <w:trPr>
          <w:trHeight w:val="21"/>
        </w:trPr>
        <w:tc>
          <w:tcPr>
            <w:tcW w:w="7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660" w:hanging="652"/>
        <w:spacing w:after="0" w:line="280" w:lineRule="auto"/>
        <w:tabs>
          <w:tab w:leader="none" w:pos="448"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are committed to lease certain space located in Richardson, Texas (Texas Lease) from April 2027 to March 2032. The rental amounts for Texas Lease ($0.9 in 2027; $1.3 in 2028, $1.3 in 2029 and $3.0 thereafter) were not recognized as liabilities as of December 31, 2024 because the lease had not yet commenced.</w:t>
      </w:r>
    </w:p>
    <w:p>
      <w:pPr>
        <w:spacing w:after="0" w:line="264"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8.</w:t>
      </w:r>
      <w:r>
        <w:rPr>
          <w:sz w:val="20"/>
          <w:szCs w:val="20"/>
          <w:color w:val="auto"/>
        </w:rPr>
        <w:tab/>
      </w:r>
      <w:r>
        <w:rPr>
          <w:rFonts w:ascii="Times New Roman" w:cs="Times New Roman" w:eastAsia="Times New Roman" w:hAnsi="Times New Roman"/>
          <w:sz w:val="17"/>
          <w:szCs w:val="17"/>
          <w:b w:val="1"/>
          <w:bCs w:val="1"/>
          <w:color w:val="auto"/>
        </w:rPr>
        <w:t>GOODWILL AND INTANGIBLE ASSETS: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show the carrying amounts of goodwill and intangible assets:</w:t>
      </w:r>
    </w:p>
    <w:p>
      <w:pPr>
        <w:spacing w:after="0" w:line="73" w:lineRule="exact"/>
        <w:rPr>
          <w:sz w:val="20"/>
          <w:szCs w:val="20"/>
          <w:color w:val="auto"/>
        </w:rPr>
      </w:pPr>
    </w:p>
    <w:tbl>
      <w:tblPr>
        <w:tblLayout w:type="fixed"/>
        <w:tblInd w:w="1140" w:type="dxa"/>
        <w:tblCellMar>
          <w:top w:w="0" w:type="dxa"/>
          <w:left w:w="0" w:type="dxa"/>
          <w:bottom w:w="0" w:type="dxa"/>
          <w:right w:w="0" w:type="dxa"/>
        </w:tblCellMar>
      </w:tblPr>
      <w:tr>
        <w:trPr>
          <w:trHeight w:val="238"/>
        </w:trPr>
        <w:tc>
          <w:tcPr>
            <w:tcW w:w="47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4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40" w:type="dxa"/>
            <w:vAlign w:val="bottom"/>
            <w:gridSpan w:val="2"/>
          </w:tcPr>
          <w:p>
            <w:pPr>
              <w:jc w:val="center"/>
              <w:ind w:right="340"/>
              <w:spacing w:after="0" w:line="155"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200" w:type="dxa"/>
            <w:vAlign w:val="bottom"/>
          </w:tcPr>
          <w:p>
            <w:pPr>
              <w:spacing w:after="0"/>
              <w:rPr>
                <w:sz w:val="13"/>
                <w:szCs w:val="13"/>
                <w:color w:val="auto"/>
              </w:rPr>
            </w:pPr>
          </w:p>
        </w:tc>
        <w:tc>
          <w:tcPr>
            <w:tcW w:w="1060" w:type="dxa"/>
            <w:vAlign w:val="bottom"/>
            <w:vMerge w:val="restart"/>
          </w:tcPr>
          <w:p>
            <w:pPr>
              <w:jc w:val="right"/>
              <w:ind w:right="233"/>
              <w:spacing w:after="0"/>
              <w:rPr>
                <w:sz w:val="20"/>
                <w:szCs w:val="20"/>
                <w:color w:val="auto"/>
              </w:rPr>
            </w:pPr>
            <w:r>
              <w:rPr>
                <w:rFonts w:ascii="Times New Roman" w:cs="Times New Roman" w:eastAsia="Times New Roman" w:hAnsi="Times New Roman"/>
                <w:sz w:val="16"/>
                <w:szCs w:val="16"/>
                <w:b w:val="1"/>
                <w:bCs w:val="1"/>
                <w:color w:val="auto"/>
              </w:rPr>
              <w:t>Carrying</w:t>
            </w:r>
          </w:p>
        </w:tc>
        <w:tc>
          <w:tcPr>
            <w:tcW w:w="0" w:type="dxa"/>
            <w:vAlign w:val="bottom"/>
          </w:tcPr>
          <w:p>
            <w:pPr>
              <w:spacing w:after="0"/>
              <w:rPr>
                <w:sz w:val="1"/>
                <w:szCs w:val="1"/>
                <w:color w:val="auto"/>
              </w:rPr>
            </w:pPr>
          </w:p>
        </w:tc>
      </w:tr>
      <w:tr>
        <w:trPr>
          <w:trHeight w:val="162"/>
        </w:trPr>
        <w:tc>
          <w:tcPr>
            <w:tcW w:w="4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Cost</w:t>
            </w:r>
          </w:p>
        </w:tc>
        <w:tc>
          <w:tcPr>
            <w:tcW w:w="140" w:type="dxa"/>
            <w:vAlign w:val="bottom"/>
          </w:tcPr>
          <w:p>
            <w:pPr>
              <w:spacing w:after="0"/>
              <w:rPr>
                <w:sz w:val="14"/>
                <w:szCs w:val="14"/>
                <w:color w:val="auto"/>
              </w:rPr>
            </w:pPr>
          </w:p>
        </w:tc>
        <w:tc>
          <w:tcPr>
            <w:tcW w:w="1540" w:type="dxa"/>
            <w:vAlign w:val="bottom"/>
            <w:gridSpan w:val="2"/>
          </w:tcPr>
          <w:p>
            <w:pPr>
              <w:jc w:val="center"/>
              <w:ind w:right="360"/>
              <w:spacing w:after="0" w:line="162" w:lineRule="exact"/>
              <w:rPr>
                <w:sz w:val="20"/>
                <w:szCs w:val="20"/>
                <w:color w:val="auto"/>
              </w:rPr>
            </w:pPr>
            <w:r>
              <w:rPr>
                <w:rFonts w:ascii="Times New Roman" w:cs="Times New Roman" w:eastAsia="Times New Roman" w:hAnsi="Times New Roman"/>
                <w:sz w:val="16"/>
                <w:szCs w:val="16"/>
                <w:b w:val="1"/>
                <w:bCs w:val="1"/>
                <w:color w:val="auto"/>
              </w:rPr>
              <w:t>Amortization</w:t>
            </w:r>
          </w:p>
        </w:tc>
        <w:tc>
          <w:tcPr>
            <w:tcW w:w="20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and Impairment</w:t>
            </w:r>
          </w:p>
        </w:tc>
        <w:tc>
          <w:tcPr>
            <w:tcW w:w="200" w:type="dxa"/>
            <w:vAlign w:val="bottom"/>
          </w:tcPr>
          <w:p>
            <w:pPr>
              <w:spacing w:after="0"/>
              <w:rPr>
                <w:sz w:val="19"/>
                <w:szCs w:val="19"/>
                <w:color w:val="auto"/>
              </w:rPr>
            </w:pPr>
          </w:p>
        </w:tc>
        <w:tc>
          <w:tcPr>
            <w:tcW w:w="1060" w:type="dxa"/>
            <w:vAlign w:val="bottom"/>
          </w:tcPr>
          <w:p>
            <w:pPr>
              <w:jc w:val="right"/>
              <w:ind w:right="273"/>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0" w:type="dxa"/>
            <w:vAlign w:val="bottom"/>
          </w:tcPr>
          <w:p>
            <w:pPr>
              <w:spacing w:after="0"/>
              <w:rPr>
                <w:sz w:val="1"/>
                <w:szCs w:val="1"/>
                <w:color w:val="auto"/>
              </w:rPr>
            </w:pPr>
          </w:p>
        </w:tc>
      </w:tr>
      <w:tr>
        <w:trPr>
          <w:trHeight w:val="230"/>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395.9</w:t>
            </w: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1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340.5</w:t>
            </w:r>
          </w:p>
        </w:tc>
        <w:tc>
          <w:tcPr>
            <w:tcW w:w="0" w:type="dxa"/>
            <w:vAlign w:val="bottom"/>
          </w:tcPr>
          <w:p>
            <w:pPr>
              <w:spacing w:after="0"/>
              <w:rPr>
                <w:sz w:val="1"/>
                <w:szCs w:val="1"/>
                <w:color w:val="auto"/>
              </w:rPr>
            </w:pPr>
          </w:p>
        </w:tc>
      </w:tr>
      <w:tr>
        <w:trPr>
          <w:trHeight w:val="20"/>
        </w:trPr>
        <w:tc>
          <w:tcPr>
            <w:tcW w:w="47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Intellectual property</w:t>
            </w: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8"/>
        </w:trPr>
        <w:tc>
          <w:tcPr>
            <w:tcW w:w="4700" w:type="dxa"/>
            <w:vAlign w:val="bottom"/>
            <w:vMerge w:val="continue"/>
          </w:tcPr>
          <w:p>
            <w:pPr>
              <w:spacing w:after="0"/>
              <w:rPr>
                <w:sz w:val="24"/>
                <w:szCs w:val="24"/>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w:t>
            </w:r>
          </w:p>
        </w:tc>
        <w:tc>
          <w:tcPr>
            <w:tcW w:w="14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w:t>
            </w:r>
          </w:p>
        </w:tc>
        <w:tc>
          <w:tcPr>
            <w:tcW w:w="160" w:type="dxa"/>
            <w:vAlign w:val="bottom"/>
          </w:tcPr>
          <w:p>
            <w:pPr>
              <w:spacing w:after="0"/>
              <w:rPr>
                <w:sz w:val="24"/>
                <w:szCs w:val="24"/>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5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Other intangible assets</w:t>
            </w: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693.9</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403.6</w:t>
            </w: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290.3</w:t>
            </w:r>
          </w:p>
        </w:tc>
        <w:tc>
          <w:tcPr>
            <w:tcW w:w="0" w:type="dxa"/>
            <w:vAlign w:val="bottom"/>
          </w:tcPr>
          <w:p>
            <w:pPr>
              <w:spacing w:after="0"/>
              <w:rPr>
                <w:sz w:val="1"/>
                <w:szCs w:val="1"/>
                <w:color w:val="auto"/>
              </w:rPr>
            </w:pPr>
          </w:p>
        </w:tc>
      </w:tr>
      <w:tr>
        <w:trPr>
          <w:trHeight w:val="261"/>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Computer software assets</w:t>
            </w: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313.3</w:t>
            </w:r>
          </w:p>
        </w:tc>
        <w:tc>
          <w:tcPr>
            <w:tcW w:w="14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296.2</w:t>
            </w:r>
          </w:p>
        </w:tc>
        <w:tc>
          <w:tcPr>
            <w:tcW w:w="1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23"/>
        </w:trPr>
        <w:tc>
          <w:tcPr>
            <w:tcW w:w="47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1,119.2</w:t>
            </w:r>
          </w:p>
        </w:tc>
        <w:tc>
          <w:tcPr>
            <w:tcW w:w="1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811.2</w:t>
            </w:r>
          </w:p>
        </w:tc>
        <w:tc>
          <w:tcPr>
            <w:tcW w:w="16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308.0</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8040"/>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31" w:lineRule="exact"/>
        <w:rPr>
          <w:sz w:val="20"/>
          <w:szCs w:val="20"/>
          <w:color w:val="auto"/>
        </w:rPr>
      </w:pPr>
    </w:p>
    <w:tbl>
      <w:tblPr>
        <w:tblLayout w:type="fixed"/>
        <w:tblInd w:w="60" w:type="dxa"/>
        <w:tblCellMar>
          <w:top w:w="0" w:type="dxa"/>
          <w:left w:w="0" w:type="dxa"/>
          <w:bottom w:w="0" w:type="dxa"/>
          <w:right w:w="0" w:type="dxa"/>
        </w:tblCellMar>
      </w:tblPr>
      <w:tr>
        <w:trPr>
          <w:trHeight w:val="155"/>
        </w:trPr>
        <w:tc>
          <w:tcPr>
            <w:tcW w:w="626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680" w:type="dxa"/>
            <w:vAlign w:val="bottom"/>
            <w:tcBorders>
              <w:top w:val="single" w:sz="8" w:color="auto"/>
            </w:tcBorders>
            <w:gridSpan w:val="2"/>
          </w:tcPr>
          <w:p>
            <w:pPr>
              <w:jc w:val="center"/>
              <w:ind w:right="360"/>
              <w:spacing w:after="0" w:line="155"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54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6"/>
                <w:szCs w:val="16"/>
                <w:b w:val="1"/>
                <w:bCs w:val="1"/>
                <w:color w:val="auto"/>
              </w:rPr>
              <w:t>Cost</w:t>
            </w:r>
          </w:p>
        </w:tc>
        <w:tc>
          <w:tcPr>
            <w:tcW w:w="220" w:type="dxa"/>
            <w:vAlign w:val="bottom"/>
          </w:tcPr>
          <w:p>
            <w:pPr>
              <w:spacing w:after="0"/>
              <w:rPr>
                <w:sz w:val="14"/>
                <w:szCs w:val="14"/>
                <w:color w:val="auto"/>
              </w:rPr>
            </w:pPr>
          </w:p>
        </w:tc>
        <w:tc>
          <w:tcPr>
            <w:tcW w:w="1680" w:type="dxa"/>
            <w:vAlign w:val="bottom"/>
            <w:gridSpan w:val="2"/>
          </w:tcPr>
          <w:p>
            <w:pPr>
              <w:jc w:val="center"/>
              <w:ind w:right="360"/>
              <w:spacing w:after="0" w:line="162" w:lineRule="exact"/>
              <w:rPr>
                <w:sz w:val="20"/>
                <w:szCs w:val="20"/>
                <w:color w:val="auto"/>
              </w:rPr>
            </w:pPr>
            <w:r>
              <w:rPr>
                <w:rFonts w:ascii="Times New Roman" w:cs="Times New Roman" w:eastAsia="Times New Roman" w:hAnsi="Times New Roman"/>
                <w:sz w:val="16"/>
                <w:szCs w:val="16"/>
                <w:b w:val="1"/>
                <w:bCs w:val="1"/>
                <w:color w:val="auto"/>
              </w:rPr>
              <w:t>Amortization</w:t>
            </w:r>
          </w:p>
        </w:tc>
        <w:tc>
          <w:tcPr>
            <w:tcW w:w="146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Carrying Amount</w:t>
            </w:r>
          </w:p>
        </w:tc>
        <w:tc>
          <w:tcPr>
            <w:tcW w:w="0" w:type="dxa"/>
            <w:vAlign w:val="bottom"/>
          </w:tcPr>
          <w:p>
            <w:pPr>
              <w:spacing w:after="0"/>
              <w:rPr>
                <w:sz w:val="1"/>
                <w:szCs w:val="1"/>
                <w:color w:val="auto"/>
              </w:rPr>
            </w:pPr>
          </w:p>
        </w:tc>
      </w:tr>
      <w:tr>
        <w:trPr>
          <w:trHeight w:val="223"/>
        </w:trPr>
        <w:tc>
          <w:tcPr>
            <w:tcW w:w="6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and Impairment</w:t>
            </w:r>
          </w:p>
        </w:tc>
        <w:tc>
          <w:tcPr>
            <w:tcW w:w="14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377.1</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10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321.7</w:t>
            </w: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1"/>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Intellectual property</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111.3</w:t>
            </w:r>
          </w:p>
        </w:tc>
        <w:tc>
          <w:tcPr>
            <w:tcW w:w="100" w:type="dxa"/>
            <w:vAlign w:val="bottom"/>
          </w:tcPr>
          <w:p>
            <w:pPr>
              <w:spacing w:after="0"/>
              <w:rPr>
                <w:sz w:val="24"/>
                <w:szCs w:val="24"/>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111.3</w:t>
            </w:r>
          </w:p>
        </w:tc>
        <w:tc>
          <w:tcPr>
            <w:tcW w:w="100" w:type="dxa"/>
            <w:vAlign w:val="bottom"/>
          </w:tcPr>
          <w:p>
            <w:pPr>
              <w:spacing w:after="0"/>
              <w:rPr>
                <w:sz w:val="24"/>
                <w:szCs w:val="24"/>
                <w:color w:val="auto"/>
              </w:rPr>
            </w:pPr>
          </w:p>
        </w:tc>
        <w:tc>
          <w:tcPr>
            <w:tcW w:w="54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Other intangible assets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371.9</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300.4</w:t>
            </w:r>
          </w:p>
        </w:tc>
        <w:tc>
          <w:tcPr>
            <w:tcW w:w="0" w:type="dxa"/>
            <w:vAlign w:val="bottom"/>
          </w:tcPr>
          <w:p>
            <w:pPr>
              <w:spacing w:after="0"/>
              <w:rPr>
                <w:sz w:val="1"/>
                <w:szCs w:val="1"/>
                <w:color w:val="auto"/>
              </w:rPr>
            </w:pPr>
          </w:p>
        </w:tc>
      </w:tr>
      <w:tr>
        <w:trPr>
          <w:trHeight w:val="261"/>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Computer software assets</w:t>
            </w: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310.8</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292.9</w:t>
            </w:r>
          </w:p>
        </w:tc>
        <w:tc>
          <w:tcPr>
            <w:tcW w:w="100" w:type="dxa"/>
            <w:vAlign w:val="bottom"/>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223"/>
        </w:trPr>
        <w:tc>
          <w:tcPr>
            <w:tcW w:w="626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1,094.4</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776.1</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318.3</w:t>
            </w: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34" w:name="page135"/>
    <w:bookmarkEnd w:id="134"/>
    <w:p>
      <w:pPr>
        <w:jc w:val="center"/>
        <w:spacing w:after="0"/>
        <w:rPr>
          <w:sz w:val="20"/>
          <w:szCs w:val="20"/>
          <w:color w:val="auto"/>
        </w:rPr>
      </w:pPr>
      <w:r>
        <w:rPr>
          <w:rFonts w:ascii="Times New Roman" w:cs="Times New Roman" w:eastAsia="Times New Roman" w:hAnsi="Times New Roman"/>
          <w:sz w:val="18"/>
          <w:szCs w:val="18"/>
          <w:b w:val="1"/>
          <w:bCs w:val="1"/>
          <w:color w:val="auto"/>
        </w:rPr>
        <w:t>CELESTICA INC.</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of U.S. dollars, except percentages and per share amounts)</w:t>
      </w:r>
    </w:p>
    <w:p>
      <w:pPr>
        <w:spacing w:after="0" w:line="39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82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The following table details the changes to the carrying amount of goodwill for the years indicated:</w:t>
            </w:r>
          </w:p>
        </w:tc>
        <w:tc>
          <w:tcPr>
            <w:tcW w:w="9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8200" w:type="dxa"/>
            <w:vAlign w:val="bottom"/>
          </w:tcPr>
          <w:p>
            <w:pPr>
              <w:spacing w:after="0"/>
              <w:rPr>
                <w:sz w:val="22"/>
                <w:szCs w:val="22"/>
                <w:color w:val="auto"/>
              </w:rPr>
            </w:pPr>
          </w:p>
        </w:tc>
        <w:tc>
          <w:tcPr>
            <w:tcW w:w="25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5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8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Opening balance</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8200" w:type="dxa"/>
            <w:vAlign w:val="bottom"/>
            <w:vMerge w:val="continue"/>
          </w:tcPr>
          <w:p>
            <w:pPr>
              <w:spacing w:after="0"/>
              <w:rPr>
                <w:sz w:val="18"/>
                <w:szCs w:val="18"/>
                <w:color w:val="auto"/>
              </w:rPr>
            </w:pPr>
          </w:p>
        </w:tc>
        <w:tc>
          <w:tcPr>
            <w:tcW w:w="94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321.7</w:t>
            </w:r>
          </w:p>
        </w:tc>
        <w:tc>
          <w:tcPr>
            <w:tcW w:w="100" w:type="dxa"/>
            <w:vAlign w:val="bottom"/>
          </w:tcPr>
          <w:p>
            <w:pPr>
              <w:spacing w:after="0"/>
              <w:rPr>
                <w:sz w:val="18"/>
                <w:szCs w:val="18"/>
                <w:color w:val="auto"/>
              </w:rPr>
            </w:pPr>
          </w:p>
        </w:tc>
        <w:tc>
          <w:tcPr>
            <w:tcW w:w="94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321.8</w:t>
            </w:r>
          </w:p>
        </w:tc>
        <w:tc>
          <w:tcPr>
            <w:tcW w:w="0" w:type="dxa"/>
            <w:vAlign w:val="bottom"/>
          </w:tcPr>
          <w:p>
            <w:pPr>
              <w:spacing w:after="0"/>
              <w:rPr>
                <w:sz w:val="1"/>
                <w:szCs w:val="1"/>
                <w:color w:val="auto"/>
              </w:rPr>
            </w:pPr>
          </w:p>
        </w:tc>
      </w:tr>
      <w:tr>
        <w:trPr>
          <w:trHeight w:val="230"/>
        </w:trPr>
        <w:tc>
          <w:tcPr>
            <w:tcW w:w="8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Acquisitions through business combinations (see note 3)</w:t>
            </w:r>
          </w:p>
        </w:tc>
        <w:tc>
          <w:tcPr>
            <w:tcW w:w="9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8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Foreign exchange</w:t>
            </w:r>
          </w:p>
        </w:tc>
        <w:tc>
          <w:tcPr>
            <w:tcW w:w="9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3"/>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94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340.5</w:t>
            </w:r>
          </w:p>
        </w:tc>
        <w:tc>
          <w:tcPr>
            <w:tcW w:w="100" w:type="dxa"/>
            <w:vAlign w:val="bottom"/>
          </w:tcPr>
          <w:p>
            <w:pPr>
              <w:spacing w:after="0"/>
              <w:rPr>
                <w:sz w:val="19"/>
                <w:szCs w:val="19"/>
                <w:color w:val="auto"/>
              </w:rPr>
            </w:pPr>
          </w:p>
        </w:tc>
        <w:tc>
          <w:tcPr>
            <w:tcW w:w="94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321.7</w:t>
            </w:r>
          </w:p>
        </w:tc>
        <w:tc>
          <w:tcPr>
            <w:tcW w:w="0" w:type="dxa"/>
            <w:vAlign w:val="bottom"/>
          </w:tcPr>
          <w:p>
            <w:pPr>
              <w:spacing w:after="0"/>
              <w:rPr>
                <w:sz w:val="1"/>
                <w:szCs w:val="1"/>
                <w:color w:val="auto"/>
              </w:rPr>
            </w:pPr>
          </w:p>
        </w:tc>
      </w:tr>
      <w:tr>
        <w:trPr>
          <w:trHeight w:val="20"/>
        </w:trPr>
        <w:tc>
          <w:tcPr>
            <w:tcW w:w="82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Other intangible assets are amortized over a weighted-average estimated useful life of 12.2 years. Computer software assets are amortized over a weighted-average estimated useful life of 8.4 years. Estimated amortization expenses of intangible assets for each of the five succeeding fiscal years and thereafter are as follows:</w:t>
      </w:r>
    </w:p>
    <w:p>
      <w:pPr>
        <w:spacing w:after="0" w:line="243"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942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72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w:t>
            </w:r>
          </w:p>
        </w:tc>
      </w:tr>
      <w:tr>
        <w:trPr>
          <w:trHeight w:val="229"/>
        </w:trPr>
        <w:tc>
          <w:tcPr>
            <w:tcW w:w="942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7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w:t>
            </w:r>
          </w:p>
        </w:tc>
      </w:tr>
      <w:tr>
        <w:trPr>
          <w:trHeight w:val="230"/>
        </w:trPr>
        <w:tc>
          <w:tcPr>
            <w:tcW w:w="942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7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w:t>
            </w:r>
          </w:p>
        </w:tc>
      </w:tr>
      <w:tr>
        <w:trPr>
          <w:trHeight w:val="229"/>
        </w:trPr>
        <w:tc>
          <w:tcPr>
            <w:tcW w:w="942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7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w:t>
            </w:r>
          </w:p>
        </w:tc>
      </w:tr>
      <w:tr>
        <w:trPr>
          <w:trHeight w:val="230"/>
        </w:trPr>
        <w:tc>
          <w:tcPr>
            <w:tcW w:w="942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7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w:t>
            </w:r>
          </w:p>
        </w:tc>
      </w:tr>
      <w:tr>
        <w:trPr>
          <w:trHeight w:val="234"/>
        </w:trPr>
        <w:tc>
          <w:tcPr>
            <w:tcW w:w="942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7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105.6</w:t>
            </w:r>
          </w:p>
        </w:tc>
      </w:tr>
      <w:tr>
        <w:trPr>
          <w:trHeight w:val="223"/>
        </w:trPr>
        <w:tc>
          <w:tcPr>
            <w:tcW w:w="9420" w:type="dxa"/>
            <w:vAlign w:val="bottom"/>
          </w:tcPr>
          <w:p>
            <w:pPr>
              <w:spacing w:after="0"/>
              <w:rPr>
                <w:sz w:val="19"/>
                <w:szCs w:val="19"/>
                <w:color w:val="auto"/>
              </w:rPr>
            </w:pPr>
          </w:p>
        </w:tc>
        <w:tc>
          <w:tcPr>
            <w:tcW w:w="7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308.0</w:t>
            </w:r>
          </w:p>
        </w:tc>
      </w:tr>
      <w:tr>
        <w:trPr>
          <w:trHeight w:val="21"/>
        </w:trPr>
        <w:tc>
          <w:tcPr>
            <w:tcW w:w="94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evaluate goodwill for impairment at the reporting unit level annually, and in certain circumstances such as a change in reporting units or whenever there are indications that goodwill might be impaired. No triggering events occurred during 2022, 2023 or 2024. In addition to an assessment of triggering events during the year, we also conduct an Annual Impairment Assessment of goodwill during the fourth quarter of each year. We recorded no impairment charges against goodwill or intangible assets as a result of our 2022, 2023 or 2024 Annual Impairment Assessments because the fair value of each one of the reporting units exceeded its respective carrying value.</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 December 31, 2024, our goodwill balance consists of the following:</w:t>
      </w:r>
    </w:p>
    <w:p>
      <w:pPr>
        <w:spacing w:after="0" w:line="32"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8820" w:type="dxa"/>
            <w:vAlign w:val="bottom"/>
          </w:tcPr>
          <w:p>
            <w:pPr>
              <w:spacing w:after="0"/>
              <w:rPr>
                <w:sz w:val="16"/>
                <w:szCs w:val="16"/>
                <w:color w:val="auto"/>
              </w:rPr>
            </w:pPr>
          </w:p>
        </w:tc>
        <w:tc>
          <w:tcPr>
            <w:tcW w:w="1420" w:type="dxa"/>
            <w:vAlign w:val="bottom"/>
            <w:gridSpan w:val="2"/>
          </w:tcPr>
          <w:p>
            <w:pPr>
              <w:jc w:val="center"/>
              <w:ind w:right="130"/>
              <w:spacing w:after="0"/>
              <w:rPr>
                <w:sz w:val="20"/>
                <w:szCs w:val="20"/>
                <w:color w:val="auto"/>
              </w:rPr>
            </w:pPr>
            <w:r>
              <w:rPr>
                <w:rFonts w:ascii="Times New Roman" w:cs="Times New Roman" w:eastAsia="Times New Roman" w:hAnsi="Times New Roman"/>
                <w:sz w:val="16"/>
                <w:szCs w:val="16"/>
                <w:b w:val="1"/>
                <w:bCs w:val="1"/>
                <w:color w:val="auto"/>
                <w:w w:val="99"/>
              </w:rPr>
              <w:t>Reportable</w:t>
            </w:r>
          </w:p>
        </w:tc>
        <w:tc>
          <w:tcPr>
            <w:tcW w:w="980" w:type="dxa"/>
            <w:vAlign w:val="bottom"/>
            <w:vMerge w:val="restart"/>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0" w:type="dxa"/>
            <w:vAlign w:val="bottom"/>
          </w:tcPr>
          <w:p>
            <w:pPr>
              <w:spacing w:after="0"/>
              <w:rPr>
                <w:sz w:val="1"/>
                <w:szCs w:val="1"/>
                <w:color w:val="auto"/>
              </w:rPr>
            </w:pPr>
          </w:p>
        </w:tc>
      </w:tr>
      <w:tr>
        <w:trPr>
          <w:trHeight w:val="212"/>
        </w:trPr>
        <w:tc>
          <w:tcPr>
            <w:tcW w:w="8820" w:type="dxa"/>
            <w:vAlign w:val="bottom"/>
          </w:tcPr>
          <w:p>
            <w:pPr>
              <w:spacing w:after="0"/>
              <w:rPr>
                <w:sz w:val="18"/>
                <w:szCs w:val="18"/>
                <w:color w:val="auto"/>
              </w:rPr>
            </w:pPr>
          </w:p>
        </w:tc>
        <w:tc>
          <w:tcPr>
            <w:tcW w:w="1420" w:type="dxa"/>
            <w:vAlign w:val="bottom"/>
            <w:tcBorders>
              <w:bottom w:val="single" w:sz="8" w:color="auto"/>
            </w:tcBorders>
            <w:gridSpan w:val="2"/>
          </w:tcPr>
          <w:p>
            <w:pPr>
              <w:jc w:val="center"/>
              <w:ind w:right="130"/>
              <w:spacing w:after="0"/>
              <w:rPr>
                <w:sz w:val="20"/>
                <w:szCs w:val="20"/>
                <w:color w:val="auto"/>
              </w:rPr>
            </w:pPr>
            <w:r>
              <w:rPr>
                <w:rFonts w:ascii="Times New Roman" w:cs="Times New Roman" w:eastAsia="Times New Roman" w:hAnsi="Times New Roman"/>
                <w:sz w:val="16"/>
                <w:szCs w:val="16"/>
                <w:b w:val="1"/>
                <w:bCs w:val="1"/>
                <w:color w:val="auto"/>
              </w:rPr>
              <w:t>Segment</w:t>
            </w:r>
          </w:p>
        </w:tc>
        <w:tc>
          <w:tcPr>
            <w:tcW w:w="9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Capital Equipment reporting unit:</w:t>
            </w:r>
          </w:p>
        </w:tc>
        <w:tc>
          <w:tcPr>
            <w:tcW w:w="1420" w:type="dxa"/>
            <w:vAlign w:val="bottom"/>
            <w:gridSpan w:val="2"/>
          </w:tcPr>
          <w:p>
            <w:pPr>
              <w:jc w:val="center"/>
              <w:ind w:right="130"/>
              <w:spacing w:after="0"/>
              <w:rPr>
                <w:sz w:val="20"/>
                <w:szCs w:val="20"/>
                <w:color w:val="auto"/>
              </w:rPr>
            </w:pPr>
            <w:r>
              <w:rPr>
                <w:rFonts w:ascii="Times New Roman" w:cs="Times New Roman" w:eastAsia="Times New Roman" w:hAnsi="Times New Roman"/>
                <w:sz w:val="18"/>
                <w:szCs w:val="18"/>
                <w:color w:val="auto"/>
                <w:w w:val="93"/>
              </w:rPr>
              <w:t>ATS</w:t>
            </w: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Goodwill attributable to acquisition of Impakt Holdings, LLC in November 2018</w:t>
            </w:r>
          </w:p>
        </w:tc>
        <w:tc>
          <w:tcPr>
            <w:tcW w:w="14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w:t>
            </w:r>
          </w:p>
        </w:tc>
        <w:tc>
          <w:tcPr>
            <w:tcW w:w="0" w:type="dxa"/>
            <w:vAlign w:val="bottom"/>
          </w:tcPr>
          <w:p>
            <w:pPr>
              <w:spacing w:after="0"/>
              <w:rPr>
                <w:sz w:val="1"/>
                <w:szCs w:val="1"/>
                <w:color w:val="auto"/>
              </w:rPr>
            </w:pPr>
          </w:p>
        </w:tc>
      </w:tr>
      <w:tr>
        <w:trPr>
          <w:trHeight w:val="230"/>
        </w:trPr>
        <w:tc>
          <w:tcPr>
            <w:tcW w:w="8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Goodwill attributable to prior acquisitions</w:t>
            </w: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r>
        <w:trPr>
          <w:trHeight w:val="229"/>
        </w:trPr>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Aerospace and Defense (A&amp;D) reporting unit:</w:t>
            </w:r>
          </w:p>
        </w:tc>
        <w:tc>
          <w:tcPr>
            <w:tcW w:w="1420" w:type="dxa"/>
            <w:vAlign w:val="bottom"/>
            <w:gridSpan w:val="2"/>
          </w:tcPr>
          <w:p>
            <w:pPr>
              <w:jc w:val="center"/>
              <w:ind w:right="130"/>
              <w:spacing w:after="0"/>
              <w:rPr>
                <w:sz w:val="20"/>
                <w:szCs w:val="20"/>
                <w:color w:val="auto"/>
              </w:rPr>
            </w:pPr>
            <w:r>
              <w:rPr>
                <w:rFonts w:ascii="Times New Roman" w:cs="Times New Roman" w:eastAsia="Times New Roman" w:hAnsi="Times New Roman"/>
                <w:sz w:val="18"/>
                <w:szCs w:val="18"/>
                <w:color w:val="auto"/>
                <w:w w:val="93"/>
              </w:rPr>
              <w:t>ATS</w:t>
            </w: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Goodwill attributable to acquisition of Atrenne Integrated Solutions, Inc. in April 2018</w:t>
            </w: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0" w:type="dxa"/>
            <w:vAlign w:val="bottom"/>
          </w:tcPr>
          <w:p>
            <w:pPr>
              <w:spacing w:after="0"/>
              <w:rPr>
                <w:sz w:val="1"/>
                <w:szCs w:val="1"/>
                <w:color w:val="auto"/>
              </w:rPr>
            </w:pPr>
          </w:p>
        </w:tc>
      </w:tr>
      <w:tr>
        <w:trPr>
          <w:trHeight w:val="230"/>
        </w:trPr>
        <w:tc>
          <w:tcPr>
            <w:tcW w:w="8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Goodwill attributable to prior acquisitions</w:t>
            </w: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180"/>
        </w:trPr>
        <w:tc>
          <w:tcPr>
            <w:tcW w:w="882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PCI Private Limited (PCI) reporting unit:</w:t>
            </w:r>
          </w:p>
        </w:tc>
        <w:tc>
          <w:tcPr>
            <w:tcW w:w="1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Goodwill attributable to acquisition of PCI in November 2021</w:t>
            </w:r>
          </w:p>
        </w:tc>
        <w:tc>
          <w:tcPr>
            <w:tcW w:w="1420" w:type="dxa"/>
            <w:vAlign w:val="bottom"/>
            <w:gridSpan w:val="2"/>
          </w:tcPr>
          <w:p>
            <w:pPr>
              <w:jc w:val="center"/>
              <w:ind w:right="130"/>
              <w:spacing w:after="0"/>
              <w:rPr>
                <w:sz w:val="20"/>
                <w:szCs w:val="20"/>
                <w:color w:val="auto"/>
              </w:rPr>
            </w:pPr>
            <w:r>
              <w:rPr>
                <w:rFonts w:ascii="Times New Roman" w:cs="Times New Roman" w:eastAsia="Times New Roman" w:hAnsi="Times New Roman"/>
                <w:sz w:val="18"/>
                <w:szCs w:val="18"/>
                <w:color w:val="auto"/>
                <w:w w:val="93"/>
              </w:rPr>
              <w:t>ATS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123.8</w:t>
            </w:r>
          </w:p>
        </w:tc>
        <w:tc>
          <w:tcPr>
            <w:tcW w:w="0" w:type="dxa"/>
            <w:vAlign w:val="bottom"/>
          </w:tcPr>
          <w:p>
            <w:pPr>
              <w:spacing w:after="0"/>
              <w:rPr>
                <w:sz w:val="1"/>
                <w:szCs w:val="1"/>
                <w:color w:val="auto"/>
              </w:rPr>
            </w:pPr>
          </w:p>
        </w:tc>
      </w:tr>
      <w:tr>
        <w:trPr>
          <w:trHeight w:val="211"/>
        </w:trPr>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NCS reporting unit:</w:t>
            </w: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Goodwill attributable to acquisition of NCS in April 2024 (see note 3)</w:t>
            </w:r>
          </w:p>
        </w:tc>
        <w:tc>
          <w:tcPr>
            <w:tcW w:w="1420" w:type="dxa"/>
            <w:vAlign w:val="bottom"/>
            <w:gridSpan w:val="2"/>
          </w:tcPr>
          <w:p>
            <w:pPr>
              <w:jc w:val="center"/>
              <w:ind w:right="150"/>
              <w:spacing w:after="0"/>
              <w:rPr>
                <w:sz w:val="20"/>
                <w:szCs w:val="20"/>
                <w:color w:val="auto"/>
              </w:rPr>
            </w:pPr>
            <w:r>
              <w:rPr>
                <w:rFonts w:ascii="Times New Roman" w:cs="Times New Roman" w:eastAsia="Times New Roman" w:hAnsi="Times New Roman"/>
                <w:sz w:val="18"/>
                <w:szCs w:val="18"/>
                <w:color w:val="auto"/>
                <w:w w:val="99"/>
              </w:rPr>
              <w:t>CCS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0" w:type="dxa"/>
            <w:vAlign w:val="bottom"/>
          </w:tcPr>
          <w:p>
            <w:pPr>
              <w:spacing w:after="0"/>
              <w:rPr>
                <w:sz w:val="1"/>
                <w:szCs w:val="1"/>
                <w:color w:val="auto"/>
              </w:rPr>
            </w:pPr>
          </w:p>
        </w:tc>
      </w:tr>
      <w:tr>
        <w:trPr>
          <w:trHeight w:val="223"/>
        </w:trPr>
        <w:tc>
          <w:tcPr>
            <w:tcW w:w="88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340.5</w:t>
            </w:r>
          </w:p>
        </w:tc>
        <w:tc>
          <w:tcPr>
            <w:tcW w:w="0" w:type="dxa"/>
            <w:vAlign w:val="bottom"/>
          </w:tcPr>
          <w:p>
            <w:pPr>
              <w:spacing w:after="0"/>
              <w:rPr>
                <w:sz w:val="1"/>
                <w:szCs w:val="1"/>
                <w:color w:val="auto"/>
              </w:rPr>
            </w:pPr>
          </w:p>
        </w:tc>
      </w:tr>
      <w:tr>
        <w:trPr>
          <w:trHeight w:val="20"/>
        </w:trPr>
        <w:tc>
          <w:tcPr>
            <w:tcW w:w="88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process of determining the fair value of our reporting units is subjective and requires management to exercise significant judgement in estimating our future revenue growth, profitability and discount rate assumptions, among other factors. The assumptions we used for revenue growth and for each of the reporting unit margins were based on projections over a 5-year period and a perpetual growth rate of 2% thereafter (reflecting long-term inflation guidance). Future growth in revenue and margins for these reporting units is supported by new business awarded recently, customer forecasts, assumptions for additional future program wins based on our current revenue pipeline, margin improvements based on restructuring actions implemented and external industry outlooks. The discount rates for all of our reporting units considers our weighed average cost of capital as well as market interest rate changes. In addition, assumptions for our 2024 Annual</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35" w:name="page136"/>
    <w:bookmarkEnd w:id="135"/>
    <w:p>
      <w:pPr>
        <w:jc w:val="center"/>
        <w:spacing w:after="0"/>
        <w:rPr>
          <w:sz w:val="20"/>
          <w:szCs w:val="20"/>
          <w:color w:val="auto"/>
        </w:rPr>
      </w:pPr>
      <w:r>
        <w:rPr>
          <w:rFonts w:ascii="Times New Roman" w:cs="Times New Roman" w:eastAsia="Times New Roman" w:hAnsi="Times New Roman"/>
          <w:sz w:val="18"/>
          <w:szCs w:val="18"/>
          <w:b w:val="1"/>
          <w:bCs w:val="1"/>
          <w:color w:val="auto"/>
        </w:rPr>
        <w:t>CELESTICA INC.</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of U.S. dollars, except percentages and per share amounts)</w:t>
      </w:r>
    </w:p>
    <w:p>
      <w:pPr>
        <w:spacing w:after="0" w:line="39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Impairment Assessment for: (i) our Capital Equipment reporting unit include expected continued stable market demand in the near term with strong business growth over the long term; (ii) our A&amp;D reporting unit include expected demand increases in line with industry expectations; and (iii) our PCI reporting unit include expected demand improvements from various customers and benefits from our continued execution of synergistic programs.</w:t>
      </w:r>
    </w:p>
    <w:p>
      <w:pPr>
        <w:spacing w:after="0" w:line="203" w:lineRule="exact"/>
        <w:rPr>
          <w:sz w:val="20"/>
          <w:szCs w:val="20"/>
          <w:color w:val="auto"/>
        </w:rPr>
      </w:pPr>
    </w:p>
    <w:p>
      <w:pPr>
        <w:jc w:val="both"/>
        <w:ind w:firstLine="188"/>
        <w:spacing w:after="0" w:line="266" w:lineRule="auto"/>
        <w:rPr>
          <w:sz w:val="20"/>
          <w:szCs w:val="20"/>
          <w:color w:val="auto"/>
        </w:rPr>
      </w:pPr>
      <w:r>
        <w:rPr>
          <w:rFonts w:ascii="Times New Roman" w:cs="Times New Roman" w:eastAsia="Times New Roman" w:hAnsi="Times New Roman"/>
          <w:sz w:val="18"/>
          <w:szCs w:val="18"/>
          <w:color w:val="auto"/>
        </w:rPr>
        <w:t>Future events and changing market conditions may impact our assumptions as to prices, costs or other factors that may result in changes to our estimates of future cash flows. Failure to realize the assumed revenues at an appropriate profit margin of a reporting unit could result in impairment losses in such reporting unit in future periods</w:t>
      </w:r>
      <w:r>
        <w:rPr>
          <w:rFonts w:ascii="Times New Roman" w:cs="Times New Roman" w:eastAsia="Times New Roman" w:hAnsi="Times New Roman"/>
          <w:sz w:val="18"/>
          <w:szCs w:val="18"/>
          <w:i w:val="1"/>
          <w:iCs w:val="1"/>
          <w:color w:val="auto"/>
        </w:rPr>
        <w:t>.</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9.  OTHER NON-CURRENT ASSETS:</w:t>
            </w:r>
          </w:p>
        </w:tc>
        <w:tc>
          <w:tcPr>
            <w:tcW w:w="2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62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Other non-current assets are comprised of the following:</w:t>
            </w:r>
          </w:p>
        </w:tc>
        <w:tc>
          <w:tcPr>
            <w:tcW w:w="2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620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200" w:type="dxa"/>
            <w:vAlign w:val="bottom"/>
          </w:tcPr>
          <w:p>
            <w:pPr>
              <w:spacing w:after="0"/>
              <w:rPr>
                <w:sz w:val="2"/>
                <w:szCs w:val="2"/>
                <w:color w:val="auto"/>
              </w:rPr>
            </w:pPr>
          </w:p>
        </w:tc>
        <w:tc>
          <w:tcPr>
            <w:tcW w:w="2020" w:type="dxa"/>
            <w:vAlign w:val="bottom"/>
            <w:vMerge w:val="restart"/>
          </w:tcPr>
          <w:p>
            <w:pPr>
              <w:jc w:val="center"/>
              <w:ind w:left="1210"/>
              <w:spacing w:after="0"/>
              <w:rPr>
                <w:sz w:val="20"/>
                <w:szCs w:val="20"/>
                <w:color w:val="auto"/>
              </w:rPr>
            </w:pPr>
            <w:r>
              <w:rPr>
                <w:rFonts w:ascii="Times New Roman" w:cs="Times New Roman" w:eastAsia="Times New Roman" w:hAnsi="Times New Roman"/>
                <w:sz w:val="18"/>
                <w:szCs w:val="18"/>
                <w:b w:val="1"/>
                <w:bCs w:val="1"/>
                <w:color w:val="auto"/>
                <w:w w:val="99"/>
              </w:rPr>
              <w:t>Note</w:t>
            </w: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200" w:type="dxa"/>
            <w:vAlign w:val="bottom"/>
          </w:tcPr>
          <w:p>
            <w:pPr>
              <w:spacing w:after="0"/>
              <w:rPr>
                <w:sz w:val="19"/>
                <w:szCs w:val="19"/>
                <w:color w:val="auto"/>
              </w:rPr>
            </w:pPr>
          </w:p>
        </w:tc>
        <w:tc>
          <w:tcPr>
            <w:tcW w:w="2020" w:type="dxa"/>
            <w:vAlign w:val="bottom"/>
            <w:vMerge w:val="continue"/>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18"/>
        </w:trPr>
        <w:tc>
          <w:tcPr>
            <w:tcW w:w="6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pension assets</w:t>
            </w:r>
          </w:p>
        </w:tc>
        <w:tc>
          <w:tcPr>
            <w:tcW w:w="2020" w:type="dxa"/>
            <w:vAlign w:val="bottom"/>
          </w:tcPr>
          <w:p>
            <w:pPr>
              <w:jc w:val="center"/>
              <w:ind w:left="1190"/>
              <w:spacing w:after="0"/>
              <w:rPr>
                <w:sz w:val="20"/>
                <w:szCs w:val="20"/>
                <w:color w:val="auto"/>
              </w:rPr>
            </w:pPr>
            <w:r>
              <w:rPr>
                <w:rFonts w:ascii="Times New Roman" w:cs="Times New Roman" w:eastAsia="Times New Roman" w:hAnsi="Times New Roman"/>
                <w:sz w:val="18"/>
                <w:szCs w:val="18"/>
                <w:i w:val="1"/>
                <w:iCs w:val="1"/>
                <w:color w:val="auto"/>
                <w:w w:val="99"/>
              </w:rPr>
              <w:t>17</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8"/>
                <w:szCs w:val="18"/>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29"/>
        </w:trPr>
        <w:tc>
          <w:tcPr>
            <w:tcW w:w="6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Land rights</w:t>
            </w:r>
          </w:p>
        </w:tc>
        <w:tc>
          <w:tcPr>
            <w:tcW w:w="2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30"/>
        </w:trPr>
        <w:tc>
          <w:tcPr>
            <w:tcW w:w="6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Deferred investment costs</w:t>
            </w:r>
          </w:p>
        </w:tc>
        <w:tc>
          <w:tcPr>
            <w:tcW w:w="2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29"/>
        </w:trPr>
        <w:tc>
          <w:tcPr>
            <w:tcW w:w="6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Deferred financing costs</w:t>
            </w:r>
          </w:p>
        </w:tc>
        <w:tc>
          <w:tcPr>
            <w:tcW w:w="2020" w:type="dxa"/>
            <w:vAlign w:val="bottom"/>
            <w:vMerge w:val="restart"/>
          </w:tcPr>
          <w:p>
            <w:pPr>
              <w:jc w:val="center"/>
              <w:ind w:left="1190"/>
              <w:spacing w:after="0"/>
              <w:rPr>
                <w:sz w:val="20"/>
                <w:szCs w:val="20"/>
                <w:color w:val="auto"/>
              </w:rPr>
            </w:pPr>
            <w:r>
              <w:rPr>
                <w:rFonts w:ascii="Times New Roman" w:cs="Times New Roman" w:eastAsia="Times New Roman" w:hAnsi="Times New Roman"/>
                <w:sz w:val="18"/>
                <w:szCs w:val="18"/>
                <w:i w:val="1"/>
                <w:iCs w:val="1"/>
                <w:color w:val="auto"/>
                <w:w w:val="99"/>
              </w:rPr>
              <w:t>19</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29"/>
        </w:trPr>
        <w:tc>
          <w:tcPr>
            <w:tcW w:w="6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Interest rate swap derivative</w:t>
            </w:r>
          </w:p>
        </w:tc>
        <w:tc>
          <w:tcPr>
            <w:tcW w:w="202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30"/>
        </w:trPr>
        <w:tc>
          <w:tcPr>
            <w:tcW w:w="6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Equity investments</w:t>
            </w:r>
          </w:p>
        </w:tc>
        <w:tc>
          <w:tcPr>
            <w:tcW w:w="2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6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Other</w:t>
            </w:r>
          </w:p>
        </w:tc>
        <w:tc>
          <w:tcPr>
            <w:tcW w:w="2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27"/>
        </w:trPr>
        <w:tc>
          <w:tcPr>
            <w:tcW w:w="62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2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PROVISIONS:</w:t>
      </w:r>
    </w:p>
    <w:p>
      <w:pPr>
        <w:spacing w:after="0" w:line="227"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color w:val="auto"/>
        </w:rPr>
        <w:t>Our provisions primarily include restructuring and warranty provisions (described in note 2</w:t>
      </w:r>
      <w:r>
        <w:rPr>
          <w:rFonts w:ascii="Times New Roman" w:cs="Times New Roman" w:eastAsia="Times New Roman" w:hAnsi="Times New Roman"/>
          <w:sz w:val="18"/>
          <w:szCs w:val="18"/>
          <w:i w:val="1"/>
          <w:iCs w:val="1"/>
          <w:color w:val="auto"/>
        </w:rPr>
        <w:t>(k)</w:t>
      </w:r>
      <w:r>
        <w:rPr>
          <w:rFonts w:ascii="Times New Roman" w:cs="Times New Roman" w:eastAsia="Times New Roman" w:hAnsi="Times New Roman"/>
          <w:sz w:val="18"/>
          <w:szCs w:val="18"/>
          <w:color w:val="auto"/>
        </w:rPr>
        <w:t>). We include details of our restructuring provision in note 14</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The following charts detail the changes in our provisions: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Restructuring</w:t>
            </w:r>
          </w:p>
        </w:tc>
        <w:tc>
          <w:tcPr>
            <w:tcW w:w="240" w:type="dxa"/>
            <w:vAlign w:val="bottom"/>
          </w:tcPr>
          <w:p>
            <w:pPr>
              <w:spacing w:after="0"/>
              <w:rPr>
                <w:sz w:val="20"/>
                <w:szCs w:val="20"/>
                <w:color w:val="auto"/>
              </w:rPr>
            </w:pPr>
          </w:p>
        </w:tc>
        <w:tc>
          <w:tcPr>
            <w:tcW w:w="12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Warranty</w:t>
            </w:r>
          </w:p>
        </w:tc>
        <w:tc>
          <w:tcPr>
            <w:tcW w:w="0" w:type="dxa"/>
            <w:vAlign w:val="bottom"/>
          </w:tcPr>
          <w:p>
            <w:pPr>
              <w:spacing w:after="0"/>
              <w:rPr>
                <w:sz w:val="1"/>
                <w:szCs w:val="1"/>
                <w:color w:val="auto"/>
              </w:rPr>
            </w:pPr>
          </w:p>
        </w:tc>
      </w:tr>
      <w:tr>
        <w:trPr>
          <w:trHeight w:val="27"/>
        </w:trPr>
        <w:tc>
          <w:tcPr>
            <w:tcW w:w="8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 December 31, 2023</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0" w:type="dxa"/>
            <w:vAlign w:val="bottom"/>
          </w:tcPr>
          <w:p>
            <w:pPr>
              <w:spacing w:after="0"/>
              <w:rPr>
                <w:sz w:val="1"/>
                <w:szCs w:val="1"/>
                <w:color w:val="auto"/>
              </w:rPr>
            </w:pPr>
          </w:p>
        </w:tc>
      </w:tr>
      <w:tr>
        <w:trPr>
          <w:trHeight w:val="230"/>
        </w:trPr>
        <w:tc>
          <w:tcPr>
            <w:tcW w:w="8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Provisions, net of reversal of prior year provisions</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0" w:type="dxa"/>
            <w:vAlign w:val="bottom"/>
          </w:tcPr>
          <w:p>
            <w:pPr>
              <w:spacing w:after="0"/>
              <w:rPr>
                <w:sz w:val="1"/>
                <w:szCs w:val="1"/>
                <w:color w:val="auto"/>
              </w:rPr>
            </w:pPr>
          </w:p>
        </w:tc>
      </w:tr>
      <w:tr>
        <w:trPr>
          <w:trHeight w:val="230"/>
        </w:trPr>
        <w:tc>
          <w:tcPr>
            <w:tcW w:w="8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Payments/usage</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34"/>
        </w:trPr>
        <w:tc>
          <w:tcPr>
            <w:tcW w:w="8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Accretion, foreign exchange and other</w:t>
            </w:r>
          </w:p>
        </w:tc>
        <w:tc>
          <w:tcPr>
            <w:tcW w:w="160" w:type="dxa"/>
            <w:vAlign w:val="bottom"/>
          </w:tcPr>
          <w:p>
            <w:pPr>
              <w:spacing w:after="0"/>
              <w:rPr>
                <w:sz w:val="20"/>
                <w:szCs w:val="20"/>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23"/>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 December 31, 2024</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0" w:type="dxa"/>
            <w:vAlign w:val="bottom"/>
          </w:tcPr>
          <w:p>
            <w:pPr>
              <w:spacing w:after="0"/>
              <w:rPr>
                <w:sz w:val="1"/>
                <w:szCs w:val="1"/>
                <w:color w:val="auto"/>
              </w:rPr>
            </w:pPr>
          </w:p>
        </w:tc>
      </w:tr>
      <w:tr>
        <w:trPr>
          <w:trHeight w:val="20"/>
        </w:trPr>
        <w:tc>
          <w:tcPr>
            <w:tcW w:w="814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Current</w:t>
            </w: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8140" w:type="dxa"/>
            <w:vAlign w:val="bottom"/>
            <w:vMerge w:val="continue"/>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306"/>
        </w:trPr>
        <w:tc>
          <w:tcPr>
            <w:tcW w:w="8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Non-current</w:t>
            </w:r>
            <w:r>
              <w:rPr>
                <w:rFonts w:ascii="Times New Roman" w:cs="Times New Roman" w:eastAsia="Times New Roman" w:hAnsi="Times New Roman"/>
                <w:sz w:val="23"/>
                <w:szCs w:val="23"/>
                <w:color w:val="auto"/>
                <w:vertAlign w:val="superscript"/>
              </w:rPr>
              <w:t>(i)</w:t>
            </w:r>
          </w:p>
        </w:tc>
        <w:tc>
          <w:tcPr>
            <w:tcW w:w="160" w:type="dxa"/>
            <w:vAlign w:val="bottom"/>
          </w:tcPr>
          <w:p>
            <w:pPr>
              <w:spacing w:after="0"/>
              <w:rPr>
                <w:sz w:val="24"/>
                <w:szCs w:val="24"/>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0" w:type="dxa"/>
            <w:vAlign w:val="bottom"/>
          </w:tcPr>
          <w:p>
            <w:pPr>
              <w:spacing w:after="0"/>
              <w:rPr>
                <w:sz w:val="1"/>
                <w:szCs w:val="1"/>
                <w:color w:val="auto"/>
              </w:rPr>
            </w:pPr>
          </w:p>
        </w:tc>
      </w:tr>
      <w:tr>
        <w:trPr>
          <w:trHeight w:val="331"/>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 December 31, 2022</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24"/>
                <w:szCs w:val="24"/>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0" w:type="dxa"/>
            <w:vAlign w:val="bottom"/>
          </w:tcPr>
          <w:p>
            <w:pPr>
              <w:spacing w:after="0"/>
              <w:rPr>
                <w:sz w:val="1"/>
                <w:szCs w:val="1"/>
                <w:color w:val="auto"/>
              </w:rPr>
            </w:pPr>
          </w:p>
        </w:tc>
      </w:tr>
      <w:tr>
        <w:trPr>
          <w:trHeight w:val="230"/>
        </w:trPr>
        <w:tc>
          <w:tcPr>
            <w:tcW w:w="8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Provisions, net of reversal of prior year provisions</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29"/>
        </w:trPr>
        <w:tc>
          <w:tcPr>
            <w:tcW w:w="8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Payments/usage</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34"/>
        </w:trPr>
        <w:tc>
          <w:tcPr>
            <w:tcW w:w="8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Accretion, foreign exchange and other</w:t>
            </w:r>
          </w:p>
        </w:tc>
        <w:tc>
          <w:tcPr>
            <w:tcW w:w="160" w:type="dxa"/>
            <w:vAlign w:val="bottom"/>
          </w:tcPr>
          <w:p>
            <w:pPr>
              <w:spacing w:after="0"/>
              <w:rPr>
                <w:sz w:val="20"/>
                <w:szCs w:val="20"/>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3"/>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 December 31, 2023</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0" w:type="dxa"/>
            <w:vAlign w:val="bottom"/>
          </w:tcPr>
          <w:p>
            <w:pPr>
              <w:spacing w:after="0"/>
              <w:rPr>
                <w:sz w:val="1"/>
                <w:szCs w:val="1"/>
                <w:color w:val="auto"/>
              </w:rPr>
            </w:pPr>
          </w:p>
        </w:tc>
      </w:tr>
      <w:tr>
        <w:trPr>
          <w:trHeight w:val="20"/>
        </w:trPr>
        <w:tc>
          <w:tcPr>
            <w:tcW w:w="814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Current</w:t>
            </w: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8140" w:type="dxa"/>
            <w:vAlign w:val="bottom"/>
            <w:vMerge w:val="continue"/>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306"/>
        </w:trPr>
        <w:tc>
          <w:tcPr>
            <w:tcW w:w="8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Non-current</w:t>
            </w:r>
            <w:r>
              <w:rPr>
                <w:rFonts w:ascii="Times New Roman" w:cs="Times New Roman" w:eastAsia="Times New Roman" w:hAnsi="Times New Roman"/>
                <w:sz w:val="23"/>
                <w:szCs w:val="23"/>
                <w:color w:val="auto"/>
                <w:vertAlign w:val="superscript"/>
              </w:rPr>
              <w:t>(i)</w:t>
            </w:r>
          </w:p>
        </w:tc>
        <w:tc>
          <w:tcPr>
            <w:tcW w:w="160" w:type="dxa"/>
            <w:vAlign w:val="bottom"/>
          </w:tcPr>
          <w:p>
            <w:pPr>
              <w:spacing w:after="0"/>
              <w:rPr>
                <w:sz w:val="24"/>
                <w:szCs w:val="24"/>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0" w:type="dxa"/>
            <w:vAlign w:val="bottom"/>
          </w:tcPr>
          <w:p>
            <w:pPr>
              <w:spacing w:after="0"/>
              <w:rPr>
                <w:sz w:val="1"/>
                <w:szCs w:val="1"/>
                <w:color w:val="auto"/>
              </w:rPr>
            </w:pPr>
          </w:p>
        </w:tc>
      </w:tr>
    </w:tbl>
    <w:p>
      <w:pPr>
        <w:spacing w:after="0" w:line="106" w:lineRule="exact"/>
        <w:rPr>
          <w:sz w:val="20"/>
          <w:szCs w:val="20"/>
          <w:color w:val="auto"/>
        </w:rPr>
      </w:pPr>
    </w:p>
    <w:p>
      <w:pPr>
        <w:ind w:left="320" w:hanging="312"/>
        <w:spacing w:after="0"/>
        <w:tabs>
          <w:tab w:leader="none" w:pos="32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Non-current balances are included in long-term portion of provisions and other non-current liabilities on our consolidated balance sheet.</w:t>
      </w:r>
    </w:p>
    <w:p>
      <w:pPr>
        <w:spacing w:after="0" w:line="284" w:lineRule="exact"/>
        <w:rPr>
          <w:sz w:val="20"/>
          <w:szCs w:val="20"/>
          <w:color w:val="auto"/>
        </w:rPr>
      </w:pPr>
    </w:p>
    <w:p>
      <w:pPr>
        <w:ind w:firstLine="194"/>
        <w:spacing w:after="0" w:line="282" w:lineRule="auto"/>
        <w:rPr>
          <w:sz w:val="20"/>
          <w:szCs w:val="20"/>
          <w:color w:val="auto"/>
        </w:rPr>
      </w:pPr>
      <w:r>
        <w:rPr>
          <w:rFonts w:ascii="Times New Roman" w:cs="Times New Roman" w:eastAsia="Times New Roman" w:hAnsi="Times New Roman"/>
          <w:sz w:val="18"/>
          <w:szCs w:val="18"/>
          <w:color w:val="auto"/>
        </w:rPr>
        <w:t>At the end of each reporting period, we evaluate the appropriateness of our provisions, and make adjustments as required to reflect actual experience or changes in our estimates.</w:t>
      </w:r>
    </w:p>
    <w:p>
      <w:pPr>
        <w:sectPr>
          <w:pgSz w:w="11900" w:h="16838" w:orient="portrait"/>
          <w:cols w:equalWidth="0" w:num="1">
            <w:col w:w="11240"/>
          </w:cols>
          <w:pgMar w:left="320" w:top="36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234950</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136" w:name="page137"/>
    <w:bookmarkEnd w:id="136"/>
    <w:p>
      <w:pPr>
        <w:jc w:val="center"/>
        <w:spacing w:after="0"/>
        <w:rPr>
          <w:sz w:val="20"/>
          <w:szCs w:val="20"/>
          <w:color w:val="auto"/>
        </w:rPr>
      </w:pPr>
      <w:r>
        <w:rPr>
          <w:rFonts w:ascii="Times New Roman" w:cs="Times New Roman" w:eastAsia="Times New Roman" w:hAnsi="Times New Roman"/>
          <w:sz w:val="18"/>
          <w:szCs w:val="18"/>
          <w:b w:val="1"/>
          <w:bCs w:val="1"/>
          <w:color w:val="auto"/>
        </w:rPr>
        <w:t>CELESTICA INC.</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of U.S. dollars, except percentages and per share amounts)</w:t>
      </w:r>
    </w:p>
    <w:p>
      <w:pPr>
        <w:spacing w:after="0" w:line="387" w:lineRule="exact"/>
        <w:rPr>
          <w:sz w:val="20"/>
          <w:szCs w:val="20"/>
          <w:color w:val="auto"/>
        </w:rPr>
      </w:pPr>
    </w:p>
    <w:p>
      <w:pPr>
        <w:ind w:left="400" w:hanging="392"/>
        <w:spacing w:after="0"/>
        <w:tabs>
          <w:tab w:leader="none" w:pos="400"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CREDIT FACILITIES:</w:t>
      </w:r>
    </w:p>
    <w:p>
      <w:pPr>
        <w:spacing w:after="0" w:line="256" w:lineRule="exact"/>
        <w:rPr>
          <w:sz w:val="20"/>
          <w:szCs w:val="20"/>
          <w:color w:val="auto"/>
        </w:rPr>
      </w:pPr>
    </w:p>
    <w:p>
      <w:pPr>
        <w:jc w:val="both"/>
        <w:ind w:firstLine="198"/>
        <w:spacing w:after="0" w:line="254" w:lineRule="auto"/>
        <w:rPr>
          <w:sz w:val="20"/>
          <w:szCs w:val="20"/>
          <w:color w:val="auto"/>
        </w:rPr>
      </w:pPr>
      <w:r>
        <w:rPr>
          <w:rFonts w:ascii="Times New Roman" w:cs="Times New Roman" w:eastAsia="Times New Roman" w:hAnsi="Times New Roman"/>
          <w:sz w:val="18"/>
          <w:szCs w:val="18"/>
          <w:color w:val="auto"/>
        </w:rPr>
        <w:t>We are party to a credit agreement (Credit Facility) with Bank of America, N.A., as Administrative Agent, and the other lenders party thereto, which as of a June 2024 amendment and restatement (June 2024 Amendment), includes a new term loan in the original principal amount of $250.0 (Term A Loan), a new term loan in the original principal amount of $500.0 (Term B Loan, and collectively with the Term A Loan, the New Term Loans), and a $750.0 revolving credit facility (Revolver). Prior to the June 2024 Amendment, the Credit Facility included a term loan in the original principal amount of $350.0 (Initial Term Loan) and a term loan in the original principal amount of $365.0 (Incremental Term Loan), the outstanding borrowings under each of which were fully repaid with a substantial portion of the proceeds of the New Term Loans, and commitments of $600.0 under the Revolver. Notwithstanding (i) the repayment of the Incremental Term Loan in full and its replacement with the Term A Loan and (ii) the repayment of the Initial Term Loan in full and its replacement with the Term B Loan, for accounting purposes, such transactions were treated as non-substantial modifications of the Incremental Term Loan and the Initial Term Loan, respectively.</w:t>
      </w:r>
    </w:p>
    <w:p>
      <w:pPr>
        <w:spacing w:after="0" w:line="21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Prior to the June 2024 Amendment, the Initial Term Loan was scheduled to mature in June 2025; the Incremental Term Loan and the Revolver each were scheduled to mature in March 2025, unless either (i) the Initial Term Loan would have been prepaid or refinanced or (ii) commitments under the Revolver would be available and have been reserved to repay the Initial Term Loan in full, in which case such obligations were scheduled to mature in December 2026. Subsequent to the June 2024 Amendment, the Term A Loan and the Revolver each mature in June 2029. The Term B Loan matures in June 2031.</w:t>
      </w:r>
    </w:p>
    <w:p>
      <w:pPr>
        <w:spacing w:after="0" w:line="21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In June 2023 (effective for all subsequent interest periods for then-existing borrowings and all subsequent borrowings), we amended our Credit Facility (June 2023 Amendment) to replace LIBOR with the term Secured Overnight Financing Rate (Term SOFR) plus 0.1% (Adjusted Term SOFR). We applied the provisions of ASC 848, </w:t>
      </w:r>
      <w:r>
        <w:rPr>
          <w:rFonts w:ascii="Times New Roman" w:cs="Times New Roman" w:eastAsia="Times New Roman" w:hAnsi="Times New Roman"/>
          <w:sz w:val="18"/>
          <w:szCs w:val="18"/>
          <w:i w:val="1"/>
          <w:iCs w:val="1"/>
          <w:color w:val="auto"/>
        </w:rPr>
        <w:t>Reference Rate Reform</w:t>
      </w:r>
      <w:r>
        <w:rPr>
          <w:rFonts w:ascii="Times New Roman" w:cs="Times New Roman" w:eastAsia="Times New Roman" w:hAnsi="Times New Roman"/>
          <w:sz w:val="18"/>
          <w:szCs w:val="18"/>
          <w:color w:val="auto"/>
        </w:rPr>
        <w:t xml:space="preserve"> and elected to apply the optional expedient relating to contract modifications meeting certain criteria, for these amendments that were due to the reference rate reform. The optional expedient allows an entity to account for and present a modification as an event that does not require contract remeasurement at the modification date or reassessment of a previous accounting determination. As such, the June 2023 Amendment did not have a significant impact on our consolidated financial statements.</w:t>
      </w:r>
    </w:p>
    <w:p>
      <w:pPr>
        <w:spacing w:after="0" w:line="21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Subsequent to the June 2023 Amendment and prior to the June 2024 Amendment, borrowings under the Revolver bear interest, depending on the currency of the borrowing and our election for such currency, at: (i) Adjusted Term SOFR, (ii) Base Rate, (iii) Canadian Prime, (iv) an Alternative Currency Daily Rate, or (v) an Alternative Currency Term Rate (each as defined in the Credit Facility prior to the June 2024 Amendment) plus a specified margin. The margin for borrowings under the Revolver and the Incremental Term Loan ranges from 1.50% to 2.25% for Adjusted Term SOFR borrowings and Alternative Currency borrowings, and from 0.50% to 1.25% for Base Rate and Canadian Prime borrowings, in each case depending on the rate we select and our consolidated leverage ratio (as defined in the Credit Facility prior to the June 2024 Amendment). Commitment fees range from 0.30% to 0.45% depending on our consolidated leverage ratio.</w:t>
      </w:r>
    </w:p>
    <w:p>
      <w:pPr>
        <w:spacing w:after="0" w:line="21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Subsequent to the June 2024 Amendment, borrowings under the Revolver bear interest, depending on the currency of the borrowing and our election for such currency, at: (i) Adjusted Term SOFR, (ii) Base Rate, (iii) Canadian Prime, (iv) an Alternative Currency Daily Rate, or (v) an Alternative Currency Term Rate (each as defined in the Credit Facility subsequent to the June 2024 Amendment) plus a specified margin. The margin for borrowings under the Revolver ranges from 1.50% to 2.25% for Adjusted Term SOFR, Alternative Currency Daily Rate or Alternative Currency Term Rate borrowings, and from 0.50% to 1.25% for Base Rate and Canadian Prime borrowings, in each case depending on the rate we select and a defined net leverage ratio. Commitment fees range from 0.30% to 0.45%, depending on our defined net leverage ratio. Outstanding amounts under the Term A Loan bear interest at Adjusted Term SOFR or Base Rate, plus a margin ranging from 1.50% — 2.25% for Adjusted Term SOFR borrowings and from 0.50% — 1.25% for Base Rate borrowings, in each case depending on the rate we select and our defined net leverage ratio. Outstanding amounts under the Term B Loan bear interest at Term SOFR plus 1.75% or the Base Rate plus 0.75%, depending on the rate we select. At December 31, 2024, outstanding amounts under the Term A Loan bore interest at Adjusted Term SOFR plus 1.75%; outstanding amounts under the Term B Loan bore interest at Term SOFR plus 1.75%; and no amounts were outstanding under the Revolver.</w:t>
      </w:r>
    </w:p>
    <w:p>
      <w:pPr>
        <w:spacing w:after="0" w:line="2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entered into interest rate swap agreements to hedge against our exposures to the interest rate variability on a portion of our Term Loans.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19 for further detail.</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37" w:name="page138"/>
    <w:bookmarkEnd w:id="137"/>
    <w:p>
      <w:pPr>
        <w:jc w:val="center"/>
        <w:spacing w:after="0"/>
        <w:rPr>
          <w:sz w:val="20"/>
          <w:szCs w:val="20"/>
          <w:color w:val="auto"/>
        </w:rPr>
      </w:pPr>
      <w:r>
        <w:rPr>
          <w:rFonts w:ascii="Times New Roman" w:cs="Times New Roman" w:eastAsia="Times New Roman" w:hAnsi="Times New Roman"/>
          <w:sz w:val="18"/>
          <w:szCs w:val="18"/>
          <w:b w:val="1"/>
          <w:bCs w:val="1"/>
          <w:color w:val="auto"/>
        </w:rPr>
        <w:t>CELESTICA INC.</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of U.S. dollars, except percentages and per share amounts)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Prior to the June 2024 Amendment, the Initial Term Loan required quarterly principal repayments of $0.875 (all repaid in prior years) and the Incremental Term Loan required quarterly principal repayments of $4.5625. Subsequent to the June 2024 Amendment, the Term A Loan and the Term B Loan require quarterly principal repayments of $3.125 and $1.250, respectively (each of which commenced in September 2024), and both require a lump sum repayment of the remainder outstanding at maturity. Any outstanding amounts under the Revolver are due at maturity. Except under specified circumstances, and subject to the payment of breakage costs (if any), we are generally permitted to make voluntary prepayments of outstanding amounts under the Revolver and the New Term Loans without any other premium or penalty. Repaid amounts on the New Term Loans may not be re-borrowed. We are also required to make annual prepayments of outstanding obligations under the Credit Facility (applied first to the New Term Loans, then to the Revolver, in the manner set forth in the Credit Facility) ranging from 0% — 50% (based on a defined leverage ratio) of specified excess cash flow for the prior fiscal year. No prepayments based on excess cash flow were required in 2024, or will be required in 2025. In addition, prepayments of outstanding obligations under the Credit Facility (applied as described above) may also be required in the amount of specified net cash proceeds received above a specified annual threshold (including proceeds from the disposal of certain assets). No prepayments based on net cash proceeds were required in 2024, or will be required in 2025.</w:t>
      </w:r>
    </w:p>
    <w:p>
      <w:pPr>
        <w:spacing w:after="0" w:line="217"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At December 31, 2024, the aggregate remaining mandatory principal repayments under the Credit Facility are as follows (assuming no further mandatory principal repayments are required based on excess cash flow or net cash proceeds):</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2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Thereafter</w:t>
            </w:r>
          </w:p>
        </w:tc>
        <w:tc>
          <w:tcPr>
            <w:tcW w:w="300" w:type="dxa"/>
            <w:vAlign w:val="bottom"/>
          </w:tcPr>
          <w:p>
            <w:pPr>
              <w:spacing w:after="0"/>
              <w:rPr>
                <w:sz w:val="20"/>
                <w:szCs w:val="20"/>
                <w:color w:val="auto"/>
              </w:rPr>
            </w:pPr>
          </w:p>
        </w:tc>
        <w:tc>
          <w:tcPr>
            <w:tcW w:w="106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8"/>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Term A Loan</w:t>
            </w: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20" w:type="dxa"/>
            <w:vAlign w:val="bottom"/>
          </w:tcPr>
          <w:p>
            <w:pPr>
              <w:spacing w:after="0"/>
              <w:rPr>
                <w:sz w:val="18"/>
                <w:szCs w:val="18"/>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20" w:type="dxa"/>
            <w:vAlign w:val="bottom"/>
          </w:tcPr>
          <w:p>
            <w:pPr>
              <w:spacing w:after="0"/>
              <w:rPr>
                <w:sz w:val="18"/>
                <w:szCs w:val="18"/>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193.7</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243.7</w:t>
            </w:r>
          </w:p>
        </w:tc>
      </w:tr>
      <w:tr>
        <w:trPr>
          <w:trHeight w:val="234"/>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Term B Loan</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472.5</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497.5</w:t>
            </w:r>
          </w:p>
        </w:tc>
      </w:tr>
    </w:tbl>
    <w:p>
      <w:pPr>
        <w:spacing w:after="0" w:line="306" w:lineRule="exact"/>
        <w:rPr>
          <w:sz w:val="20"/>
          <w:szCs w:val="20"/>
          <w:color w:val="auto"/>
        </w:rPr>
      </w:pPr>
    </w:p>
    <w:p>
      <w:pPr>
        <w:jc w:val="both"/>
        <w:ind w:firstLine="184"/>
        <w:spacing w:after="0" w:line="256" w:lineRule="auto"/>
        <w:rPr>
          <w:sz w:val="20"/>
          <w:szCs w:val="20"/>
          <w:color w:val="auto"/>
        </w:rPr>
      </w:pPr>
      <w:r>
        <w:rPr>
          <w:rFonts w:ascii="Times New Roman" w:cs="Times New Roman" w:eastAsia="Times New Roman" w:hAnsi="Times New Roman"/>
          <w:sz w:val="18"/>
          <w:szCs w:val="18"/>
          <w:color w:val="auto"/>
        </w:rPr>
        <w:t>Under the June 2024 Amendment, the Credit Facility has an accordion feature that allows us to increase the New Term Loans and/or commitments under the Revolver by $200.0, plus an unlimited amount to the extent that a defined leverage ratio on a pro forma basis does not exceed specified limits, in each case on an uncommitted basis and subject to the satisfaction of certain terms and conditions. The Revolver also includes a $50.0 sub-limit for swingline loans, providing for short-term borrowings up to a maximum of ten business days, as well as a $150.0 sub-limit for letters of credit (L/Cs), in each case subject to the overall Revolver credit limit. The Revolver permits us and certain designated subsidiaries to borrow funds (subject to specified conditions) for general corporate purposes, including for capital expenditures, certain acquisitions, and working capital needs.</w:t>
      </w:r>
    </w:p>
    <w:p>
      <w:pPr>
        <w:spacing w:after="0" w:line="21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are required to comply with certain restrictive covenants under the Credit Facility, including those relating to the incurrence of certain indebtedness, the existence of certain liens, the sale of certain assets, specified investments and payments, sale and leaseback transactions, and certain financial covenants relating to a defined interest coverage ratio and leverage ratio that are tested on a quarterly basis. Our Credit Facility also limits share repurchases for cancellation if our consolidated secured leverage ratio (as defined in such facility) exceeds a specified amount (Repurchase Restriction). At December 31, 2024 and December 31, 2023, we were in compliance with all restrictive and financial covenants under the Credit Facility, and the Repurchase Restriction was not in effect.</w:t>
      </w:r>
    </w:p>
    <w:p>
      <w:pPr>
        <w:spacing w:after="0" w:line="214" w:lineRule="exact"/>
        <w:rPr>
          <w:sz w:val="20"/>
          <w:szCs w:val="20"/>
          <w:color w:val="auto"/>
        </w:rPr>
      </w:pPr>
    </w:p>
    <w:p>
      <w:pPr>
        <w:jc w:val="both"/>
        <w:ind w:firstLine="242"/>
        <w:spacing w:after="0" w:line="256" w:lineRule="auto"/>
        <w:rPr>
          <w:sz w:val="20"/>
          <w:szCs w:val="20"/>
          <w:color w:val="auto"/>
        </w:rPr>
      </w:pPr>
      <w:r>
        <w:rPr>
          <w:rFonts w:ascii="Times New Roman" w:cs="Times New Roman" w:eastAsia="Times New Roman" w:hAnsi="Times New Roman"/>
          <w:sz w:val="18"/>
          <w:szCs w:val="18"/>
          <w:color w:val="auto"/>
        </w:rPr>
        <w:t>The obligations under the Credit Facility are guaranteed by us and certain specified subsidiaries. Subject to specified exemptions and limitations, all assets of the guarantors are pledged as security for the obligations under the Credit Facility. The Credit Facility contains customary events of default. If an event of default occurs and is continuing (and is not waived), the Administrative Agent may declare all amounts outstanding under the Credit Facility to be immediately due and payable, and may cancel the lenders’ commitments to make further advances thereunder. In the event of a payment or other specified defaults, outstanding obligations accrue interest at a specified default rate. No such defaults occurred during 2022 to 2024. The obligations under the Credit Facility rank pari passu with other unsecured and unsubordinated creditors.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38" w:name="page139"/>
    <w:bookmarkEnd w:id="138"/>
    <w:p>
      <w:pPr>
        <w:jc w:val="center"/>
        <w:spacing w:after="0"/>
        <w:rPr>
          <w:sz w:val="20"/>
          <w:szCs w:val="20"/>
          <w:color w:val="auto"/>
        </w:rPr>
      </w:pPr>
      <w:r>
        <w:rPr>
          <w:rFonts w:ascii="Times New Roman" w:cs="Times New Roman" w:eastAsia="Times New Roman" w:hAnsi="Times New Roman"/>
          <w:sz w:val="18"/>
          <w:szCs w:val="18"/>
          <w:b w:val="1"/>
          <w:bCs w:val="1"/>
          <w:color w:val="auto"/>
        </w:rPr>
        <w:t>CELESTICA INC.</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of U.S. dollars, except percentages and per share amounts)</w:t>
      </w:r>
    </w:p>
    <w:p>
      <w:pPr>
        <w:spacing w:after="0" w:line="39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74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Activity under our Credit Facility for the periods indicated is set forth below:</w:t>
            </w: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7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jc w:val="right"/>
              <w:ind w:right="170"/>
              <w:spacing w:after="0" w:line="202" w:lineRule="exact"/>
              <w:rPr>
                <w:sz w:val="20"/>
                <w:szCs w:val="20"/>
                <w:color w:val="auto"/>
              </w:rPr>
            </w:pPr>
            <w:r>
              <w:rPr>
                <w:rFonts w:ascii="Times New Roman" w:cs="Times New Roman" w:eastAsia="Times New Roman" w:hAnsi="Times New Roman"/>
                <w:sz w:val="18"/>
                <w:szCs w:val="18"/>
                <w:b w:val="1"/>
                <w:bCs w:val="1"/>
                <w:color w:val="auto"/>
              </w:rPr>
              <w:t>Revolver</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Term loans</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74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(excluding L/C)</w:t>
            </w:r>
          </w:p>
        </w:tc>
        <w:tc>
          <w:tcPr>
            <w:tcW w:w="32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vMerge w:val="continue"/>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Outstanding balances at December 31, 2021</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660.4</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Amount borrowed in Q1 2022</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228.0</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Amount repaid in Q1 2022</w:t>
            </w: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(228.0)</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60" w:type="dxa"/>
            <w:vAlign w:val="bottom"/>
            <w:gridSpan w:val="2"/>
          </w:tcPr>
          <w:p>
            <w:pPr>
              <w:jc w:val="right"/>
              <w:ind w:right="122"/>
              <w:spacing w:after="0" w:line="233" w:lineRule="exact"/>
              <w:rPr>
                <w:sz w:val="20"/>
                <w:szCs w:val="20"/>
                <w:color w:val="auto"/>
              </w:rPr>
            </w:pPr>
            <w:r>
              <w:rPr>
                <w:rFonts w:ascii="Times New Roman" w:cs="Times New Roman" w:eastAsia="Times New Roman" w:hAnsi="Times New Roman"/>
                <w:sz w:val="18"/>
                <w:szCs w:val="18"/>
                <w:color w:val="auto"/>
              </w:rPr>
              <w:t xml:space="preserve">(4.5625) </w:t>
            </w:r>
            <w:r>
              <w:rPr>
                <w:rFonts w:ascii="Times New Roman" w:cs="Times New Roman" w:eastAsia="Times New Roman" w:hAnsi="Times New Roman"/>
                <w:sz w:val="23"/>
                <w:szCs w:val="23"/>
                <w:color w:val="auto"/>
                <w:vertAlign w:val="superscript"/>
              </w:rPr>
              <w:t>(1)</w:t>
            </w:r>
          </w:p>
        </w:tc>
        <w:tc>
          <w:tcPr>
            <w:tcW w:w="0" w:type="dxa"/>
            <w:vAlign w:val="bottom"/>
          </w:tcPr>
          <w:p>
            <w:pPr>
              <w:spacing w:after="0"/>
              <w:rPr>
                <w:sz w:val="1"/>
                <w:szCs w:val="1"/>
                <w:color w:val="auto"/>
              </w:rPr>
            </w:pPr>
          </w:p>
        </w:tc>
      </w:tr>
      <w:tr>
        <w:trPr>
          <w:trHeight w:val="22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Amount borrowed in Q2 2022</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348.0</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Amount repaid in Q2 2022</w:t>
            </w: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(348.0)</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60" w:type="dxa"/>
            <w:vAlign w:val="bottom"/>
            <w:gridSpan w:val="2"/>
          </w:tcPr>
          <w:p>
            <w:pPr>
              <w:jc w:val="right"/>
              <w:ind w:right="122"/>
              <w:spacing w:after="0" w:line="233" w:lineRule="exact"/>
              <w:rPr>
                <w:sz w:val="20"/>
                <w:szCs w:val="20"/>
                <w:color w:val="auto"/>
              </w:rPr>
            </w:pPr>
            <w:r>
              <w:rPr>
                <w:rFonts w:ascii="Times New Roman" w:cs="Times New Roman" w:eastAsia="Times New Roman" w:hAnsi="Times New Roman"/>
                <w:sz w:val="18"/>
                <w:szCs w:val="18"/>
                <w:color w:val="auto"/>
              </w:rPr>
              <w:t xml:space="preserve">(4.5625) </w:t>
            </w:r>
            <w:r>
              <w:rPr>
                <w:rFonts w:ascii="Times New Roman" w:cs="Times New Roman" w:eastAsia="Times New Roman" w:hAnsi="Times New Roman"/>
                <w:sz w:val="23"/>
                <w:szCs w:val="23"/>
                <w:color w:val="auto"/>
                <w:vertAlign w:val="superscript"/>
              </w:rPr>
              <w:t>(1)</w:t>
            </w:r>
          </w:p>
        </w:tc>
        <w:tc>
          <w:tcPr>
            <w:tcW w:w="0" w:type="dxa"/>
            <w:vAlign w:val="bottom"/>
          </w:tcPr>
          <w:p>
            <w:pPr>
              <w:spacing w:after="0"/>
              <w:rPr>
                <w:sz w:val="1"/>
                <w:szCs w:val="1"/>
                <w:color w:val="auto"/>
              </w:rPr>
            </w:pPr>
          </w:p>
        </w:tc>
      </w:tr>
      <w:tr>
        <w:trPr>
          <w:trHeight w:val="22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Amount borrowed in Q3 2022</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359.0</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Amount repaid in Q3 2022</w:t>
            </w: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(359.0)</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60" w:type="dxa"/>
            <w:vAlign w:val="bottom"/>
            <w:gridSpan w:val="2"/>
          </w:tcPr>
          <w:p>
            <w:pPr>
              <w:jc w:val="right"/>
              <w:ind w:right="122"/>
              <w:spacing w:after="0" w:line="233" w:lineRule="exact"/>
              <w:rPr>
                <w:sz w:val="20"/>
                <w:szCs w:val="20"/>
                <w:color w:val="auto"/>
              </w:rPr>
            </w:pPr>
            <w:r>
              <w:rPr>
                <w:rFonts w:ascii="Times New Roman" w:cs="Times New Roman" w:eastAsia="Times New Roman" w:hAnsi="Times New Roman"/>
                <w:sz w:val="18"/>
                <w:szCs w:val="18"/>
                <w:color w:val="auto"/>
              </w:rPr>
              <w:t xml:space="preserve">(4.5625) </w:t>
            </w:r>
            <w:r>
              <w:rPr>
                <w:rFonts w:ascii="Times New Roman" w:cs="Times New Roman" w:eastAsia="Times New Roman" w:hAnsi="Times New Roman"/>
                <w:sz w:val="23"/>
                <w:szCs w:val="23"/>
                <w:color w:val="auto"/>
                <w:vertAlign w:val="superscript"/>
              </w:rPr>
              <w:t>(1)</w:t>
            </w:r>
          </w:p>
        </w:tc>
        <w:tc>
          <w:tcPr>
            <w:tcW w:w="0" w:type="dxa"/>
            <w:vAlign w:val="bottom"/>
          </w:tcPr>
          <w:p>
            <w:pPr>
              <w:spacing w:after="0"/>
              <w:rPr>
                <w:sz w:val="1"/>
                <w:szCs w:val="1"/>
                <w:color w:val="auto"/>
              </w:rPr>
            </w:pPr>
          </w:p>
        </w:tc>
      </w:tr>
      <w:tr>
        <w:trPr>
          <w:trHeight w:val="22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Amount borrowed in Q4 2022</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Amount repaid in Q4 2022</w:t>
            </w: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3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2"/>
          </w:tcPr>
          <w:p>
            <w:pPr>
              <w:jc w:val="right"/>
              <w:ind w:right="122"/>
              <w:spacing w:after="0" w:line="237" w:lineRule="exact"/>
              <w:rPr>
                <w:sz w:val="20"/>
                <w:szCs w:val="20"/>
                <w:color w:val="auto"/>
              </w:rPr>
            </w:pPr>
            <w:r>
              <w:rPr>
                <w:rFonts w:ascii="Times New Roman" w:cs="Times New Roman" w:eastAsia="Times New Roman" w:hAnsi="Times New Roman"/>
                <w:sz w:val="18"/>
                <w:szCs w:val="18"/>
                <w:color w:val="auto"/>
              </w:rPr>
              <w:t xml:space="preserve">(19.5625) </w:t>
            </w:r>
            <w:r>
              <w:rPr>
                <w:rFonts w:ascii="Times New Roman" w:cs="Times New Roman" w:eastAsia="Times New Roman" w:hAnsi="Times New Roman"/>
                <w:sz w:val="23"/>
                <w:szCs w:val="23"/>
                <w:color w:val="auto"/>
                <w:vertAlign w:val="superscript"/>
              </w:rPr>
              <w:t>(2)</w:t>
            </w:r>
          </w:p>
        </w:tc>
        <w:tc>
          <w:tcPr>
            <w:tcW w:w="0" w:type="dxa"/>
            <w:vAlign w:val="bottom"/>
          </w:tcPr>
          <w:p>
            <w:pPr>
              <w:spacing w:after="0"/>
              <w:rPr>
                <w:sz w:val="1"/>
                <w:szCs w:val="1"/>
                <w:color w:val="auto"/>
              </w:rPr>
            </w:pPr>
          </w:p>
        </w:tc>
      </w:tr>
      <w:tr>
        <w:trPr>
          <w:trHeight w:val="218"/>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Outstanding balances at December 31, 2022</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627.2</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Amount borrowed in Q1 2023</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281.0</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Amount repaid in Q1 2023</w:t>
            </w: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(281.0)</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60" w:type="dxa"/>
            <w:vAlign w:val="bottom"/>
            <w:gridSpan w:val="2"/>
          </w:tcPr>
          <w:p>
            <w:pPr>
              <w:jc w:val="right"/>
              <w:ind w:right="122"/>
              <w:spacing w:after="0" w:line="233" w:lineRule="exact"/>
              <w:rPr>
                <w:sz w:val="20"/>
                <w:szCs w:val="20"/>
                <w:color w:val="auto"/>
              </w:rPr>
            </w:pPr>
            <w:r>
              <w:rPr>
                <w:rFonts w:ascii="Times New Roman" w:cs="Times New Roman" w:eastAsia="Times New Roman" w:hAnsi="Times New Roman"/>
                <w:sz w:val="18"/>
                <w:szCs w:val="18"/>
                <w:color w:val="auto"/>
              </w:rPr>
              <w:t xml:space="preserve">(4.5625) </w:t>
            </w:r>
            <w:r>
              <w:rPr>
                <w:rFonts w:ascii="Times New Roman" w:cs="Times New Roman" w:eastAsia="Times New Roman" w:hAnsi="Times New Roman"/>
                <w:sz w:val="23"/>
                <w:szCs w:val="23"/>
                <w:color w:val="auto"/>
                <w:vertAlign w:val="superscript"/>
              </w:rPr>
              <w:t>(1)</w:t>
            </w:r>
          </w:p>
        </w:tc>
        <w:tc>
          <w:tcPr>
            <w:tcW w:w="0" w:type="dxa"/>
            <w:vAlign w:val="bottom"/>
          </w:tcPr>
          <w:p>
            <w:pPr>
              <w:spacing w:after="0"/>
              <w:rPr>
                <w:sz w:val="1"/>
                <w:szCs w:val="1"/>
                <w:color w:val="auto"/>
              </w:rPr>
            </w:pPr>
          </w:p>
        </w:tc>
      </w:tr>
      <w:tr>
        <w:trPr>
          <w:trHeight w:val="22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Amount borrowed in Q2 2023</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Amount repaid in Q2 2023</w:t>
            </w: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60" w:type="dxa"/>
            <w:vAlign w:val="bottom"/>
            <w:gridSpan w:val="2"/>
          </w:tcPr>
          <w:p>
            <w:pPr>
              <w:jc w:val="right"/>
              <w:ind w:right="122"/>
              <w:spacing w:after="0" w:line="233" w:lineRule="exact"/>
              <w:rPr>
                <w:sz w:val="20"/>
                <w:szCs w:val="20"/>
                <w:color w:val="auto"/>
              </w:rPr>
            </w:pPr>
            <w:r>
              <w:rPr>
                <w:rFonts w:ascii="Times New Roman" w:cs="Times New Roman" w:eastAsia="Times New Roman" w:hAnsi="Times New Roman"/>
                <w:sz w:val="18"/>
                <w:szCs w:val="18"/>
                <w:color w:val="auto"/>
              </w:rPr>
              <w:t xml:space="preserve">(4.5625) </w:t>
            </w:r>
            <w:r>
              <w:rPr>
                <w:rFonts w:ascii="Times New Roman" w:cs="Times New Roman" w:eastAsia="Times New Roman" w:hAnsi="Times New Roman"/>
                <w:sz w:val="23"/>
                <w:szCs w:val="23"/>
                <w:color w:val="auto"/>
                <w:vertAlign w:val="superscript"/>
              </w:rPr>
              <w:t>(1)</w:t>
            </w:r>
          </w:p>
        </w:tc>
        <w:tc>
          <w:tcPr>
            <w:tcW w:w="0" w:type="dxa"/>
            <w:vAlign w:val="bottom"/>
          </w:tcPr>
          <w:p>
            <w:pPr>
              <w:spacing w:after="0"/>
              <w:rPr>
                <w:sz w:val="1"/>
                <w:szCs w:val="1"/>
                <w:color w:val="auto"/>
              </w:rPr>
            </w:pPr>
          </w:p>
        </w:tc>
      </w:tr>
      <w:tr>
        <w:trPr>
          <w:trHeight w:val="22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Amount borrowed in Q3 2023</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Amount repaid in Q3 2023</w:t>
            </w: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60" w:type="dxa"/>
            <w:vAlign w:val="bottom"/>
            <w:gridSpan w:val="2"/>
          </w:tcPr>
          <w:p>
            <w:pPr>
              <w:jc w:val="right"/>
              <w:ind w:right="122"/>
              <w:spacing w:after="0" w:line="233" w:lineRule="exact"/>
              <w:rPr>
                <w:sz w:val="20"/>
                <w:szCs w:val="20"/>
                <w:color w:val="auto"/>
              </w:rPr>
            </w:pPr>
            <w:r>
              <w:rPr>
                <w:rFonts w:ascii="Times New Roman" w:cs="Times New Roman" w:eastAsia="Times New Roman" w:hAnsi="Times New Roman"/>
                <w:sz w:val="18"/>
                <w:szCs w:val="18"/>
                <w:color w:val="auto"/>
              </w:rPr>
              <w:t xml:space="preserve">(4.5625) </w:t>
            </w:r>
            <w:r>
              <w:rPr>
                <w:rFonts w:ascii="Times New Roman" w:cs="Times New Roman" w:eastAsia="Times New Roman" w:hAnsi="Times New Roman"/>
                <w:sz w:val="23"/>
                <w:szCs w:val="23"/>
                <w:color w:val="auto"/>
                <w:vertAlign w:val="superscript"/>
              </w:rPr>
              <w:t>(1)</w:t>
            </w:r>
          </w:p>
        </w:tc>
        <w:tc>
          <w:tcPr>
            <w:tcW w:w="0" w:type="dxa"/>
            <w:vAlign w:val="bottom"/>
          </w:tcPr>
          <w:p>
            <w:pPr>
              <w:spacing w:after="0"/>
              <w:rPr>
                <w:sz w:val="1"/>
                <w:szCs w:val="1"/>
                <w:color w:val="auto"/>
              </w:rPr>
            </w:pPr>
          </w:p>
        </w:tc>
      </w:tr>
      <w:tr>
        <w:trPr>
          <w:trHeight w:val="22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Amount borrowed in Q4 2023</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270.0</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Amount repaid in Q4 2023</w:t>
            </w: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(270.0)</w:t>
            </w:r>
          </w:p>
        </w:tc>
        <w:tc>
          <w:tcPr>
            <w:tcW w:w="3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2"/>
          </w:tcPr>
          <w:p>
            <w:pPr>
              <w:jc w:val="right"/>
              <w:ind w:right="122"/>
              <w:spacing w:after="0" w:line="237" w:lineRule="exact"/>
              <w:rPr>
                <w:sz w:val="20"/>
                <w:szCs w:val="20"/>
                <w:color w:val="auto"/>
              </w:rPr>
            </w:pPr>
            <w:r>
              <w:rPr>
                <w:rFonts w:ascii="Times New Roman" w:cs="Times New Roman" w:eastAsia="Times New Roman" w:hAnsi="Times New Roman"/>
                <w:sz w:val="18"/>
                <w:szCs w:val="18"/>
                <w:color w:val="auto"/>
              </w:rPr>
              <w:t xml:space="preserve">(4.5625) </w:t>
            </w:r>
            <w:r>
              <w:rPr>
                <w:rFonts w:ascii="Times New Roman" w:cs="Times New Roman" w:eastAsia="Times New Roman" w:hAnsi="Times New Roman"/>
                <w:sz w:val="23"/>
                <w:szCs w:val="23"/>
                <w:color w:val="auto"/>
                <w:vertAlign w:val="superscript"/>
              </w:rPr>
              <w:t>(1)</w:t>
            </w:r>
          </w:p>
        </w:tc>
        <w:tc>
          <w:tcPr>
            <w:tcW w:w="0" w:type="dxa"/>
            <w:vAlign w:val="bottom"/>
          </w:tcPr>
          <w:p>
            <w:pPr>
              <w:spacing w:after="0"/>
              <w:rPr>
                <w:sz w:val="1"/>
                <w:szCs w:val="1"/>
                <w:color w:val="auto"/>
              </w:rPr>
            </w:pPr>
          </w:p>
        </w:tc>
      </w:tr>
      <w:tr>
        <w:trPr>
          <w:trHeight w:val="218"/>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Outstanding balances at December 31, 2023</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608.9</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Amount borrowed in Q1 2024</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285.0</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Amount repaid in Q1 2024</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(257.0)</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gridSpan w:val="2"/>
          </w:tcPr>
          <w:p>
            <w:pPr>
              <w:jc w:val="right"/>
              <w:ind w:right="122"/>
              <w:spacing w:after="0" w:line="230" w:lineRule="exact"/>
              <w:rPr>
                <w:sz w:val="20"/>
                <w:szCs w:val="20"/>
                <w:color w:val="auto"/>
              </w:rPr>
            </w:pPr>
            <w:r>
              <w:rPr>
                <w:rFonts w:ascii="Times New Roman" w:cs="Times New Roman" w:eastAsia="Times New Roman" w:hAnsi="Times New Roman"/>
                <w:sz w:val="18"/>
                <w:szCs w:val="18"/>
                <w:color w:val="auto"/>
              </w:rPr>
              <w:t xml:space="preserve">(4.5625) </w:t>
            </w:r>
            <w:r>
              <w:rPr>
                <w:rFonts w:ascii="Times New Roman" w:cs="Times New Roman" w:eastAsia="Times New Roman" w:hAnsi="Times New Roman"/>
                <w:sz w:val="23"/>
                <w:szCs w:val="23"/>
                <w:color w:val="auto"/>
                <w:vertAlign w:val="superscript"/>
              </w:rPr>
              <w:t>(1)</w:t>
            </w:r>
          </w:p>
        </w:tc>
        <w:tc>
          <w:tcPr>
            <w:tcW w:w="0" w:type="dxa"/>
            <w:vAlign w:val="bottom"/>
          </w:tcPr>
          <w:p>
            <w:pPr>
              <w:spacing w:after="0"/>
              <w:rPr>
                <w:sz w:val="1"/>
                <w:szCs w:val="1"/>
                <w:color w:val="auto"/>
              </w:rPr>
            </w:pPr>
          </w:p>
        </w:tc>
      </w:tr>
      <w:tr>
        <w:trPr>
          <w:trHeight w:val="230"/>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Amount borrowed in Q2 2024</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320" w:type="dxa"/>
            <w:vAlign w:val="bottom"/>
          </w:tcPr>
          <w:p>
            <w:pPr>
              <w:jc w:val="right"/>
              <w:ind w:right="122"/>
              <w:spacing w:after="0"/>
              <w:rPr>
                <w:sz w:val="20"/>
                <w:szCs w:val="20"/>
                <w:color w:val="auto"/>
              </w:rPr>
            </w:pPr>
            <w:r>
              <w:rPr>
                <w:rFonts w:ascii="Times New Roman" w:cs="Times New Roman" w:eastAsia="Times New Roman" w:hAnsi="Times New Roman"/>
                <w:sz w:val="12"/>
                <w:szCs w:val="12"/>
                <w:color w:val="auto"/>
                <w:w w:val="85"/>
              </w:rPr>
              <w:t>(3)</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360" w:type="dxa"/>
            <w:vAlign w:val="bottom"/>
          </w:tcPr>
          <w:p>
            <w:pPr>
              <w:jc w:val="right"/>
              <w:ind w:right="122"/>
              <w:spacing w:after="0"/>
              <w:rPr>
                <w:sz w:val="20"/>
                <w:szCs w:val="20"/>
                <w:color w:val="auto"/>
              </w:rPr>
            </w:pPr>
            <w:r>
              <w:rPr>
                <w:rFonts w:ascii="Times New Roman" w:cs="Times New Roman" w:eastAsia="Times New Roman" w:hAnsi="Times New Roman"/>
                <w:sz w:val="12"/>
                <w:szCs w:val="12"/>
                <w:color w:val="auto"/>
              </w:rPr>
              <w:t>(4)</w:t>
            </w:r>
          </w:p>
        </w:tc>
        <w:tc>
          <w:tcPr>
            <w:tcW w:w="0" w:type="dxa"/>
            <w:vAlign w:val="bottom"/>
          </w:tcPr>
          <w:p>
            <w:pPr>
              <w:spacing w:after="0"/>
              <w:rPr>
                <w:sz w:val="1"/>
                <w:szCs w:val="1"/>
                <w:color w:val="auto"/>
              </w:rPr>
            </w:pPr>
          </w:p>
        </w:tc>
      </w:tr>
      <w:tr>
        <w:trPr>
          <w:trHeight w:val="233"/>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Amount repaid in Q2 2024</w:t>
            </w: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(208.0)</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60" w:type="dxa"/>
            <w:vAlign w:val="bottom"/>
            <w:gridSpan w:val="2"/>
          </w:tcPr>
          <w:p>
            <w:pPr>
              <w:jc w:val="right"/>
              <w:ind w:right="122"/>
              <w:spacing w:after="0" w:line="233" w:lineRule="exact"/>
              <w:rPr>
                <w:sz w:val="20"/>
                <w:szCs w:val="20"/>
                <w:color w:val="auto"/>
              </w:rPr>
            </w:pPr>
            <w:r>
              <w:rPr>
                <w:rFonts w:ascii="Times New Roman" w:cs="Times New Roman" w:eastAsia="Times New Roman" w:hAnsi="Times New Roman"/>
                <w:sz w:val="18"/>
                <w:szCs w:val="18"/>
                <w:color w:val="auto"/>
              </w:rPr>
              <w:t xml:space="preserve">(604.3) </w:t>
            </w:r>
            <w:r>
              <w:rPr>
                <w:rFonts w:ascii="Times New Roman" w:cs="Times New Roman" w:eastAsia="Times New Roman" w:hAnsi="Times New Roman"/>
                <w:sz w:val="23"/>
                <w:szCs w:val="23"/>
                <w:color w:val="auto"/>
                <w:vertAlign w:val="superscript"/>
              </w:rPr>
              <w:t>(5)</w:t>
            </w:r>
          </w:p>
        </w:tc>
        <w:tc>
          <w:tcPr>
            <w:tcW w:w="0" w:type="dxa"/>
            <w:vAlign w:val="bottom"/>
          </w:tcPr>
          <w:p>
            <w:pPr>
              <w:spacing w:after="0"/>
              <w:rPr>
                <w:sz w:val="1"/>
                <w:szCs w:val="1"/>
                <w:color w:val="auto"/>
              </w:rPr>
            </w:pPr>
          </w:p>
        </w:tc>
      </w:tr>
      <w:tr>
        <w:trPr>
          <w:trHeight w:val="22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Amount borrowed in Q3 2024</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Amount repaid in Q3 2024</w:t>
            </w: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60" w:type="dxa"/>
            <w:vAlign w:val="bottom"/>
            <w:gridSpan w:val="2"/>
          </w:tcPr>
          <w:p>
            <w:pPr>
              <w:jc w:val="right"/>
              <w:ind w:right="122"/>
              <w:spacing w:after="0" w:line="233" w:lineRule="exact"/>
              <w:rPr>
                <w:sz w:val="20"/>
                <w:szCs w:val="20"/>
                <w:color w:val="auto"/>
              </w:rPr>
            </w:pPr>
            <w:r>
              <w:rPr>
                <w:rFonts w:ascii="Times New Roman" w:cs="Times New Roman" w:eastAsia="Times New Roman" w:hAnsi="Times New Roman"/>
                <w:sz w:val="18"/>
                <w:szCs w:val="18"/>
                <w:color w:val="auto"/>
              </w:rPr>
              <w:t xml:space="preserve">(4.375) </w:t>
            </w:r>
            <w:r>
              <w:rPr>
                <w:rFonts w:ascii="Times New Roman" w:cs="Times New Roman" w:eastAsia="Times New Roman" w:hAnsi="Times New Roman"/>
                <w:sz w:val="23"/>
                <w:szCs w:val="23"/>
                <w:color w:val="auto"/>
                <w:vertAlign w:val="superscript"/>
              </w:rPr>
              <w:t>(6)</w:t>
            </w:r>
          </w:p>
        </w:tc>
        <w:tc>
          <w:tcPr>
            <w:tcW w:w="0" w:type="dxa"/>
            <w:vAlign w:val="bottom"/>
          </w:tcPr>
          <w:p>
            <w:pPr>
              <w:spacing w:after="0"/>
              <w:rPr>
                <w:sz w:val="1"/>
                <w:szCs w:val="1"/>
                <w:color w:val="auto"/>
              </w:rPr>
            </w:pPr>
          </w:p>
        </w:tc>
      </w:tr>
      <w:tr>
        <w:trPr>
          <w:trHeight w:val="22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Amount borrowed in Q4 2024</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313.0</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Amount repaid in Q4 2024</w:t>
            </w: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(313.0)</w:t>
            </w:r>
          </w:p>
        </w:tc>
        <w:tc>
          <w:tcPr>
            <w:tcW w:w="3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2"/>
          </w:tcPr>
          <w:p>
            <w:pPr>
              <w:jc w:val="right"/>
              <w:ind w:right="122"/>
              <w:spacing w:after="0" w:line="237" w:lineRule="exact"/>
              <w:rPr>
                <w:sz w:val="20"/>
                <w:szCs w:val="20"/>
                <w:color w:val="auto"/>
              </w:rPr>
            </w:pPr>
            <w:r>
              <w:rPr>
                <w:rFonts w:ascii="Times New Roman" w:cs="Times New Roman" w:eastAsia="Times New Roman" w:hAnsi="Times New Roman"/>
                <w:sz w:val="18"/>
                <w:szCs w:val="18"/>
                <w:color w:val="auto"/>
              </w:rPr>
              <w:t xml:space="preserve">(4.375) </w:t>
            </w:r>
            <w:r>
              <w:rPr>
                <w:rFonts w:ascii="Times New Roman" w:cs="Times New Roman" w:eastAsia="Times New Roman" w:hAnsi="Times New Roman"/>
                <w:sz w:val="23"/>
                <w:szCs w:val="23"/>
                <w:color w:val="auto"/>
                <w:vertAlign w:val="superscript"/>
              </w:rPr>
              <w:t>(6)</w:t>
            </w:r>
          </w:p>
        </w:tc>
        <w:tc>
          <w:tcPr>
            <w:tcW w:w="0" w:type="dxa"/>
            <w:vAlign w:val="bottom"/>
          </w:tcPr>
          <w:p>
            <w:pPr>
              <w:spacing w:after="0"/>
              <w:rPr>
                <w:sz w:val="1"/>
                <w:szCs w:val="1"/>
                <w:color w:val="auto"/>
              </w:rPr>
            </w:pPr>
          </w:p>
        </w:tc>
      </w:tr>
      <w:tr>
        <w:trPr>
          <w:trHeight w:val="223"/>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Outstanding balances at December 31, 2024</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741.2</w:t>
            </w:r>
          </w:p>
        </w:tc>
        <w:tc>
          <w:tcPr>
            <w:tcW w:w="3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360" w:hanging="352"/>
        <w:spacing w:after="0"/>
        <w:tabs>
          <w:tab w:leader="none" w:pos="360"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scheduled quarterly principal repayment under the Incremental Term Loan.</w:t>
      </w:r>
    </w:p>
    <w:p>
      <w:pPr>
        <w:spacing w:after="0" w:line="45" w:lineRule="exact"/>
        <w:rPr>
          <w:rFonts w:ascii="Times New Roman" w:cs="Times New Roman" w:eastAsia="Times New Roman" w:hAnsi="Times New Roman"/>
          <w:sz w:val="16"/>
          <w:szCs w:val="16"/>
          <w:color w:val="auto"/>
        </w:rPr>
      </w:pPr>
    </w:p>
    <w:p>
      <w:pPr>
        <w:ind w:left="360" w:hanging="352"/>
        <w:spacing w:after="0"/>
        <w:tabs>
          <w:tab w:leader="none" w:pos="360"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scheduled quarterly principal repayment under the Incremental Term Loan and a $15.0 voluntary prepayment under the Initial Term Loan.</w:t>
      </w:r>
    </w:p>
    <w:p>
      <w:pPr>
        <w:spacing w:after="0" w:line="45" w:lineRule="exact"/>
        <w:rPr>
          <w:rFonts w:ascii="Times New Roman" w:cs="Times New Roman" w:eastAsia="Times New Roman" w:hAnsi="Times New Roman"/>
          <w:sz w:val="16"/>
          <w:szCs w:val="16"/>
          <w:color w:val="auto"/>
        </w:rPr>
      </w:pPr>
    </w:p>
    <w:p>
      <w:pPr>
        <w:ind w:left="360" w:hanging="352"/>
        <w:spacing w:after="0"/>
        <w:tabs>
          <w:tab w:leader="none" w:pos="360"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portion was used to fund the NCS purchase price (see note 3).</w:t>
      </w:r>
    </w:p>
    <w:p>
      <w:pPr>
        <w:spacing w:after="0" w:line="45" w:lineRule="exact"/>
        <w:rPr>
          <w:rFonts w:ascii="Times New Roman" w:cs="Times New Roman" w:eastAsia="Times New Roman" w:hAnsi="Times New Roman"/>
          <w:sz w:val="16"/>
          <w:szCs w:val="16"/>
          <w:color w:val="auto"/>
        </w:rPr>
      </w:pPr>
    </w:p>
    <w:p>
      <w:pPr>
        <w:ind w:left="360" w:hanging="352"/>
        <w:spacing w:after="0"/>
        <w:tabs>
          <w:tab w:leader="none" w:pos="360"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borrowings under the New Term Loans.</w:t>
      </w:r>
    </w:p>
    <w:p>
      <w:pPr>
        <w:spacing w:after="0" w:line="45" w:lineRule="exact"/>
        <w:rPr>
          <w:rFonts w:ascii="Times New Roman" w:cs="Times New Roman" w:eastAsia="Times New Roman" w:hAnsi="Times New Roman"/>
          <w:sz w:val="16"/>
          <w:szCs w:val="16"/>
          <w:color w:val="auto"/>
        </w:rPr>
      </w:pPr>
    </w:p>
    <w:p>
      <w:pPr>
        <w:ind w:left="360" w:hanging="352"/>
        <w:spacing w:after="0"/>
        <w:tabs>
          <w:tab w:leader="none" w:pos="360"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repayment and termination of the Initial Term Loan and Incremental Term Loan.</w:t>
      </w:r>
    </w:p>
    <w:p>
      <w:pPr>
        <w:spacing w:after="0" w:line="45" w:lineRule="exact"/>
        <w:rPr>
          <w:rFonts w:ascii="Times New Roman" w:cs="Times New Roman" w:eastAsia="Times New Roman" w:hAnsi="Times New Roman"/>
          <w:sz w:val="16"/>
          <w:szCs w:val="16"/>
          <w:color w:val="auto"/>
        </w:rPr>
      </w:pPr>
    </w:p>
    <w:p>
      <w:pPr>
        <w:ind w:left="360" w:hanging="352"/>
        <w:spacing w:after="0"/>
        <w:tabs>
          <w:tab w:leader="none" w:pos="360"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scheduled quarterly principal repayments under the New Term Loans.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39" w:name="page140"/>
    <w:bookmarkEnd w:id="139"/>
    <w:p>
      <w:pPr>
        <w:jc w:val="center"/>
        <w:spacing w:after="0"/>
        <w:rPr>
          <w:sz w:val="20"/>
          <w:szCs w:val="20"/>
          <w:color w:val="auto"/>
        </w:rPr>
      </w:pPr>
      <w:r>
        <w:rPr>
          <w:rFonts w:ascii="Times New Roman" w:cs="Times New Roman" w:eastAsia="Times New Roman" w:hAnsi="Times New Roman"/>
          <w:sz w:val="18"/>
          <w:szCs w:val="18"/>
          <w:b w:val="1"/>
          <w:bCs w:val="1"/>
          <w:color w:val="auto"/>
        </w:rPr>
        <w:t>CELESTICA INC.</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of U.S. dollars, except percentages and per share amounts)</w:t>
      </w:r>
    </w:p>
    <w:p>
      <w:pPr>
        <w:spacing w:after="0" w:line="391"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18"/>
          <w:szCs w:val="18"/>
          <w:color w:val="auto"/>
        </w:rPr>
        <w:t>The following table sets forth, at the dates shown: outstanding borrowings under the Credit Facility, excluding ordinary course L/Cs; notional amounts under our interest rate swap agreements, outstanding finance lease obligations; and information regarding outstanding L/Cs, surety bonds and overdraft facilities:</w:t>
      </w:r>
    </w:p>
    <w:tbl>
      <w:tblPr>
        <w:tblLayout w:type="fixed"/>
        <w:tblInd w:w="20" w:type="dxa"/>
        <w:tblCellMar>
          <w:top w:w="0" w:type="dxa"/>
          <w:left w:w="0" w:type="dxa"/>
          <w:bottom w:w="0" w:type="dxa"/>
          <w:right w:w="0" w:type="dxa"/>
        </w:tblCellMar>
      </w:tblPr>
      <w:tr>
        <w:trPr>
          <w:trHeight w:val="186"/>
        </w:trPr>
        <w:tc>
          <w:tcPr>
            <w:tcW w:w="5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20" w:type="dxa"/>
            <w:vAlign w:val="bottom"/>
            <w:gridSpan w:val="3"/>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Outstanding borrowings</w:t>
            </w:r>
          </w:p>
        </w:tc>
        <w:tc>
          <w:tcPr>
            <w:tcW w:w="100" w:type="dxa"/>
            <w:vAlign w:val="bottom"/>
          </w:tcPr>
          <w:p>
            <w:pPr>
              <w:spacing w:after="0"/>
              <w:rPr>
                <w:sz w:val="16"/>
                <w:szCs w:val="16"/>
                <w:color w:val="auto"/>
              </w:rPr>
            </w:pPr>
          </w:p>
        </w:tc>
        <w:tc>
          <w:tcPr>
            <w:tcW w:w="2920" w:type="dxa"/>
            <w:vAlign w:val="bottom"/>
            <w:gridSpan w:val="3"/>
          </w:tcPr>
          <w:p>
            <w:pPr>
              <w:ind w:left="40"/>
              <w:spacing w:after="0" w:line="186" w:lineRule="exact"/>
              <w:rPr>
                <w:sz w:val="20"/>
                <w:szCs w:val="20"/>
                <w:color w:val="auto"/>
              </w:rPr>
            </w:pPr>
            <w:r>
              <w:rPr>
                <w:rFonts w:ascii="Times New Roman" w:cs="Times New Roman" w:eastAsia="Times New Roman" w:hAnsi="Times New Roman"/>
                <w:sz w:val="18"/>
                <w:szCs w:val="18"/>
                <w:b w:val="1"/>
                <w:bCs w:val="1"/>
                <w:color w:val="auto"/>
              </w:rPr>
              <w:t>Notional amounts under interest rate</w:t>
            </w:r>
          </w:p>
        </w:tc>
        <w:tc>
          <w:tcPr>
            <w:tcW w:w="0" w:type="dxa"/>
            <w:vAlign w:val="bottom"/>
          </w:tcPr>
          <w:p>
            <w:pPr>
              <w:spacing w:after="0"/>
              <w:rPr>
                <w:sz w:val="1"/>
                <w:szCs w:val="1"/>
                <w:color w:val="auto"/>
              </w:rPr>
            </w:pPr>
          </w:p>
        </w:tc>
      </w:tr>
      <w:tr>
        <w:trPr>
          <w:trHeight w:val="243"/>
        </w:trPr>
        <w:tc>
          <w:tcPr>
            <w:tcW w:w="54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620" w:type="dxa"/>
            <w:vAlign w:val="bottom"/>
            <w:tcBorders>
              <w:bottom w:val="single" w:sz="8" w:color="auto"/>
            </w:tcBorders>
            <w:gridSpan w:val="3"/>
            <w:vMerge w:val="continue"/>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740" w:type="dxa"/>
            <w:vAlign w:val="bottom"/>
            <w:tcBorders>
              <w:bottom w:val="single" w:sz="8" w:color="auto"/>
            </w:tcBorders>
            <w:gridSpan w:val="2"/>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swaps (note 19)</w:t>
            </w:r>
          </w:p>
        </w:tc>
        <w:tc>
          <w:tcPr>
            <w:tcW w:w="0" w:type="dxa"/>
            <w:vAlign w:val="bottom"/>
          </w:tcPr>
          <w:p>
            <w:pPr>
              <w:spacing w:after="0"/>
              <w:rPr>
                <w:sz w:val="1"/>
                <w:szCs w:val="1"/>
                <w:color w:val="auto"/>
              </w:rPr>
            </w:pPr>
          </w:p>
        </w:tc>
      </w:tr>
      <w:tr>
        <w:trPr>
          <w:trHeight w:val="169"/>
        </w:trPr>
        <w:tc>
          <w:tcPr>
            <w:tcW w:w="5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jc w:val="right"/>
              <w:ind w:right="110"/>
              <w:spacing w:after="0" w:line="169"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40" w:type="dxa"/>
            <w:vAlign w:val="bottom"/>
          </w:tcPr>
          <w:p>
            <w:pPr>
              <w:spacing w:after="0"/>
              <w:rPr>
                <w:sz w:val="14"/>
                <w:szCs w:val="14"/>
                <w:color w:val="auto"/>
              </w:rPr>
            </w:pPr>
          </w:p>
        </w:tc>
        <w:tc>
          <w:tcPr>
            <w:tcW w:w="1240" w:type="dxa"/>
            <w:vAlign w:val="bottom"/>
          </w:tcPr>
          <w:p>
            <w:pPr>
              <w:jc w:val="right"/>
              <w:ind w:right="90"/>
              <w:spacing w:after="0" w:line="169"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tcPr>
          <w:p>
            <w:pPr>
              <w:jc w:val="right"/>
              <w:ind w:right="290"/>
              <w:spacing w:after="0" w:line="169"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300" w:type="dxa"/>
            <w:vAlign w:val="bottom"/>
          </w:tcPr>
          <w:p>
            <w:pPr>
              <w:jc w:val="right"/>
              <w:ind w:right="130"/>
              <w:spacing w:after="0" w:line="169"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1"/>
        </w:trPr>
        <w:tc>
          <w:tcPr>
            <w:tcW w:w="54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3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25"/>
        </w:trPr>
        <w:tc>
          <w:tcPr>
            <w:tcW w:w="5420" w:type="dxa"/>
            <w:vAlign w:val="bottom"/>
          </w:tcPr>
          <w:p>
            <w:pPr>
              <w:spacing w:after="0" w:line="225" w:lineRule="exact"/>
              <w:rPr>
                <w:sz w:val="20"/>
                <w:szCs w:val="20"/>
                <w:color w:val="auto"/>
              </w:rPr>
            </w:pPr>
            <w:r>
              <w:rPr>
                <w:rFonts w:ascii="Times New Roman" w:cs="Times New Roman" w:eastAsia="Times New Roman" w:hAnsi="Times New Roman"/>
                <w:sz w:val="18"/>
                <w:szCs w:val="18"/>
                <w:color w:val="auto"/>
              </w:rPr>
              <w:t xml:space="preserve">Borrowings under the Revolver </w:t>
            </w:r>
            <w:r>
              <w:rPr>
                <w:rFonts w:ascii="Times New Roman" w:cs="Times New Roman" w:eastAsia="Times New Roman" w:hAnsi="Times New Roman"/>
                <w:sz w:val="23"/>
                <w:szCs w:val="23"/>
                <w:color w:val="auto"/>
                <w:vertAlign w:val="superscript"/>
              </w:rPr>
              <w:t>(i)</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
        </w:trPr>
        <w:tc>
          <w:tcPr>
            <w:tcW w:w="5420" w:type="dxa"/>
            <w:vAlign w:val="bottom"/>
            <w:vMerge w:val="restart"/>
          </w:tcPr>
          <w:p>
            <w:pPr>
              <w:spacing w:after="0" w:line="232" w:lineRule="exact"/>
              <w:rPr>
                <w:sz w:val="20"/>
                <w:szCs w:val="20"/>
                <w:color w:val="auto"/>
              </w:rPr>
            </w:pPr>
            <w:r>
              <w:rPr>
                <w:rFonts w:ascii="Times New Roman" w:cs="Times New Roman" w:eastAsia="Times New Roman" w:hAnsi="Times New Roman"/>
                <w:sz w:val="18"/>
                <w:szCs w:val="18"/>
                <w:color w:val="auto"/>
              </w:rPr>
              <w:t xml:space="preserve">Borrowings under the Term Loans </w:t>
            </w:r>
            <w:r>
              <w:rPr>
                <w:rFonts w:ascii="Times New Roman" w:cs="Times New Roman" w:eastAsia="Times New Roman" w:hAnsi="Times New Roman"/>
                <w:sz w:val="23"/>
                <w:szCs w:val="23"/>
                <w:color w:val="auto"/>
                <w:vertAlign w:val="superscript"/>
              </w:rPr>
              <w:t>(i)</w:t>
            </w: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54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Initial Term Loan</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280.4</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29"/>
        </w:trPr>
        <w:tc>
          <w:tcPr>
            <w:tcW w:w="5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Incremental Term Loan</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0" w:type="dxa"/>
            <w:vAlign w:val="bottom"/>
          </w:tcPr>
          <w:p>
            <w:pPr>
              <w:spacing w:after="0"/>
              <w:rPr>
                <w:sz w:val="1"/>
                <w:szCs w:val="1"/>
                <w:color w:val="auto"/>
              </w:rPr>
            </w:pPr>
          </w:p>
        </w:tc>
      </w:tr>
      <w:tr>
        <w:trPr>
          <w:trHeight w:val="229"/>
        </w:trPr>
        <w:tc>
          <w:tcPr>
            <w:tcW w:w="5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Term A Loan</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243.7</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130.0</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5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Term B Loan</w:t>
            </w:r>
          </w:p>
        </w:tc>
        <w:tc>
          <w:tcPr>
            <w:tcW w:w="1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497.5</w:t>
            </w: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200.0</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741.2</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608.9</w:t>
            </w:r>
          </w:p>
        </w:tc>
        <w:tc>
          <w:tcPr>
            <w:tcW w:w="100" w:type="dxa"/>
            <w:vAlign w:val="bottom"/>
          </w:tcPr>
          <w:p>
            <w:pPr>
              <w:spacing w:after="0"/>
              <w:rPr>
                <w:sz w:val="19"/>
                <w:szCs w:val="19"/>
                <w:color w:val="auto"/>
              </w:rPr>
            </w:pPr>
          </w:p>
        </w:tc>
        <w:tc>
          <w:tcPr>
            <w:tcW w:w="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330.0 $</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330.0</w:t>
            </w:r>
          </w:p>
        </w:tc>
        <w:tc>
          <w:tcPr>
            <w:tcW w:w="0" w:type="dxa"/>
            <w:vAlign w:val="bottom"/>
          </w:tcPr>
          <w:p>
            <w:pPr>
              <w:spacing w:after="0"/>
              <w:rPr>
                <w:sz w:val="1"/>
                <w:szCs w:val="1"/>
                <w:color w:val="auto"/>
              </w:rPr>
            </w:pPr>
          </w:p>
        </w:tc>
      </w:tr>
      <w:tr>
        <w:trPr>
          <w:trHeight w:val="21"/>
        </w:trPr>
        <w:tc>
          <w:tcPr>
            <w:tcW w:w="5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8"/>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Total borrowings under Credit Facility</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741.2</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608.9</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5420" w:type="dxa"/>
            <w:vAlign w:val="bottom"/>
          </w:tcPr>
          <w:p>
            <w:pPr>
              <w:spacing w:after="0" w:line="233" w:lineRule="exact"/>
              <w:rPr>
                <w:sz w:val="20"/>
                <w:szCs w:val="20"/>
                <w:color w:val="auto"/>
              </w:rPr>
            </w:pPr>
            <w:r>
              <w:rPr>
                <w:rFonts w:ascii="Times New Roman" w:cs="Times New Roman" w:eastAsia="Times New Roman" w:hAnsi="Times New Roman"/>
                <w:sz w:val="18"/>
                <w:szCs w:val="18"/>
                <w:color w:val="auto"/>
              </w:rPr>
              <w:t xml:space="preserve">Unamortized debt issuance costs related to Term Loans </w:t>
            </w:r>
            <w:r>
              <w:rPr>
                <w:rFonts w:ascii="Times New Roman" w:cs="Times New Roman" w:eastAsia="Times New Roman" w:hAnsi="Times New Roman"/>
                <w:sz w:val="23"/>
                <w:szCs w:val="23"/>
                <w:color w:val="auto"/>
                <w:vertAlign w:val="superscript"/>
              </w:rPr>
              <w:t>(i)</w:t>
            </w:r>
          </w:p>
        </w:tc>
        <w:tc>
          <w:tcPr>
            <w:tcW w:w="1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obligations (see note 7)</w:t>
            </w:r>
          </w:p>
        </w:tc>
        <w:tc>
          <w:tcPr>
            <w:tcW w:w="1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4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796.7</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675.3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4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 Credit Facility and finance lease obligations:</w:t>
            </w: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54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Current portion</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Long-term portion</w:t>
            </w:r>
          </w:p>
        </w:tc>
        <w:tc>
          <w:tcPr>
            <w:tcW w:w="1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770.2</w:t>
            </w: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648.3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4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796.7</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675.3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L/Cs, guarantees, surety bonds and overdraft facilities:</w:t>
            </w: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54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Outstanding L/Cs under the Revolver</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Outstanding bank guarantees and surety bonds outside the Revolver</w:t>
            </w:r>
          </w:p>
        </w:tc>
        <w:tc>
          <w:tcPr>
            <w:tcW w:w="1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Available uncommitted bank overdraft facilities</w:t>
            </w: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8"/>
        </w:trPr>
        <w:tc>
          <w:tcPr>
            <w:tcW w:w="5420" w:type="dxa"/>
            <w:vAlign w:val="bottom"/>
            <w:vMerge w:val="continue"/>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198.5</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542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Amounts outstanding under available uncommitted bank overdraft</w:t>
            </w: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facilities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660" w:hanging="652"/>
        <w:spacing w:after="0" w:line="263" w:lineRule="auto"/>
        <w:tabs>
          <w:tab w:leader="none" w:pos="338"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incur fees and expenses upon amendments to the Credit Facility. Third-party expenses and creditor fees incurred in 2024 totaling $3.9 (2023 — nil; 2022 — nil) in connection with the Revolver were deferred as other assets on our consolidated balance sheet and are amortized on a straight line basis over the remaining term of the Revolver. Creditor fees incurred in 2024 totaling $5.4 (2023 — nil; 2022 — nil) in connection with our Term Loans were deferred as long-term debt on our consolidated balance sheet and are amortized over their respective terms using the effective interest rate method.</w:t>
      </w:r>
    </w:p>
    <w:p>
      <w:pPr>
        <w:spacing w:after="0" w:line="279"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CAPITAL STOCK:</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are authorized to issue an unlimited number of Common Shares with no par value, which entitle the holder to one vote per share. We are also authorized to issue an unlimited number of preferred shares, issuable in series. No preferred shares have been issued to date.</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Prior to April 25, 2024, we were authorized to issue unlimited number of multiple voting shares (MVS) with no par value, which entitled the holder to 25 votes per shares. At our April 25, 2024 Annual and Special Meeting of Shareholders, our shareholders approved Articles of Amendment to our Articles of Incorporation to remove the provisions relating to our MVS (as such shares were no longer outstanding) and to re-designate our SVS as Common Shares, effective as of such date (see note 1).</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40" w:name="page141"/>
    <w:bookmarkEnd w:id="140"/>
    <w:p>
      <w:pPr>
        <w:jc w:val="center"/>
        <w:spacing w:after="0"/>
        <w:rPr>
          <w:sz w:val="20"/>
          <w:szCs w:val="20"/>
          <w:color w:val="auto"/>
        </w:rPr>
      </w:pPr>
      <w:r>
        <w:rPr>
          <w:rFonts w:ascii="Times New Roman" w:cs="Times New Roman" w:eastAsia="Times New Roman" w:hAnsi="Times New Roman"/>
          <w:sz w:val="18"/>
          <w:szCs w:val="18"/>
          <w:b w:val="1"/>
          <w:bCs w:val="1"/>
          <w:color w:val="auto"/>
        </w:rPr>
        <w:t>CELESTICA INC.</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of U.S. dollars, except percentages and per share amounts)</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Capital transactions: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Secondary offerings by Onex Corporation (Onex):</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two underwritten secondary public offerings by Onex, our then-controlling shareholder, completed in June 2023 (June Secondary Offering) and August 2023 (August Secondary Offering, and together with the June Secondary Offering, the Secondary Offerings), we issued an aggregate of approximately 18.6 million Common Shares, upon conversion of an equivalent number of our MVS. The Secondary Offerings had nil impact on our aggregate capital stock amount. Subsequent to the August Secondary Offering, we have no MVS outstanding.</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Share repurchase plans:</w:t>
      </w:r>
    </w:p>
    <w:p>
      <w:pPr>
        <w:spacing w:after="0" w:line="25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have repurchased Common Shares in the open market, or as otherwise permitted, for cancellation through normal course issuer bids (NCIBs), which allow us to repurchase a limited number of Common Shares during a specified period. The maximum number of Common Shares we are permitted to repurchase for cancellation under each NCIB is reduced by the number of Common Shares we arrange to be purchased by any non-independent broker in the open market during the term of such NCIB to satisfy delivery obligations under our SBC plans. We from time-to-time enter into automatic share purchase plans (ASPPs) with a broker, instructing the broker to purchase our Common Shares in the open market on our behalf, either for cancellation under an NCIB (NCIB ASPPs) or for delivery obligations under our SBC plans (SBC ASPPs), including during any applicable trading blackout periods, up to specified maximums (and subject to certain pricing and other conditions) through the term of each ASPP.</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TSX accepted our notice to launch an NCIB on December 8, 2022 (2022 NCIB), which allowed us to repurchase, at our discretion, from December 13, 2022 until the earlier of December 12, 2023 or the completion of purchases thereunder, up to approximately 8.8 million Common Shares in the open market, or as otherwise permitted, subject to the normal terms and limitations of such bids. We entered into several NCIB ASPPs and SBC ASPPs (each with independent brokers) during the term of the 2022 NCIB, all of which have expired. There were no accruals at December 31, 2022 in connection with any NCIB ASPP or SBC ASPP.</w:t>
      </w:r>
    </w:p>
    <w:p>
      <w:pPr>
        <w:spacing w:after="0" w:line="21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December 12, 2023, the TSX accepted our notice to launch another NCIB (2023 NCIB), which allowed us to repurchase, at our discretion, from December 14, 2023 until the earlier of December 13, 2024 or the completion of purchases thereunder, up to approximately 11.8 million of our Common Shares in the open market, or as otherwise permitted, subject to the normal terms and limitations of such bids. We entered into several NCIB ASPPs and SBC ASPPs (each with independent brokers) during the term of the 2023 NCIB, all of which have expired. At December 31, 2023, we recorded an accrual of: (i) $2.7, representing the estimated contractual maximum number of permitted Common Shares repurchases (Contractual Maximum Quantity) for cancellation (0.1 million Common Shares) under an NCIB ASPP we entered into in December 2023 (2023 NCIB Accrual); and (ii) $7.5, representing the estimated Contractual Maximum Quantity (0.3 million Common Shares) under an SBC ASPP we entered into in September 2023 (2023 SBC Accrual). Both 2023 NCIB Accrual and 2023 SBC Accrual were reversed in 2024. The 2023 NCIB was early terminated on October 30, 2024.</w:t>
      </w:r>
    </w:p>
    <w:p>
      <w:pPr>
        <w:spacing w:after="0" w:line="21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October 30, 2024, the TSX accepted our notice to launch a new NCIB (2024 NCIB), which allows us to repurchase, at our discretion, from November 1, 2024 until the earlier of October 31, 2025 or the completion of purchases thereunder, up to approximately 8.6 million of our Common Shares in the open market, or as otherwise permitted, subject to the normal terms and limitations of such bids. At December 31, 2024, approximately 8.3 million Common Shares remained available for repurchase under the 2024 NCIB either for cancellation or SBC delivery purposes. There were no accruals at December 31, 2024 in connection with any NCIB ASPP or SBC ASPP.</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41" w:name="page142"/>
    <w:bookmarkEnd w:id="141"/>
    <w:p>
      <w:pPr>
        <w:jc w:val="center"/>
        <w:spacing w:after="0"/>
        <w:rPr>
          <w:sz w:val="20"/>
          <w:szCs w:val="20"/>
          <w:color w:val="auto"/>
        </w:rPr>
      </w:pPr>
      <w:r>
        <w:rPr>
          <w:rFonts w:ascii="Times New Roman" w:cs="Times New Roman" w:eastAsia="Times New Roman" w:hAnsi="Times New Roman"/>
          <w:sz w:val="18"/>
          <w:szCs w:val="18"/>
          <w:b w:val="1"/>
          <w:bCs w:val="1"/>
          <w:color w:val="auto"/>
        </w:rPr>
        <w:t>CELESTICA INC.</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of U.S. dollars, except percentages and per share amounts)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78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Activities of our capital stock for the periods included is set forth below:</w:t>
            </w:r>
          </w:p>
        </w:tc>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7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 of shares (in millions)</w:t>
            </w:r>
          </w:p>
        </w:tc>
        <w:tc>
          <w:tcPr>
            <w:tcW w:w="184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Common Shares</w:t>
            </w:r>
          </w:p>
        </w:tc>
        <w:tc>
          <w:tcPr>
            <w:tcW w:w="15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MVS</w:t>
            </w:r>
          </w:p>
        </w:tc>
        <w:tc>
          <w:tcPr>
            <w:tcW w:w="0" w:type="dxa"/>
            <w:vAlign w:val="bottom"/>
          </w:tcPr>
          <w:p>
            <w:pPr>
              <w:spacing w:after="0"/>
              <w:rPr>
                <w:sz w:val="1"/>
                <w:szCs w:val="1"/>
                <w:color w:val="auto"/>
              </w:rPr>
            </w:pPr>
          </w:p>
        </w:tc>
      </w:tr>
      <w:tr>
        <w:trPr>
          <w:trHeight w:val="20"/>
        </w:trPr>
        <w:tc>
          <w:tcPr>
            <w:tcW w:w="2340" w:type="dxa"/>
            <w:vAlign w:val="bottom"/>
            <w:shd w:val="clear" w:color="auto" w:fill="000000"/>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78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Issued and outstanding at December 31, 2021</w:t>
            </w: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8"/>
        </w:trPr>
        <w:tc>
          <w:tcPr>
            <w:tcW w:w="7860" w:type="dxa"/>
            <w:vAlign w:val="bottom"/>
            <w:gridSpan w:val="2"/>
            <w:vMerge w:val="continue"/>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106.1</w:t>
            </w: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0" w:type="dxa"/>
            <w:vAlign w:val="bottom"/>
          </w:tcPr>
          <w:p>
            <w:pPr>
              <w:spacing w:after="0"/>
              <w:rPr>
                <w:sz w:val="1"/>
                <w:szCs w:val="1"/>
                <w:color w:val="auto"/>
              </w:rPr>
            </w:pPr>
          </w:p>
        </w:tc>
      </w:tr>
      <w:tr>
        <w:trPr>
          <w:trHeight w:val="229"/>
        </w:trPr>
        <w:tc>
          <w:tcPr>
            <w:tcW w:w="7860" w:type="dxa"/>
            <w:vAlign w:val="bottom"/>
            <w:gridSpan w:val="2"/>
          </w:tcPr>
          <w:p>
            <w:pPr>
              <w:spacing w:after="0" w:line="230" w:lineRule="exact"/>
              <w:rPr>
                <w:sz w:val="20"/>
                <w:szCs w:val="20"/>
                <w:color w:val="auto"/>
              </w:rPr>
            </w:pPr>
            <w:r>
              <w:rPr>
                <w:rFonts w:ascii="Times New Roman" w:cs="Times New Roman" w:eastAsia="Times New Roman" w:hAnsi="Times New Roman"/>
                <w:sz w:val="18"/>
                <w:szCs w:val="18"/>
                <w:color w:val="auto"/>
              </w:rPr>
              <w:t>Issued from treasury</w:t>
            </w:r>
            <w:r>
              <w:rPr>
                <w:rFonts w:ascii="Times New Roman" w:cs="Times New Roman" w:eastAsia="Times New Roman" w:hAnsi="Times New Roman"/>
                <w:sz w:val="23"/>
                <w:szCs w:val="23"/>
                <w:color w:val="auto"/>
                <w:vertAlign w:val="superscript"/>
              </w:rPr>
              <w:t>(i)</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7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Cancelled under NCIB</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20" w:type="dxa"/>
            <w:vAlign w:val="bottom"/>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8"/>
        </w:trPr>
        <w:tc>
          <w:tcPr>
            <w:tcW w:w="7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Issued and outstanding at December 31, 2022</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w:t>
            </w: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0" w:type="dxa"/>
            <w:vAlign w:val="bottom"/>
          </w:tcPr>
          <w:p>
            <w:pPr>
              <w:spacing w:after="0"/>
              <w:rPr>
                <w:sz w:val="1"/>
                <w:szCs w:val="1"/>
                <w:color w:val="auto"/>
              </w:rPr>
            </w:pPr>
          </w:p>
        </w:tc>
      </w:tr>
      <w:tr>
        <w:trPr>
          <w:trHeight w:val="229"/>
        </w:trPr>
        <w:tc>
          <w:tcPr>
            <w:tcW w:w="7860" w:type="dxa"/>
            <w:vAlign w:val="bottom"/>
            <w:gridSpan w:val="2"/>
          </w:tcPr>
          <w:p>
            <w:pPr>
              <w:spacing w:after="0" w:line="230" w:lineRule="exact"/>
              <w:rPr>
                <w:sz w:val="20"/>
                <w:szCs w:val="20"/>
                <w:color w:val="auto"/>
              </w:rPr>
            </w:pPr>
            <w:r>
              <w:rPr>
                <w:rFonts w:ascii="Times New Roman" w:cs="Times New Roman" w:eastAsia="Times New Roman" w:hAnsi="Times New Roman"/>
                <w:sz w:val="18"/>
                <w:szCs w:val="18"/>
                <w:color w:val="auto"/>
              </w:rPr>
              <w:t>Issued from treasury</w:t>
            </w:r>
            <w:r>
              <w:rPr>
                <w:rFonts w:ascii="Times New Roman" w:cs="Times New Roman" w:eastAsia="Times New Roman" w:hAnsi="Times New Roman"/>
                <w:sz w:val="23"/>
                <w:szCs w:val="23"/>
                <w:color w:val="auto"/>
                <w:vertAlign w:val="superscript"/>
              </w:rPr>
              <w:t>(i)</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Cancelled under NCIB</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7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Conversion of MVS into Common Shares in connection with the Secondary Offerings</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20" w:type="dxa"/>
            <w:vAlign w:val="bottom"/>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0" w:type="dxa"/>
            <w:vAlign w:val="bottom"/>
          </w:tcPr>
          <w:p>
            <w:pPr>
              <w:spacing w:after="0"/>
              <w:rPr>
                <w:sz w:val="1"/>
                <w:szCs w:val="1"/>
                <w:color w:val="auto"/>
              </w:rPr>
            </w:pPr>
          </w:p>
        </w:tc>
      </w:tr>
      <w:tr>
        <w:trPr>
          <w:trHeight w:val="218"/>
        </w:trPr>
        <w:tc>
          <w:tcPr>
            <w:tcW w:w="7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Issued and outstanding at December 31, 2023</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w:t>
            </w: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860" w:type="dxa"/>
            <w:vAlign w:val="bottom"/>
            <w:gridSpan w:val="2"/>
          </w:tcPr>
          <w:p>
            <w:pPr>
              <w:spacing w:after="0" w:line="230" w:lineRule="exact"/>
              <w:rPr>
                <w:sz w:val="20"/>
                <w:szCs w:val="20"/>
                <w:color w:val="auto"/>
              </w:rPr>
            </w:pPr>
            <w:r>
              <w:rPr>
                <w:rFonts w:ascii="Times New Roman" w:cs="Times New Roman" w:eastAsia="Times New Roman" w:hAnsi="Times New Roman"/>
                <w:sz w:val="18"/>
                <w:szCs w:val="18"/>
                <w:color w:val="auto"/>
              </w:rPr>
              <w:t>Issued from treasury</w:t>
            </w:r>
            <w:r>
              <w:rPr>
                <w:rFonts w:ascii="Times New Roman" w:cs="Times New Roman" w:eastAsia="Times New Roman" w:hAnsi="Times New Roman"/>
                <w:sz w:val="23"/>
                <w:szCs w:val="23"/>
                <w:color w:val="auto"/>
                <w:vertAlign w:val="superscript"/>
              </w:rPr>
              <w:t>(i)</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7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Cancelled under NCIB</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Issued and outstanding at December 31, 2024</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116.1</w:t>
            </w:r>
          </w:p>
        </w:tc>
        <w:tc>
          <w:tcPr>
            <w:tcW w:w="120" w:type="dxa"/>
            <w:vAlign w:val="bottom"/>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
        </w:trPr>
        <w:tc>
          <w:tcPr>
            <w:tcW w:w="234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660" w:hanging="652"/>
        <w:spacing w:after="0" w:line="263" w:lineRule="auto"/>
        <w:tabs>
          <w:tab w:leader="none" w:pos="417"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2024, 0.3 million Common Shares (2023 — 0.03 million; 2022 — 0.02 million) were issued from treasury upon the exercise of stock options for aggregate cash proceeds of $3.9 (2023 — $0.3; 2022 — $0.2). In 2024, we issued 0.04 million (2023 — 0.02 million; 2022 — 0.05 million) Common Shares from treasury with an ascribed value of $0.5 (2023 — $0.2; 2022 — $0.4) upon the vesting of certain RSUs. We settled other RSUs and PSUs with Common Shares purchased in the open market (described below).</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Information regarding Common Shares purchases for cancellation for the years indicated is set forth below:</w:t>
      </w:r>
    </w:p>
    <w:p>
      <w:pPr>
        <w:spacing w:after="0" w:line="140"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78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5"/>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23"/>
        </w:trPr>
        <w:tc>
          <w:tcPr>
            <w:tcW w:w="78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42"/>
        </w:trPr>
        <w:tc>
          <w:tcPr>
            <w:tcW w:w="7860" w:type="dxa"/>
            <w:vAlign w:val="bottom"/>
          </w:tcPr>
          <w:p>
            <w:pPr>
              <w:spacing w:after="0" w:line="242" w:lineRule="exact"/>
              <w:rPr>
                <w:sz w:val="20"/>
                <w:szCs w:val="20"/>
                <w:color w:val="auto"/>
              </w:rPr>
            </w:pPr>
            <w:r>
              <w:rPr>
                <w:rFonts w:ascii="Times New Roman" w:cs="Times New Roman" w:eastAsia="Times New Roman" w:hAnsi="Times New Roman"/>
                <w:sz w:val="18"/>
                <w:szCs w:val="18"/>
                <w:color w:val="auto"/>
              </w:rPr>
              <w:t xml:space="preserve">Aggregate cost (including transaction fees) of Common Shares repurchased for cancellation </w:t>
            </w:r>
            <w:r>
              <w:rPr>
                <w:rFonts w:ascii="Times New Roman" w:cs="Times New Roman" w:eastAsia="Times New Roman" w:hAnsi="Times New Roman"/>
                <w:sz w:val="23"/>
                <w:szCs w:val="23"/>
                <w:color w:val="auto"/>
                <w:vertAlign w:val="superscript"/>
              </w:rPr>
              <w:t>(1)</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152.0</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r>
      <w:tr>
        <w:trPr>
          <w:trHeight w:val="233"/>
        </w:trPr>
        <w:tc>
          <w:tcPr>
            <w:tcW w:w="7860" w:type="dxa"/>
            <w:vAlign w:val="bottom"/>
          </w:tcPr>
          <w:p>
            <w:pPr>
              <w:spacing w:after="0" w:line="233" w:lineRule="exact"/>
              <w:rPr>
                <w:sz w:val="20"/>
                <w:szCs w:val="20"/>
                <w:color w:val="auto"/>
              </w:rPr>
            </w:pPr>
            <w:r>
              <w:rPr>
                <w:rFonts w:ascii="Times New Roman" w:cs="Times New Roman" w:eastAsia="Times New Roman" w:hAnsi="Times New Roman"/>
                <w:sz w:val="18"/>
                <w:szCs w:val="18"/>
                <w:color w:val="auto"/>
              </w:rPr>
              <w:t xml:space="preserve">Number of Common Shares repurchased for cancellation (in millions) </w:t>
            </w:r>
            <w:r>
              <w:rPr>
                <w:rFonts w:ascii="Times New Roman" w:cs="Times New Roman" w:eastAsia="Times New Roman" w:hAnsi="Times New Roman"/>
                <w:sz w:val="23"/>
                <w:szCs w:val="23"/>
                <w:color w:val="auto"/>
                <w:vertAlign w:val="superscript"/>
              </w:rPr>
              <w:t>(2)</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34"/>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price per share for repurchases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47.15</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13.83</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w:t>
            </w:r>
          </w:p>
        </w:tc>
      </w:tr>
    </w:tbl>
    <w:p>
      <w:pPr>
        <w:spacing w:after="0" w:line="148" w:lineRule="exact"/>
        <w:rPr>
          <w:sz w:val="20"/>
          <w:szCs w:val="20"/>
          <w:color w:val="auto"/>
        </w:rPr>
      </w:pPr>
    </w:p>
    <w:p>
      <w:pPr>
        <w:ind w:left="400" w:hanging="392"/>
        <w:spacing w:after="0"/>
        <w:tabs>
          <w:tab w:leader="none" w:pos="400"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2023, excludes the $2.7 2023 NCIB Accrual. For 2024, excludes $2.8 accrued at December 31, 2024 for share buyback taxes.</w:t>
      </w:r>
    </w:p>
    <w:p>
      <w:pPr>
        <w:spacing w:after="0" w:line="86" w:lineRule="exact"/>
        <w:rPr>
          <w:rFonts w:ascii="Times New Roman" w:cs="Times New Roman" w:eastAsia="Times New Roman" w:hAnsi="Times New Roman"/>
          <w:sz w:val="16"/>
          <w:szCs w:val="16"/>
          <w:color w:val="auto"/>
        </w:rPr>
      </w:pPr>
    </w:p>
    <w:p>
      <w:pPr>
        <w:ind w:left="360" w:hanging="352"/>
        <w:spacing w:after="0"/>
        <w:tabs>
          <w:tab w:leader="none" w:pos="360"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0.5 million, 0.9 million and 2.5 million repurchases of Common Shares for cancellation under NCIB ASPPs in 2024, 2023 and 2022, respectively.</w:t>
      </w:r>
    </w:p>
    <w:p>
      <w:pPr>
        <w:sectPr>
          <w:pgSz w:w="11900" w:h="16838" w:orient="portrait"/>
          <w:cols w:equalWidth="0" w:num="1">
            <w:col w:w="11240"/>
          </w:cols>
          <w:pgMar w:left="320" w:top="360" w:right="339" w:bottom="1440" w:gutter="0" w:footer="0" w:header="0"/>
        </w:sectPr>
      </w:pPr>
    </w:p>
    <w:p>
      <w:pPr>
        <w:spacing w:after="0" w:line="2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Activities of our treasury stock for the periods included is set forth below:</w:t>
      </w:r>
    </w:p>
    <w:p>
      <w:pPr>
        <w:spacing w:after="0" w:line="1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u w:val="single" w:color="auto"/>
          <w:color w:val="auto"/>
        </w:rPr>
        <w:t>Number of shares for delivery under SBC plans (in millions)</w:t>
      </w:r>
    </w:p>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Held by trustee at December 31, 2021</w:t>
      </w:r>
    </w:p>
    <w:p>
      <w:pPr>
        <w:spacing w:after="0" w:line="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xml:space="preserve">Repurchases in the open market through independent broker under SBC ASPPs </w:t>
      </w:r>
      <w:r>
        <w:rPr>
          <w:rFonts w:ascii="Times New Roman" w:cs="Times New Roman" w:eastAsia="Times New Roman" w:hAnsi="Times New Roman"/>
          <w:sz w:val="23"/>
          <w:szCs w:val="23"/>
          <w:color w:val="auto"/>
          <w:vertAlign w:val="superscript"/>
        </w:rPr>
        <w:t>(1)</w:t>
      </w:r>
    </w:p>
    <w:p>
      <w:pPr>
        <w:ind w:left="20"/>
        <w:spacing w:after="0"/>
        <w:rPr>
          <w:sz w:val="20"/>
          <w:szCs w:val="20"/>
          <w:color w:val="auto"/>
        </w:rPr>
      </w:pPr>
      <w:r>
        <w:rPr>
          <w:rFonts w:ascii="Times New Roman" w:cs="Times New Roman" w:eastAsia="Times New Roman" w:hAnsi="Times New Roman"/>
          <w:sz w:val="18"/>
          <w:szCs w:val="18"/>
          <w:color w:val="auto"/>
        </w:rPr>
        <w:t>Delivery under SBC plans</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xml:space="preserve">Held by trustee at December 31, 2022 </w:t>
      </w:r>
      <w:r>
        <w:rPr>
          <w:rFonts w:ascii="Times New Roman" w:cs="Times New Roman" w:eastAsia="Times New Roman" w:hAnsi="Times New Roman"/>
          <w:sz w:val="23"/>
          <w:szCs w:val="23"/>
          <w:color w:val="auto"/>
          <w:vertAlign w:val="superscript"/>
        </w:rPr>
        <w:t>(2)</w:t>
      </w:r>
    </w:p>
    <w:p>
      <w:pPr>
        <w:ind w:left="20"/>
        <w:spacing w:after="0" w:line="208" w:lineRule="auto"/>
        <w:rPr>
          <w:sz w:val="20"/>
          <w:szCs w:val="20"/>
          <w:color w:val="auto"/>
        </w:rPr>
      </w:pPr>
      <w:r>
        <w:rPr>
          <w:rFonts w:ascii="Times New Roman" w:cs="Times New Roman" w:eastAsia="Times New Roman" w:hAnsi="Times New Roman"/>
          <w:sz w:val="18"/>
          <w:szCs w:val="18"/>
          <w:color w:val="auto"/>
        </w:rPr>
        <w:t xml:space="preserve">Repurchases in the open market through independent broker under SBC ASPPs </w:t>
      </w:r>
      <w:r>
        <w:rPr>
          <w:rFonts w:ascii="Times New Roman" w:cs="Times New Roman" w:eastAsia="Times New Roman" w:hAnsi="Times New Roman"/>
          <w:sz w:val="23"/>
          <w:szCs w:val="23"/>
          <w:color w:val="auto"/>
          <w:vertAlign w:val="superscript"/>
        </w:rPr>
        <w:t>(1)</w:t>
      </w:r>
    </w:p>
    <w:p>
      <w:pPr>
        <w:ind w:left="20"/>
        <w:spacing w:after="0"/>
        <w:rPr>
          <w:sz w:val="20"/>
          <w:szCs w:val="20"/>
          <w:color w:val="auto"/>
        </w:rPr>
      </w:pPr>
      <w:r>
        <w:rPr>
          <w:rFonts w:ascii="Times New Roman" w:cs="Times New Roman" w:eastAsia="Times New Roman" w:hAnsi="Times New Roman"/>
          <w:sz w:val="18"/>
          <w:szCs w:val="18"/>
          <w:color w:val="auto"/>
        </w:rPr>
        <w:t>Delivery under SBC plans</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xml:space="preserve">Held by trustee at December 31, 2023 </w:t>
      </w:r>
      <w:r>
        <w:rPr>
          <w:rFonts w:ascii="Times New Roman" w:cs="Times New Roman" w:eastAsia="Times New Roman" w:hAnsi="Times New Roman"/>
          <w:sz w:val="23"/>
          <w:szCs w:val="23"/>
          <w:color w:val="auto"/>
          <w:vertAlign w:val="superscript"/>
        </w:rPr>
        <w:t>(2)</w:t>
      </w:r>
    </w:p>
    <w:p>
      <w:pPr>
        <w:ind w:left="20"/>
        <w:spacing w:after="0" w:line="208" w:lineRule="auto"/>
        <w:rPr>
          <w:sz w:val="20"/>
          <w:szCs w:val="20"/>
          <w:color w:val="auto"/>
        </w:rPr>
      </w:pPr>
      <w:r>
        <w:rPr>
          <w:rFonts w:ascii="Times New Roman" w:cs="Times New Roman" w:eastAsia="Times New Roman" w:hAnsi="Times New Roman"/>
          <w:sz w:val="18"/>
          <w:szCs w:val="18"/>
          <w:color w:val="auto"/>
        </w:rPr>
        <w:t xml:space="preserve">Repurchases in the open market through independent broker under SBC ASPPs </w:t>
      </w:r>
      <w:r>
        <w:rPr>
          <w:rFonts w:ascii="Times New Roman" w:cs="Times New Roman" w:eastAsia="Times New Roman" w:hAnsi="Times New Roman"/>
          <w:sz w:val="23"/>
          <w:szCs w:val="23"/>
          <w:color w:val="auto"/>
          <w:vertAlign w:val="superscript"/>
        </w:rPr>
        <w:t>(1)</w:t>
      </w:r>
    </w:p>
    <w:p>
      <w:pPr>
        <w:ind w:left="20"/>
        <w:spacing w:after="0"/>
        <w:rPr>
          <w:sz w:val="20"/>
          <w:szCs w:val="20"/>
          <w:color w:val="auto"/>
        </w:rPr>
      </w:pPr>
      <w:r>
        <w:rPr>
          <w:rFonts w:ascii="Times New Roman" w:cs="Times New Roman" w:eastAsia="Times New Roman" w:hAnsi="Times New Roman"/>
          <w:sz w:val="18"/>
          <w:szCs w:val="18"/>
          <w:color w:val="auto"/>
        </w:rPr>
        <w:t>Delivery under SBC plans</w:t>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xml:space="preserve">Held by trustee at December 31, 2024 </w:t>
      </w:r>
      <w:r>
        <w:rPr>
          <w:rFonts w:ascii="Times New Roman" w:cs="Times New Roman" w:eastAsia="Times New Roman" w:hAnsi="Times New Roman"/>
          <w:sz w:val="23"/>
          <w:szCs w:val="23"/>
          <w:color w:val="auto"/>
          <w:vertAlign w:val="superscript"/>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wp:posOffset>
            </wp:positionH>
            <wp:positionV relativeFrom="paragraph">
              <wp:posOffset>19685</wp:posOffset>
            </wp:positionV>
            <wp:extent cx="109728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0">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20"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1.4</w:t>
      </w:r>
    </w:p>
    <w:p>
      <w:pPr>
        <w:spacing w:after="0" w:line="27"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3.9</w:t>
      </w:r>
    </w:p>
    <w:p>
      <w:pPr>
        <w:spacing w:after="0" w:line="2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wp:posOffset>
            </wp:positionH>
            <wp:positionV relativeFrom="paragraph">
              <wp:posOffset>14605</wp:posOffset>
            </wp:positionV>
            <wp:extent cx="10972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1">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11"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1.5</w:t>
      </w:r>
    </w:p>
    <w:p>
      <w:pPr>
        <w:spacing w:after="0" w:line="27"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3.7</w:t>
      </w:r>
    </w:p>
    <w:p>
      <w:pPr>
        <w:spacing w:after="0" w:line="2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wp:posOffset>
            </wp:positionH>
            <wp:positionV relativeFrom="paragraph">
              <wp:posOffset>14605</wp:posOffset>
            </wp:positionV>
            <wp:extent cx="10972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2">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11"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3.3</w:t>
      </w:r>
    </w:p>
    <w:p>
      <w:pPr>
        <w:spacing w:after="0" w:line="27"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3.0</w:t>
      </w:r>
    </w:p>
    <w:p>
      <w:pPr>
        <w:spacing w:after="0" w:line="2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wp:posOffset>
            </wp:positionH>
            <wp:positionV relativeFrom="paragraph">
              <wp:posOffset>14605</wp:posOffset>
            </wp:positionV>
            <wp:extent cx="109728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3">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11"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wp:posOffset>
            </wp:positionH>
            <wp:positionV relativeFrom="paragraph">
              <wp:posOffset>17145</wp:posOffset>
            </wp:positionV>
            <wp:extent cx="109728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4">
                      <a:extLst>
                        <a:ext uri="{28A0092B-C50C-407E-A947-70E740481C1C}"/>
                      </a:extLst>
                    </a:blip>
                    <a:srcRect/>
                    <a:stretch>
                      <a:fillRect/>
                    </a:stretch>
                  </pic:blipFill>
                  <pic:spPr bwMode="auto">
                    <a:xfrm>
                      <a:off x="0" y="0"/>
                      <a:ext cx="1097280" cy="8890"/>
                    </a:xfrm>
                    <a:prstGeom prst="rect">
                      <a:avLst/>
                    </a:prstGeom>
                    <a:noFill/>
                  </pic:spPr>
                </pic:pic>
              </a:graphicData>
            </a:graphic>
          </wp:anchor>
        </w:drawing>
        <w:drawing>
          <wp:anchor simplePos="0" relativeHeight="251657728" behindDoc="1" locked="0" layoutInCell="0" allowOverlap="1">
            <wp:simplePos x="0" y="0"/>
            <wp:positionH relativeFrom="column">
              <wp:posOffset>-144145</wp:posOffset>
            </wp:positionH>
            <wp:positionV relativeFrom="paragraph">
              <wp:posOffset>43180</wp:posOffset>
            </wp:positionV>
            <wp:extent cx="10972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5">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29" w:lineRule="exact"/>
        <w:rPr>
          <w:sz w:val="20"/>
          <w:szCs w:val="20"/>
          <w:color w:val="auto"/>
        </w:rPr>
      </w:pPr>
    </w:p>
    <w:p>
      <w:pPr>
        <w:sectPr>
          <w:pgSz w:w="11900" w:h="16838" w:orient="portrait"/>
          <w:cols w:equalWidth="0" w:num="2">
            <w:col w:w="9020" w:space="720"/>
            <w:col w:w="1500"/>
          </w:cols>
          <w:pgMar w:left="320" w:top="360" w:right="339" w:bottom="1440" w:gutter="0" w:footer="0" w:header="0"/>
          <w:type w:val="continuous"/>
        </w:sectPr>
      </w:pPr>
    </w:p>
    <w:p>
      <w:pPr>
        <w:ind w:left="360" w:hanging="352"/>
        <w:spacing w:after="0"/>
        <w:tabs>
          <w:tab w:leader="none" w:pos="360"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Aggregated cost, including transaction fees, of Common Shares repurchased for delivery under SBC plans was $119.6 in 2024 (2023 — $82.3; 2022 — $44.9).</w:t>
      </w:r>
    </w:p>
    <w:p>
      <w:pPr>
        <w:spacing w:after="0" w:line="86" w:lineRule="exact"/>
        <w:rPr>
          <w:rFonts w:ascii="Times New Roman" w:cs="Times New Roman" w:eastAsia="Times New Roman" w:hAnsi="Times New Roman"/>
          <w:sz w:val="16"/>
          <w:szCs w:val="16"/>
          <w:color w:val="auto"/>
        </w:rPr>
      </w:pPr>
    </w:p>
    <w:p>
      <w:pPr>
        <w:ind w:left="660" w:hanging="652"/>
        <w:spacing w:after="0" w:line="280" w:lineRule="auto"/>
        <w:tabs>
          <w:tab w:leader="none" w:pos="417"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value of Common Shares held by trustee for delivery under SBC plans was $92.9 at December 31, 2024 (December 31, 2023 — $72.6, excluding 2023 SBC accrual; December 31, 2022 — $16.7).</w:t>
      </w: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142" w:name="page143"/>
    <w:bookmarkEnd w:id="142"/>
    <w:p>
      <w:pPr>
        <w:jc w:val="center"/>
        <w:spacing w:after="0"/>
        <w:rPr>
          <w:sz w:val="20"/>
          <w:szCs w:val="20"/>
          <w:color w:val="auto"/>
        </w:rPr>
      </w:pPr>
      <w:r>
        <w:rPr>
          <w:rFonts w:ascii="Times New Roman" w:cs="Times New Roman" w:eastAsia="Times New Roman" w:hAnsi="Times New Roman"/>
          <w:sz w:val="18"/>
          <w:szCs w:val="18"/>
          <w:b w:val="1"/>
          <w:bCs w:val="1"/>
          <w:color w:val="auto"/>
        </w:rPr>
        <w:t>CELESTICA INC.</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of U.S. dollars, except percentages and per share amounts)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 Employee SBC</w:t>
      </w:r>
      <w:r>
        <w:rPr>
          <w:rFonts w:ascii="Times New Roman" w:cs="Times New Roman" w:eastAsia="Times New Roman" w:hAnsi="Times New Roman"/>
          <w:sz w:val="18"/>
          <w:szCs w:val="18"/>
          <w:b w:val="1"/>
          <w:bCs w:val="1"/>
          <w:color w:val="auto"/>
        </w:rPr>
        <w:t>:</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LTIP:</w:t>
      </w:r>
    </w:p>
    <w:p>
      <w:pPr>
        <w:spacing w:after="0" w:line="25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Under the LTIP, we may grant stock options, stock appreciation rights, RSUs and PSUs (Awards) to eligible employees and consultants. Eligible directors may be granted Awards other than stock options. We may, at the time of grant, authorize the grantees to elect to settle these awards either in cash or in Common Shares. Absent such permitted election, we intend to settle vested grants under the LTIP in Common Shares (on a one-for-one basis), either with Common Shares purchased in the open market or issued from treasury (up to a maximum aggregate of 29.0 million Common Shares). At December 31, 2024, 9.6 million Common Shares remain reserved for issuance from treasury under the LTIP, covering potential issuances of Common Shares for outstanding awards and for potential future award grants.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CSUP:</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Under the CSUP, we may grant RSUs and PSUs to directors and eligible employees. We have the option to settle vested RSUs and PSUs issued thereunder in Common Shares (on a one-for-one basis) purchased in the open market, or in cash. We intend to settle vested RSUs and PSUs with Common Shares.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SBC Expense:</w:t>
      </w:r>
    </w:p>
    <w:p>
      <w:pPr>
        <w:spacing w:after="0" w:line="17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Employee SBC expense may fluctuate from period-to-period to account for, among other things, new grants, forfeitures resulting from employee terminations or resignations, and the recognition of accelerated SBC expense for employees eligible for retirement. The portion of employee SBC expense that relates to performance-based compensation is subject to adjustment in any period to reflect changes in the estimated level of achievement of pre-determined performance goals and financial targets.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are party to the TRS Agreement to manage our cash flow requirements and exposure to fluctuations in the share price of our Common Shares in connection with the settlement of certain outstanding equity awards under our SBC plans. See notes 2</w:t>
      </w:r>
      <w:r>
        <w:rPr>
          <w:rFonts w:ascii="Times New Roman" w:cs="Times New Roman" w:eastAsia="Times New Roman" w:hAnsi="Times New Roman"/>
          <w:sz w:val="18"/>
          <w:szCs w:val="18"/>
          <w:i w:val="1"/>
          <w:iCs w:val="1"/>
          <w:color w:val="auto"/>
        </w:rPr>
        <w:t>(n)</w:t>
      </w:r>
      <w:r>
        <w:rPr>
          <w:rFonts w:ascii="Times New Roman" w:cs="Times New Roman" w:eastAsia="Times New Roman" w:hAnsi="Times New Roman"/>
          <w:sz w:val="18"/>
          <w:szCs w:val="18"/>
          <w:color w:val="auto"/>
        </w:rPr>
        <w:t xml:space="preserve"> and 19 for further detail.</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Information regarding employee SBC expense and TRS fair value adjustments (TRS FVAs, which represent changes in fair value of TRS) for the years indicated is set forth below:</w:t>
      </w:r>
    </w:p>
    <w:p>
      <w:pPr>
        <w:sectPr>
          <w:pgSz w:w="11900" w:h="16838" w:orient="portrait"/>
          <w:cols w:equalWidth="0" w:num="1">
            <w:col w:w="11240"/>
          </w:cols>
          <w:pgMar w:left="320" w:top="360" w:right="339" w:bottom="1440" w:gutter="0" w:footer="0" w:header="0"/>
        </w:sectPr>
      </w:pPr>
    </w:p>
    <w:p>
      <w:pPr>
        <w:spacing w:after="0" w:line="200" w:lineRule="exact"/>
        <w:rPr>
          <w:sz w:val="20"/>
          <w:szCs w:val="20"/>
          <w:color w:val="auto"/>
        </w:rPr>
      </w:pPr>
    </w:p>
    <w:p>
      <w:pPr>
        <w:spacing w:after="0" w:line="3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Employee SBC expense in cost of sales</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Employee SBC expense in SG&amp;A</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 employee SBC expense</w:t>
      </w:r>
    </w:p>
    <w:p>
      <w:pPr>
        <w:spacing w:after="0" w:line="1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TRS FVAs (gains) in cost of sales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TRS FVAs (gains) in SG&amp;A</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TRS FVAs (gains) in miscellaneous expense (income)</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 TRS FVAs (gains)</w:t>
      </w:r>
    </w:p>
    <w:p>
      <w:pPr>
        <w:spacing w:after="0" w:line="1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Combined effect of employee SBC expense and TRS FVAs</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18"/>
        </w:trPr>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r>
      <w:tr>
        <w:trPr>
          <w:trHeight w:val="234"/>
        </w:trPr>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w:t>
            </w:r>
          </w:p>
        </w:tc>
      </w:tr>
      <w:tr>
        <w:trPr>
          <w:trHeight w:val="228"/>
        </w:trPr>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w:t>
            </w:r>
          </w:p>
        </w:tc>
      </w:tr>
      <w:tr>
        <w:trPr>
          <w:trHeight w:val="314"/>
        </w:trPr>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90"/>
        </w:trPr>
        <w:tc>
          <w:tcPr>
            <w:tcW w:w="280" w:type="dxa"/>
            <w:vAlign w:val="bottom"/>
            <w:tcBorders>
              <w:bottom w:val="single" w:sz="8" w:color="auto"/>
            </w:tcBorders>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r>
      <w:tr>
        <w:trPr>
          <w:trHeight w:val="223"/>
        </w:trPr>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w:t>
            </w: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520" w:space="720"/>
            <w:col w:w="4000"/>
          </w:cols>
          <w:pgMar w:left="320" w:top="360" w:right="339" w:bottom="1440" w:gutter="0" w:footer="0" w:header="0"/>
          <w:type w:val="continuous"/>
        </w:sectPr>
      </w:pPr>
    </w:p>
    <w:p>
      <w:pPr>
        <w:spacing w:after="0" w:line="1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 xml:space="preserve">For RSUs and DSUs issued to eligible directors under our Directors’ Share Compensation Plan (DSC Plan), see paragraph </w:t>
      </w:r>
      <w:r>
        <w:rPr>
          <w:rFonts w:ascii="Times New Roman" w:cs="Times New Roman" w:eastAsia="Times New Roman" w:hAnsi="Times New Roman"/>
          <w:sz w:val="18"/>
          <w:szCs w:val="18"/>
          <w:i w:val="1"/>
          <w:iCs w:val="1"/>
          <w:color w:val="auto"/>
        </w:rPr>
        <w:t>(c)</w:t>
      </w:r>
      <w:r>
        <w:rPr>
          <w:rFonts w:ascii="Times New Roman" w:cs="Times New Roman" w:eastAsia="Times New Roman" w:hAnsi="Times New Roman"/>
          <w:sz w:val="18"/>
          <w:szCs w:val="18"/>
          <w:color w:val="auto"/>
        </w:rPr>
        <w:t xml:space="preserve"> below.</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 Stock options:</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We are permitted to grant stock options under our LTIP. Stock options are granted at prices equal to the closing market price on the day prior to the grant date and are exercisable during a period not to exceed 10 years from the grant date. Stock option grants and exercises were as follows in 2024:</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143" w:name="page144"/>
    <w:bookmarkEnd w:id="143"/>
    <w:p>
      <w:pPr>
        <w:jc w:val="center"/>
        <w:spacing w:after="0"/>
        <w:rPr>
          <w:sz w:val="20"/>
          <w:szCs w:val="20"/>
          <w:color w:val="auto"/>
        </w:rPr>
      </w:pPr>
      <w:r>
        <w:rPr>
          <w:rFonts w:ascii="Times New Roman" w:cs="Times New Roman" w:eastAsia="Times New Roman" w:hAnsi="Times New Roman"/>
          <w:sz w:val="18"/>
          <w:szCs w:val="18"/>
          <w:b w:val="1"/>
          <w:bCs w:val="1"/>
          <w:color w:val="auto"/>
        </w:rPr>
        <w:t>CELESTICA INC.</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millions of U.S. dollars, except percentages and per share amounts)</w:t>
      </w:r>
    </w:p>
    <w:p>
      <w:pPr>
        <w:sectPr>
          <w:pgSz w:w="11900" w:h="16838" w:orient="portrait"/>
          <w:cols w:equalWidth="0" w:num="1">
            <w:col w:w="11240"/>
          </w:cols>
          <w:pgMar w:left="320" w:top="36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Outstanding at December 31, 2023</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Exercised by our Chief Executive Officer (CEO)</w:t>
      </w:r>
    </w:p>
    <w:p>
      <w:pPr>
        <w:spacing w:after="0" w:line="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xml:space="preserve">Outstanding at December 31, 2024 </w:t>
      </w:r>
      <w:r>
        <w:rPr>
          <w:rFonts w:ascii="Times New Roman" w:cs="Times New Roman" w:eastAsia="Times New Roman" w:hAnsi="Times New Roman"/>
          <w:sz w:val="23"/>
          <w:szCs w:val="23"/>
          <w:color w:val="auto"/>
          <w:vertAlign w:val="superscript"/>
        </w:rPr>
        <w:t>(1)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tcPr>
          <w:p>
            <w:pPr>
              <w:jc w:val="right"/>
              <w:ind w:right="114"/>
              <w:spacing w:after="0"/>
              <w:rPr>
                <w:sz w:val="20"/>
                <w:szCs w:val="20"/>
                <w:color w:val="auto"/>
              </w:rPr>
            </w:pPr>
            <w:r>
              <w:rPr>
                <w:rFonts w:ascii="Times New Roman" w:cs="Times New Roman" w:eastAsia="Times New Roman" w:hAnsi="Times New Roman"/>
                <w:sz w:val="16"/>
                <w:szCs w:val="16"/>
                <w:b w:val="1"/>
                <w:bCs w:val="1"/>
                <w:color w:val="auto"/>
              </w:rPr>
              <w:t>Weighted Average</w:t>
            </w:r>
          </w:p>
        </w:tc>
      </w:tr>
      <w:tr>
        <w:trPr>
          <w:trHeight w:val="223"/>
        </w:trPr>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Options</w:t>
            </w: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6"/>
                <w:szCs w:val="16"/>
                <w:b w:val="1"/>
                <w:bCs w:val="1"/>
                <w:color w:val="auto"/>
              </w:rPr>
              <w:t>Exercise Price*</w:t>
            </w:r>
          </w:p>
        </w:tc>
      </w:tr>
      <w:tr>
        <w:trPr>
          <w:trHeight w:val="243"/>
        </w:trPr>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(in millions)</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57"/>
        </w:trPr>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12.72</w:t>
            </w:r>
          </w:p>
        </w:tc>
      </w:tr>
      <w:tr>
        <w:trPr>
          <w:trHeight w:val="257"/>
        </w:trPr>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w:t>
            </w:r>
          </w:p>
        </w:tc>
      </w:tr>
      <w:tr>
        <w:trPr>
          <w:trHeight w:val="223"/>
        </w:trPr>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10.58</w:t>
            </w:r>
          </w:p>
        </w:tc>
      </w:tr>
      <w:tr>
        <w:trPr>
          <w:trHeight w:val="21"/>
        </w:trPr>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bl>
    <w:p>
      <w:pPr>
        <w:spacing w:after="0" w:line="148" w:lineRule="exact"/>
        <w:rPr>
          <w:sz w:val="20"/>
          <w:szCs w:val="20"/>
          <w:color w:val="auto"/>
        </w:rPr>
      </w:pPr>
    </w:p>
    <w:p>
      <w:pPr>
        <w:sectPr>
          <w:pgSz w:w="11900" w:h="16838" w:orient="portrait"/>
          <w:cols w:equalWidth="0" w:num="2">
            <w:col w:w="5400" w:space="720"/>
            <w:col w:w="5120"/>
          </w:cols>
          <w:pgMar w:left="320" w:top="360" w:right="339" w:bottom="1440" w:gutter="0" w:footer="0" w:header="0"/>
          <w:type w:val="continuous"/>
        </w:sectPr>
      </w:pPr>
    </w:p>
    <w:p>
      <w:pPr>
        <w:ind w:left="660" w:hanging="652"/>
        <w:spacing w:after="0" w:line="280" w:lineRule="auto"/>
        <w:tabs>
          <w:tab w:leader="none" w:pos="373"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outstanding options at December 31, 2024 (0.05 million options exercisable) were awarded to one employee, with 6.8 years of remaining life and $5.9 of intrinsic value.</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(ii) Employee RSUs and PSUs:</w:t>
      </w:r>
    </w:p>
    <w:p>
      <w:pPr>
        <w:spacing w:after="0" w:line="25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grant RSUs and PSUs to employees pursuant to our LTIP and CSUP. Each vested RSU and PSU generally entitles the holder to receive one Common Share. See note 2</w:t>
      </w:r>
      <w:r>
        <w:rPr>
          <w:rFonts w:ascii="Times New Roman" w:cs="Times New Roman" w:eastAsia="Times New Roman" w:hAnsi="Times New Roman"/>
          <w:sz w:val="18"/>
          <w:szCs w:val="18"/>
          <w:i w:val="1"/>
          <w:iCs w:val="1"/>
          <w:color w:val="auto"/>
        </w:rPr>
        <w:t>(l)</w:t>
      </w:r>
      <w:r>
        <w:rPr>
          <w:rFonts w:ascii="Times New Roman" w:cs="Times New Roman" w:eastAsia="Times New Roman" w:hAnsi="Times New Roman"/>
          <w:sz w:val="18"/>
          <w:szCs w:val="18"/>
          <w:color w:val="auto"/>
        </w:rPr>
        <w:t>. We amortize the grant date fair value of RSUs and PSUs to expense over the vesting period. The grant date fair value of RSUs is based on the market value of our Common Shares at the time of grant. With respect to PSUs, employees are granted a target number of PSUs. The number of PSUs that will actually vest will vary from 0% to 200% of the target amount granted based on the level of achievement of the relevant performance conditions, including: (i) for 2022 grants, a pre-determined non-market performance measurement and modifier and a relative TSR modifier; and (ii) commencing in 2023, a different pre-determined non-market performance measurement and a relative TSR modifier (described in note 2</w:t>
      </w:r>
      <w:r>
        <w:rPr>
          <w:rFonts w:ascii="Times New Roman" w:cs="Times New Roman" w:eastAsia="Times New Roman" w:hAnsi="Times New Roman"/>
          <w:sz w:val="18"/>
          <w:szCs w:val="18"/>
          <w:i w:val="1"/>
          <w:iCs w:val="1"/>
          <w:color w:val="auto"/>
        </w:rPr>
        <w:t>(l)</w:t>
      </w:r>
      <w:r>
        <w:rPr>
          <w:rFonts w:ascii="Times New Roman" w:cs="Times New Roman" w:eastAsia="Times New Roman" w:hAnsi="Times New Roman"/>
          <w:sz w:val="18"/>
          <w:szCs w:val="18"/>
          <w:color w:val="auto"/>
        </w:rPr>
        <w:t>). The grant date fair value of the TSR modifier was based on a Monte Carlo simulation model and a premium of 120% for 2024 (2023 — 118%; 2022 — 116%). The grant date fair value of the non-TSR-based performance measurement and modifier (where applicable) was based on the market value of our Common Shares at the time of grant and is subject to adjustment to reflect changes in the estimated level of achievement related to the applicable performance condition.</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assumptions used in the measurement of the grant date fair values of PSUs were as follows:</w:t>
      </w:r>
    </w:p>
    <w:p>
      <w:pPr>
        <w:spacing w:after="0" w:line="46" w:lineRule="exact"/>
        <w:rPr>
          <w:sz w:val="20"/>
          <w:szCs w:val="20"/>
          <w:color w:val="auto"/>
        </w:rPr>
      </w:pPr>
    </w:p>
    <w:p>
      <w:pPr>
        <w:ind w:left="812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31"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688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18"/>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920" w:type="dxa"/>
            <w:vAlign w:val="bottom"/>
          </w:tcPr>
          <w:p>
            <w:pPr>
              <w:spacing w:after="0"/>
              <w:rPr>
                <w:sz w:val="18"/>
                <w:szCs w:val="18"/>
                <w:color w:val="auto"/>
              </w:rPr>
            </w:pPr>
          </w:p>
        </w:tc>
        <w:tc>
          <w:tcPr>
            <w:tcW w:w="144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41 %</w:t>
            </w:r>
          </w:p>
        </w:tc>
        <w:tc>
          <w:tcPr>
            <w:tcW w:w="8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53 %</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52 %</w:t>
            </w:r>
          </w:p>
        </w:tc>
      </w:tr>
      <w:tr>
        <w:trPr>
          <w:trHeight w:val="230"/>
        </w:trPr>
        <w:tc>
          <w:tcPr>
            <w:tcW w:w="7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life</w:t>
            </w:r>
          </w:p>
        </w:tc>
        <w:tc>
          <w:tcPr>
            <w:tcW w:w="144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w w:val="97"/>
              </w:rPr>
              <w:t>3 years</w:t>
            </w:r>
          </w:p>
        </w:tc>
        <w:tc>
          <w:tcPr>
            <w:tcW w:w="8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7"/>
              </w:rPr>
              <w:t>3 years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years</w:t>
            </w:r>
          </w:p>
        </w:tc>
      </w:tr>
      <w:tr>
        <w:trPr>
          <w:trHeight w:val="234"/>
        </w:trPr>
        <w:tc>
          <w:tcPr>
            <w:tcW w:w="7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Risk-free interest rate (based on 3-year Treasury bonds)</w:t>
            </w:r>
          </w:p>
        </w:tc>
        <w:tc>
          <w:tcPr>
            <w:tcW w:w="144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4.1 %</w:t>
            </w:r>
          </w:p>
        </w:tc>
        <w:tc>
          <w:tcPr>
            <w:tcW w:w="8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3.9 %</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r>
    </w:tbl>
    <w:p>
      <w:pPr>
        <w:spacing w:after="0" w:line="3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RSUs (excluding RSUs granted to directors, see (c) below) and PSUs activities in 2024 and information at December 31, 2024 were as follows:</w:t>
      </w:r>
    </w:p>
    <w:p>
      <w:pPr>
        <w:spacing w:after="0" w:line="46" w:lineRule="exact"/>
        <w:rPr>
          <w:sz w:val="20"/>
          <w:szCs w:val="20"/>
          <w:color w:val="auto"/>
        </w:rPr>
      </w:pPr>
    </w:p>
    <w:p>
      <w:pPr>
        <w:ind w:left="6480"/>
        <w:spacing w:after="0"/>
        <w:tabs>
          <w:tab w:leader="none" w:pos="9540" w:val="left"/>
        </w:tabs>
        <w:rPr>
          <w:sz w:val="20"/>
          <w:szCs w:val="20"/>
          <w:color w:val="auto"/>
        </w:rPr>
      </w:pPr>
      <w:r>
        <w:rPr>
          <w:rFonts w:ascii="Times New Roman" w:cs="Times New Roman" w:eastAsia="Times New Roman" w:hAnsi="Times New Roman"/>
          <w:sz w:val="18"/>
          <w:szCs w:val="18"/>
          <w:b w:val="1"/>
          <w:bCs w:val="1"/>
          <w:color w:val="auto"/>
        </w:rPr>
        <w:t>RSUs</w:t>
      </w:r>
      <w:r>
        <w:rPr>
          <w:sz w:val="20"/>
          <w:szCs w:val="20"/>
          <w:color w:val="auto"/>
        </w:rPr>
        <w:tab/>
      </w:r>
      <w:r>
        <w:rPr>
          <w:rFonts w:ascii="Times New Roman" w:cs="Times New Roman" w:eastAsia="Times New Roman" w:hAnsi="Times New Roman"/>
          <w:sz w:val="18"/>
          <w:szCs w:val="18"/>
          <w:b w:val="1"/>
          <w:bCs w:val="1"/>
          <w:color w:val="auto"/>
        </w:rPr>
        <w:t>PSUs</w:t>
      </w:r>
    </w:p>
    <w:p>
      <w:pPr>
        <w:sectPr>
          <w:pgSz w:w="11900" w:h="16838" w:orient="portrait"/>
          <w:cols w:equalWidth="0" w:num="1">
            <w:col w:w="11240"/>
          </w:cols>
          <w:pgMar w:left="320" w:top="360" w:right="339" w:bottom="1440" w:gutter="0" w:footer="0" w:header="0"/>
          <w:type w:val="continuous"/>
        </w:sectPr>
      </w:pPr>
    </w:p>
    <w:p>
      <w:pPr>
        <w:spacing w:after="0" w:line="31" w:lineRule="exact"/>
        <w:rPr>
          <w:sz w:val="20"/>
          <w:szCs w:val="20"/>
          <w:color w:val="auto"/>
        </w:rPr>
      </w:pPr>
    </w:p>
    <w:tbl>
      <w:tblPr>
        <w:tblLayout w:type="fixed"/>
        <w:tblInd w:w="5200" w:type="dxa"/>
        <w:tblCellMar>
          <w:top w:w="0" w:type="dxa"/>
          <w:left w:w="0" w:type="dxa"/>
          <w:bottom w:w="0" w:type="dxa"/>
          <w:right w:w="0" w:type="dxa"/>
        </w:tblCellMar>
      </w:tblPr>
      <w:tr>
        <w:trPr>
          <w:trHeight w:val="174"/>
        </w:trPr>
        <w:tc>
          <w:tcPr>
            <w:tcW w:w="144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 RSUs</w:t>
            </w:r>
          </w:p>
        </w:tc>
        <w:tc>
          <w:tcPr>
            <w:tcW w:w="1540" w:type="dxa"/>
            <w:vAlign w:val="bottom"/>
            <w:tcBorders>
              <w:top w:val="single" w:sz="8" w:color="auto"/>
            </w:tcBorders>
          </w:tcPr>
          <w:p>
            <w:pPr>
              <w:jc w:val="center"/>
              <w:spacing w:after="0" w:line="174" w:lineRule="exact"/>
              <w:rPr>
                <w:sz w:val="20"/>
                <w:szCs w:val="20"/>
                <w:color w:val="auto"/>
              </w:rPr>
            </w:pPr>
            <w:r>
              <w:rPr>
                <w:rFonts w:ascii="Times New Roman" w:cs="Times New Roman" w:eastAsia="Times New Roman" w:hAnsi="Times New Roman"/>
                <w:sz w:val="18"/>
                <w:szCs w:val="18"/>
                <w:b w:val="1"/>
                <w:bCs w:val="1"/>
                <w:color w:val="auto"/>
                <w:w w:val="99"/>
              </w:rPr>
              <w:t>Weighted average</w:t>
            </w:r>
          </w:p>
        </w:tc>
        <w:tc>
          <w:tcPr>
            <w:tcW w:w="0" w:type="dxa"/>
            <w:vAlign w:val="bottom"/>
          </w:tcPr>
          <w:p>
            <w:pPr>
              <w:spacing w:after="0"/>
              <w:rPr>
                <w:sz w:val="1"/>
                <w:szCs w:val="1"/>
                <w:color w:val="auto"/>
              </w:rPr>
            </w:pPr>
          </w:p>
        </w:tc>
      </w:tr>
      <w:tr>
        <w:trPr>
          <w:trHeight w:val="184"/>
        </w:trPr>
        <w:tc>
          <w:tcPr>
            <w:tcW w:w="1440" w:type="dxa"/>
            <w:vAlign w:val="bottom"/>
            <w:vMerge w:val="continue"/>
          </w:tcPr>
          <w:p>
            <w:pPr>
              <w:spacing w:after="0"/>
              <w:rPr>
                <w:sz w:val="16"/>
                <w:szCs w:val="16"/>
                <w:color w:val="auto"/>
              </w:rPr>
            </w:pPr>
          </w:p>
        </w:tc>
        <w:tc>
          <w:tcPr>
            <w:tcW w:w="154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9"/>
              </w:rPr>
              <w:t>grant date fair</w:t>
            </w:r>
          </w:p>
        </w:tc>
        <w:tc>
          <w:tcPr>
            <w:tcW w:w="0" w:type="dxa"/>
            <w:vAlign w:val="bottom"/>
          </w:tcPr>
          <w:p>
            <w:pPr>
              <w:spacing w:after="0"/>
              <w:rPr>
                <w:sz w:val="1"/>
                <w:szCs w:val="1"/>
                <w:color w:val="auto"/>
              </w:rPr>
            </w:pPr>
          </w:p>
        </w:tc>
      </w:tr>
      <w:tr>
        <w:trPr>
          <w:trHeight w:val="230"/>
        </w:trPr>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value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4"/>
        </w:trPr>
        <w:tc>
          <w:tcPr>
            <w:tcW w:w="144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 PSUs</w:t>
            </w:r>
          </w:p>
        </w:tc>
        <w:tc>
          <w:tcPr>
            <w:tcW w:w="1540" w:type="dxa"/>
            <w:vAlign w:val="bottom"/>
            <w:tcBorders>
              <w:top w:val="single" w:sz="8" w:color="auto"/>
            </w:tcBorders>
          </w:tcPr>
          <w:p>
            <w:pPr>
              <w:jc w:val="center"/>
              <w:spacing w:after="0" w:line="174" w:lineRule="exact"/>
              <w:rPr>
                <w:sz w:val="20"/>
                <w:szCs w:val="20"/>
                <w:color w:val="auto"/>
              </w:rPr>
            </w:pPr>
            <w:r>
              <w:rPr>
                <w:rFonts w:ascii="Times New Roman" w:cs="Times New Roman" w:eastAsia="Times New Roman" w:hAnsi="Times New Roman"/>
                <w:sz w:val="18"/>
                <w:szCs w:val="18"/>
                <w:b w:val="1"/>
                <w:bCs w:val="1"/>
                <w:color w:val="auto"/>
                <w:w w:val="99"/>
              </w:rPr>
              <w:t>Weighted average</w:t>
            </w:r>
          </w:p>
        </w:tc>
        <w:tc>
          <w:tcPr>
            <w:tcW w:w="0" w:type="dxa"/>
            <w:vAlign w:val="bottom"/>
          </w:tcPr>
          <w:p>
            <w:pPr>
              <w:spacing w:after="0"/>
              <w:rPr>
                <w:sz w:val="1"/>
                <w:szCs w:val="1"/>
                <w:color w:val="auto"/>
              </w:rPr>
            </w:pPr>
          </w:p>
        </w:tc>
      </w:tr>
      <w:tr>
        <w:trPr>
          <w:trHeight w:val="184"/>
        </w:trPr>
        <w:tc>
          <w:tcPr>
            <w:tcW w:w="1440" w:type="dxa"/>
            <w:vAlign w:val="bottom"/>
            <w:vMerge w:val="continue"/>
          </w:tcPr>
          <w:p>
            <w:pPr>
              <w:spacing w:after="0"/>
              <w:rPr>
                <w:sz w:val="16"/>
                <w:szCs w:val="16"/>
                <w:color w:val="auto"/>
              </w:rPr>
            </w:pPr>
          </w:p>
        </w:tc>
        <w:tc>
          <w:tcPr>
            <w:tcW w:w="154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9"/>
              </w:rPr>
              <w:t>grant date fair</w:t>
            </w:r>
          </w:p>
        </w:tc>
        <w:tc>
          <w:tcPr>
            <w:tcW w:w="0" w:type="dxa"/>
            <w:vAlign w:val="bottom"/>
          </w:tcPr>
          <w:p>
            <w:pPr>
              <w:spacing w:after="0"/>
              <w:rPr>
                <w:sz w:val="1"/>
                <w:szCs w:val="1"/>
                <w:color w:val="auto"/>
              </w:rPr>
            </w:pPr>
          </w:p>
        </w:tc>
      </w:tr>
      <w:tr>
        <w:trPr>
          <w:trHeight w:val="230"/>
        </w:trPr>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value</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8180" w:space="80"/>
            <w:col w:w="2980"/>
          </w:cols>
          <w:pgMar w:left="320" w:top="360" w:right="339" w:bottom="1440" w:gutter="0" w:footer="0" w:header="0"/>
          <w:type w:val="continuous"/>
        </w:sectPr>
      </w:pPr>
    </w:p>
    <w:tbl>
      <w:tblPr>
        <w:tblLayout w:type="fixed"/>
        <w:tblInd w:w="20" w:type="dxa"/>
        <w:tblCellMar>
          <w:top w:w="0" w:type="dxa"/>
          <w:left w:w="0" w:type="dxa"/>
          <w:bottom w:w="0" w:type="dxa"/>
          <w:right w:w="0" w:type="dxa"/>
        </w:tblCellMar>
      </w:tblPr>
      <w:tr>
        <w:trPr>
          <w:trHeight w:val="218"/>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580" w:type="dxa"/>
            <w:vAlign w:val="bottom"/>
            <w:tcBorders>
              <w:top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12.64</w:t>
            </w:r>
          </w:p>
        </w:tc>
        <w:tc>
          <w:tcPr>
            <w:tcW w:w="80" w:type="dxa"/>
            <w:vAlign w:val="bottom"/>
          </w:tcPr>
          <w:p>
            <w:pPr>
              <w:spacing w:after="0"/>
              <w:rPr>
                <w:sz w:val="18"/>
                <w:szCs w:val="18"/>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580" w:type="dxa"/>
            <w:vAlign w:val="bottom"/>
            <w:tcBorders>
              <w:top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12.19</w:t>
            </w:r>
          </w:p>
        </w:tc>
      </w:tr>
      <w:tr>
        <w:trPr>
          <w:trHeight w:val="229"/>
        </w:trPr>
        <w:tc>
          <w:tcPr>
            <w:tcW w:w="5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Granted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37.74</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43.47</w:t>
            </w:r>
          </w:p>
        </w:tc>
      </w:tr>
      <w:tr>
        <w:trPr>
          <w:trHeight w:val="230"/>
        </w:trPr>
        <w:tc>
          <w:tcPr>
            <w:tcW w:w="5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Vested and exercised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12.32</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w:t>
            </w:r>
          </w:p>
        </w:tc>
      </w:tr>
      <w:tr>
        <w:trPr>
          <w:trHeight w:val="230"/>
        </w:trPr>
        <w:tc>
          <w:tcPr>
            <w:tcW w:w="5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Forfeited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18.90</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16.01</w:t>
            </w:r>
          </w:p>
        </w:tc>
      </w:tr>
      <w:tr>
        <w:trPr>
          <w:trHeight w:val="234"/>
        </w:trPr>
        <w:tc>
          <w:tcPr>
            <w:tcW w:w="5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Added by performance factor adjustment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w:t>
            </w:r>
          </w:p>
        </w:tc>
      </w:tr>
      <w:tr>
        <w:trPr>
          <w:trHeight w:val="223"/>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21.63</w:t>
            </w:r>
          </w:p>
        </w:tc>
        <w:tc>
          <w:tcPr>
            <w:tcW w:w="15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19.02</w:t>
            </w:r>
          </w:p>
        </w:tc>
      </w:tr>
      <w:tr>
        <w:trPr>
          <w:trHeight w:val="21"/>
        </w:trPr>
        <w:tc>
          <w:tcPr>
            <w:tcW w:w="51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bl>
    <w:p>
      <w:pPr>
        <w:spacing w:after="0" w:line="1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At December 31, 2024:</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 remaining unrecognized compensation expense related to non-</w:t>
      </w:r>
    </w:p>
    <w:p>
      <w:pPr>
        <w:spacing w:after="0" w:line="2" w:lineRule="exact"/>
        <w:rPr>
          <w:sz w:val="20"/>
          <w:szCs w:val="20"/>
          <w:color w:val="auto"/>
        </w:rPr>
      </w:pPr>
    </w:p>
    <w:p>
      <w:pPr>
        <w:ind w:left="100"/>
        <w:spacing w:after="0"/>
        <w:tabs>
          <w:tab w:leader="none" w:pos="7180" w:val="left"/>
          <w:tab w:leader="none" w:pos="10240" w:val="left"/>
        </w:tabs>
        <w:rPr>
          <w:sz w:val="20"/>
          <w:szCs w:val="20"/>
          <w:color w:val="auto"/>
        </w:rPr>
      </w:pPr>
      <w:r>
        <w:rPr>
          <w:rFonts w:ascii="Times New Roman" w:cs="Times New Roman" w:eastAsia="Times New Roman" w:hAnsi="Times New Roman"/>
          <w:sz w:val="18"/>
          <w:szCs w:val="18"/>
          <w:color w:val="auto"/>
        </w:rPr>
        <w:t>vested awards (in millions)</w:t>
      </w:r>
      <w:r>
        <w:rPr>
          <w:sz w:val="20"/>
          <w:szCs w:val="20"/>
          <w:color w:val="auto"/>
        </w:rPr>
        <w:tab/>
      </w:r>
      <w:r>
        <w:rPr>
          <w:rFonts w:ascii="Times New Roman" w:cs="Times New Roman" w:eastAsia="Times New Roman" w:hAnsi="Times New Roman"/>
          <w:sz w:val="18"/>
          <w:szCs w:val="18"/>
          <w:color w:val="auto"/>
        </w:rPr>
        <w:t>$10.2</w:t>
      </w:r>
      <w:r>
        <w:rPr>
          <w:sz w:val="20"/>
          <w:szCs w:val="20"/>
          <w:color w:val="auto"/>
        </w:rPr>
        <w:tab/>
      </w:r>
      <w:r>
        <w:rPr>
          <w:rFonts w:ascii="Times New Roman" w:cs="Times New Roman" w:eastAsia="Times New Roman" w:hAnsi="Times New Roman"/>
          <w:sz w:val="18"/>
          <w:szCs w:val="18"/>
          <w:color w:val="auto"/>
        </w:rPr>
        <w:t>$21.3</w:t>
      </w:r>
    </w:p>
    <w:p>
      <w:pPr>
        <w:spacing w:after="0" w:line="7" w:lineRule="exact"/>
        <w:rPr>
          <w:sz w:val="20"/>
          <w:szCs w:val="20"/>
          <w:color w:val="auto"/>
        </w:rPr>
      </w:pPr>
    </w:p>
    <w:p>
      <w:pPr>
        <w:ind w:left="20"/>
        <w:spacing w:after="0"/>
        <w:tabs>
          <w:tab w:leader="none" w:pos="7060" w:val="left"/>
          <w:tab w:leader="none" w:pos="10120" w:val="left"/>
        </w:tabs>
        <w:rPr>
          <w:sz w:val="20"/>
          <w:szCs w:val="20"/>
          <w:color w:val="auto"/>
        </w:rPr>
      </w:pPr>
      <w:r>
        <w:rPr>
          <w:rFonts w:ascii="Times New Roman" w:cs="Times New Roman" w:eastAsia="Times New Roman" w:hAnsi="Times New Roman"/>
          <w:sz w:val="18"/>
          <w:szCs w:val="18"/>
          <w:color w:val="auto"/>
        </w:rPr>
        <w:t>Weighted average remaining requisite service period</w:t>
      </w:r>
      <w:r>
        <w:rPr>
          <w:sz w:val="20"/>
          <w:szCs w:val="20"/>
          <w:color w:val="auto"/>
        </w:rPr>
        <w:tab/>
      </w:r>
      <w:r>
        <w:rPr>
          <w:rFonts w:ascii="Times New Roman" w:cs="Times New Roman" w:eastAsia="Times New Roman" w:hAnsi="Times New Roman"/>
          <w:sz w:val="18"/>
          <w:szCs w:val="18"/>
          <w:color w:val="auto"/>
        </w:rPr>
        <w:t>1.3 years</w:t>
      </w:r>
      <w:r>
        <w:rPr>
          <w:sz w:val="20"/>
          <w:szCs w:val="20"/>
          <w:color w:val="auto"/>
        </w:rPr>
        <w:tab/>
      </w:r>
      <w:r>
        <w:rPr>
          <w:rFonts w:ascii="Times New Roman" w:cs="Times New Roman" w:eastAsia="Times New Roman" w:hAnsi="Times New Roman"/>
          <w:sz w:val="18"/>
          <w:szCs w:val="18"/>
          <w:color w:val="auto"/>
        </w:rPr>
        <w:t>0.9 years</w:t>
      </w:r>
    </w:p>
    <w:p>
      <w:pPr>
        <w:spacing w:after="0" w:line="166"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6"/>
          <w:szCs w:val="16"/>
          <w:color w:val="auto"/>
        </w:rPr>
        <w:t>*</w:t>
        <w:tab/>
        <w:t xml:space="preserve">For non-vested PSUs, includes </w:t>
      </w:r>
      <w:r>
        <w:rPr>
          <w:rFonts w:ascii="Times New Roman" w:cs="Times New Roman" w:eastAsia="Times New Roman" w:hAnsi="Times New Roman"/>
          <w:sz w:val="17"/>
          <w:szCs w:val="17"/>
          <w:color w:val="auto"/>
        </w:rPr>
        <w:t>100%</w:t>
      </w:r>
      <w:r>
        <w:rPr>
          <w:rFonts w:ascii="Times New Roman" w:cs="Times New Roman" w:eastAsia="Times New Roman" w:hAnsi="Times New Roman"/>
          <w:sz w:val="16"/>
          <w:szCs w:val="16"/>
          <w:color w:val="auto"/>
        </w:rPr>
        <w:t xml:space="preserve"> of target granted.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144" w:name="page145"/>
    <w:bookmarkEnd w:id="144"/>
    <w:p>
      <w:pPr>
        <w:jc w:val="center"/>
        <w:spacing w:after="0"/>
        <w:rPr>
          <w:sz w:val="20"/>
          <w:szCs w:val="20"/>
          <w:color w:val="auto"/>
        </w:rPr>
      </w:pPr>
      <w:r>
        <w:rPr>
          <w:rFonts w:ascii="Times New Roman" w:cs="Times New Roman" w:eastAsia="Times New Roman" w:hAnsi="Times New Roman"/>
          <w:sz w:val="18"/>
          <w:szCs w:val="18"/>
          <w:b w:val="1"/>
          <w:bCs w:val="1"/>
          <w:color w:val="auto"/>
        </w:rPr>
        <w:t>CELESTICA INC.</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of U.S. dollars, except percentages and per share amounts)</w:t>
      </w:r>
    </w:p>
    <w:p>
      <w:pPr>
        <w:spacing w:after="0" w:line="39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2024, the total fair value of RSUs vested during the year was $90.3 (2023 — $41.0; 2022 — $28.1). In 2024, the total fair value of PSUs vested during the year was $136.2 (2023 — $39.2; 2022 — $15.5).</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2024, we made a cash payment of $84.6 (2023 — $7.7) for the withholding taxes in connection with the RSUs and PSUs that vested during the year. In 2023, we also settled a portion of RSUs and PSUs that vested during the year with a cash payment of $49.8. See below for our cash settlement of Onex's DSUs in October 2023.</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 Director SBC</w:t>
      </w:r>
      <w:r>
        <w:rPr>
          <w:rFonts w:ascii="Times New Roman" w:cs="Times New Roman" w:eastAsia="Times New Roman" w:hAnsi="Times New Roman"/>
          <w:sz w:val="18"/>
          <w:szCs w:val="18"/>
          <w:b w:val="1"/>
          <w:bCs w:val="1"/>
          <w:color w:val="auto"/>
        </w:rPr>
        <w:t>:</w:t>
      </w:r>
    </w:p>
    <w:p>
      <w:pPr>
        <w:spacing w:after="0" w:line="256" w:lineRule="exact"/>
        <w:rPr>
          <w:sz w:val="20"/>
          <w:szCs w:val="20"/>
          <w:color w:val="auto"/>
        </w:rPr>
      </w:pPr>
    </w:p>
    <w:p>
      <w:pPr>
        <w:jc w:val="both"/>
        <w:ind w:firstLine="227"/>
        <w:spacing w:after="0" w:line="253" w:lineRule="auto"/>
        <w:rPr>
          <w:sz w:val="20"/>
          <w:szCs w:val="20"/>
          <w:color w:val="auto"/>
        </w:rPr>
      </w:pPr>
      <w:r>
        <w:rPr>
          <w:rFonts w:ascii="Times New Roman" w:cs="Times New Roman" w:eastAsia="Times New Roman" w:hAnsi="Times New Roman"/>
          <w:sz w:val="18"/>
          <w:szCs w:val="18"/>
          <w:color w:val="auto"/>
        </w:rPr>
        <w:t>We grant DSUs to certain directors (and Onex prior to the termination of the Services Agreement on September 3, 2023) under our DSC Plan. DSUs granted to directors may be settled with Common Shares (on a one-for-one basis) purchased in the open market, or with cash (at the discretion of the Company). We also grant RSUs (under specified circumstances) to certain directors as compensation under the DSC Plan. RSUs granted to directors vest ratably over a three-year period and are governed by the terms of our LTIP. Each vested RSU entitles the holder thereof to one Common Share (see note 2</w:t>
      </w:r>
      <w:r>
        <w:rPr>
          <w:rFonts w:ascii="Times New Roman" w:cs="Times New Roman" w:eastAsia="Times New Roman" w:hAnsi="Times New Roman"/>
          <w:sz w:val="18"/>
          <w:szCs w:val="18"/>
          <w:i w:val="1"/>
          <w:iCs w:val="1"/>
          <w:color w:val="auto"/>
        </w:rPr>
        <w:t>(l)</w:t>
      </w:r>
      <w:r>
        <w:rPr>
          <w:rFonts w:ascii="Times New Roman" w:cs="Times New Roman" w:eastAsia="Times New Roman" w:hAnsi="Times New Roman"/>
          <w:sz w:val="18"/>
          <w:szCs w:val="18"/>
          <w:color w:val="auto"/>
        </w:rPr>
        <w:t>). In connection with the retirement of Dan DiMaggio and Deepak Chopra from our Board of Directors (Board), the 0.3 million DSUs held by Mr. DiMaggio and 0.1 million DSUs held by Mr. Chopra were settled in March 2024 and September 2024, respectively. In connection with the retirement of Carol Perry from our Board and the retirement of William A. Etherington from our Board and from the Onex Board, the 0.2 million DSUs held by Ms. Perry and the 0.5 million DSUs held by Mr. Etherington were settled in June 2023. In connection with the termination of the Services Agreement, we paid Onex approximately $9.2 in cash in October 2023 to settle Onex’s then-outstanding DSUs. In connection with the retirement of Eamon Ryan from our Board, 0.03 million RSUs and 0.3 million DSUs held by Mr. Ryan were settled in April 2022 and July 2022, respectively.</w:t>
      </w:r>
    </w:p>
    <w:p>
      <w:pPr>
        <w:spacing w:after="0" w:line="2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Information regarding director SBC expense and director RSUs activity for the periods indicated is set forth below:</w:t>
      </w:r>
    </w:p>
    <w:p>
      <w:pPr>
        <w:spacing w:after="0" w:line="113"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722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4"/>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40" w:type="dxa"/>
            <w:vAlign w:val="bottom"/>
            <w:tcBorders>
              <w:bottom w:val="single" w:sz="8" w:color="auto"/>
            </w:tcBorders>
          </w:tcPr>
          <w:p>
            <w:pPr>
              <w:spacing w:after="0"/>
              <w:rPr>
                <w:sz w:val="20"/>
                <w:szCs w:val="20"/>
                <w:color w:val="auto"/>
              </w:rPr>
            </w:pPr>
          </w:p>
        </w:tc>
      </w:tr>
      <w:tr>
        <w:trPr>
          <w:trHeight w:val="223"/>
        </w:trPr>
        <w:tc>
          <w:tcPr>
            <w:tcW w:w="722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92"/>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Director SBC expense in SG&amp;A </w:t>
            </w:r>
            <w:r>
              <w:rPr>
                <w:rFonts w:ascii="Times New Roman" w:cs="Times New Roman" w:eastAsia="Times New Roman" w:hAnsi="Times New Roman"/>
                <w:sz w:val="23"/>
                <w:szCs w:val="23"/>
                <w:color w:val="auto"/>
                <w:vertAlign w:val="superscript"/>
              </w:rPr>
              <w:t>(1)</w:t>
            </w:r>
          </w:p>
        </w:tc>
        <w:tc>
          <w:tcPr>
            <w:tcW w:w="84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4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318"/>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Director RSUs granted:</w:t>
            </w: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30"/>
        </w:trPr>
        <w:tc>
          <w:tcPr>
            <w:tcW w:w="7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Number of awards (in millions)</w:t>
            </w:r>
          </w:p>
        </w:tc>
        <w:tc>
          <w:tcPr>
            <w:tcW w:w="8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r>
      <w:tr>
        <w:trPr>
          <w:trHeight w:val="234"/>
        </w:trPr>
        <w:tc>
          <w:tcPr>
            <w:tcW w:w="7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Weighted average grant date fair value per unit</w:t>
            </w:r>
          </w:p>
        </w:tc>
        <w:tc>
          <w:tcPr>
            <w:tcW w:w="84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57.20</w:t>
            </w:r>
          </w:p>
        </w:tc>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18.15</w:t>
            </w:r>
          </w:p>
        </w:tc>
        <w:tc>
          <w:tcPr>
            <w:tcW w:w="4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w:t>
            </w:r>
          </w:p>
        </w:tc>
      </w:tr>
    </w:tbl>
    <w:p>
      <w:pPr>
        <w:spacing w:after="0" w:line="148"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6"/>
          <w:szCs w:val="16"/>
          <w:color w:val="auto"/>
        </w:rPr>
        <w:t>(1)</w:t>
        <w:tab/>
        <w:t>Expense consists of director compensation to be settled with Common Shares, or Common Shares and cash.</w:t>
      </w:r>
    </w:p>
    <w:p>
      <w:pPr>
        <w:spacing w:after="0" w:line="3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 December 31, 2024, number of director RSUs outstanding was 0.03 million (December 31, 2023 — 0.1 million).</w:t>
      </w:r>
    </w:p>
    <w:p>
      <w:pPr>
        <w:spacing w:after="0" w:line="25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73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Information regarding DSUs activity for the periods indicated is set forth below:</w:t>
            </w:r>
          </w:p>
        </w:tc>
        <w:tc>
          <w:tcPr>
            <w:tcW w:w="1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7340" w:type="dxa"/>
            <w:vAlign w:val="bottom"/>
          </w:tcPr>
          <w:p>
            <w:pPr>
              <w:spacing w:after="0"/>
              <w:rPr>
                <w:sz w:val="24"/>
                <w:szCs w:val="24"/>
                <w:color w:val="auto"/>
              </w:rPr>
            </w:pPr>
          </w:p>
        </w:tc>
        <w:tc>
          <w:tcPr>
            <w:tcW w:w="174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Number of DSUs</w:t>
            </w:r>
          </w:p>
        </w:tc>
        <w:tc>
          <w:tcPr>
            <w:tcW w:w="160" w:type="dxa"/>
            <w:vAlign w:val="bottom"/>
          </w:tcPr>
          <w:p>
            <w:pPr>
              <w:spacing w:after="0"/>
              <w:rPr>
                <w:sz w:val="24"/>
                <w:szCs w:val="24"/>
                <w:color w:val="auto"/>
              </w:rPr>
            </w:pPr>
          </w:p>
        </w:tc>
        <w:tc>
          <w:tcPr>
            <w:tcW w:w="19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Year ended Weighted</w:t>
            </w:r>
          </w:p>
        </w:tc>
        <w:tc>
          <w:tcPr>
            <w:tcW w:w="0" w:type="dxa"/>
            <w:vAlign w:val="bottom"/>
          </w:tcPr>
          <w:p>
            <w:pPr>
              <w:spacing w:after="0"/>
              <w:rPr>
                <w:sz w:val="1"/>
                <w:szCs w:val="1"/>
                <w:color w:val="auto"/>
              </w:rPr>
            </w:pPr>
          </w:p>
        </w:tc>
      </w:tr>
      <w:tr>
        <w:trPr>
          <w:trHeight w:val="176"/>
        </w:trPr>
        <w:tc>
          <w:tcPr>
            <w:tcW w:w="7340" w:type="dxa"/>
            <w:vAlign w:val="bottom"/>
          </w:tcPr>
          <w:p>
            <w:pPr>
              <w:spacing w:after="0"/>
              <w:rPr>
                <w:sz w:val="15"/>
                <w:szCs w:val="15"/>
                <w:color w:val="auto"/>
              </w:rPr>
            </w:pPr>
          </w:p>
        </w:tc>
        <w:tc>
          <w:tcPr>
            <w:tcW w:w="17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980" w:type="dxa"/>
            <w:vAlign w:val="bottom"/>
          </w:tcPr>
          <w:p>
            <w:pPr>
              <w:jc w:val="center"/>
              <w:ind w:right="50"/>
              <w:spacing w:after="0" w:line="176" w:lineRule="exact"/>
              <w:rPr>
                <w:sz w:val="20"/>
                <w:szCs w:val="20"/>
                <w:color w:val="auto"/>
              </w:rPr>
            </w:pPr>
            <w:r>
              <w:rPr>
                <w:rFonts w:ascii="Times New Roman" w:cs="Times New Roman" w:eastAsia="Times New Roman" w:hAnsi="Times New Roman"/>
                <w:sz w:val="18"/>
                <w:szCs w:val="18"/>
                <w:b w:val="1"/>
                <w:bCs w:val="1"/>
                <w:color w:val="auto"/>
                <w:w w:val="99"/>
              </w:rPr>
              <w:t>average grant date fair</w:t>
            </w:r>
          </w:p>
        </w:tc>
        <w:tc>
          <w:tcPr>
            <w:tcW w:w="0" w:type="dxa"/>
            <w:vAlign w:val="bottom"/>
          </w:tcPr>
          <w:p>
            <w:pPr>
              <w:spacing w:after="0"/>
              <w:rPr>
                <w:sz w:val="1"/>
                <w:szCs w:val="1"/>
                <w:color w:val="auto"/>
              </w:rPr>
            </w:pPr>
          </w:p>
        </w:tc>
      </w:tr>
      <w:tr>
        <w:trPr>
          <w:trHeight w:val="238"/>
        </w:trPr>
        <w:tc>
          <w:tcPr>
            <w:tcW w:w="7340" w:type="dxa"/>
            <w:vAlign w:val="bottom"/>
          </w:tcPr>
          <w:p>
            <w:pPr>
              <w:spacing w:after="0"/>
              <w:rPr>
                <w:sz w:val="20"/>
                <w:szCs w:val="20"/>
                <w:color w:val="auto"/>
              </w:rPr>
            </w:pPr>
          </w:p>
        </w:tc>
        <w:tc>
          <w:tcPr>
            <w:tcW w:w="17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16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0" w:type="dxa"/>
            <w:vAlign w:val="bottom"/>
          </w:tcPr>
          <w:p>
            <w:pPr>
              <w:spacing w:after="0"/>
              <w:rPr>
                <w:sz w:val="1"/>
                <w:szCs w:val="1"/>
                <w:color w:val="auto"/>
              </w:rPr>
            </w:pPr>
          </w:p>
        </w:tc>
      </w:tr>
      <w:tr>
        <w:trPr>
          <w:trHeight w:val="223"/>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DSUs outstanding at December 31, 2023</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0" w:type="dxa"/>
            <w:vAlign w:val="bottom"/>
          </w:tcPr>
          <w:p>
            <w:pPr>
              <w:spacing w:after="0"/>
              <w:rPr>
                <w:sz w:val="1"/>
                <w:szCs w:val="1"/>
                <w:color w:val="auto"/>
              </w:rPr>
            </w:pPr>
          </w:p>
        </w:tc>
      </w:tr>
      <w:tr>
        <w:trPr>
          <w:trHeight w:val="230"/>
        </w:trPr>
        <w:tc>
          <w:tcPr>
            <w:tcW w:w="7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Granted</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56.07</w:t>
            </w:r>
          </w:p>
        </w:tc>
        <w:tc>
          <w:tcPr>
            <w:tcW w:w="0" w:type="dxa"/>
            <w:vAlign w:val="bottom"/>
          </w:tcPr>
          <w:p>
            <w:pPr>
              <w:spacing w:after="0"/>
              <w:rPr>
                <w:sz w:val="1"/>
                <w:szCs w:val="1"/>
                <w:color w:val="auto"/>
              </w:rPr>
            </w:pPr>
          </w:p>
        </w:tc>
      </w:tr>
      <w:tr>
        <w:trPr>
          <w:trHeight w:val="234"/>
        </w:trPr>
        <w:tc>
          <w:tcPr>
            <w:tcW w:w="7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Vested and exercised</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0" w:type="dxa"/>
            <w:vAlign w:val="bottom"/>
          </w:tcPr>
          <w:p>
            <w:pPr>
              <w:spacing w:after="0"/>
              <w:rPr>
                <w:sz w:val="1"/>
                <w:szCs w:val="1"/>
                <w:color w:val="auto"/>
              </w:rPr>
            </w:pPr>
          </w:p>
        </w:tc>
      </w:tr>
      <w:tr>
        <w:trPr>
          <w:trHeight w:val="223"/>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DSUs outstanding at December 31, 2024</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10.88</w:t>
            </w:r>
          </w:p>
        </w:tc>
        <w:tc>
          <w:tcPr>
            <w:tcW w:w="0" w:type="dxa"/>
            <w:vAlign w:val="bottom"/>
          </w:tcPr>
          <w:p>
            <w:pPr>
              <w:spacing w:after="0"/>
              <w:rPr>
                <w:sz w:val="1"/>
                <w:szCs w:val="1"/>
                <w:color w:val="auto"/>
              </w:rPr>
            </w:pPr>
          </w:p>
        </w:tc>
      </w:tr>
      <w:tr>
        <w:trPr>
          <w:trHeight w:val="21"/>
        </w:trPr>
        <w:tc>
          <w:tcPr>
            <w:tcW w:w="734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2024, the total fair value of DSUs vested during the year was $16.9 (2023 — $19.2; 2022 — $2.6).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45" w:name="page146"/>
    <w:bookmarkEnd w:id="145"/>
    <w:p>
      <w:pPr>
        <w:jc w:val="center"/>
        <w:spacing w:after="0"/>
        <w:rPr>
          <w:sz w:val="20"/>
          <w:szCs w:val="20"/>
          <w:color w:val="auto"/>
        </w:rPr>
      </w:pPr>
      <w:r>
        <w:rPr>
          <w:rFonts w:ascii="Times New Roman" w:cs="Times New Roman" w:eastAsia="Times New Roman" w:hAnsi="Times New Roman"/>
          <w:sz w:val="18"/>
          <w:szCs w:val="18"/>
          <w:b w:val="1"/>
          <w:bCs w:val="1"/>
          <w:color w:val="auto"/>
        </w:rPr>
        <w:t>CELESTICA INC.</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of U.S. dollars, except percentages and per share amounts)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13.  ACCUMULATED OTHER COMPREHENSIVE INCOME (LOSS), NET OF TAX:</w:t>
            </w:r>
          </w:p>
        </w:tc>
        <w:tc>
          <w:tcPr>
            <w:tcW w:w="8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698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6"/>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980" w:type="dxa"/>
            <w:vAlign w:val="bottom"/>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Translation adjustments:</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10"/>
        </w:trPr>
        <w:tc>
          <w:tcPr>
            <w:tcW w:w="6980" w:type="dxa"/>
            <w:vAlign w:val="bottom"/>
            <w:vMerge w:val="continue"/>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6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Opening balance of foreign currency translation account</w:t>
            </w:r>
          </w:p>
        </w:tc>
        <w:tc>
          <w:tcPr>
            <w:tcW w:w="84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00" w:type="dxa"/>
            <w:vAlign w:val="bottom"/>
          </w:tcPr>
          <w:p>
            <w:pPr>
              <w:spacing w:after="0"/>
              <w:rPr>
                <w:sz w:val="23"/>
                <w:szCs w:val="23"/>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tcPr>
          <w:p>
            <w:pPr>
              <w:spacing w:after="0"/>
              <w:rPr>
                <w:sz w:val="23"/>
                <w:szCs w:val="23"/>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0" w:type="dxa"/>
            <w:vAlign w:val="bottom"/>
          </w:tcPr>
          <w:p>
            <w:pPr>
              <w:spacing w:after="0"/>
              <w:rPr>
                <w:sz w:val="1"/>
                <w:szCs w:val="1"/>
                <w:color w:val="auto"/>
              </w:rPr>
            </w:pPr>
          </w:p>
        </w:tc>
      </w:tr>
      <w:tr>
        <w:trPr>
          <w:trHeight w:val="283"/>
        </w:trPr>
        <w:tc>
          <w:tcPr>
            <w:tcW w:w="6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8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50"/>
        </w:trPr>
        <w:tc>
          <w:tcPr>
            <w:tcW w:w="6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Closing balance of foreign currency translation account</w:t>
            </w:r>
          </w:p>
        </w:tc>
        <w:tc>
          <w:tcPr>
            <w:tcW w:w="84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0" w:type="dxa"/>
            <w:vAlign w:val="bottom"/>
          </w:tcPr>
          <w:p>
            <w:pPr>
              <w:spacing w:after="0"/>
              <w:rPr>
                <w:sz w:val="1"/>
                <w:szCs w:val="1"/>
                <w:color w:val="auto"/>
              </w:rPr>
            </w:pPr>
          </w:p>
        </w:tc>
      </w:tr>
      <w:tr>
        <w:trPr>
          <w:trHeight w:val="400"/>
        </w:trPr>
        <w:tc>
          <w:tcPr>
            <w:tcW w:w="698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 xml:space="preserve">Foreign exchange derivatives </w:t>
            </w:r>
            <w:r>
              <w:rPr>
                <w:rFonts w:ascii="Times New Roman" w:cs="Times New Roman" w:eastAsia="Times New Roman" w:hAnsi="Times New Roman"/>
                <w:sz w:val="23"/>
                <w:szCs w:val="23"/>
                <w:b w:val="1"/>
                <w:bCs w:val="1"/>
                <w:color w:val="auto"/>
                <w:vertAlign w:val="superscript"/>
              </w:rPr>
              <w:t>(ii)</w:t>
            </w:r>
            <w:r>
              <w:rPr>
                <w:rFonts w:ascii="Times New Roman" w:cs="Times New Roman" w:eastAsia="Times New Roman" w:hAnsi="Times New Roman"/>
                <w:sz w:val="18"/>
                <w:szCs w:val="18"/>
                <w:b w:val="1"/>
                <w:bCs w:val="1"/>
                <w:color w:val="auto"/>
              </w:rPr>
              <w:t>:</w:t>
            </w: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6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Opening balance of unrealized net gain (loss) on currency forward cash flow hedges</w:t>
            </w:r>
          </w:p>
        </w:tc>
        <w:tc>
          <w:tcPr>
            <w:tcW w:w="84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980" w:type="dxa"/>
            <w:vAlign w:val="bottom"/>
          </w:tcPr>
          <w:p>
            <w:pPr>
              <w:ind w:left="240"/>
              <w:spacing w:after="0" w:line="243" w:lineRule="exact"/>
              <w:rPr>
                <w:sz w:val="20"/>
                <w:szCs w:val="20"/>
                <w:color w:val="auto"/>
              </w:rPr>
            </w:pPr>
            <w:r>
              <w:rPr>
                <w:rFonts w:ascii="Times New Roman" w:cs="Times New Roman" w:eastAsia="Times New Roman" w:hAnsi="Times New Roman"/>
                <w:sz w:val="18"/>
                <w:szCs w:val="18"/>
                <w:color w:val="auto"/>
              </w:rPr>
              <w:t>Net loss on currency forward cash flow hedges</w:t>
            </w:r>
            <w:r>
              <w:rPr>
                <w:rFonts w:ascii="Times New Roman" w:cs="Times New Roman" w:eastAsia="Times New Roman" w:hAnsi="Times New Roman"/>
                <w:sz w:val="23"/>
                <w:szCs w:val="23"/>
                <w:color w:val="auto"/>
                <w:vertAlign w:val="superscript"/>
              </w:rPr>
              <w:t>(i)</w:t>
            </w:r>
          </w:p>
        </w:tc>
        <w:tc>
          <w:tcPr>
            <w:tcW w:w="84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5"/>
        </w:trPr>
        <w:tc>
          <w:tcPr>
            <w:tcW w:w="6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Reclassification of net loss on currency forward cash flow hedges to operations</w:t>
            </w:r>
            <w:r>
              <w:rPr>
                <w:rFonts w:ascii="Times New Roman" w:cs="Times New Roman" w:eastAsia="Times New Roman" w:hAnsi="Times New Roman"/>
                <w:sz w:val="23"/>
                <w:szCs w:val="23"/>
                <w:color w:val="auto"/>
                <w:vertAlign w:val="superscript"/>
              </w:rPr>
              <w:t>(i)</w:t>
            </w:r>
          </w:p>
        </w:tc>
        <w:tc>
          <w:tcPr>
            <w:tcW w:w="84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05"/>
        </w:trPr>
        <w:tc>
          <w:tcPr>
            <w:tcW w:w="6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Closing balance of unrealized net loss on currency forward cash flow hedges</w:t>
            </w:r>
            <w:r>
              <w:rPr>
                <w:rFonts w:ascii="Times New Roman" w:cs="Times New Roman" w:eastAsia="Times New Roman" w:hAnsi="Times New Roman"/>
                <w:sz w:val="23"/>
                <w:szCs w:val="23"/>
                <w:color w:val="auto"/>
                <w:vertAlign w:val="superscript"/>
              </w:rPr>
              <w:t>(i)</w:t>
            </w:r>
          </w:p>
        </w:tc>
        <w:tc>
          <w:tcPr>
            <w:tcW w:w="84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24"/>
                <w:szCs w:val="24"/>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58"/>
        </w:trPr>
        <w:tc>
          <w:tcPr>
            <w:tcW w:w="698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 xml:space="preserve">Interest rate swap derivatives </w:t>
            </w:r>
            <w:r>
              <w:rPr>
                <w:rFonts w:ascii="Times New Roman" w:cs="Times New Roman" w:eastAsia="Times New Roman" w:hAnsi="Times New Roman"/>
                <w:sz w:val="23"/>
                <w:szCs w:val="23"/>
                <w:b w:val="1"/>
                <w:bCs w:val="1"/>
                <w:color w:val="auto"/>
                <w:vertAlign w:val="superscript"/>
              </w:rPr>
              <w:t>(ii)</w:t>
            </w:r>
            <w:r>
              <w:rPr>
                <w:rFonts w:ascii="Times New Roman" w:cs="Times New Roman" w:eastAsia="Times New Roman" w:hAnsi="Times New Roman"/>
                <w:sz w:val="18"/>
                <w:szCs w:val="18"/>
                <w:b w:val="1"/>
                <w:bCs w:val="1"/>
                <w:color w:val="auto"/>
              </w:rPr>
              <w:t>:</w:t>
            </w: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6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Opening balance of unrealized net gain (loss) on interest rate swap cash flow hedges</w:t>
            </w:r>
          </w:p>
        </w:tc>
        <w:tc>
          <w:tcPr>
            <w:tcW w:w="84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980" w:type="dxa"/>
            <w:vAlign w:val="bottom"/>
          </w:tcPr>
          <w:p>
            <w:pPr>
              <w:ind w:left="240"/>
              <w:spacing w:after="0" w:line="243" w:lineRule="exact"/>
              <w:rPr>
                <w:sz w:val="20"/>
                <w:szCs w:val="20"/>
                <w:color w:val="auto"/>
              </w:rPr>
            </w:pPr>
            <w:r>
              <w:rPr>
                <w:rFonts w:ascii="Times New Roman" w:cs="Times New Roman" w:eastAsia="Times New Roman" w:hAnsi="Times New Roman"/>
                <w:sz w:val="18"/>
                <w:szCs w:val="18"/>
                <w:color w:val="auto"/>
              </w:rPr>
              <w:t>Net gain on interest rate swap cash flow hedges</w:t>
            </w:r>
            <w:r>
              <w:rPr>
                <w:rFonts w:ascii="Times New Roman" w:cs="Times New Roman" w:eastAsia="Times New Roman" w:hAnsi="Times New Roman"/>
                <w:sz w:val="23"/>
                <w:szCs w:val="23"/>
                <w:color w:val="auto"/>
                <w:vertAlign w:val="superscript"/>
              </w:rPr>
              <w:t>(i)</w:t>
            </w:r>
          </w:p>
        </w:tc>
        <w:tc>
          <w:tcPr>
            <w:tcW w:w="84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5"/>
        </w:trPr>
        <w:tc>
          <w:tcPr>
            <w:tcW w:w="6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Reclassification of net gain on interest rate swap cash flow hedges to operations</w:t>
            </w:r>
            <w:r>
              <w:rPr>
                <w:rFonts w:ascii="Times New Roman" w:cs="Times New Roman" w:eastAsia="Times New Roman" w:hAnsi="Times New Roman"/>
                <w:sz w:val="23"/>
                <w:szCs w:val="23"/>
                <w:color w:val="auto"/>
                <w:vertAlign w:val="superscript"/>
              </w:rPr>
              <w:t>(i)</w:t>
            </w:r>
          </w:p>
        </w:tc>
        <w:tc>
          <w:tcPr>
            <w:tcW w:w="84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05"/>
        </w:trPr>
        <w:tc>
          <w:tcPr>
            <w:tcW w:w="6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Closing balance of unrealized net gain on interest rate swap cash flow hedges</w:t>
            </w:r>
            <w:r>
              <w:rPr>
                <w:rFonts w:ascii="Times New Roman" w:cs="Times New Roman" w:eastAsia="Times New Roman" w:hAnsi="Times New Roman"/>
                <w:sz w:val="23"/>
                <w:szCs w:val="23"/>
                <w:color w:val="auto"/>
                <w:vertAlign w:val="superscript"/>
              </w:rPr>
              <w:t>(i)</w:t>
            </w:r>
          </w:p>
        </w:tc>
        <w:tc>
          <w:tcPr>
            <w:tcW w:w="84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4"/>
                <w:szCs w:val="24"/>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50"/>
        </w:trPr>
        <w:tc>
          <w:tcPr>
            <w:tcW w:w="698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Employment benefit:</w:t>
            </w: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6980" w:type="dxa"/>
            <w:vAlign w:val="bottom"/>
          </w:tcPr>
          <w:p>
            <w:pPr>
              <w:ind w:left="80"/>
              <w:spacing w:after="0" w:line="256" w:lineRule="exact"/>
              <w:rPr>
                <w:sz w:val="20"/>
                <w:szCs w:val="20"/>
                <w:color w:val="auto"/>
              </w:rPr>
            </w:pPr>
            <w:r>
              <w:rPr>
                <w:rFonts w:ascii="Times New Roman" w:cs="Times New Roman" w:eastAsia="Times New Roman" w:hAnsi="Times New Roman"/>
                <w:sz w:val="18"/>
                <w:szCs w:val="18"/>
                <w:color w:val="auto"/>
              </w:rPr>
              <w:t>Opening balance of pension and non-pension post-employment benefit account</w:t>
            </w:r>
            <w:r>
              <w:rPr>
                <w:rFonts w:ascii="Times New Roman" w:cs="Times New Roman" w:eastAsia="Times New Roman" w:hAnsi="Times New Roman"/>
                <w:sz w:val="23"/>
                <w:szCs w:val="23"/>
                <w:color w:val="auto"/>
                <w:vertAlign w:val="superscript"/>
              </w:rPr>
              <w:t>(i)</w:t>
            </w:r>
          </w:p>
        </w:tc>
        <w:tc>
          <w:tcPr>
            <w:tcW w:w="840" w:type="dxa"/>
            <w:vAlign w:val="bottom"/>
            <w:vMerge w:val="restart"/>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00" w:type="dxa"/>
            <w:vAlign w:val="bottom"/>
          </w:tcPr>
          <w:p>
            <w:pPr>
              <w:spacing w:after="0"/>
              <w:rPr>
                <w:sz w:val="22"/>
                <w:szCs w:val="22"/>
                <w:color w:val="auto"/>
              </w:rPr>
            </w:pPr>
          </w:p>
        </w:tc>
        <w:tc>
          <w:tcPr>
            <w:tcW w:w="28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00" w:type="dxa"/>
            <w:vAlign w:val="bottom"/>
          </w:tcPr>
          <w:p>
            <w:pPr>
              <w:spacing w:after="0"/>
              <w:rPr>
                <w:sz w:val="22"/>
                <w:szCs w:val="22"/>
                <w:color w:val="auto"/>
              </w:rPr>
            </w:pPr>
          </w:p>
        </w:tc>
        <w:tc>
          <w:tcPr>
            <w:tcW w:w="34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54"/>
        </w:trPr>
        <w:tc>
          <w:tcPr>
            <w:tcW w:w="6980" w:type="dxa"/>
            <w:vAlign w:val="bottom"/>
          </w:tcPr>
          <w:p>
            <w:pPr>
              <w:spacing w:after="0"/>
              <w:rPr>
                <w:sz w:val="4"/>
                <w:szCs w:val="4"/>
                <w:color w:val="auto"/>
              </w:rPr>
            </w:pPr>
          </w:p>
        </w:tc>
        <w:tc>
          <w:tcPr>
            <w:tcW w:w="840" w:type="dxa"/>
            <w:vAlign w:val="bottom"/>
            <w:vMerge w:val="continue"/>
          </w:tcPr>
          <w:p>
            <w:pPr>
              <w:spacing w:after="0"/>
              <w:rPr>
                <w:sz w:val="4"/>
                <w:szCs w:val="4"/>
                <w:color w:val="auto"/>
              </w:rPr>
            </w:pPr>
          </w:p>
        </w:tc>
        <w:tc>
          <w:tcPr>
            <w:tcW w:w="5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vMerge w:val="continue"/>
          </w:tcPr>
          <w:p>
            <w:pPr>
              <w:spacing w:after="0"/>
              <w:rPr>
                <w:sz w:val="4"/>
                <w:szCs w:val="4"/>
                <w:color w:val="auto"/>
              </w:rPr>
            </w:pPr>
          </w:p>
        </w:tc>
        <w:tc>
          <w:tcPr>
            <w:tcW w:w="106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vMerge w:val="continue"/>
          </w:tcPr>
          <w:p>
            <w:pPr>
              <w:spacing w:after="0"/>
              <w:rPr>
                <w:sz w:val="4"/>
                <w:szCs w:val="4"/>
                <w:color w:val="auto"/>
              </w:rPr>
            </w:pPr>
          </w:p>
        </w:tc>
        <w:tc>
          <w:tcPr>
            <w:tcW w:w="10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19"/>
        </w:trPr>
        <w:tc>
          <w:tcPr>
            <w:tcW w:w="6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gain (loss) on pension and non-pension post-employment benefit plans</w:t>
            </w:r>
            <w:r>
              <w:rPr>
                <w:rFonts w:ascii="Times New Roman" w:cs="Times New Roman" w:eastAsia="Times New Roman" w:hAnsi="Times New Roman"/>
                <w:sz w:val="23"/>
                <w:szCs w:val="23"/>
                <w:color w:val="auto"/>
                <w:vertAlign w:val="superscript"/>
              </w:rPr>
              <w:t>(i)</w:t>
            </w:r>
          </w:p>
        </w:tc>
        <w:tc>
          <w:tcPr>
            <w:tcW w:w="8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0" w:type="dxa"/>
            <w:vAlign w:val="bottom"/>
          </w:tcPr>
          <w:p>
            <w:pPr>
              <w:spacing w:after="0"/>
              <w:rPr>
                <w:sz w:val="1"/>
                <w:szCs w:val="1"/>
                <w:color w:val="auto"/>
              </w:rPr>
            </w:pPr>
          </w:p>
        </w:tc>
      </w:tr>
      <w:tr>
        <w:trPr>
          <w:trHeight w:val="261"/>
        </w:trPr>
        <w:tc>
          <w:tcPr>
            <w:tcW w:w="6980" w:type="dxa"/>
            <w:vAlign w:val="bottom"/>
          </w:tcPr>
          <w:p>
            <w:pPr>
              <w:ind w:left="240"/>
              <w:spacing w:after="0" w:line="262" w:lineRule="exact"/>
              <w:rPr>
                <w:sz w:val="20"/>
                <w:szCs w:val="20"/>
                <w:color w:val="auto"/>
              </w:rPr>
            </w:pPr>
            <w:r>
              <w:rPr>
                <w:rFonts w:ascii="Times New Roman" w:cs="Times New Roman" w:eastAsia="Times New Roman" w:hAnsi="Times New Roman"/>
                <w:sz w:val="18"/>
                <w:szCs w:val="18"/>
                <w:color w:val="auto"/>
              </w:rPr>
              <w:t>Amortization of net gain on pension and non-pension post-employment benefit plans</w:t>
            </w:r>
            <w:r>
              <w:rPr>
                <w:rFonts w:ascii="Times New Roman" w:cs="Times New Roman" w:eastAsia="Times New Roman" w:hAnsi="Times New Roman"/>
                <w:sz w:val="23"/>
                <w:szCs w:val="23"/>
                <w:color w:val="auto"/>
                <w:vertAlign w:val="superscript"/>
              </w:rPr>
              <w:t>(i)</w:t>
            </w:r>
          </w:p>
        </w:tc>
        <w:tc>
          <w:tcPr>
            <w:tcW w:w="84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05"/>
        </w:trPr>
        <w:tc>
          <w:tcPr>
            <w:tcW w:w="6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Closing balance of pension and non-pension post-employment benefit account</w:t>
            </w:r>
            <w:r>
              <w:rPr>
                <w:rFonts w:ascii="Times New Roman" w:cs="Times New Roman" w:eastAsia="Times New Roman" w:hAnsi="Times New Roman"/>
                <w:sz w:val="23"/>
                <w:szCs w:val="23"/>
                <w:color w:val="auto"/>
                <w:vertAlign w:val="superscript"/>
              </w:rPr>
              <w:t>(i)</w:t>
            </w:r>
          </w:p>
        </w:tc>
        <w:tc>
          <w:tcPr>
            <w:tcW w:w="84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00" w:type="dxa"/>
            <w:vAlign w:val="bottom"/>
          </w:tcPr>
          <w:p>
            <w:pPr>
              <w:spacing w:after="0"/>
              <w:rPr>
                <w:sz w:val="24"/>
                <w:szCs w:val="24"/>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00" w:type="dxa"/>
            <w:vAlign w:val="bottom"/>
          </w:tcPr>
          <w:p>
            <w:pPr>
              <w:spacing w:after="0"/>
              <w:rPr>
                <w:sz w:val="24"/>
                <w:szCs w:val="24"/>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0" w:type="dxa"/>
            <w:vAlign w:val="bottom"/>
          </w:tcPr>
          <w:p>
            <w:pPr>
              <w:spacing w:after="0"/>
              <w:rPr>
                <w:sz w:val="1"/>
                <w:szCs w:val="1"/>
                <w:color w:val="auto"/>
              </w:rPr>
            </w:pPr>
          </w:p>
        </w:tc>
      </w:tr>
      <w:tr>
        <w:trPr>
          <w:trHeight w:val="107"/>
        </w:trPr>
        <w:tc>
          <w:tcPr>
            <w:tcW w:w="698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84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6980" w:type="dxa"/>
            <w:vAlign w:val="bottom"/>
            <w:vMerge w:val="continue"/>
          </w:tcPr>
          <w:p>
            <w:pPr>
              <w:spacing w:after="0"/>
              <w:rPr>
                <w:sz w:val="19"/>
                <w:szCs w:val="19"/>
                <w:color w:val="auto"/>
              </w:rPr>
            </w:pPr>
          </w:p>
        </w:tc>
        <w:tc>
          <w:tcPr>
            <w:tcW w:w="84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320" w:hanging="312"/>
        <w:spacing w:after="0"/>
        <w:tabs>
          <w:tab w:leader="none" w:pos="320"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were net of immaterial tax.</w:t>
      </w:r>
    </w:p>
    <w:p>
      <w:pPr>
        <w:spacing w:after="0" w:line="86" w:lineRule="exact"/>
        <w:rPr>
          <w:rFonts w:ascii="Times New Roman" w:cs="Times New Roman" w:eastAsia="Times New Roman" w:hAnsi="Times New Roman"/>
          <w:sz w:val="16"/>
          <w:szCs w:val="16"/>
          <w:color w:val="auto"/>
        </w:rPr>
      </w:pPr>
    </w:p>
    <w:p>
      <w:pPr>
        <w:ind w:left="660" w:hanging="652"/>
        <w:spacing w:after="0" w:line="266" w:lineRule="auto"/>
        <w:tabs>
          <w:tab w:leader="none" w:pos="439"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foreign exchange derivatives and interest rate swaps that we entered into prior to 2024 were not designated as effective cash flow hedges under GAAP until January 1, 2024. As a result, those derivatives and swaps did not qualify for hedge accounting in 2023 and 2022, such that changes in their fair values were marked-to-market through our consolidated statement of operations (as miscellaneous expense (income)) instead of being deferred in AOCI in 2023 and 2022. See note 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46" w:name="page147"/>
    <w:bookmarkEnd w:id="146"/>
    <w:p>
      <w:pPr>
        <w:jc w:val="center"/>
        <w:spacing w:after="0"/>
        <w:rPr>
          <w:sz w:val="20"/>
          <w:szCs w:val="20"/>
          <w:color w:val="auto"/>
        </w:rPr>
      </w:pPr>
      <w:r>
        <w:rPr>
          <w:rFonts w:ascii="Times New Roman" w:cs="Times New Roman" w:eastAsia="Times New Roman" w:hAnsi="Times New Roman"/>
          <w:sz w:val="18"/>
          <w:szCs w:val="18"/>
          <w:b w:val="1"/>
          <w:bCs w:val="1"/>
          <w:color w:val="auto"/>
        </w:rPr>
        <w:t>CELESTICA INC.</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of U.S. dollars, except percentages and per share amounts)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14.  RESTRUCTURING AND OTHER CHARGES, NET OF RECOVERIES:</w:t>
            </w:r>
          </w:p>
        </w:tc>
        <w:tc>
          <w:tcPr>
            <w:tcW w:w="8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499"/>
        </w:trPr>
        <w:tc>
          <w:tcPr>
            <w:tcW w:w="734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6"/>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00" w:type="dxa"/>
            <w:vAlign w:val="bottom"/>
            <w:tcBorders>
              <w:bottom w:val="single" w:sz="8" w:color="auto"/>
            </w:tcBorders>
          </w:tcPr>
          <w:p>
            <w:pPr>
              <w:spacing w:after="0"/>
              <w:rPr>
                <w:sz w:val="24"/>
                <w:szCs w:val="24"/>
                <w:color w:val="auto"/>
              </w:rPr>
            </w:pPr>
          </w:p>
        </w:tc>
      </w:tr>
      <w:tr>
        <w:trPr>
          <w:trHeight w:val="223"/>
        </w:trPr>
        <w:tc>
          <w:tcPr>
            <w:tcW w:w="734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18"/>
        </w:trPr>
        <w:tc>
          <w:tcPr>
            <w:tcW w:w="7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Restructuring charges (a)</w:t>
            </w:r>
          </w:p>
        </w:tc>
        <w:tc>
          <w:tcPr>
            <w:tcW w:w="82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2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2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57"/>
        </w:trPr>
        <w:tc>
          <w:tcPr>
            <w:tcW w:w="7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Transition Costs (Recoveries) (b)</w:t>
            </w:r>
          </w:p>
        </w:tc>
        <w:tc>
          <w:tcPr>
            <w:tcW w:w="82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57"/>
        </w:trPr>
        <w:tc>
          <w:tcPr>
            <w:tcW w:w="7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Acquisition costs (c)</w:t>
            </w:r>
          </w:p>
        </w:tc>
        <w:tc>
          <w:tcPr>
            <w:tcW w:w="82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34"/>
        </w:trPr>
        <w:tc>
          <w:tcPr>
            <w:tcW w:w="7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Other charges (recoveries) (d)</w:t>
            </w:r>
          </w:p>
        </w:tc>
        <w:tc>
          <w:tcPr>
            <w:tcW w:w="8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340" w:type="dxa"/>
            <w:vAlign w:val="bottom"/>
          </w:tcPr>
          <w:p>
            <w:pPr>
              <w:spacing w:after="0"/>
              <w:rPr>
                <w:sz w:val="19"/>
                <w:szCs w:val="19"/>
                <w:color w:val="auto"/>
              </w:rPr>
            </w:pPr>
          </w:p>
        </w:tc>
        <w:tc>
          <w:tcPr>
            <w:tcW w:w="82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0"/>
        </w:trPr>
        <w:tc>
          <w:tcPr>
            <w:tcW w:w="73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addition to the items set forth above, other charges, net of recoveries for 2022 included approximately $95 in aggregate charges representing write-downs to inventories, a building and equipment resulting from a fire occurred in June 2022 at our Batam, Indonesia facility, as well as equivalent amounts in recoveries, as we expected to fully recover the written-down amounts pursuant to the terms and conditions of our insurance policies. As a result, such event had no net impact on other charges, net of recoveries during 2022. As of December 31, 2024, we have recovered substantially all of our tangible assets losses through insurance proceeds. We determined that this event did not constitute an impairment review triggering event for the applicable reporting unit, and no impairments to our intangibles or goodwill were recorded in connection therewith in 2022, 2023 or 2024.</w:t>
      </w:r>
    </w:p>
    <w:p>
      <w:pPr>
        <w:spacing w:after="0" w:line="212" w:lineRule="exact"/>
        <w:rPr>
          <w:sz w:val="20"/>
          <w:szCs w:val="20"/>
          <w:color w:val="auto"/>
        </w:rPr>
      </w:pPr>
    </w:p>
    <w:p>
      <w:pPr>
        <w:ind w:left="400" w:hanging="392"/>
        <w:spacing w:after="0"/>
        <w:tabs>
          <w:tab w:leader="none" w:pos="400" w:val="left"/>
        </w:tabs>
        <w:numPr>
          <w:ilvl w:val="0"/>
          <w:numId w:val="7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Restructuring charges:</w:t>
      </w:r>
    </w:p>
    <w:p>
      <w:pPr>
        <w:spacing w:after="0" w:line="254" w:lineRule="exact"/>
        <w:rPr>
          <w:sz w:val="20"/>
          <w:szCs w:val="20"/>
          <w:color w:val="auto"/>
        </w:rPr>
      </w:pPr>
    </w:p>
    <w:p>
      <w:pPr>
        <w:jc w:val="both"/>
        <w:ind w:firstLine="228"/>
        <w:spacing w:after="0" w:line="266" w:lineRule="auto"/>
        <w:rPr>
          <w:sz w:val="20"/>
          <w:szCs w:val="20"/>
          <w:color w:val="auto"/>
        </w:rPr>
      </w:pPr>
      <w:r>
        <w:rPr>
          <w:rFonts w:ascii="Times New Roman" w:cs="Times New Roman" w:eastAsia="Times New Roman" w:hAnsi="Times New Roman"/>
          <w:sz w:val="18"/>
          <w:szCs w:val="18"/>
          <w:color w:val="auto"/>
        </w:rPr>
        <w:t>Our restructuring activities consisted primarily of actions to adjust our cost base to address reduced levels of demand in certain of our businesses and geographies. In each of 2022, 2023 and 2024, our restructuring charges consist primarily of cash charges related to employee terminations. See notes 2</w:t>
      </w:r>
      <w:r>
        <w:rPr>
          <w:rFonts w:ascii="Times New Roman" w:cs="Times New Roman" w:eastAsia="Times New Roman" w:hAnsi="Times New Roman"/>
          <w:sz w:val="18"/>
          <w:szCs w:val="18"/>
          <w:i w:val="1"/>
          <w:iCs w:val="1"/>
          <w:color w:val="auto"/>
        </w:rPr>
        <w:t>(k)</w:t>
      </w:r>
      <w:r>
        <w:rPr>
          <w:rFonts w:ascii="Times New Roman" w:cs="Times New Roman" w:eastAsia="Times New Roman" w:hAnsi="Times New Roman"/>
          <w:sz w:val="18"/>
          <w:szCs w:val="18"/>
          <w:color w:val="auto"/>
        </w:rPr>
        <w:t xml:space="preserve"> and 10 for further details regarding our restructuring provisions.</w:t>
      </w:r>
    </w:p>
    <w:p>
      <w:pPr>
        <w:spacing w:after="0" w:line="201" w:lineRule="exact"/>
        <w:rPr>
          <w:sz w:val="20"/>
          <w:szCs w:val="20"/>
          <w:color w:val="auto"/>
        </w:rPr>
      </w:pPr>
    </w:p>
    <w:p>
      <w:pPr>
        <w:ind w:left="400" w:hanging="392"/>
        <w:spacing w:after="0"/>
        <w:tabs>
          <w:tab w:leader="none" w:pos="400" w:val="left"/>
        </w:tabs>
        <w:numPr>
          <w:ilvl w:val="0"/>
          <w:numId w:val="7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Transition Costs (Recoveries):</w:t>
      </w:r>
    </w:p>
    <w:p>
      <w:pPr>
        <w:spacing w:after="0" w:line="227" w:lineRule="exact"/>
        <w:rPr>
          <w:sz w:val="20"/>
          <w:szCs w:val="20"/>
          <w:color w:val="auto"/>
        </w:rPr>
      </w:pPr>
    </w:p>
    <w:p>
      <w:pPr>
        <w:jc w:val="both"/>
        <w:ind w:firstLine="229"/>
        <w:spacing w:after="0" w:line="256" w:lineRule="auto"/>
        <w:rPr>
          <w:sz w:val="20"/>
          <w:szCs w:val="20"/>
          <w:color w:val="auto"/>
        </w:rPr>
      </w:pPr>
      <w:r>
        <w:rPr>
          <w:rFonts w:ascii="Times New Roman" w:cs="Times New Roman" w:eastAsia="Times New Roman" w:hAnsi="Times New Roman"/>
          <w:sz w:val="18"/>
          <w:szCs w:val="18"/>
          <w:color w:val="auto"/>
        </w:rPr>
        <w:t>Transition Costs consist of costs recorded in connection with: (i) the transfer of manufacturing lines from closed sites to other sites within our global network; (ii) the sale of real properties unrelated to restructuring actions (Property Dispositions); and (iii) specified charges or recoveries related to the Purchaser Lease (defined below). Transition Costs consist of direct relocation and duplicate costs (such as rent expense, utility costs, depreciation charges, and personnel costs) incurred during the transition periods, as well as cease-use and other costs incurred in connection with idle or vacated portions of the relevant premises that we would not have incurred but for these relocations, transfers and dispositions. Transition Recoveries consist of any gains recorded in connection with Property Dispositions.</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connection with our March 2019 Toronto real property sale, we treated associated relocation and duplicate costs as Transition Costs. As part of such sale, we entered into a 10-year lease with the purchaser of such property for our then-anticipated headquarters, to be built by such purchaser on the site of our former location (Purchaser Lease). Subsequently, we were informed that due to construction issues, the commencement date of the Purchaser Lease would be delayed beyond the prior target of May 2023. In November 2022, we extended (on a long-term basis) the lease on our current corporate headquarters and recorded the related ROU assets and lease liabilities. In the third quarter of 2023, we executed a sublease for a portion of the space under the Purchaser Lease. The Purchaser Lease commenced in June 2024 and related ROU assets and lease liabilities were recognized in our consolidated financial statements. Consistent with our prior treatment of duplicate costs incurred as a result of our 2019 Toronto real property sale, we recorded Transition Costs of $4.3 in 2024 and $0.8 in 2023 related to the sublet of the Purchaser Lease. We recorded nil Transition Recoveries in 2023 and 2024.</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2022, we recorded $1.5 of Transition Costs, related primarily to the disposal of assets reclassified as held for sale in the first quarter of 2022, and $3.6 of Transition Recoveries, reflecting the gain on the subsequent disposal of such assets held for sale.</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47" w:name="page148"/>
    <w:bookmarkEnd w:id="147"/>
    <w:p>
      <w:pPr>
        <w:jc w:val="center"/>
        <w:spacing w:after="0"/>
        <w:rPr>
          <w:sz w:val="20"/>
          <w:szCs w:val="20"/>
          <w:color w:val="auto"/>
        </w:rPr>
      </w:pPr>
      <w:r>
        <w:rPr>
          <w:rFonts w:ascii="Times New Roman" w:cs="Times New Roman" w:eastAsia="Times New Roman" w:hAnsi="Times New Roman"/>
          <w:sz w:val="18"/>
          <w:szCs w:val="18"/>
          <w:b w:val="1"/>
          <w:bCs w:val="1"/>
          <w:color w:val="auto"/>
        </w:rPr>
        <w:t>CELESTICA INC.</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of U.S. dollars, except percentages and per share amounts)</w:t>
      </w:r>
    </w:p>
    <w:p>
      <w:pPr>
        <w:spacing w:after="0" w:line="389"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i w:val="1"/>
          <w:iCs w:val="1"/>
          <w:color w:val="auto"/>
        </w:rPr>
        <w:t>(c)</w:t>
      </w:r>
      <w:r>
        <w:rPr>
          <w:sz w:val="20"/>
          <w:szCs w:val="20"/>
          <w:color w:val="auto"/>
        </w:rPr>
        <w:tab/>
      </w:r>
      <w:r>
        <w:rPr>
          <w:rFonts w:ascii="Times New Roman" w:cs="Times New Roman" w:eastAsia="Times New Roman" w:hAnsi="Times New Roman"/>
          <w:sz w:val="17"/>
          <w:szCs w:val="17"/>
          <w:i w:val="1"/>
          <w:iCs w:val="1"/>
          <w:color w:val="auto"/>
        </w:rPr>
        <w:t>Acquisition costs: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incur consulting, transaction and integration costs relating to potential and completed acquisitions. We recorded $2.5 of acquisition costs in 2024, related to potential acquisitions and our acquisition of NCS (described in note 3). We recorded $1.0 of acquisition costs in 2023, all related to potential acquisitions and $0.4 of acquisition costs in 2022, all related to our PCI acquisition.</w:t>
      </w:r>
    </w:p>
    <w:p>
      <w:pPr>
        <w:spacing w:after="0" w:line="174" w:lineRule="exact"/>
        <w:rPr>
          <w:sz w:val="20"/>
          <w:szCs w:val="20"/>
          <w:color w:val="auto"/>
        </w:rPr>
      </w:pPr>
    </w:p>
    <w:p>
      <w:pPr>
        <w:ind w:left="400" w:hanging="392"/>
        <w:spacing w:after="0"/>
        <w:tabs>
          <w:tab w:leader="none" w:pos="400" w:val="left"/>
        </w:tabs>
        <w:numPr>
          <w:ilvl w:val="0"/>
          <w:numId w:val="7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Other charges (recoveries):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2024, we recorded other costs of $2.3 related to our transition as a U.S. domestic filer, offset by other recoveries of $1.3, consisting of legal recoveries in connection with the settlement of class action lawsuits (for component parts purchase in prior periods) in which were a plaintiff (parts recovery).</w:t>
      </w:r>
    </w:p>
    <w:p>
      <w:pPr>
        <w:spacing w:after="0" w:line="20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 2023, we recorded Parts Recovery of $2.7, offset in part by an aggregate of $1.8 of costs, substantially all of which consisted of fees and expenses of the Secondary Offerings (see note 12).</w:t>
      </w:r>
    </w:p>
    <w:p>
      <w:pPr>
        <w:spacing w:after="0" w:line="158"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15.</w:t>
      </w:r>
      <w:r>
        <w:rPr>
          <w:sz w:val="20"/>
          <w:szCs w:val="20"/>
          <w:color w:val="auto"/>
        </w:rPr>
        <w:tab/>
      </w:r>
      <w:r>
        <w:rPr>
          <w:rFonts w:ascii="Times New Roman" w:cs="Times New Roman" w:eastAsia="Times New Roman" w:hAnsi="Times New Roman"/>
          <w:sz w:val="17"/>
          <w:szCs w:val="17"/>
          <w:b w:val="1"/>
          <w:bCs w:val="1"/>
          <w:color w:val="auto"/>
        </w:rPr>
        <w:t>MISCELLANEOUS EXPENSE (INCOME):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components of miscellaneous expense (income) for the periods indicated were as follows:</w:t>
      </w:r>
    </w:p>
    <w:p>
      <w:pPr>
        <w:spacing w:after="0" w:line="46"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60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6"/>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020" w:type="dxa"/>
            <w:vAlign w:val="bottom"/>
          </w:tcPr>
          <w:p>
            <w:pPr>
              <w:spacing w:after="0"/>
              <w:rPr>
                <w:sz w:val="19"/>
                <w:szCs w:val="19"/>
                <w:color w:val="auto"/>
              </w:rPr>
            </w:pPr>
          </w:p>
        </w:tc>
        <w:tc>
          <w:tcPr>
            <w:tcW w:w="1300" w:type="dxa"/>
            <w:vAlign w:val="bottom"/>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9"/>
              </w:rPr>
              <w:t>Note</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16"/>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Components of net periodic benefit cost other than the service cost</w:t>
            </w:r>
          </w:p>
        </w:tc>
        <w:tc>
          <w:tcPr>
            <w:tcW w:w="1300" w:type="dxa"/>
            <w:vAlign w:val="bottom"/>
          </w:tcPr>
          <w:p>
            <w:pPr>
              <w:jc w:val="center"/>
              <w:ind w:left="590"/>
              <w:spacing w:after="0"/>
              <w:rPr>
                <w:sz w:val="20"/>
                <w:szCs w:val="20"/>
                <w:color w:val="auto"/>
              </w:rPr>
            </w:pPr>
            <w:r>
              <w:rPr>
                <w:rFonts w:ascii="Times New Roman" w:cs="Times New Roman" w:eastAsia="Times New Roman" w:hAnsi="Times New Roman"/>
                <w:sz w:val="18"/>
                <w:szCs w:val="18"/>
                <w:i w:val="1"/>
                <w:iCs w:val="1"/>
                <w:color w:val="auto"/>
                <w:w w:val="99"/>
              </w:rPr>
              <w:t>17</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32"/>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Pension and non-pension post-employment benefit plans settlement loss</w:t>
            </w:r>
          </w:p>
        </w:tc>
        <w:tc>
          <w:tcPr>
            <w:tcW w:w="1300" w:type="dxa"/>
            <w:vAlign w:val="bottom"/>
          </w:tcPr>
          <w:p>
            <w:pPr>
              <w:jc w:val="center"/>
              <w:ind w:left="590"/>
              <w:spacing w:after="0"/>
              <w:rPr>
                <w:sz w:val="20"/>
                <w:szCs w:val="20"/>
                <w:color w:val="auto"/>
              </w:rPr>
            </w:pPr>
            <w:r>
              <w:rPr>
                <w:rFonts w:ascii="Times New Roman" w:cs="Times New Roman" w:eastAsia="Times New Roman" w:hAnsi="Times New Roman"/>
                <w:sz w:val="18"/>
                <w:szCs w:val="18"/>
                <w:i w:val="1"/>
                <w:iCs w:val="1"/>
                <w:color w:val="auto"/>
                <w:w w:val="99"/>
              </w:rPr>
              <w:t>17</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Equity investment fair value adjustments</w:t>
            </w:r>
          </w:p>
        </w:tc>
        <w:tc>
          <w:tcPr>
            <w:tcW w:w="1300" w:type="dxa"/>
            <w:vAlign w:val="bottom"/>
            <w:vMerge w:val="restart"/>
          </w:tcPr>
          <w:p>
            <w:pPr>
              <w:jc w:val="center"/>
              <w:ind w:left="590"/>
              <w:spacing w:after="0"/>
              <w:rPr>
                <w:sz w:val="20"/>
                <w:szCs w:val="20"/>
                <w:color w:val="auto"/>
              </w:rPr>
            </w:pPr>
            <w:r>
              <w:rPr>
                <w:rFonts w:ascii="Times New Roman" w:cs="Times New Roman" w:eastAsia="Times New Roman" w:hAnsi="Times New Roman"/>
                <w:sz w:val="18"/>
                <w:szCs w:val="18"/>
                <w:i w:val="1"/>
                <w:iCs w:val="1"/>
                <w:color w:val="auto"/>
                <w:w w:val="99"/>
              </w:rPr>
              <w:t>19</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Loss (gain) recognized on derivative instruments:</w:t>
            </w:r>
          </w:p>
        </w:tc>
        <w:tc>
          <w:tcPr>
            <w:tcW w:w="130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 rate swaps</w:t>
            </w:r>
          </w:p>
        </w:tc>
        <w:tc>
          <w:tcPr>
            <w:tcW w:w="1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0" w:type="dxa"/>
            <w:vAlign w:val="bottom"/>
          </w:tcPr>
          <w:p>
            <w:pPr>
              <w:spacing w:after="0"/>
              <w:rPr>
                <w:sz w:val="1"/>
                <w:szCs w:val="1"/>
                <w:color w:val="auto"/>
              </w:rPr>
            </w:pPr>
          </w:p>
        </w:tc>
      </w:tr>
      <w:tr>
        <w:trPr>
          <w:trHeight w:val="226"/>
        </w:trPr>
        <w:tc>
          <w:tcPr>
            <w:tcW w:w="6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Foreign exchange forwards</w:t>
            </w:r>
          </w:p>
        </w:tc>
        <w:tc>
          <w:tcPr>
            <w:tcW w:w="1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0" w:type="dxa"/>
            <w:vAlign w:val="bottom"/>
          </w:tcPr>
          <w:p>
            <w:pPr>
              <w:spacing w:after="0"/>
              <w:rPr>
                <w:sz w:val="1"/>
                <w:szCs w:val="1"/>
                <w:color w:val="auto"/>
              </w:rPr>
            </w:pPr>
          </w:p>
        </w:tc>
      </w:tr>
      <w:tr>
        <w:trPr>
          <w:trHeight w:val="238"/>
        </w:trPr>
        <w:tc>
          <w:tcPr>
            <w:tcW w:w="6020" w:type="dxa"/>
            <w:vAlign w:val="bottom"/>
          </w:tcPr>
          <w:p>
            <w:pPr>
              <w:ind w:left="160"/>
              <w:spacing w:after="0" w:line="237" w:lineRule="exact"/>
              <w:rPr>
                <w:sz w:val="20"/>
                <w:szCs w:val="20"/>
                <w:color w:val="auto"/>
              </w:rPr>
            </w:pPr>
            <w:r>
              <w:rPr>
                <w:rFonts w:ascii="Times New Roman" w:cs="Times New Roman" w:eastAsia="Times New Roman" w:hAnsi="Times New Roman"/>
                <w:sz w:val="18"/>
                <w:szCs w:val="18"/>
                <w:color w:val="auto"/>
              </w:rPr>
              <w:t xml:space="preserve">TRS FVAs </w:t>
            </w:r>
            <w:r>
              <w:rPr>
                <w:rFonts w:ascii="Times New Roman" w:cs="Times New Roman" w:eastAsia="Times New Roman" w:hAnsi="Times New Roman"/>
                <w:sz w:val="23"/>
                <w:szCs w:val="23"/>
                <w:color w:val="auto"/>
                <w:vertAlign w:val="superscript"/>
              </w:rPr>
              <w:t>(1)</w:t>
            </w:r>
          </w:p>
        </w:tc>
        <w:tc>
          <w:tcPr>
            <w:tcW w:w="1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0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400" w:hanging="392"/>
        <w:spacing w:after="0"/>
        <w:tabs>
          <w:tab w:leader="none" w:pos="400"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2024, TRS FVAs were recorded in cost of sales and SG&amp;A. See note 19.</w:t>
      </w:r>
    </w:p>
    <w:p>
      <w:pPr>
        <w:spacing w:after="0" w:line="213"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16.</w:t>
      </w:r>
      <w:r>
        <w:rPr>
          <w:sz w:val="20"/>
          <w:szCs w:val="20"/>
          <w:color w:val="auto"/>
        </w:rPr>
        <w:tab/>
      </w:r>
      <w:r>
        <w:rPr>
          <w:rFonts w:ascii="Times New Roman" w:cs="Times New Roman" w:eastAsia="Times New Roman" w:hAnsi="Times New Roman"/>
          <w:sz w:val="17"/>
          <w:szCs w:val="17"/>
          <w:b w:val="1"/>
          <w:bCs w:val="1"/>
          <w:color w:val="auto"/>
        </w:rPr>
        <w:t>RELATED PARTY TRANSACTIONS:</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Prior to the completion of the August Secondary Offering, Onex beneficially owned, controlled, or directed, directly or indirectly, all of our issued and outstanding MVS. Accordingly, Onex had the ability to exercise significant influence over our business and affairs and generally had the power to determine all matters submitted to a vote of our shareholders where the SVS and MVS vote together as a single class. Mr. Gerald Schwartz, the Chairman of the Board of Onex, indirectly owns shares representing the majority of the voting rights of the shares of Onex. However, upon completion of the August Secondary Offering, we have no MVS outstanding and Onex is no longer our controlling shareholder.</w:t>
      </w:r>
    </w:p>
    <w:p>
      <w:pPr>
        <w:spacing w:after="0" w:line="21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Prior to September 3, 2023, we were a party to the Services Agreement with Onex for the services of Mr. Tawfiq Popatia, an officer of Onex, as a director of Celestica, pursuant to which Onex received compensation (payable in DSUs) for such services. Mr. Popatia resigned from our Board, and the Services Agreement terminated automatically on September 3, 2023. In accordance with the provisions of the Services Agreement, we paid Onex approximately $9.2 in cash in October 2023 to settle Onex’s then-outstanding DSUs.</w:t>
      </w:r>
    </w:p>
    <w:p>
      <w:pPr>
        <w:spacing w:after="0" w:line="203"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17.</w:t>
      </w:r>
      <w:r>
        <w:rPr>
          <w:sz w:val="20"/>
          <w:szCs w:val="20"/>
          <w:color w:val="auto"/>
        </w:rPr>
        <w:tab/>
      </w:r>
      <w:r>
        <w:rPr>
          <w:rFonts w:ascii="Times New Roman" w:cs="Times New Roman" w:eastAsia="Times New Roman" w:hAnsi="Times New Roman"/>
          <w:sz w:val="17"/>
          <w:szCs w:val="17"/>
          <w:b w:val="1"/>
          <w:bCs w:val="1"/>
          <w:color w:val="auto"/>
        </w:rPr>
        <w:t>PENSION AND NON-PENSION POST-EMPLOYMENT BENEFIT PLANS:</w:t>
      </w:r>
    </w:p>
    <w:p>
      <w:pPr>
        <w:spacing w:after="0" w:line="254" w:lineRule="exact"/>
        <w:rPr>
          <w:sz w:val="20"/>
          <w:szCs w:val="20"/>
          <w:color w:val="auto"/>
        </w:rPr>
      </w:pPr>
    </w:p>
    <w:p>
      <w:pPr>
        <w:ind w:left="400" w:hanging="392"/>
        <w:spacing w:after="0"/>
        <w:tabs>
          <w:tab w:leader="none" w:pos="400" w:val="left"/>
        </w:tabs>
        <w:numPr>
          <w:ilvl w:val="0"/>
          <w:numId w:val="7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Plan summaries:</w:t>
      </w:r>
    </w:p>
    <w:p>
      <w:pPr>
        <w:spacing w:after="0" w:line="25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provide pension and non-pension post-employment benefit plans for our employees. At December 31, 2024, such plans included our pension plan for employees in the United Kingdom (U.K. pension plan), which generally provides participants with stated benefits on retirement based on their pensionable service, either in annuities and/or lump sum</w:t>
      </w:r>
    </w:p>
    <w:p>
      <w:pPr>
        <w:sectPr>
          <w:pgSz w:w="11900" w:h="16838" w:orient="portrait"/>
          <w:cols w:equalWidth="0" w:num="1">
            <w:col w:w="11240"/>
          </w:cols>
          <w:pgMar w:left="320" w:top="360" w:right="339" w:bottom="1440" w:gutter="0" w:footer="0" w:header="0"/>
        </w:sect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234950</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148" w:name="page149"/>
    <w:bookmarkEnd w:id="148"/>
    <w:p>
      <w:pPr>
        <w:jc w:val="center"/>
        <w:spacing w:after="0"/>
        <w:rPr>
          <w:sz w:val="20"/>
          <w:szCs w:val="20"/>
          <w:color w:val="auto"/>
        </w:rPr>
      </w:pPr>
      <w:r>
        <w:rPr>
          <w:rFonts w:ascii="Times New Roman" w:cs="Times New Roman" w:eastAsia="Times New Roman" w:hAnsi="Times New Roman"/>
          <w:sz w:val="18"/>
          <w:szCs w:val="18"/>
          <w:b w:val="1"/>
          <w:bCs w:val="1"/>
          <w:color w:val="auto"/>
        </w:rPr>
        <w:t>CELESTICA INC.</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of U.S. dollars, except percentages and per share amounts)</w:t>
      </w:r>
    </w:p>
    <w:p>
      <w:pPr>
        <w:spacing w:after="0" w:line="39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payments. The U.K. pension plan is closed to new members and none of such plan members are active employees of the Company. Defined contribution pension plans are offered to certain employees, mainly in Canada and the U.S. We provide non-pension post-employment benefits (under other benefit plans) to retired and terminated employees in Canada, the U.S., Mexico, Thailand, South Korea, Indonesia and the Philippines. These benefits may include one-time retirement and specified termination benefits, medical, surgical, hospitalization coverage, supplemental health, dental and/or group life insurance.</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To mitigate the actuarial and investment risks of our defined benefit pension plans, we purchase annuities from time to time (using existing plan assets) from third party insurance companies for certain, or all, plan participants. The purchase of annuities by the pension plan substantially hedges the financial risks associated with the related pension obligations.</w:t>
      </w:r>
    </w:p>
    <w:p>
      <w:pPr>
        <w:spacing w:after="0" w:line="20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overall governance of our pension plans is conducted by our Human Resources and Compensation Committee which, through annual reviews, approves material plan changes, reviews funding levels, compliance matters and plan assumptions, and ensures that the plans are administered in accordance with local statutory requirements. We have established a Canadian and a U.S. Pension Committee to govern our Canadian and U.S. pension plans respectively. The U.K. pension plan is governed by a Board of Trustees, composed of employee and company representation. Both the Canadian and U.S. Pension Committees, and the U.K. Board of Trustees review funding levels, investment performance and compliance matters for their respective plans. Our pension funding policy is to contribute amounts sufficient, at minimum, to meet local statutory funding requirements. For our defined benefit pension plans (primarily our U.K. pension plan), local regulatory bodies either define the minimum funding requirement or approve the funding plans submitted by us. We may make additional discretionary contributions taking into account actuarial assessments and other factors. The contributions that we make to support ongoing plan obligations are recorded in the respective asset or liability accounts on our consolidated balance sheet.</w:t>
      </w:r>
    </w:p>
    <w:p>
      <w:pPr>
        <w:spacing w:after="0" w:line="215" w:lineRule="exact"/>
        <w:rPr>
          <w:sz w:val="20"/>
          <w:szCs w:val="20"/>
          <w:color w:val="auto"/>
        </w:rPr>
      </w:pPr>
    </w:p>
    <w:p>
      <w:pPr>
        <w:jc w:val="both"/>
        <w:ind w:firstLine="188"/>
        <w:spacing w:after="0" w:line="282" w:lineRule="auto"/>
        <w:rPr>
          <w:sz w:val="20"/>
          <w:szCs w:val="20"/>
          <w:color w:val="auto"/>
        </w:rPr>
      </w:pPr>
      <w:r>
        <w:rPr>
          <w:rFonts w:ascii="Times New Roman" w:cs="Times New Roman" w:eastAsia="Times New Roman" w:hAnsi="Times New Roman"/>
          <w:sz w:val="18"/>
          <w:szCs w:val="18"/>
          <w:color w:val="auto"/>
        </w:rPr>
        <w:t>Our U.K. pension plan requires an actuarial valuation to be completed every three years. The most recent actuarial valuation used a measurement date of April 2022 and was duly completed in 2023.</w:t>
      </w:r>
    </w:p>
    <w:p>
      <w:pPr>
        <w:spacing w:after="0" w:line="189" w:lineRule="exact"/>
        <w:rPr>
          <w:sz w:val="20"/>
          <w:szCs w:val="20"/>
          <w:color w:val="auto"/>
        </w:rPr>
      </w:pPr>
    </w:p>
    <w:p>
      <w:pPr>
        <w:jc w:val="both"/>
        <w:ind w:firstLine="201"/>
        <w:spacing w:after="0" w:line="258" w:lineRule="auto"/>
        <w:rPr>
          <w:sz w:val="20"/>
          <w:szCs w:val="20"/>
          <w:color w:val="auto"/>
        </w:rPr>
      </w:pPr>
      <w:r>
        <w:rPr>
          <w:rFonts w:ascii="Times New Roman" w:cs="Times New Roman" w:eastAsia="Times New Roman" w:hAnsi="Times New Roman"/>
          <w:sz w:val="18"/>
          <w:szCs w:val="18"/>
          <w:color w:val="auto"/>
        </w:rPr>
        <w:t>We currently fund our non-pension post-employment benefit plans as we incur benefit payment obligations thereunder. Excluding our mandatory plans, the most recent actuarial measurements for our largest non-pension post-employment benefit plans were completed using valuation dates of May 2022 (Canada) and January 2024 (U.S.). The next actuarial measurements for these plans will have valuation dates of May 2025 and January 2026, respectively. We accrue the expected costs of providing non-pension post-employment benefits during the periods in which the employees render service. We used a measurement date of December 31, 2024 for the accounting valuation for pension and non-pension post-employment benefits.</w:t>
      </w:r>
    </w:p>
    <w:p>
      <w:pPr>
        <w:spacing w:after="0" w:line="210" w:lineRule="exact"/>
        <w:rPr>
          <w:sz w:val="20"/>
          <w:szCs w:val="20"/>
          <w:color w:val="auto"/>
        </w:rPr>
      </w:pPr>
    </w:p>
    <w:p>
      <w:pPr>
        <w:jc w:val="both"/>
        <w:ind w:firstLine="190"/>
        <w:spacing w:after="0" w:line="266" w:lineRule="auto"/>
        <w:rPr>
          <w:sz w:val="20"/>
          <w:szCs w:val="20"/>
          <w:color w:val="auto"/>
        </w:rPr>
      </w:pPr>
      <w:r>
        <w:rPr>
          <w:rFonts w:ascii="Times New Roman" w:cs="Times New Roman" w:eastAsia="Times New Roman" w:hAnsi="Times New Roman"/>
          <w:sz w:val="18"/>
          <w:szCs w:val="18"/>
          <w:color w:val="auto"/>
        </w:rPr>
        <w:t>Our pension plans are exposed to market risks such as changes in interest rates, inflation, and fluctuations in investment values, as well as financial risks including counterparty risks of financial institutions from which annuities have been purchased for specified plans. See note 19</w:t>
      </w:r>
      <w:r>
        <w:rPr>
          <w:rFonts w:ascii="Times New Roman" w:cs="Times New Roman" w:eastAsia="Times New Roman" w:hAnsi="Times New Roman"/>
          <w:sz w:val="18"/>
          <w:szCs w:val="18"/>
          <w:i w:val="1"/>
          <w:iCs w:val="1"/>
          <w:color w:val="auto"/>
        </w:rPr>
        <w:t>(d)</w:t>
      </w:r>
      <w:r>
        <w:rPr>
          <w:rFonts w:ascii="Times New Roman" w:cs="Times New Roman" w:eastAsia="Times New Roman" w:hAnsi="Times New Roman"/>
          <w:sz w:val="18"/>
          <w:szCs w:val="18"/>
          <w:color w:val="auto"/>
        </w:rPr>
        <w:t>. Our plans are also exposed to non-financial risks, including the membership’s mortality and demographic changes, as well as regulatory changes.</w:t>
      </w:r>
    </w:p>
    <w:p>
      <w:pPr>
        <w:spacing w:after="0" w:line="203" w:lineRule="exact"/>
        <w:rPr>
          <w:sz w:val="20"/>
          <w:szCs w:val="20"/>
          <w:color w:val="auto"/>
        </w:rPr>
      </w:pPr>
    </w:p>
    <w:p>
      <w:pPr>
        <w:jc w:val="both"/>
        <w:ind w:firstLine="220"/>
        <w:spacing w:after="0" w:line="266" w:lineRule="auto"/>
        <w:rPr>
          <w:sz w:val="20"/>
          <w:szCs w:val="20"/>
          <w:color w:val="auto"/>
        </w:rPr>
      </w:pPr>
      <w:r>
        <w:rPr>
          <w:rFonts w:ascii="Times New Roman" w:cs="Times New Roman" w:eastAsia="Times New Roman" w:hAnsi="Times New Roman"/>
          <w:sz w:val="18"/>
          <w:szCs w:val="18"/>
          <w:color w:val="auto"/>
        </w:rPr>
        <w:t>We manage the funding level risk of defined benefit pension plans through our asset allocation strategy for each plan. In the U.K., the majority of the obligations under our U.K. pension plan have been hedged with the purchase of annuities with insurance companies as described above, but do not qualify for designation as hedges for application of hedge accounting purposes.</w:t>
      </w:r>
    </w:p>
    <w:p>
      <w:pPr>
        <w:spacing w:after="0" w:line="203" w:lineRule="exact"/>
        <w:rPr>
          <w:sz w:val="20"/>
          <w:szCs w:val="20"/>
          <w:color w:val="auto"/>
        </w:rPr>
      </w:pPr>
    </w:p>
    <w:p>
      <w:pPr>
        <w:jc w:val="both"/>
        <w:ind w:firstLine="197"/>
        <w:spacing w:after="0" w:line="254" w:lineRule="auto"/>
        <w:rPr>
          <w:sz w:val="20"/>
          <w:szCs w:val="20"/>
          <w:color w:val="auto"/>
        </w:rPr>
      </w:pPr>
      <w:r>
        <w:rPr>
          <w:rFonts w:ascii="Times New Roman" w:cs="Times New Roman" w:eastAsia="Times New Roman" w:hAnsi="Times New Roman"/>
          <w:sz w:val="18"/>
          <w:szCs w:val="18"/>
          <w:color w:val="auto"/>
        </w:rPr>
        <w:t>Pension fund assets are invested primarily in fixed income and equity securities. Asset allocation between fixed income and equity securities is adjusted based on the expected life of the plan and the expected retirement dates of the plan participants. Our pension funds do not invest directly in our shares, but may invest indirectly as a result of the inclusion of our shares in certain investment funds. All of our plan assets are measured at their fair value using the fair value hierarchy inputs described in note 2</w:t>
      </w:r>
      <w:r>
        <w:rPr>
          <w:rFonts w:ascii="Times New Roman" w:cs="Times New Roman" w:eastAsia="Times New Roman" w:hAnsi="Times New Roman"/>
          <w:sz w:val="18"/>
          <w:szCs w:val="18"/>
          <w:i w:val="1"/>
          <w:iCs w:val="1"/>
          <w:color w:val="auto"/>
        </w:rPr>
        <w:t>(q)</w:t>
      </w:r>
      <w:r>
        <w:rPr>
          <w:rFonts w:ascii="Times New Roman" w:cs="Times New Roman" w:eastAsia="Times New Roman" w:hAnsi="Times New Roman"/>
          <w:sz w:val="18"/>
          <w:szCs w:val="18"/>
          <w:color w:val="auto"/>
        </w:rPr>
        <w:t xml:space="preserve">. See the plan assets, by asset class table in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xml:space="preserve"> below. There were no transfers of fair value measurements between Level 1 and Level 3 of the fair value hierarchy in 2024 or 2023. Approximately 95% of our plan assets consist of annuities purchased with insurance companies, and assets held with financial institutions with a Standard and Poor’s long-term rating of A or above at December 31, 2024. The annuities purchased for our U.K. Main pension plan are held with financial institutions that are governed by local regulatory bodies. The remaining assets are held with financial institutions where ratings are not available. For these institutions, we monitor counterparty risk based on the diversification of</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49" w:name="page150"/>
    <w:bookmarkEnd w:id="149"/>
    <w:p>
      <w:pPr>
        <w:jc w:val="center"/>
        <w:spacing w:after="0"/>
        <w:rPr>
          <w:sz w:val="20"/>
          <w:szCs w:val="20"/>
          <w:color w:val="auto"/>
        </w:rPr>
      </w:pPr>
      <w:r>
        <w:rPr>
          <w:rFonts w:ascii="Times New Roman" w:cs="Times New Roman" w:eastAsia="Times New Roman" w:hAnsi="Times New Roman"/>
          <w:sz w:val="18"/>
          <w:szCs w:val="18"/>
          <w:b w:val="1"/>
          <w:bCs w:val="1"/>
          <w:color w:val="auto"/>
        </w:rPr>
        <w:t>CELESTICA INC.</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of U.S. dollars, except percentages and per share amounts)</w:t>
      </w:r>
    </w:p>
    <w:p>
      <w:pPr>
        <w:spacing w:after="0" w:line="39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plan assets. These plan assets are maintained in segregated accounts by a custodian that is independent from the fund managers. We believe that the counterparty risk is low.</w:t>
      </w:r>
    </w:p>
    <w:p>
      <w:pPr>
        <w:spacing w:after="0"/>
        <w:rPr>
          <w:sz w:val="20"/>
          <w:szCs w:val="20"/>
          <w:color w:val="auto"/>
        </w:rPr>
      </w:pPr>
      <w:r>
        <w:rPr>
          <w:rFonts w:ascii="Times New Roman" w:cs="Times New Roman" w:eastAsia="Times New Roman" w:hAnsi="Times New Roman"/>
          <w:sz w:val="18"/>
          <w:szCs w:val="18"/>
          <w:i w:val="1"/>
          <w:iCs w:val="1"/>
          <w:color w:val="auto"/>
        </w:rPr>
        <w:t>(b) Plan financials:</w:t>
      </w:r>
    </w:p>
    <w:p>
      <w:pPr>
        <w:spacing w:after="0" w:line="234"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54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The  table  below  presents  the  fair  value  of  our  defined</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benefit</w:t>
            </w:r>
          </w:p>
        </w:tc>
        <w:tc>
          <w:tcPr>
            <w:tcW w:w="7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pension</w:t>
            </w: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6"/>
              </w:rPr>
              <w:t>plan</w:t>
            </w: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and  other</w:t>
            </w:r>
          </w:p>
        </w:tc>
        <w:tc>
          <w:tcPr>
            <w:tcW w:w="298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benefit  plan  assets,  by  asset  class:</w:t>
            </w:r>
          </w:p>
        </w:tc>
      </w:tr>
      <w:tr>
        <w:trPr>
          <w:trHeight w:val="189"/>
        </w:trPr>
        <w:tc>
          <w:tcPr>
            <w:tcW w:w="5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40" w:type="dxa"/>
            <w:vAlign w:val="bottom"/>
            <w:gridSpan w:val="6"/>
          </w:tcPr>
          <w:p>
            <w:pPr>
              <w:ind w:left="400"/>
              <w:spacing w:after="0"/>
              <w:rPr>
                <w:sz w:val="20"/>
                <w:szCs w:val="20"/>
                <w:color w:val="auto"/>
              </w:rPr>
            </w:pPr>
            <w:r>
              <w:rPr>
                <w:rFonts w:ascii="Times New Roman" w:cs="Times New Roman" w:eastAsia="Times New Roman" w:hAnsi="Times New Roman"/>
                <w:sz w:val="16"/>
                <w:szCs w:val="16"/>
                <w:b w:val="1"/>
                <w:bCs w:val="1"/>
                <w:color w:val="auto"/>
              </w:rPr>
              <w:t>Fair Value at</w:t>
            </w:r>
          </w:p>
        </w:tc>
        <w:tc>
          <w:tcPr>
            <w:tcW w:w="2980" w:type="dxa"/>
            <w:vAlign w:val="bottom"/>
            <w:gridSpan w:val="5"/>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Actual Asset Allocation (%) at</w:t>
            </w:r>
          </w:p>
        </w:tc>
      </w:tr>
      <w:tr>
        <w:trPr>
          <w:trHeight w:val="223"/>
        </w:trPr>
        <w:tc>
          <w:tcPr>
            <w:tcW w:w="5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140" w:type="dxa"/>
            <w:vAlign w:val="bottom"/>
            <w:gridSpan w:val="6"/>
          </w:tcPr>
          <w:p>
            <w:pPr>
              <w:ind w:left="44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980" w:type="dxa"/>
            <w:vAlign w:val="bottom"/>
            <w:gridSpan w:val="3"/>
          </w:tcPr>
          <w:p>
            <w:pPr>
              <w:jc w:val="center"/>
              <w:ind w:left="833"/>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2"/>
        </w:trPr>
        <w:tc>
          <w:tcPr>
            <w:tcW w:w="5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33"/>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8"/>
                <w:szCs w:val="18"/>
                <w:color w:val="auto"/>
              </w:rPr>
            </w:pPr>
          </w:p>
        </w:tc>
        <w:tc>
          <w:tcPr>
            <w:tcW w:w="1400" w:type="dxa"/>
            <w:vAlign w:val="bottom"/>
            <w:tcBorders>
              <w:top w:val="single" w:sz="8" w:color="auto"/>
              <w:bottom w:val="single" w:sz="8" w:color="auto"/>
            </w:tcBorders>
          </w:tcPr>
          <w:p>
            <w:pPr>
              <w:jc w:val="right"/>
              <w:ind w:right="45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453"/>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 w:type="dxa"/>
            <w:vAlign w:val="bottom"/>
          </w:tcPr>
          <w:p>
            <w:pPr>
              <w:spacing w:after="0"/>
              <w:rPr>
                <w:sz w:val="18"/>
                <w:szCs w:val="18"/>
                <w:color w:val="auto"/>
              </w:rPr>
            </w:pPr>
          </w:p>
        </w:tc>
      </w:tr>
      <w:tr>
        <w:trPr>
          <w:trHeight w:val="208"/>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Quoted market prices (Level 1):</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9"/>
        </w:trPr>
        <w:tc>
          <w:tcPr>
            <w:tcW w:w="5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Debt investment funds</w:t>
            </w:r>
          </w:p>
        </w:tc>
        <w:tc>
          <w:tcPr>
            <w:tcW w:w="6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40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60" w:type="dxa"/>
            <w:vAlign w:val="bottom"/>
          </w:tcPr>
          <w:p>
            <w:pPr>
              <w:spacing w:after="0"/>
              <w:rPr>
                <w:sz w:val="19"/>
                <w:szCs w:val="19"/>
                <w:color w:val="auto"/>
              </w:rPr>
            </w:pPr>
          </w:p>
        </w:tc>
      </w:tr>
      <w:tr>
        <w:trPr>
          <w:trHeight w:val="230"/>
        </w:trPr>
        <w:tc>
          <w:tcPr>
            <w:tcW w:w="5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Equity investment funds</w:t>
            </w: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60" w:type="dxa"/>
            <w:vAlign w:val="bottom"/>
          </w:tcPr>
          <w:p>
            <w:pPr>
              <w:spacing w:after="0"/>
              <w:rPr>
                <w:sz w:val="19"/>
                <w:szCs w:val="19"/>
                <w:color w:val="auto"/>
              </w:rPr>
            </w:pPr>
          </w:p>
        </w:tc>
      </w:tr>
      <w:tr>
        <w:trPr>
          <w:trHeight w:val="229"/>
        </w:trPr>
        <w:tc>
          <w:tcPr>
            <w:tcW w:w="5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8 %</w:t>
            </w:r>
          </w:p>
        </w:tc>
        <w:tc>
          <w:tcPr>
            <w:tcW w:w="60" w:type="dxa"/>
            <w:vAlign w:val="bottom"/>
          </w:tcPr>
          <w:p>
            <w:pPr>
              <w:spacing w:after="0"/>
              <w:rPr>
                <w:sz w:val="19"/>
                <w:szCs w:val="19"/>
                <w:color w:val="auto"/>
              </w:rPr>
            </w:pPr>
          </w:p>
        </w:tc>
      </w:tr>
      <w:tr>
        <w:trPr>
          <w:trHeight w:val="229"/>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Non-quoted market prices (Level 3):</w:t>
            </w: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75"/>
        </w:trPr>
        <w:tc>
          <w:tcPr>
            <w:tcW w:w="5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Insurance annuities</w:t>
            </w:r>
          </w:p>
        </w:tc>
        <w:tc>
          <w:tcPr>
            <w:tcW w:w="40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6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182.6</w:t>
            </w:r>
          </w:p>
        </w:tc>
        <w:tc>
          <w:tcPr>
            <w:tcW w:w="120" w:type="dxa"/>
            <w:vAlign w:val="bottom"/>
          </w:tcPr>
          <w:p>
            <w:pPr>
              <w:spacing w:after="0"/>
              <w:rPr>
                <w:sz w:val="23"/>
                <w:szCs w:val="23"/>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84 %</w:t>
            </w:r>
          </w:p>
        </w:tc>
        <w:tc>
          <w:tcPr>
            <w:tcW w:w="100" w:type="dxa"/>
            <w:vAlign w:val="bottom"/>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85 %</w:t>
            </w:r>
          </w:p>
        </w:tc>
        <w:tc>
          <w:tcPr>
            <w:tcW w:w="60" w:type="dxa"/>
            <w:vAlign w:val="bottom"/>
          </w:tcPr>
          <w:p>
            <w:pPr>
              <w:spacing w:after="0"/>
              <w:rPr>
                <w:sz w:val="23"/>
                <w:szCs w:val="23"/>
                <w:color w:val="auto"/>
              </w:rPr>
            </w:pPr>
          </w:p>
        </w:tc>
      </w:tr>
      <w:tr>
        <w:trPr>
          <w:trHeight w:val="223"/>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191.1</w:t>
            </w:r>
          </w:p>
        </w:tc>
        <w:tc>
          <w:tcPr>
            <w:tcW w:w="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213.5</w:t>
            </w:r>
          </w:p>
        </w:tc>
        <w:tc>
          <w:tcPr>
            <w:tcW w:w="120" w:type="dxa"/>
            <w:vAlign w:val="bottom"/>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60" w:type="dxa"/>
            <w:vAlign w:val="bottom"/>
          </w:tcPr>
          <w:p>
            <w:pPr>
              <w:spacing w:after="0"/>
              <w:rPr>
                <w:sz w:val="19"/>
                <w:szCs w:val="19"/>
                <w:color w:val="auto"/>
              </w:rPr>
            </w:pPr>
          </w:p>
        </w:tc>
      </w:tr>
      <w:tr>
        <w:trPr>
          <w:trHeight w:val="20"/>
        </w:trPr>
        <w:tc>
          <w:tcPr>
            <w:tcW w:w="5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0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following tables provide a summary of the financial position of our defined benefit pension and other post-employment benefit plans:</w:t>
      </w:r>
    </w:p>
    <w:p>
      <w:pPr>
        <w:sectPr>
          <w:pgSz w:w="11900" w:h="16838" w:orient="portrait"/>
          <w:cols w:equalWidth="0" w:num="1">
            <w:col w:w="11240"/>
          </w:cols>
          <w:pgMar w:left="320" w:top="36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Fair value of plan assets, beginning of year</w:t>
      </w:r>
    </w:p>
    <w:p>
      <w:pPr>
        <w:spacing w:after="0" w:line="3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Actual return on plan assets</w:t>
      </w:r>
    </w:p>
    <w:p>
      <w:pPr>
        <w:spacing w:after="0" w:line="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Administrative expenses paid from plan assets</w:t>
      </w:r>
    </w:p>
    <w:p>
      <w:pPr>
        <w:spacing w:after="0" w:line="2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Employer contributions to plan</w:t>
      </w:r>
    </w:p>
    <w:p>
      <w:pPr>
        <w:spacing w:after="0" w:line="2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Employer direct benefit payments</w:t>
      </w:r>
    </w:p>
    <w:p>
      <w:pPr>
        <w:spacing w:after="0" w:line="2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Settlement payments</w:t>
      </w:r>
    </w:p>
    <w:p>
      <w:pPr>
        <w:spacing w:after="0" w:line="2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Benefit payments from plan</w:t>
      </w:r>
    </w:p>
    <w:p>
      <w:pPr>
        <w:spacing w:after="0" w:line="2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Benefit payments from employer</w:t>
      </w:r>
    </w:p>
    <w:p>
      <w:pPr>
        <w:spacing w:after="0" w:line="45" w:lineRule="exact"/>
        <w:rPr>
          <w:sz w:val="20"/>
          <w:szCs w:val="20"/>
          <w:color w:val="auto"/>
        </w:rPr>
      </w:pPr>
    </w:p>
    <w:p>
      <w:pPr>
        <w:ind w:left="60" w:right="1880" w:firstLine="203"/>
        <w:spacing w:after="0" w:line="329" w:lineRule="auto"/>
        <w:rPr>
          <w:sz w:val="20"/>
          <w:szCs w:val="20"/>
          <w:color w:val="auto"/>
        </w:rPr>
      </w:pPr>
      <w:r>
        <w:rPr>
          <w:rFonts w:ascii="Times New Roman" w:cs="Times New Roman" w:eastAsia="Times New Roman" w:hAnsi="Times New Roman"/>
          <w:sz w:val="18"/>
          <w:szCs w:val="18"/>
          <w:color w:val="auto"/>
        </w:rPr>
        <w:t>Foreign currency exchange rate changes and other Fair value of plan assets, end of year</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240" w:type="dxa"/>
            <w:vAlign w:val="bottom"/>
          </w:tcPr>
          <w:p>
            <w:pPr>
              <w:spacing w:after="0"/>
              <w:rPr>
                <w:sz w:val="17"/>
                <w:szCs w:val="17"/>
                <w:color w:val="auto"/>
              </w:rPr>
            </w:pPr>
          </w:p>
        </w:tc>
        <w:tc>
          <w:tcPr>
            <w:tcW w:w="2200" w:type="dxa"/>
            <w:vAlign w:val="bottom"/>
            <w:gridSpan w:val="5"/>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Pension Plans</w:t>
            </w:r>
          </w:p>
        </w:tc>
        <w:tc>
          <w:tcPr>
            <w:tcW w:w="240" w:type="dxa"/>
            <w:vAlign w:val="bottom"/>
          </w:tcPr>
          <w:p>
            <w:pPr>
              <w:spacing w:after="0"/>
              <w:rPr>
                <w:sz w:val="17"/>
                <w:szCs w:val="17"/>
                <w:color w:val="auto"/>
              </w:rPr>
            </w:pPr>
          </w:p>
        </w:tc>
        <w:tc>
          <w:tcPr>
            <w:tcW w:w="2080" w:type="dxa"/>
            <w:vAlign w:val="bottom"/>
            <w:gridSpan w:val="4"/>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Other Benefit Plans</w:t>
            </w:r>
          </w:p>
        </w:tc>
      </w:tr>
      <w:tr>
        <w:trPr>
          <w:trHeight w:val="184"/>
        </w:trPr>
        <w:tc>
          <w:tcPr>
            <w:tcW w:w="240" w:type="dxa"/>
            <w:vAlign w:val="bottom"/>
          </w:tcPr>
          <w:p>
            <w:pPr>
              <w:spacing w:after="0"/>
              <w:rPr>
                <w:sz w:val="16"/>
                <w:szCs w:val="16"/>
                <w:color w:val="auto"/>
              </w:rPr>
            </w:pPr>
          </w:p>
        </w:tc>
        <w:tc>
          <w:tcPr>
            <w:tcW w:w="1340" w:type="dxa"/>
            <w:vAlign w:val="bottom"/>
            <w:gridSpan w:val="3"/>
          </w:tcPr>
          <w:p>
            <w:pPr>
              <w:jc w:val="center"/>
              <w:ind w:left="390"/>
              <w:spacing w:after="0" w:line="184" w:lineRule="exact"/>
              <w:rPr>
                <w:sz w:val="20"/>
                <w:szCs w:val="20"/>
                <w:color w:val="auto"/>
              </w:rPr>
            </w:pPr>
            <w:r>
              <w:rPr>
                <w:rFonts w:ascii="Times New Roman" w:cs="Times New Roman" w:eastAsia="Times New Roman" w:hAnsi="Times New Roman"/>
                <w:sz w:val="18"/>
                <w:szCs w:val="18"/>
                <w:b w:val="1"/>
                <w:bCs w:val="1"/>
                <w:color w:val="auto"/>
                <w:w w:val="97"/>
              </w:rPr>
              <w:t>Year ended</w:t>
            </w: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gridSpan w:val="3"/>
          </w:tcPr>
          <w:p>
            <w:pPr>
              <w:jc w:val="center"/>
              <w:ind w:left="350"/>
              <w:spacing w:after="0" w:line="184" w:lineRule="exact"/>
              <w:rPr>
                <w:sz w:val="20"/>
                <w:szCs w:val="20"/>
                <w:color w:val="auto"/>
              </w:rPr>
            </w:pPr>
            <w:r>
              <w:rPr>
                <w:rFonts w:ascii="Times New Roman" w:cs="Times New Roman" w:eastAsia="Times New Roman" w:hAnsi="Times New Roman"/>
                <w:sz w:val="18"/>
                <w:szCs w:val="18"/>
                <w:b w:val="1"/>
                <w:bCs w:val="1"/>
                <w:color w:val="auto"/>
                <w:w w:val="97"/>
              </w:rPr>
              <w:t>Year ended</w:t>
            </w:r>
          </w:p>
        </w:tc>
        <w:tc>
          <w:tcPr>
            <w:tcW w:w="740" w:type="dxa"/>
            <w:vAlign w:val="bottom"/>
          </w:tcPr>
          <w:p>
            <w:pPr>
              <w:spacing w:after="0"/>
              <w:rPr>
                <w:sz w:val="16"/>
                <w:szCs w:val="16"/>
                <w:color w:val="auto"/>
              </w:rPr>
            </w:pPr>
          </w:p>
        </w:tc>
      </w:tr>
      <w:tr>
        <w:trPr>
          <w:trHeight w:val="241"/>
        </w:trPr>
        <w:tc>
          <w:tcPr>
            <w:tcW w:w="240" w:type="dxa"/>
            <w:vAlign w:val="bottom"/>
          </w:tcPr>
          <w:p>
            <w:pPr>
              <w:spacing w:after="0"/>
              <w:rPr>
                <w:sz w:val="20"/>
                <w:szCs w:val="20"/>
                <w:color w:val="auto"/>
              </w:rPr>
            </w:pPr>
          </w:p>
        </w:tc>
        <w:tc>
          <w:tcPr>
            <w:tcW w:w="220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240" w:type="dxa"/>
            <w:vAlign w:val="bottom"/>
          </w:tcPr>
          <w:p>
            <w:pPr>
              <w:spacing w:after="0"/>
              <w:rPr>
                <w:sz w:val="20"/>
                <w:szCs w:val="20"/>
                <w:color w:val="auto"/>
              </w:rPr>
            </w:pPr>
          </w:p>
        </w:tc>
        <w:tc>
          <w:tcPr>
            <w:tcW w:w="2080" w:type="dxa"/>
            <w:vAlign w:val="bottom"/>
            <w:gridSpan w:val="4"/>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25"/>
        </w:trPr>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94"/>
              </w:rPr>
              <w:t>2023</w:t>
            </w:r>
          </w:p>
        </w:tc>
      </w:tr>
      <w:tr>
        <w:trPr>
          <w:trHeight w:val="218"/>
        </w:trPr>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211.2</w:t>
            </w:r>
          </w:p>
        </w:tc>
        <w:tc>
          <w:tcPr>
            <w:tcW w:w="100" w:type="dxa"/>
            <w:vAlign w:val="bottom"/>
          </w:tcPr>
          <w:p>
            <w:pPr>
              <w:spacing w:after="0"/>
              <w:rPr>
                <w:sz w:val="18"/>
                <w:szCs w:val="18"/>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211.8</w:t>
            </w:r>
          </w:p>
        </w:tc>
        <w:tc>
          <w:tcPr>
            <w:tcW w:w="1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29"/>
        </w:trPr>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30"/>
        </w:trPr>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30"/>
        </w:trPr>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29"/>
        </w:trPr>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34"/>
        </w:trPr>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56"/>
        </w:trPr>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3"/>
        </w:trPr>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189.0</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211.2</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9" w:lineRule="exact"/>
        <w:rPr>
          <w:sz w:val="20"/>
          <w:szCs w:val="20"/>
          <w:color w:val="auto"/>
        </w:rPr>
      </w:pPr>
    </w:p>
    <w:p>
      <w:pPr>
        <w:sectPr>
          <w:pgSz w:w="11900" w:h="16838" w:orient="portrait"/>
          <w:cols w:equalWidth="0" w:num="2">
            <w:col w:w="5760" w:space="720"/>
            <w:col w:w="4760"/>
          </w:cols>
          <w:pgMar w:left="320" w:top="36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234950</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150" w:name="page151"/>
    <w:bookmarkEnd w:id="150"/>
    <w:p>
      <w:pPr>
        <w:jc w:val="center"/>
        <w:spacing w:after="0"/>
        <w:rPr>
          <w:sz w:val="20"/>
          <w:szCs w:val="20"/>
          <w:color w:val="auto"/>
        </w:rPr>
      </w:pPr>
      <w:r>
        <w:rPr>
          <w:rFonts w:ascii="Times New Roman" w:cs="Times New Roman" w:eastAsia="Times New Roman" w:hAnsi="Times New Roman"/>
          <w:sz w:val="18"/>
          <w:szCs w:val="18"/>
          <w:b w:val="1"/>
          <w:bCs w:val="1"/>
          <w:color w:val="auto"/>
        </w:rPr>
        <w:t>CELESTICA INC.</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of U.S. dollars, except percentages and per share amounts)</w:t>
      </w:r>
    </w:p>
    <w:p>
      <w:pPr>
        <w:spacing w:after="0" w:line="200" w:lineRule="exact"/>
        <w:rPr>
          <w:sz w:val="20"/>
          <w:szCs w:val="20"/>
          <w:color w:val="auto"/>
        </w:rPr>
      </w:pPr>
    </w:p>
    <w:p>
      <w:pPr>
        <w:spacing w:after="0" w:line="205"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6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00" w:type="dxa"/>
            <w:vAlign w:val="bottom"/>
            <w:gridSpan w:val="5"/>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Pension Plans</w:t>
            </w:r>
          </w:p>
        </w:tc>
        <w:tc>
          <w:tcPr>
            <w:tcW w:w="220" w:type="dxa"/>
            <w:vAlign w:val="bottom"/>
          </w:tcPr>
          <w:p>
            <w:pPr>
              <w:spacing w:after="0"/>
              <w:rPr>
                <w:sz w:val="17"/>
                <w:szCs w:val="17"/>
                <w:color w:val="auto"/>
              </w:rPr>
            </w:pPr>
          </w:p>
        </w:tc>
        <w:tc>
          <w:tcPr>
            <w:tcW w:w="2000" w:type="dxa"/>
            <w:vAlign w:val="bottom"/>
            <w:gridSpan w:val="4"/>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Other Benefit Plans</w:t>
            </w:r>
          </w:p>
        </w:tc>
        <w:tc>
          <w:tcPr>
            <w:tcW w:w="0" w:type="dxa"/>
            <w:vAlign w:val="bottom"/>
          </w:tcPr>
          <w:p>
            <w:pPr>
              <w:spacing w:after="0"/>
              <w:rPr>
                <w:sz w:val="1"/>
                <w:szCs w:val="1"/>
                <w:color w:val="auto"/>
              </w:rPr>
            </w:pPr>
          </w:p>
        </w:tc>
      </w:tr>
      <w:tr>
        <w:trPr>
          <w:trHeight w:val="175"/>
        </w:trPr>
        <w:tc>
          <w:tcPr>
            <w:tcW w:w="6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100" w:type="dxa"/>
            <w:vAlign w:val="bottom"/>
            <w:gridSpan w:val="5"/>
          </w:tcPr>
          <w:p>
            <w:pPr>
              <w:jc w:val="center"/>
              <w:ind w:right="380"/>
              <w:spacing w:after="0" w:line="176" w:lineRule="exact"/>
              <w:rPr>
                <w:sz w:val="20"/>
                <w:szCs w:val="20"/>
                <w:color w:val="auto"/>
              </w:rPr>
            </w:pPr>
            <w:r>
              <w:rPr>
                <w:rFonts w:ascii="Times New Roman" w:cs="Times New Roman" w:eastAsia="Times New Roman" w:hAnsi="Times New Roman"/>
                <w:sz w:val="18"/>
                <w:szCs w:val="18"/>
                <w:b w:val="1"/>
                <w:bCs w:val="1"/>
                <w:color w:val="auto"/>
                <w:w w:val="99"/>
              </w:rPr>
              <w:t>Year ended</w:t>
            </w:r>
          </w:p>
        </w:tc>
        <w:tc>
          <w:tcPr>
            <w:tcW w:w="220" w:type="dxa"/>
            <w:vAlign w:val="bottom"/>
          </w:tcPr>
          <w:p>
            <w:pPr>
              <w:spacing w:after="0"/>
              <w:rPr>
                <w:sz w:val="15"/>
                <w:szCs w:val="15"/>
                <w:color w:val="auto"/>
              </w:rPr>
            </w:pPr>
          </w:p>
        </w:tc>
        <w:tc>
          <w:tcPr>
            <w:tcW w:w="2000" w:type="dxa"/>
            <w:vAlign w:val="bottom"/>
            <w:gridSpan w:val="4"/>
          </w:tcPr>
          <w:p>
            <w:pPr>
              <w:jc w:val="right"/>
              <w:ind w:right="610"/>
              <w:spacing w:after="0" w:line="176" w:lineRule="exact"/>
              <w:rPr>
                <w:sz w:val="20"/>
                <w:szCs w:val="20"/>
                <w:color w:val="auto"/>
              </w:rPr>
            </w:pPr>
            <w:r>
              <w:rPr>
                <w:rFonts w:ascii="Times New Roman" w:cs="Times New Roman" w:eastAsia="Times New Roman" w:hAnsi="Times New Roman"/>
                <w:sz w:val="18"/>
                <w:szCs w:val="18"/>
                <w:b w:val="1"/>
                <w:bCs w:val="1"/>
                <w:color w:val="auto"/>
              </w:rPr>
              <w:t>Year ended</w:t>
            </w:r>
          </w:p>
        </w:tc>
        <w:tc>
          <w:tcPr>
            <w:tcW w:w="0" w:type="dxa"/>
            <w:vAlign w:val="bottom"/>
          </w:tcPr>
          <w:p>
            <w:pPr>
              <w:spacing w:after="0"/>
              <w:rPr>
                <w:sz w:val="1"/>
                <w:szCs w:val="1"/>
                <w:color w:val="auto"/>
              </w:rPr>
            </w:pPr>
          </w:p>
        </w:tc>
      </w:tr>
      <w:tr>
        <w:trPr>
          <w:trHeight w:val="250"/>
        </w:trPr>
        <w:tc>
          <w:tcPr>
            <w:tcW w:w="6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100" w:type="dxa"/>
            <w:vAlign w:val="bottom"/>
            <w:gridSpan w:val="5"/>
          </w:tcPr>
          <w:p>
            <w:pPr>
              <w:ind w:left="3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20" w:type="dxa"/>
            <w:vAlign w:val="bottom"/>
          </w:tcPr>
          <w:p>
            <w:pPr>
              <w:spacing w:after="0"/>
              <w:rPr>
                <w:sz w:val="21"/>
                <w:szCs w:val="21"/>
                <w:color w:val="auto"/>
              </w:rPr>
            </w:pPr>
          </w:p>
        </w:tc>
        <w:tc>
          <w:tcPr>
            <w:tcW w:w="2000" w:type="dxa"/>
            <w:vAlign w:val="bottom"/>
            <w:gridSpan w:val="4"/>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0"/>
        </w:trPr>
        <w:tc>
          <w:tcPr>
            <w:tcW w:w="60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Benefit obligation, beginning of year</w:t>
            </w: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18"/>
        </w:trPr>
        <w:tc>
          <w:tcPr>
            <w:tcW w:w="6000" w:type="dxa"/>
            <w:vAlign w:val="bottom"/>
            <w:vMerge w:val="continue"/>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219.3</w:t>
            </w:r>
          </w:p>
        </w:tc>
        <w:tc>
          <w:tcPr>
            <w:tcW w:w="1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216.9</w:t>
            </w:r>
          </w:p>
        </w:tc>
        <w:tc>
          <w:tcPr>
            <w:tcW w:w="1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10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0" w:type="dxa"/>
            <w:vAlign w:val="bottom"/>
          </w:tcPr>
          <w:p>
            <w:pPr>
              <w:spacing w:after="0"/>
              <w:rPr>
                <w:sz w:val="1"/>
                <w:szCs w:val="1"/>
                <w:color w:val="auto"/>
              </w:rPr>
            </w:pPr>
          </w:p>
        </w:tc>
      </w:tr>
      <w:tr>
        <w:trPr>
          <w:trHeight w:val="230"/>
        </w:trPr>
        <w:tc>
          <w:tcPr>
            <w:tcW w:w="6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Service costs</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29"/>
        </w:trPr>
        <w:tc>
          <w:tcPr>
            <w:tcW w:w="6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costs</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29"/>
        </w:trPr>
        <w:tc>
          <w:tcPr>
            <w:tcW w:w="6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Administrative expenses paid</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Actuarial losses (gains)</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29"/>
        </w:trPr>
        <w:tc>
          <w:tcPr>
            <w:tcW w:w="6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Settlement/curtailment payments from plan</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30"/>
        </w:trPr>
        <w:tc>
          <w:tcPr>
            <w:tcW w:w="6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Benefit payments from plan</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6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Benefit payments from employer</w:t>
            </w:r>
          </w:p>
        </w:tc>
        <w:tc>
          <w:tcPr>
            <w:tcW w:w="2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61"/>
        </w:trPr>
        <w:tc>
          <w:tcPr>
            <w:tcW w:w="6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Foreign currency exchange rate changes and other</w:t>
            </w: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23"/>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Benefit obligation, end of year</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196.6</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219.3</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3"/>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Funded status at end of year</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tcPr>
          <w:p>
            <w:pPr>
              <w:spacing w:after="0"/>
              <w:rPr>
                <w:sz w:val="24"/>
                <w:szCs w:val="24"/>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20" w:type="dxa"/>
            <w:vAlign w:val="bottom"/>
          </w:tcPr>
          <w:p>
            <w:pPr>
              <w:spacing w:after="0"/>
              <w:rPr>
                <w:sz w:val="24"/>
                <w:szCs w:val="24"/>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100" w:type="dxa"/>
            <w:vAlign w:val="bottom"/>
          </w:tcPr>
          <w:p>
            <w:pPr>
              <w:spacing w:after="0"/>
              <w:rPr>
                <w:sz w:val="24"/>
                <w:szCs w:val="24"/>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0" w:type="dxa"/>
            <w:vAlign w:val="bottom"/>
          </w:tcPr>
          <w:p>
            <w:pPr>
              <w:spacing w:after="0"/>
              <w:rPr>
                <w:sz w:val="1"/>
                <w:szCs w:val="1"/>
                <w:color w:val="auto"/>
              </w:rPr>
            </w:pPr>
          </w:p>
        </w:tc>
      </w:tr>
      <w:tr>
        <w:trPr>
          <w:trHeight w:val="275"/>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duration of benefit obligations (in years)</w:t>
            </w:r>
          </w:p>
        </w:tc>
        <w:tc>
          <w:tcPr>
            <w:tcW w:w="2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bl>
    <w:p>
      <w:pPr>
        <w:spacing w:after="0" w:line="306" w:lineRule="exact"/>
        <w:rPr>
          <w:sz w:val="20"/>
          <w:szCs w:val="20"/>
          <w:color w:val="auto"/>
        </w:rPr>
      </w:pPr>
    </w:p>
    <w:p>
      <w:pPr>
        <w:ind w:firstLine="648"/>
        <w:spacing w:after="0" w:line="275" w:lineRule="auto"/>
        <w:rPr>
          <w:sz w:val="20"/>
          <w:szCs w:val="20"/>
          <w:color w:val="auto"/>
        </w:rPr>
      </w:pPr>
      <w:r>
        <w:rPr>
          <w:rFonts w:ascii="Times New Roman" w:cs="Times New Roman" w:eastAsia="Times New Roman" w:hAnsi="Times New Roman"/>
          <w:sz w:val="18"/>
          <w:szCs w:val="18"/>
          <w:color w:val="auto"/>
        </w:rPr>
        <w:t>The following table outlines the information for our defined benefit pension plan and non-pension post-employment benefit plans with an accumulated benefit obligation in excess of plan assets:</w:t>
      </w:r>
    </w:p>
    <w:tbl>
      <w:tblPr>
        <w:tblLayout w:type="fixed"/>
        <w:tblInd w:w="60" w:type="dxa"/>
        <w:tblCellMar>
          <w:top w:w="0" w:type="dxa"/>
          <w:left w:w="0" w:type="dxa"/>
          <w:bottom w:w="0" w:type="dxa"/>
          <w:right w:w="0" w:type="dxa"/>
        </w:tblCellMar>
      </w:tblPr>
      <w:tr>
        <w:trPr>
          <w:trHeight w:val="165"/>
        </w:trPr>
        <w:tc>
          <w:tcPr>
            <w:tcW w:w="6420" w:type="dxa"/>
            <w:vAlign w:val="bottom"/>
          </w:tcPr>
          <w:p>
            <w:pPr>
              <w:spacing w:after="0"/>
              <w:rPr>
                <w:sz w:val="14"/>
                <w:szCs w:val="14"/>
                <w:color w:val="auto"/>
              </w:rPr>
            </w:pPr>
          </w:p>
        </w:tc>
        <w:tc>
          <w:tcPr>
            <w:tcW w:w="1980" w:type="dxa"/>
            <w:vAlign w:val="bottom"/>
            <w:gridSpan w:val="4"/>
          </w:tcPr>
          <w:p>
            <w:pPr>
              <w:jc w:val="center"/>
              <w:ind w:left="219"/>
              <w:spacing w:after="0" w:line="165" w:lineRule="exact"/>
              <w:rPr>
                <w:sz w:val="20"/>
                <w:szCs w:val="20"/>
                <w:color w:val="auto"/>
              </w:rPr>
            </w:pPr>
            <w:r>
              <w:rPr>
                <w:rFonts w:ascii="Times New Roman" w:cs="Times New Roman" w:eastAsia="Times New Roman" w:hAnsi="Times New Roman"/>
                <w:sz w:val="16"/>
                <w:szCs w:val="16"/>
                <w:b w:val="1"/>
                <w:bCs w:val="1"/>
                <w:color w:val="auto"/>
              </w:rPr>
              <w:t>Pension Plans</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20" w:type="dxa"/>
            <w:vAlign w:val="bottom"/>
            <w:gridSpan w:val="4"/>
          </w:tcPr>
          <w:p>
            <w:pPr>
              <w:jc w:val="center"/>
              <w:spacing w:after="0" w:line="165" w:lineRule="exact"/>
              <w:rPr>
                <w:sz w:val="20"/>
                <w:szCs w:val="20"/>
                <w:color w:val="auto"/>
              </w:rPr>
            </w:pPr>
            <w:r>
              <w:rPr>
                <w:rFonts w:ascii="Times New Roman" w:cs="Times New Roman" w:eastAsia="Times New Roman" w:hAnsi="Times New Roman"/>
                <w:sz w:val="16"/>
                <w:szCs w:val="16"/>
                <w:b w:val="1"/>
                <w:bCs w:val="1"/>
                <w:color w:val="auto"/>
              </w:rPr>
              <w:t>Other Benefit Plans</w:t>
            </w:r>
          </w:p>
        </w:tc>
      </w:tr>
      <w:tr>
        <w:trPr>
          <w:trHeight w:val="162"/>
        </w:trPr>
        <w:tc>
          <w:tcPr>
            <w:tcW w:w="6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40" w:type="dxa"/>
            <w:vAlign w:val="bottom"/>
            <w:gridSpan w:val="3"/>
          </w:tcPr>
          <w:p>
            <w:pPr>
              <w:jc w:val="center"/>
              <w:ind w:right="420"/>
              <w:spacing w:after="0" w:line="162" w:lineRule="exact"/>
              <w:rPr>
                <w:sz w:val="20"/>
                <w:szCs w:val="20"/>
                <w:color w:val="auto"/>
              </w:rPr>
            </w:pPr>
            <w:r>
              <w:rPr>
                <w:rFonts w:ascii="Times New Roman" w:cs="Times New Roman" w:eastAsia="Times New Roman" w:hAnsi="Times New Roman"/>
                <w:sz w:val="16"/>
                <w:szCs w:val="16"/>
                <w:b w:val="1"/>
                <w:bCs w:val="1"/>
                <w:color w:val="auto"/>
                <w:w w:val="99"/>
              </w:rPr>
              <w:t>Year ended</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3"/>
          </w:tcPr>
          <w:p>
            <w:pPr>
              <w:jc w:val="center"/>
              <w:ind w:left="619"/>
              <w:spacing w:after="0" w:line="162" w:lineRule="exact"/>
              <w:rPr>
                <w:sz w:val="20"/>
                <w:szCs w:val="20"/>
                <w:color w:val="auto"/>
              </w:rPr>
            </w:pPr>
            <w:r>
              <w:rPr>
                <w:rFonts w:ascii="Times New Roman" w:cs="Times New Roman" w:eastAsia="Times New Roman" w:hAnsi="Times New Roman"/>
                <w:sz w:val="16"/>
                <w:szCs w:val="16"/>
                <w:b w:val="1"/>
                <w:bCs w:val="1"/>
                <w:color w:val="auto"/>
                <w:w w:val="99"/>
              </w:rPr>
              <w:t>Year ended</w:t>
            </w:r>
          </w:p>
        </w:tc>
        <w:tc>
          <w:tcPr>
            <w:tcW w:w="760" w:type="dxa"/>
            <w:vAlign w:val="bottom"/>
          </w:tcPr>
          <w:p>
            <w:pPr>
              <w:spacing w:after="0"/>
              <w:rPr>
                <w:sz w:val="14"/>
                <w:szCs w:val="14"/>
                <w:color w:val="auto"/>
              </w:rPr>
            </w:pPr>
          </w:p>
        </w:tc>
      </w:tr>
      <w:tr>
        <w:trPr>
          <w:trHeight w:val="223"/>
        </w:trPr>
        <w:tc>
          <w:tcPr>
            <w:tcW w:w="6420" w:type="dxa"/>
            <w:vAlign w:val="bottom"/>
          </w:tcPr>
          <w:p>
            <w:pPr>
              <w:spacing w:after="0"/>
              <w:rPr>
                <w:sz w:val="19"/>
                <w:szCs w:val="19"/>
                <w:color w:val="auto"/>
              </w:rPr>
            </w:pPr>
          </w:p>
        </w:tc>
        <w:tc>
          <w:tcPr>
            <w:tcW w:w="1980" w:type="dxa"/>
            <w:vAlign w:val="bottom"/>
            <w:tcBorders>
              <w:bottom w:val="single" w:sz="8" w:color="auto"/>
            </w:tcBorders>
            <w:gridSpan w:val="4"/>
          </w:tcPr>
          <w:p>
            <w:pPr>
              <w:jc w:val="center"/>
              <w:ind w:left="27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3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3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2"/>
        </w:trPr>
        <w:tc>
          <w:tcPr>
            <w:tcW w:w="6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4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2023</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08"/>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Accumulated benefit obligations</w:t>
            </w:r>
          </w:p>
        </w:tc>
        <w:tc>
          <w:tcPr>
            <w:tcW w:w="74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27.8</w:t>
            </w:r>
          </w:p>
        </w:tc>
        <w:tc>
          <w:tcPr>
            <w:tcW w:w="10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26.8</w:t>
            </w:r>
          </w:p>
        </w:tc>
        <w:tc>
          <w:tcPr>
            <w:tcW w:w="120" w:type="dxa"/>
            <w:vAlign w:val="bottom"/>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17.8</w:t>
            </w:r>
          </w:p>
        </w:tc>
      </w:tr>
      <w:tr>
        <w:trPr>
          <w:trHeight w:val="234"/>
        </w:trPr>
        <w:tc>
          <w:tcPr>
            <w:tcW w:w="7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Fair value of plan assets</w:t>
            </w: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20" w:type="dxa"/>
            <w:vAlign w:val="bottom"/>
          </w:tcPr>
          <w:p>
            <w:pPr>
              <w:spacing w:after="0"/>
              <w:rPr>
                <w:sz w:val="20"/>
                <w:szCs w:val="20"/>
                <w:color w:val="auto"/>
              </w:rPr>
            </w:pPr>
          </w:p>
        </w:tc>
        <w:tc>
          <w:tcPr>
            <w:tcW w:w="1560" w:type="dxa"/>
            <w:vAlign w:val="bottom"/>
            <w:gridSpan w:val="3"/>
          </w:tcPr>
          <w:p>
            <w:pPr>
              <w:jc w:val="center"/>
              <w:ind w:left="27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center"/>
              <w:ind w:left="399"/>
              <w:spacing w:after="0"/>
              <w:rPr>
                <w:sz w:val="20"/>
                <w:szCs w:val="20"/>
                <w:color w:val="auto"/>
              </w:rPr>
            </w:pPr>
            <w:r>
              <w:rPr>
                <w:rFonts w:ascii="Times New Roman" w:cs="Times New Roman" w:eastAsia="Times New Roman" w:hAnsi="Times New Roman"/>
                <w:sz w:val="16"/>
                <w:szCs w:val="16"/>
                <w:color w:val="auto"/>
                <w:w w:val="99"/>
              </w:rPr>
              <w:t>—</w:t>
            </w:r>
          </w:p>
        </w:tc>
      </w:tr>
    </w:tbl>
    <w:p>
      <w:pPr>
        <w:spacing w:after="0" w:line="319"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18"/>
          <w:szCs w:val="18"/>
          <w:color w:val="auto"/>
        </w:rPr>
        <w:t>The following table outlines the information for our defined benefit pension plan and non-pension post-employment benefit plans with a projected benefit obligation in excess of plan assets:</w:t>
      </w:r>
    </w:p>
    <w:tbl>
      <w:tblPr>
        <w:tblLayout w:type="fixed"/>
        <w:tblInd w:w="60" w:type="dxa"/>
        <w:tblCellMar>
          <w:top w:w="0" w:type="dxa"/>
          <w:left w:w="0" w:type="dxa"/>
          <w:bottom w:w="0" w:type="dxa"/>
          <w:right w:w="0" w:type="dxa"/>
        </w:tblCellMar>
      </w:tblPr>
      <w:tr>
        <w:trPr>
          <w:trHeight w:val="165"/>
        </w:trPr>
        <w:tc>
          <w:tcPr>
            <w:tcW w:w="6420" w:type="dxa"/>
            <w:vAlign w:val="bottom"/>
          </w:tcPr>
          <w:p>
            <w:pPr>
              <w:spacing w:after="0"/>
              <w:rPr>
                <w:sz w:val="14"/>
                <w:szCs w:val="14"/>
                <w:color w:val="auto"/>
              </w:rPr>
            </w:pPr>
          </w:p>
        </w:tc>
        <w:tc>
          <w:tcPr>
            <w:tcW w:w="1980" w:type="dxa"/>
            <w:vAlign w:val="bottom"/>
            <w:gridSpan w:val="4"/>
          </w:tcPr>
          <w:p>
            <w:pPr>
              <w:jc w:val="center"/>
              <w:ind w:left="219"/>
              <w:spacing w:after="0" w:line="165" w:lineRule="exact"/>
              <w:rPr>
                <w:sz w:val="20"/>
                <w:szCs w:val="20"/>
                <w:color w:val="auto"/>
              </w:rPr>
            </w:pPr>
            <w:r>
              <w:rPr>
                <w:rFonts w:ascii="Times New Roman" w:cs="Times New Roman" w:eastAsia="Times New Roman" w:hAnsi="Times New Roman"/>
                <w:sz w:val="16"/>
                <w:szCs w:val="16"/>
                <w:b w:val="1"/>
                <w:bCs w:val="1"/>
                <w:color w:val="auto"/>
              </w:rPr>
              <w:t>Pension Plans</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20" w:type="dxa"/>
            <w:vAlign w:val="bottom"/>
            <w:gridSpan w:val="4"/>
          </w:tcPr>
          <w:p>
            <w:pPr>
              <w:jc w:val="center"/>
              <w:spacing w:after="0" w:line="165" w:lineRule="exact"/>
              <w:rPr>
                <w:sz w:val="20"/>
                <w:szCs w:val="20"/>
                <w:color w:val="auto"/>
              </w:rPr>
            </w:pPr>
            <w:r>
              <w:rPr>
                <w:rFonts w:ascii="Times New Roman" w:cs="Times New Roman" w:eastAsia="Times New Roman" w:hAnsi="Times New Roman"/>
                <w:sz w:val="16"/>
                <w:szCs w:val="16"/>
                <w:b w:val="1"/>
                <w:bCs w:val="1"/>
                <w:color w:val="auto"/>
              </w:rPr>
              <w:t>Other Benefit Plans</w:t>
            </w:r>
          </w:p>
        </w:tc>
      </w:tr>
      <w:tr>
        <w:trPr>
          <w:trHeight w:val="162"/>
        </w:trPr>
        <w:tc>
          <w:tcPr>
            <w:tcW w:w="6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40" w:type="dxa"/>
            <w:vAlign w:val="bottom"/>
            <w:gridSpan w:val="3"/>
          </w:tcPr>
          <w:p>
            <w:pPr>
              <w:jc w:val="center"/>
              <w:ind w:right="420"/>
              <w:spacing w:after="0" w:line="162" w:lineRule="exact"/>
              <w:rPr>
                <w:sz w:val="20"/>
                <w:szCs w:val="20"/>
                <w:color w:val="auto"/>
              </w:rPr>
            </w:pPr>
            <w:r>
              <w:rPr>
                <w:rFonts w:ascii="Times New Roman" w:cs="Times New Roman" w:eastAsia="Times New Roman" w:hAnsi="Times New Roman"/>
                <w:sz w:val="16"/>
                <w:szCs w:val="16"/>
                <w:b w:val="1"/>
                <w:bCs w:val="1"/>
                <w:color w:val="auto"/>
                <w:w w:val="99"/>
              </w:rPr>
              <w:t>Year ended</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3"/>
          </w:tcPr>
          <w:p>
            <w:pPr>
              <w:jc w:val="center"/>
              <w:ind w:left="619"/>
              <w:spacing w:after="0" w:line="162" w:lineRule="exact"/>
              <w:rPr>
                <w:sz w:val="20"/>
                <w:szCs w:val="20"/>
                <w:color w:val="auto"/>
              </w:rPr>
            </w:pPr>
            <w:r>
              <w:rPr>
                <w:rFonts w:ascii="Times New Roman" w:cs="Times New Roman" w:eastAsia="Times New Roman" w:hAnsi="Times New Roman"/>
                <w:sz w:val="16"/>
                <w:szCs w:val="16"/>
                <w:b w:val="1"/>
                <w:bCs w:val="1"/>
                <w:color w:val="auto"/>
                <w:w w:val="99"/>
              </w:rPr>
              <w:t>Year ended</w:t>
            </w:r>
          </w:p>
        </w:tc>
        <w:tc>
          <w:tcPr>
            <w:tcW w:w="760" w:type="dxa"/>
            <w:vAlign w:val="bottom"/>
          </w:tcPr>
          <w:p>
            <w:pPr>
              <w:spacing w:after="0"/>
              <w:rPr>
                <w:sz w:val="14"/>
                <w:szCs w:val="14"/>
                <w:color w:val="auto"/>
              </w:rPr>
            </w:pPr>
          </w:p>
        </w:tc>
      </w:tr>
      <w:tr>
        <w:trPr>
          <w:trHeight w:val="223"/>
        </w:trPr>
        <w:tc>
          <w:tcPr>
            <w:tcW w:w="6420" w:type="dxa"/>
            <w:vAlign w:val="bottom"/>
          </w:tcPr>
          <w:p>
            <w:pPr>
              <w:spacing w:after="0"/>
              <w:rPr>
                <w:sz w:val="19"/>
                <w:szCs w:val="19"/>
                <w:color w:val="auto"/>
              </w:rPr>
            </w:pPr>
          </w:p>
        </w:tc>
        <w:tc>
          <w:tcPr>
            <w:tcW w:w="1980" w:type="dxa"/>
            <w:vAlign w:val="bottom"/>
            <w:tcBorders>
              <w:bottom w:val="single" w:sz="8" w:color="auto"/>
            </w:tcBorders>
            <w:gridSpan w:val="4"/>
          </w:tcPr>
          <w:p>
            <w:pPr>
              <w:jc w:val="center"/>
              <w:ind w:left="27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3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3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2"/>
        </w:trPr>
        <w:tc>
          <w:tcPr>
            <w:tcW w:w="6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4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2023</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08"/>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Projected benefit obligations</w:t>
            </w:r>
          </w:p>
        </w:tc>
        <w:tc>
          <w:tcPr>
            <w:tcW w:w="74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27.8</w:t>
            </w:r>
          </w:p>
        </w:tc>
        <w:tc>
          <w:tcPr>
            <w:tcW w:w="10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26.8</w:t>
            </w:r>
          </w:p>
        </w:tc>
        <w:tc>
          <w:tcPr>
            <w:tcW w:w="120" w:type="dxa"/>
            <w:vAlign w:val="bottom"/>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72.3</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72.2</w:t>
            </w:r>
          </w:p>
        </w:tc>
      </w:tr>
      <w:tr>
        <w:trPr>
          <w:trHeight w:val="234"/>
        </w:trPr>
        <w:tc>
          <w:tcPr>
            <w:tcW w:w="7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Fair value of plan assets</w:t>
            </w: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jc w:val="center"/>
              <w:ind w:left="399"/>
              <w:spacing w:after="0"/>
              <w:rPr>
                <w:sz w:val="20"/>
                <w:szCs w:val="20"/>
                <w:color w:val="auto"/>
              </w:rPr>
            </w:pPr>
            <w:r>
              <w:rPr>
                <w:rFonts w:ascii="Times New Roman" w:cs="Times New Roman" w:eastAsia="Times New Roman" w:hAnsi="Times New Roman"/>
                <w:sz w:val="16"/>
                <w:szCs w:val="16"/>
                <w:color w:val="auto"/>
                <w:w w:val="99"/>
              </w:rPr>
              <w:t>—</w:t>
            </w:r>
          </w:p>
        </w:tc>
      </w:tr>
    </w:tbl>
    <w:p>
      <w:pPr>
        <w:spacing w:after="0" w:line="3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outlines the plan balances as reported on our consolidated balance sheets:</w:t>
      </w:r>
    </w:p>
    <w:p>
      <w:pPr>
        <w:spacing w:after="0" w:line="46"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5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6"/>
          </w:tcPr>
          <w:p>
            <w:pPr>
              <w:jc w:val="center"/>
              <w:ind w:left="473"/>
              <w:spacing w:after="0"/>
              <w:rPr>
                <w:sz w:val="20"/>
                <w:szCs w:val="20"/>
                <w:color w:val="auto"/>
              </w:rPr>
            </w:pPr>
            <w:r>
              <w:rPr>
                <w:rFonts w:ascii="Times New Roman" w:cs="Times New Roman" w:eastAsia="Times New Roman" w:hAnsi="Times New Roman"/>
                <w:sz w:val="18"/>
                <w:szCs w:val="18"/>
                <w:b w:val="1"/>
                <w:bCs w:val="1"/>
                <w:color w:val="auto"/>
                <w:w w:val="98"/>
              </w:rPr>
              <w:t>December 31, 2024</w:t>
            </w:r>
          </w:p>
        </w:tc>
        <w:tc>
          <w:tcPr>
            <w:tcW w:w="7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6"/>
          </w:tcPr>
          <w:p>
            <w:pPr>
              <w:jc w:val="center"/>
              <w:ind w:left="473"/>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7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5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Pension</w:t>
            </w:r>
          </w:p>
        </w:tc>
        <w:tc>
          <w:tcPr>
            <w:tcW w:w="160" w:type="dxa"/>
            <w:vAlign w:val="bottom"/>
          </w:tcPr>
          <w:p>
            <w:pPr>
              <w:spacing w:after="0"/>
              <w:rPr>
                <w:sz w:val="13"/>
                <w:szCs w:val="13"/>
                <w:color w:val="auto"/>
              </w:rPr>
            </w:pPr>
          </w:p>
        </w:tc>
        <w:tc>
          <w:tcPr>
            <w:tcW w:w="860" w:type="dxa"/>
            <w:vAlign w:val="bottom"/>
            <w:gridSpan w:val="2"/>
          </w:tcPr>
          <w:p>
            <w:pPr>
              <w:jc w:val="center"/>
              <w:ind w:right="320"/>
              <w:spacing w:after="0" w:line="155" w:lineRule="exact"/>
              <w:rPr>
                <w:sz w:val="20"/>
                <w:szCs w:val="20"/>
                <w:color w:val="auto"/>
              </w:rPr>
            </w:pPr>
            <w:r>
              <w:rPr>
                <w:rFonts w:ascii="Times New Roman" w:cs="Times New Roman" w:eastAsia="Times New Roman" w:hAnsi="Times New Roman"/>
                <w:sz w:val="16"/>
                <w:szCs w:val="16"/>
                <w:b w:val="1"/>
                <w:bCs w:val="1"/>
                <w:color w:val="auto"/>
              </w:rPr>
              <w:t>Other</w:t>
            </w: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Pension</w:t>
            </w:r>
          </w:p>
        </w:tc>
        <w:tc>
          <w:tcPr>
            <w:tcW w:w="160" w:type="dxa"/>
            <w:vAlign w:val="bottom"/>
          </w:tcPr>
          <w:p>
            <w:pPr>
              <w:spacing w:after="0"/>
              <w:rPr>
                <w:sz w:val="13"/>
                <w:szCs w:val="13"/>
                <w:color w:val="auto"/>
              </w:rPr>
            </w:pPr>
          </w:p>
        </w:tc>
        <w:tc>
          <w:tcPr>
            <w:tcW w:w="860" w:type="dxa"/>
            <w:vAlign w:val="bottom"/>
            <w:gridSpan w:val="2"/>
          </w:tcPr>
          <w:p>
            <w:pPr>
              <w:jc w:val="center"/>
              <w:ind w:right="320"/>
              <w:spacing w:after="0" w:line="155" w:lineRule="exact"/>
              <w:rPr>
                <w:sz w:val="20"/>
                <w:szCs w:val="20"/>
                <w:color w:val="auto"/>
              </w:rPr>
            </w:pPr>
            <w:r>
              <w:rPr>
                <w:rFonts w:ascii="Times New Roman" w:cs="Times New Roman" w:eastAsia="Times New Roman" w:hAnsi="Times New Roman"/>
                <w:sz w:val="16"/>
                <w:szCs w:val="16"/>
                <w:b w:val="1"/>
                <w:bCs w:val="1"/>
                <w:color w:val="auto"/>
              </w:rPr>
              <w:t>Other</w:t>
            </w: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rPr>
              <w:t>Benefit</w:t>
            </w:r>
          </w:p>
        </w:tc>
        <w:tc>
          <w:tcPr>
            <w:tcW w:w="220" w:type="dxa"/>
            <w:vAlign w:val="bottom"/>
          </w:tcPr>
          <w:p>
            <w:pPr>
              <w:spacing w:after="0"/>
              <w:rPr>
                <w:sz w:val="14"/>
                <w:szCs w:val="14"/>
                <w:color w:val="auto"/>
              </w:rPr>
            </w:pPr>
          </w:p>
        </w:tc>
        <w:tc>
          <w:tcPr>
            <w:tcW w:w="80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4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rPr>
              <w:t>Benefit</w:t>
            </w:r>
          </w:p>
        </w:tc>
        <w:tc>
          <w:tcPr>
            <w:tcW w:w="220" w:type="dxa"/>
            <w:vAlign w:val="bottom"/>
          </w:tcPr>
          <w:p>
            <w:pPr>
              <w:spacing w:after="0"/>
              <w:rPr>
                <w:sz w:val="14"/>
                <w:szCs w:val="14"/>
                <w:color w:val="auto"/>
              </w:rPr>
            </w:pPr>
          </w:p>
        </w:tc>
        <w:tc>
          <w:tcPr>
            <w:tcW w:w="700" w:type="dxa"/>
            <w:vAlign w:val="bottom"/>
            <w:vMerge w:val="restart"/>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23"/>
        </w:trPr>
        <w:tc>
          <w:tcPr>
            <w:tcW w:w="5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Plans</w:t>
            </w:r>
          </w:p>
        </w:tc>
        <w:tc>
          <w:tcPr>
            <w:tcW w:w="160" w:type="dxa"/>
            <w:vAlign w:val="bottom"/>
          </w:tcPr>
          <w:p>
            <w:pPr>
              <w:spacing w:after="0"/>
              <w:rPr>
                <w:sz w:val="19"/>
                <w:szCs w:val="19"/>
                <w:color w:val="auto"/>
              </w:rPr>
            </w:pPr>
          </w:p>
        </w:tc>
        <w:tc>
          <w:tcPr>
            <w:tcW w:w="8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Plans</w:t>
            </w:r>
          </w:p>
        </w:tc>
        <w:tc>
          <w:tcPr>
            <w:tcW w:w="220" w:type="dxa"/>
            <w:vAlign w:val="bottom"/>
          </w:tcPr>
          <w:p>
            <w:pPr>
              <w:spacing w:after="0"/>
              <w:rPr>
                <w:sz w:val="19"/>
                <w:szCs w:val="19"/>
                <w:color w:val="auto"/>
              </w:rPr>
            </w:pPr>
          </w:p>
        </w:tc>
        <w:tc>
          <w:tcPr>
            <w:tcW w:w="80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Plans</w:t>
            </w:r>
          </w:p>
        </w:tc>
        <w:tc>
          <w:tcPr>
            <w:tcW w:w="160" w:type="dxa"/>
            <w:vAlign w:val="bottom"/>
          </w:tcPr>
          <w:p>
            <w:pPr>
              <w:spacing w:after="0"/>
              <w:rPr>
                <w:sz w:val="19"/>
                <w:szCs w:val="19"/>
                <w:color w:val="auto"/>
              </w:rPr>
            </w:pPr>
          </w:p>
        </w:tc>
        <w:tc>
          <w:tcPr>
            <w:tcW w:w="8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Plans</w:t>
            </w:r>
          </w:p>
        </w:tc>
        <w:tc>
          <w:tcPr>
            <w:tcW w:w="220" w:type="dxa"/>
            <w:vAlign w:val="bottom"/>
          </w:tcPr>
          <w:p>
            <w:pPr>
              <w:spacing w:after="0"/>
              <w:rPr>
                <w:sz w:val="19"/>
                <w:szCs w:val="19"/>
                <w:color w:val="auto"/>
              </w:rPr>
            </w:pPr>
          </w:p>
        </w:tc>
        <w:tc>
          <w:tcPr>
            <w:tcW w:w="7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Pension and non-pension post-employment benefit obligations</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2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100" w:type="dxa"/>
            <w:vAlign w:val="bottom"/>
          </w:tcPr>
          <w:p>
            <w:pPr>
              <w:spacing w:after="0"/>
              <w:rPr>
                <w:sz w:val="19"/>
                <w:szCs w:val="19"/>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2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100" w:type="dxa"/>
            <w:vAlign w:val="bottom"/>
          </w:tcPr>
          <w:p>
            <w:pPr>
              <w:spacing w:after="0"/>
              <w:rPr>
                <w:sz w:val="19"/>
                <w:szCs w:val="19"/>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0" w:type="dxa"/>
            <w:vAlign w:val="bottom"/>
          </w:tcPr>
          <w:p>
            <w:pPr>
              <w:spacing w:after="0"/>
              <w:rPr>
                <w:sz w:val="1"/>
                <w:szCs w:val="1"/>
                <w:color w:val="auto"/>
              </w:rPr>
            </w:pPr>
          </w:p>
        </w:tc>
      </w:tr>
      <w:tr>
        <w:trPr>
          <w:trHeight w:val="230"/>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Current other post-employment benefit obligations</w:t>
            </w:r>
          </w:p>
        </w:tc>
        <w:tc>
          <w:tcPr>
            <w:tcW w:w="14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34"/>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Non-current net pension assets (note 9)</w:t>
            </w: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23"/>
        </w:trPr>
        <w:tc>
          <w:tcPr>
            <w:tcW w:w="5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51" w:name="page152"/>
    <w:bookmarkEnd w:id="151"/>
    <w:p>
      <w:pPr>
        <w:jc w:val="center"/>
        <w:spacing w:after="0"/>
        <w:rPr>
          <w:sz w:val="20"/>
          <w:szCs w:val="20"/>
          <w:color w:val="auto"/>
        </w:rPr>
      </w:pPr>
      <w:r>
        <w:rPr>
          <w:rFonts w:ascii="Times New Roman" w:cs="Times New Roman" w:eastAsia="Times New Roman" w:hAnsi="Times New Roman"/>
          <w:sz w:val="18"/>
          <w:szCs w:val="18"/>
          <w:b w:val="1"/>
          <w:bCs w:val="1"/>
          <w:color w:val="auto"/>
        </w:rPr>
        <w:t>CELESTICA INC.</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of U.S. dollars, except percentages and per share amounts)</w:t>
      </w:r>
    </w:p>
    <w:p>
      <w:pPr>
        <w:spacing w:after="0" w:line="391" w:lineRule="exact"/>
        <w:rPr>
          <w:sz w:val="20"/>
          <w:szCs w:val="20"/>
          <w:color w:val="auto"/>
        </w:rPr>
      </w:pPr>
    </w:p>
    <w:p>
      <w:pPr>
        <w:ind w:right="260" w:firstLine="648"/>
        <w:spacing w:after="0" w:line="275" w:lineRule="auto"/>
        <w:rPr>
          <w:sz w:val="20"/>
          <w:szCs w:val="20"/>
          <w:color w:val="auto"/>
        </w:rPr>
      </w:pPr>
      <w:r>
        <w:rPr>
          <w:rFonts w:ascii="Times New Roman" w:cs="Times New Roman" w:eastAsia="Times New Roman" w:hAnsi="Times New Roman"/>
          <w:sz w:val="18"/>
          <w:szCs w:val="18"/>
          <w:color w:val="auto"/>
        </w:rPr>
        <w:t>The following table outlines the components of net periodic benefit cost recognized in our consolidated statement of operations for pension and non-pension post-employment benefit plans:</w:t>
      </w:r>
    </w:p>
    <w:tbl>
      <w:tblPr>
        <w:tblLayout w:type="fixed"/>
        <w:tblInd w:w="3740" w:type="dxa"/>
        <w:tblCellMar>
          <w:top w:w="0" w:type="dxa"/>
          <w:left w:w="0" w:type="dxa"/>
          <w:bottom w:w="0" w:type="dxa"/>
          <w:right w:w="0" w:type="dxa"/>
        </w:tblCellMar>
      </w:tblPr>
      <w:tr>
        <w:trPr>
          <w:trHeight w:val="165"/>
        </w:trPr>
        <w:tc>
          <w:tcPr>
            <w:tcW w:w="700" w:type="dxa"/>
            <w:vAlign w:val="bottom"/>
          </w:tcPr>
          <w:p>
            <w:pPr>
              <w:spacing w:after="0"/>
              <w:rPr>
                <w:sz w:val="14"/>
                <w:szCs w:val="14"/>
                <w:color w:val="auto"/>
              </w:rPr>
            </w:pPr>
          </w:p>
        </w:tc>
        <w:tc>
          <w:tcPr>
            <w:tcW w:w="1220" w:type="dxa"/>
            <w:vAlign w:val="bottom"/>
          </w:tcPr>
          <w:p>
            <w:pPr>
              <w:jc w:val="center"/>
              <w:spacing w:after="0" w:line="165" w:lineRule="exact"/>
              <w:rPr>
                <w:sz w:val="20"/>
                <w:szCs w:val="20"/>
                <w:color w:val="auto"/>
              </w:rPr>
            </w:pPr>
            <w:r>
              <w:rPr>
                <w:rFonts w:ascii="Times New Roman" w:cs="Times New Roman" w:eastAsia="Times New Roman" w:hAnsi="Times New Roman"/>
                <w:sz w:val="16"/>
                <w:szCs w:val="16"/>
                <w:b w:val="1"/>
                <w:bCs w:val="1"/>
                <w:color w:val="auto"/>
              </w:rPr>
              <w:t>Pension Plans</w:t>
            </w: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0" w:type="dxa"/>
            <w:vAlign w:val="bottom"/>
          </w:tcPr>
          <w:p>
            <w:pPr>
              <w:jc w:val="center"/>
              <w:spacing w:after="0" w:line="165" w:lineRule="exact"/>
              <w:rPr>
                <w:sz w:val="20"/>
                <w:szCs w:val="20"/>
                <w:color w:val="auto"/>
              </w:rPr>
            </w:pPr>
            <w:r>
              <w:rPr>
                <w:rFonts w:ascii="Times New Roman" w:cs="Times New Roman" w:eastAsia="Times New Roman" w:hAnsi="Times New Roman"/>
                <w:sz w:val="16"/>
                <w:szCs w:val="16"/>
                <w:b w:val="1"/>
                <w:bCs w:val="1"/>
                <w:color w:val="auto"/>
              </w:rPr>
              <w:t>Other Benefit Plans</w:t>
            </w:r>
          </w:p>
        </w:tc>
        <w:tc>
          <w:tcPr>
            <w:tcW w:w="600" w:type="dxa"/>
            <w:vAlign w:val="bottom"/>
          </w:tcPr>
          <w:p>
            <w:pPr>
              <w:spacing w:after="0"/>
              <w:rPr>
                <w:sz w:val="14"/>
                <w:szCs w:val="14"/>
                <w:color w:val="auto"/>
              </w:rPr>
            </w:pPr>
          </w:p>
        </w:tc>
      </w:tr>
      <w:tr>
        <w:trPr>
          <w:trHeight w:val="223"/>
        </w:trPr>
        <w:tc>
          <w:tcPr>
            <w:tcW w:w="2760" w:type="dxa"/>
            <w:vAlign w:val="bottom"/>
            <w:gridSpan w:val="4"/>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Year ended December 31</w:t>
            </w:r>
          </w:p>
        </w:tc>
        <w:tc>
          <w:tcPr>
            <w:tcW w:w="258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Year ended December 31</w:t>
            </w:r>
          </w:p>
        </w:tc>
      </w:tr>
      <w:tr>
        <w:trPr>
          <w:trHeight w:val="243"/>
        </w:trPr>
        <w:tc>
          <w:tcPr>
            <w:tcW w:w="70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7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0" w:type="dxa"/>
            <w:vAlign w:val="bottom"/>
          </w:tcPr>
          <w:p>
            <w:pPr>
              <w:spacing w:after="0"/>
              <w:rPr>
                <w:sz w:val="21"/>
                <w:szCs w:val="21"/>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6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2379345</wp:posOffset>
            </wp:positionH>
            <wp:positionV relativeFrom="paragraph">
              <wp:posOffset>0</wp:posOffset>
            </wp:positionV>
            <wp:extent cx="338582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6">
                      <a:extLst>
                        <a:ext uri="{28A0092B-C50C-407E-A947-70E740481C1C}"/>
                      </a:extLst>
                    </a:blip>
                    <a:srcRect/>
                    <a:stretch>
                      <a:fillRect/>
                    </a:stretch>
                  </pic:blipFill>
                  <pic:spPr bwMode="auto">
                    <a:xfrm>
                      <a:off x="0" y="0"/>
                      <a:ext cx="3385820" cy="825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p>
      <w:pPr>
        <w:ind w:left="180"/>
        <w:spacing w:after="0"/>
        <w:rPr>
          <w:sz w:val="20"/>
          <w:szCs w:val="20"/>
          <w:color w:val="auto"/>
        </w:rPr>
      </w:pPr>
      <w:r>
        <w:rPr>
          <w:rFonts w:ascii="Times New Roman" w:cs="Times New Roman" w:eastAsia="Times New Roman" w:hAnsi="Times New Roman"/>
          <w:sz w:val="18"/>
          <w:szCs w:val="18"/>
          <w:color w:val="auto"/>
        </w:rPr>
        <w:t>Service cost</w:t>
      </w:r>
    </w:p>
    <w:p>
      <w:pPr>
        <w:spacing w:after="0" w:line="4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Interest cost</w:t>
      </w:r>
    </w:p>
    <w:p>
      <w:pPr>
        <w:spacing w:after="0" w:line="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Expected return on plan assets</w:t>
      </w:r>
    </w:p>
    <w:p>
      <w:pPr>
        <w:spacing w:after="0" w:line="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Amortization of net loss (gain)</w:t>
      </w:r>
    </w:p>
    <w:p>
      <w:pPr>
        <w:spacing w:after="0" w:line="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Settlement loss (gain)</w:t>
      </w:r>
    </w:p>
    <w:p>
      <w:pPr>
        <w:spacing w:after="0" w:line="4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Net periodic benefit cost </w:t>
      </w:r>
      <w:r>
        <w:rPr>
          <w:rFonts w:ascii="Times New Roman" w:cs="Times New Roman" w:eastAsia="Times New Roman" w:hAnsi="Times New Roman"/>
          <w:sz w:val="23"/>
          <w:szCs w:val="23"/>
          <w:color w:val="auto"/>
          <w:vertAlign w:val="superscript"/>
        </w:rPr>
        <w:t>(1)</w:t>
      </w:r>
    </w:p>
    <w:p>
      <w:pPr>
        <w:ind w:left="60"/>
        <w:spacing w:after="0" w:line="234" w:lineRule="auto"/>
        <w:rPr>
          <w:sz w:val="20"/>
          <w:szCs w:val="20"/>
          <w:color w:val="auto"/>
        </w:rPr>
      </w:pPr>
      <w:r>
        <w:rPr>
          <w:rFonts w:ascii="Times New Roman" w:cs="Times New Roman" w:eastAsia="Times New Roman" w:hAnsi="Times New Roman"/>
          <w:sz w:val="17"/>
          <w:szCs w:val="17"/>
          <w:color w:val="auto"/>
        </w:rPr>
        <w:t>Defined contribution pension plan expense (see</w:t>
      </w:r>
    </w:p>
    <w:p>
      <w:pPr>
        <w:ind w:left="180"/>
        <w:spacing w:after="0"/>
        <w:rPr>
          <w:sz w:val="20"/>
          <w:szCs w:val="20"/>
          <w:color w:val="auto"/>
        </w:rPr>
      </w:pPr>
      <w:r>
        <w:rPr>
          <w:rFonts w:ascii="Times New Roman" w:cs="Times New Roman" w:eastAsia="Times New Roman" w:hAnsi="Times New Roman"/>
          <w:sz w:val="18"/>
          <w:szCs w:val="18"/>
          <w:color w:val="auto"/>
        </w:rPr>
        <w:t>(c) below)</w:t>
      </w:r>
    </w:p>
    <w:p>
      <w:pPr>
        <w:spacing w:after="0" w:line="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Total expense for the year</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4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57"/>
        </w:trPr>
        <w:tc>
          <w:tcPr>
            <w:tcW w:w="260" w:type="dxa"/>
            <w:vAlign w:val="bottom"/>
          </w:tcPr>
          <w:p>
            <w:pPr>
              <w:spacing w:after="0"/>
              <w:rPr>
                <w:sz w:val="22"/>
                <w:szCs w:val="22"/>
                <w:color w:val="auto"/>
              </w:rPr>
            </w:pPr>
          </w:p>
        </w:tc>
        <w:tc>
          <w:tcPr>
            <w:tcW w:w="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56"/>
        </w:trPr>
        <w:tc>
          <w:tcPr>
            <w:tcW w:w="26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26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26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2"/>
                <w:szCs w:val="22"/>
                <w:color w:val="auto"/>
              </w:rPr>
            </w:pPr>
          </w:p>
        </w:tc>
        <w:tc>
          <w:tcPr>
            <w:tcW w:w="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26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4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4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418"/>
        </w:trPr>
        <w:tc>
          <w:tcPr>
            <w:tcW w:w="260" w:type="dxa"/>
            <w:vAlign w:val="bottom"/>
          </w:tcPr>
          <w:p>
            <w:pPr>
              <w:spacing w:after="0"/>
              <w:rPr>
                <w:sz w:val="24"/>
                <w:szCs w:val="24"/>
                <w:color w:val="auto"/>
              </w:rPr>
            </w:pPr>
          </w:p>
        </w:tc>
        <w:tc>
          <w:tcPr>
            <w:tcW w:w="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13.8</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4"/>
                <w:szCs w:val="24"/>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18.5</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4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1"/>
        </w:trPr>
        <w:tc>
          <w:tcPr>
            <w:tcW w:w="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ectPr>
          <w:pgSz w:w="11900" w:h="16838" w:orient="portrait"/>
          <w:cols w:equalWidth="0" w:num="2">
            <w:col w:w="3480" w:space="260"/>
            <w:col w:w="7500"/>
          </w:cols>
          <w:pgMar w:left="320" w:top="360" w:right="339" w:bottom="1440" w:gutter="0" w:footer="0" w:header="0"/>
          <w:type w:val="continuous"/>
        </w:sectPr>
      </w:pPr>
    </w:p>
    <w:p>
      <w:pPr>
        <w:ind w:left="660" w:hanging="652"/>
        <w:spacing w:after="0" w:line="280" w:lineRule="auto"/>
        <w:tabs>
          <w:tab w:leader="none" w:pos="388"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components of net periodic benefit cost, other than the service cost component, are included in miscellaneous expense (income) in our consolidated statement of operations. See note 15. We generally record the service cost component in cost of sales and SG&amp;A, depending on the nature of expenses.</w:t>
      </w:r>
    </w:p>
    <w:p>
      <w:pPr>
        <w:spacing w:after="0" w:line="18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73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The following table outlines the gain and loss recognized in OCI:</w:t>
            </w:r>
          </w:p>
        </w:tc>
        <w:tc>
          <w:tcPr>
            <w:tcW w:w="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57"/>
        </w:trPr>
        <w:tc>
          <w:tcPr>
            <w:tcW w:w="7320" w:type="dxa"/>
            <w:vAlign w:val="bottom"/>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214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c>
          <w:tcPr>
            <w:tcW w:w="900" w:type="dxa"/>
            <w:vAlign w:val="bottom"/>
            <w:tcBorders>
              <w:bottom w:val="single" w:sz="8" w:color="auto"/>
            </w:tcBorders>
          </w:tcPr>
          <w:p>
            <w:pPr>
              <w:spacing w:after="0"/>
              <w:rPr>
                <w:sz w:val="22"/>
                <w:szCs w:val="22"/>
                <w:color w:val="auto"/>
              </w:rPr>
            </w:pPr>
          </w:p>
        </w:tc>
      </w:tr>
      <w:tr>
        <w:trPr>
          <w:trHeight w:val="223"/>
        </w:trPr>
        <w:tc>
          <w:tcPr>
            <w:tcW w:w="732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3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8"/>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Net loss (gain), net of tax (see note 13)</w:t>
            </w:r>
          </w:p>
        </w:tc>
        <w:tc>
          <w:tcPr>
            <w:tcW w:w="86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r>
    </w:tbl>
    <w:p>
      <w:pPr>
        <w:spacing w:after="0" w:line="3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outlines the amounts recognized in AOCI:</w:t>
      </w:r>
    </w:p>
    <w:p>
      <w:pPr>
        <w:spacing w:after="0" w:line="46"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18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10"/>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w w:val="98"/>
              </w:rPr>
              <w:t>December 31, 2024</w:t>
            </w:r>
          </w:p>
        </w:tc>
        <w:tc>
          <w:tcPr>
            <w:tcW w:w="6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6"/>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7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5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Pension</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3"/>
          </w:tcPr>
          <w:p>
            <w:pPr>
              <w:jc w:val="center"/>
              <w:ind w:right="300"/>
              <w:spacing w:after="0" w:line="169" w:lineRule="exact"/>
              <w:rPr>
                <w:sz w:val="20"/>
                <w:szCs w:val="20"/>
                <w:color w:val="auto"/>
              </w:rPr>
            </w:pPr>
            <w:r>
              <w:rPr>
                <w:rFonts w:ascii="Times New Roman" w:cs="Times New Roman" w:eastAsia="Times New Roman" w:hAnsi="Times New Roman"/>
                <w:sz w:val="18"/>
                <w:szCs w:val="18"/>
                <w:b w:val="1"/>
                <w:bCs w:val="1"/>
                <w:color w:val="auto"/>
                <w:w w:val="99"/>
              </w:rPr>
              <w:t>Other</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Pension</w:t>
            </w:r>
          </w:p>
        </w:tc>
        <w:tc>
          <w:tcPr>
            <w:tcW w:w="140" w:type="dxa"/>
            <w:vAlign w:val="bottom"/>
          </w:tcPr>
          <w:p>
            <w:pPr>
              <w:spacing w:after="0"/>
              <w:rPr>
                <w:sz w:val="14"/>
                <w:szCs w:val="14"/>
                <w:color w:val="auto"/>
              </w:rPr>
            </w:pPr>
          </w:p>
        </w:tc>
        <w:tc>
          <w:tcPr>
            <w:tcW w:w="880" w:type="dxa"/>
            <w:vAlign w:val="bottom"/>
            <w:gridSpan w:val="2"/>
          </w:tcPr>
          <w:p>
            <w:pPr>
              <w:jc w:val="center"/>
              <w:ind w:right="300"/>
              <w:spacing w:after="0" w:line="169" w:lineRule="exact"/>
              <w:rPr>
                <w:sz w:val="20"/>
                <w:szCs w:val="20"/>
                <w:color w:val="auto"/>
              </w:rPr>
            </w:pPr>
            <w:r>
              <w:rPr>
                <w:rFonts w:ascii="Times New Roman" w:cs="Times New Roman" w:eastAsia="Times New Roman" w:hAnsi="Times New Roman"/>
                <w:sz w:val="18"/>
                <w:szCs w:val="18"/>
                <w:b w:val="1"/>
                <w:bCs w:val="1"/>
                <w:color w:val="auto"/>
                <w:w w:val="99"/>
              </w:rPr>
              <w:t>Other</w:t>
            </w: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3"/>
          </w:tcPr>
          <w:p>
            <w:pPr>
              <w:jc w:val="center"/>
              <w:ind w:right="240"/>
              <w:spacing w:after="0" w:line="176" w:lineRule="exact"/>
              <w:rPr>
                <w:sz w:val="20"/>
                <w:szCs w:val="20"/>
                <w:color w:val="auto"/>
              </w:rPr>
            </w:pPr>
            <w:r>
              <w:rPr>
                <w:rFonts w:ascii="Times New Roman" w:cs="Times New Roman" w:eastAsia="Times New Roman" w:hAnsi="Times New Roman"/>
                <w:sz w:val="18"/>
                <w:szCs w:val="18"/>
                <w:b w:val="1"/>
                <w:bCs w:val="1"/>
                <w:color w:val="auto"/>
              </w:rPr>
              <w:t>Benefit</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b w:val="1"/>
                <w:bCs w:val="1"/>
                <w:color w:val="auto"/>
                <w:w w:val="98"/>
              </w:rPr>
              <w:t>Benefit</w:t>
            </w:r>
          </w:p>
        </w:tc>
        <w:tc>
          <w:tcPr>
            <w:tcW w:w="220" w:type="dxa"/>
            <w:vAlign w:val="bottom"/>
          </w:tcPr>
          <w:p>
            <w:pPr>
              <w:spacing w:after="0"/>
              <w:rPr>
                <w:sz w:val="15"/>
                <w:szCs w:val="15"/>
                <w:color w:val="auto"/>
              </w:rPr>
            </w:pPr>
          </w:p>
        </w:tc>
        <w:tc>
          <w:tcPr>
            <w:tcW w:w="70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50"/>
        </w:trPr>
        <w:tc>
          <w:tcPr>
            <w:tcW w:w="5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Plans</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Plans</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Plans</w:t>
            </w:r>
          </w:p>
        </w:tc>
        <w:tc>
          <w:tcPr>
            <w:tcW w:w="140" w:type="dxa"/>
            <w:vAlign w:val="bottom"/>
          </w:tcPr>
          <w:p>
            <w:pPr>
              <w:spacing w:after="0"/>
              <w:rPr>
                <w:sz w:val="21"/>
                <w:szCs w:val="21"/>
                <w:color w:val="auto"/>
              </w:rPr>
            </w:pP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Plans</w:t>
            </w:r>
          </w:p>
        </w:tc>
        <w:tc>
          <w:tcPr>
            <w:tcW w:w="220" w:type="dxa"/>
            <w:vAlign w:val="bottom"/>
          </w:tcPr>
          <w:p>
            <w:pPr>
              <w:spacing w:after="0"/>
              <w:rPr>
                <w:sz w:val="21"/>
                <w:szCs w:val="21"/>
                <w:color w:val="auto"/>
              </w:rPr>
            </w:pPr>
          </w:p>
        </w:tc>
        <w:tc>
          <w:tcPr>
            <w:tcW w:w="7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Net gain, net of tax (see note 13)</w:t>
            </w:r>
          </w:p>
        </w:tc>
        <w:tc>
          <w:tcPr>
            <w:tcW w:w="12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w w:val="98"/>
              </w:rPr>
              <w:t>(9.7)</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top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(16.2)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top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(25.9)</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0" w:type="dxa"/>
            <w:vAlign w:val="bottom"/>
          </w:tcPr>
          <w:p>
            <w:pPr>
              <w:spacing w:after="0"/>
              <w:rPr>
                <w:sz w:val="1"/>
                <w:szCs w:val="1"/>
                <w:color w:val="auto"/>
              </w:rPr>
            </w:pPr>
          </w:p>
        </w:tc>
      </w:tr>
      <w:tr>
        <w:trPr>
          <w:trHeight w:val="549"/>
        </w:trPr>
        <w:tc>
          <w:tcPr>
            <w:tcW w:w="7480" w:type="dxa"/>
            <w:vAlign w:val="bottom"/>
            <w:gridSpan w:val="13"/>
          </w:tcPr>
          <w:p>
            <w:pPr>
              <w:ind w:left="160"/>
              <w:spacing w:after="0"/>
              <w:rPr>
                <w:sz w:val="20"/>
                <w:szCs w:val="20"/>
                <w:color w:val="auto"/>
              </w:rPr>
            </w:pPr>
            <w:r>
              <w:rPr>
                <w:rFonts w:ascii="Times New Roman" w:cs="Times New Roman" w:eastAsia="Times New Roman" w:hAnsi="Times New Roman"/>
                <w:sz w:val="18"/>
                <w:szCs w:val="18"/>
                <w:color w:val="auto"/>
              </w:rPr>
              <w:t>The following percentages and assumptions were used in measuring the plans for the years indicated:</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5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Pension Plans</w:t>
            </w: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6"/>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9"/>
              </w:rPr>
              <w:t>Other Benefit Plans</w:t>
            </w:r>
          </w:p>
        </w:tc>
        <w:tc>
          <w:tcPr>
            <w:tcW w:w="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1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Benefit obligations:</w:t>
            </w:r>
          </w:p>
        </w:tc>
        <w:tc>
          <w:tcPr>
            <w:tcW w:w="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01"/>
        </w:trPr>
        <w:tc>
          <w:tcPr>
            <w:tcW w:w="518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5180" w:type="dxa"/>
            <w:vAlign w:val="bottom"/>
          </w:tcPr>
          <w:p>
            <w:pPr>
              <w:ind w:left="200"/>
              <w:spacing w:after="0" w:line="233" w:lineRule="exact"/>
              <w:rPr>
                <w:sz w:val="20"/>
                <w:szCs w:val="20"/>
                <w:color w:val="auto"/>
              </w:rPr>
            </w:pPr>
            <w:r>
              <w:rPr>
                <w:rFonts w:ascii="Times New Roman" w:cs="Times New Roman" w:eastAsia="Times New Roman" w:hAnsi="Times New Roman"/>
                <w:sz w:val="18"/>
                <w:szCs w:val="18"/>
                <w:color w:val="auto"/>
              </w:rPr>
              <w:t xml:space="preserve">Weighted average discount rate at December 31 </w:t>
            </w:r>
            <w:r>
              <w:rPr>
                <w:rFonts w:ascii="Times New Roman" w:cs="Times New Roman" w:eastAsia="Times New Roman" w:hAnsi="Times New Roman"/>
                <w:sz w:val="23"/>
                <w:szCs w:val="23"/>
                <w:color w:val="auto"/>
                <w:vertAlign w:val="superscript"/>
              </w:rPr>
              <w:t>(1)</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w w:val="97"/>
              </w:rPr>
              <w:t>5.4</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97"/>
              </w:rPr>
              <w:t>4.6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7"/>
              </w:rPr>
              <w:t>4.9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34"/>
        </w:trPr>
        <w:tc>
          <w:tcPr>
            <w:tcW w:w="5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Weighted average rate of compensation increase</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w w:val="97"/>
              </w:rPr>
              <w:t>3.0</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97"/>
              </w:rPr>
              <w:t>2.9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7"/>
              </w:rPr>
              <w:t>1.1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383"/>
        </w:trPr>
        <w:tc>
          <w:tcPr>
            <w:tcW w:w="5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benefit cost for the year ended:</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5180" w:type="dxa"/>
            <w:vAlign w:val="bottom"/>
          </w:tcPr>
          <w:p>
            <w:pPr>
              <w:ind w:left="200"/>
              <w:spacing w:after="0" w:line="233" w:lineRule="exact"/>
              <w:rPr>
                <w:sz w:val="20"/>
                <w:szCs w:val="20"/>
                <w:color w:val="auto"/>
              </w:rPr>
            </w:pPr>
            <w:r>
              <w:rPr>
                <w:rFonts w:ascii="Times New Roman" w:cs="Times New Roman" w:eastAsia="Times New Roman" w:hAnsi="Times New Roman"/>
                <w:sz w:val="18"/>
                <w:szCs w:val="18"/>
                <w:color w:val="auto"/>
              </w:rPr>
              <w:t xml:space="preserve">Weighted average discount rate </w:t>
            </w:r>
            <w:r>
              <w:rPr>
                <w:rFonts w:ascii="Times New Roman" w:cs="Times New Roman" w:eastAsia="Times New Roman" w:hAnsi="Times New Roman"/>
                <w:sz w:val="23"/>
                <w:szCs w:val="23"/>
                <w:color w:val="auto"/>
                <w:vertAlign w:val="superscript"/>
              </w:rPr>
              <w:t>(1)</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w w:val="97"/>
              </w:rPr>
              <w:t>4.6</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97"/>
              </w:rPr>
              <w:t>4.9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7"/>
              </w:rPr>
              <w:t>1.8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26"/>
        </w:trPr>
        <w:tc>
          <w:tcPr>
            <w:tcW w:w="5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Weighted average rate of compensation increase</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w w:val="97"/>
              </w:rPr>
              <w:t>2.9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97"/>
              </w:rPr>
              <w:t>1.1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7"/>
              </w:rPr>
              <w:t>1.1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306"/>
        </w:trPr>
        <w:tc>
          <w:tcPr>
            <w:tcW w:w="5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 xml:space="preserve">Expected long-term return on plan assets </w:t>
            </w:r>
            <w:r>
              <w:rPr>
                <w:rFonts w:ascii="Times New Roman" w:cs="Times New Roman" w:eastAsia="Times New Roman" w:hAnsi="Times New Roman"/>
                <w:sz w:val="23"/>
                <w:szCs w:val="23"/>
                <w:color w:val="auto"/>
                <w:vertAlign w:val="superscript"/>
              </w:rPr>
              <w:t>(2)</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w w:val="97"/>
              </w:rPr>
              <w:t>4.4</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97"/>
              </w:rPr>
              <w:t>4.6</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7"/>
              </w:rPr>
              <w:t>1.8</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318"/>
        </w:trPr>
        <w:tc>
          <w:tcPr>
            <w:tcW w:w="5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Healthcare cost trend rates:</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Immediate trend</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29"/>
        </w:trPr>
        <w:tc>
          <w:tcPr>
            <w:tcW w:w="5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Ultimate trend</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34"/>
        </w:trPr>
        <w:tc>
          <w:tcPr>
            <w:tcW w:w="5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Year the ultimate trend rate is expected to be achieved</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2040</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660" w:hanging="652"/>
        <w:spacing w:after="0" w:line="270" w:lineRule="auto"/>
        <w:tabs>
          <w:tab w:leader="none" w:pos="470" w:val="left"/>
        </w:tabs>
        <w:numPr>
          <w:ilvl w:val="0"/>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weighted average discount rate is determined using publicly available rates for highly-rated bonds by currency in countries where we have a pension or non-pension benefit plan. A higher discount rate would decrease the present value of the benefit obligation, and a lower discount rate would increase the present value of the benefit obligation.</w:t>
      </w:r>
    </w:p>
    <w:p>
      <w:pPr>
        <w:ind w:left="660" w:hanging="652"/>
        <w:spacing w:after="0" w:line="280" w:lineRule="auto"/>
        <w:tabs>
          <w:tab w:leader="none" w:pos="374" w:val="left"/>
        </w:tabs>
        <w:numPr>
          <w:ilvl w:val="0"/>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expected rate of return on plan assets is a management estimate reflecting the long-term average rate of earnings expected by asset class based on the plans' target asset allocation.</w:t>
      </w:r>
    </w:p>
    <w:p>
      <w:pPr>
        <w:sectPr>
          <w:pgSz w:w="11900" w:h="16838" w:orient="portrait"/>
          <w:cols w:equalWidth="0" w:num="1">
            <w:col w:w="11240"/>
          </w:cols>
          <w:pgMar w:left="320" w:top="360" w:right="339" w:bottom="1440" w:gutter="0" w:footer="0" w:header="0"/>
          <w:type w:val="continuous"/>
        </w:sect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234950</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152" w:name="page153"/>
    <w:bookmarkEnd w:id="152"/>
    <w:p>
      <w:pPr>
        <w:jc w:val="center"/>
        <w:spacing w:after="0"/>
        <w:rPr>
          <w:sz w:val="20"/>
          <w:szCs w:val="20"/>
          <w:color w:val="auto"/>
        </w:rPr>
      </w:pPr>
      <w:r>
        <w:rPr>
          <w:rFonts w:ascii="Times New Roman" w:cs="Times New Roman" w:eastAsia="Times New Roman" w:hAnsi="Times New Roman"/>
          <w:sz w:val="18"/>
          <w:szCs w:val="18"/>
          <w:b w:val="1"/>
          <w:bCs w:val="1"/>
          <w:color w:val="auto"/>
        </w:rPr>
        <w:t>CELESTICA INC.</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of U.S. dollars, except percentages and per share amounts)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We evaluate these assumptions on a regular basis taking into consideration current market conditions and historical market data. Actual results could differ materially from those estimates and assumptions.</w:t>
      </w:r>
    </w:p>
    <w:p>
      <w:pPr>
        <w:spacing w:after="0" w:line="189" w:lineRule="exact"/>
        <w:rPr>
          <w:sz w:val="20"/>
          <w:szCs w:val="20"/>
          <w:color w:val="auto"/>
        </w:rPr>
      </w:pPr>
    </w:p>
    <w:p>
      <w:pPr>
        <w:ind w:firstLine="253"/>
        <w:spacing w:after="0" w:line="282" w:lineRule="auto"/>
        <w:rPr>
          <w:sz w:val="20"/>
          <w:szCs w:val="20"/>
          <w:color w:val="auto"/>
        </w:rPr>
      </w:pPr>
      <w:r>
        <w:rPr>
          <w:rFonts w:ascii="Times New Roman" w:cs="Times New Roman" w:eastAsia="Times New Roman" w:hAnsi="Times New Roman"/>
          <w:sz w:val="18"/>
          <w:szCs w:val="18"/>
          <w:color w:val="auto"/>
        </w:rPr>
        <w:t>A one percentage-point increase or decrease in one of the following actuarial assumptions, holding other assumptions constant in each case, would increase (decrease) our benefit obligations as follows:</w:t>
      </w:r>
    </w:p>
    <w:p>
      <w:pPr>
        <w:spacing w:after="0" w:line="16" w:lineRule="exact"/>
        <w:rPr>
          <w:sz w:val="20"/>
          <w:szCs w:val="20"/>
          <w:color w:val="auto"/>
        </w:rPr>
      </w:pPr>
    </w:p>
    <w:tbl>
      <w:tblPr>
        <w:tblLayout w:type="fixed"/>
        <w:tblInd w:w="60" w:type="dxa"/>
        <w:tblCellMar>
          <w:top w:w="0" w:type="dxa"/>
          <w:left w:w="0" w:type="dxa"/>
          <w:bottom w:w="0" w:type="dxa"/>
          <w:right w:w="0" w:type="dxa"/>
        </w:tblCellMar>
      </w:tblPr>
      <w:tr>
        <w:trPr>
          <w:trHeight w:val="212"/>
        </w:trPr>
        <w:tc>
          <w:tcPr>
            <w:tcW w:w="4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5"/>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Pension Plans</w:t>
            </w:r>
          </w:p>
        </w:tc>
        <w:tc>
          <w:tcPr>
            <w:tcW w:w="120" w:type="dxa"/>
            <w:vAlign w:val="bottom"/>
          </w:tcPr>
          <w:p>
            <w:pPr>
              <w:spacing w:after="0"/>
              <w:rPr>
                <w:sz w:val="18"/>
                <w:szCs w:val="18"/>
                <w:color w:val="auto"/>
              </w:rPr>
            </w:pPr>
          </w:p>
        </w:tc>
        <w:tc>
          <w:tcPr>
            <w:tcW w:w="2140" w:type="dxa"/>
            <w:vAlign w:val="bottom"/>
            <w:gridSpan w:val="4"/>
          </w:tcPr>
          <w:p>
            <w:pPr>
              <w:jc w:val="center"/>
              <w:ind w:right="36"/>
              <w:spacing w:after="0"/>
              <w:rPr>
                <w:sz w:val="20"/>
                <w:szCs w:val="20"/>
                <w:color w:val="auto"/>
              </w:rPr>
            </w:pPr>
            <w:r>
              <w:rPr>
                <w:rFonts w:ascii="Times New Roman" w:cs="Times New Roman" w:eastAsia="Times New Roman" w:hAnsi="Times New Roman"/>
                <w:sz w:val="16"/>
                <w:szCs w:val="16"/>
                <w:b w:val="1"/>
                <w:bCs w:val="1"/>
                <w:color w:val="auto"/>
              </w:rPr>
              <w:t>Other Benefit Plans</w:t>
            </w:r>
          </w:p>
        </w:tc>
        <w:tc>
          <w:tcPr>
            <w:tcW w:w="0" w:type="dxa"/>
            <w:vAlign w:val="bottom"/>
          </w:tcPr>
          <w:p>
            <w:pPr>
              <w:spacing w:after="0"/>
              <w:rPr>
                <w:sz w:val="1"/>
                <w:szCs w:val="1"/>
                <w:color w:val="auto"/>
              </w:rPr>
            </w:pPr>
          </w:p>
        </w:tc>
      </w:tr>
      <w:tr>
        <w:trPr>
          <w:trHeight w:val="181"/>
        </w:trPr>
        <w:tc>
          <w:tcPr>
            <w:tcW w:w="4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60" w:type="dxa"/>
            <w:vAlign w:val="bottom"/>
            <w:gridSpan w:val="5"/>
          </w:tcPr>
          <w:p>
            <w:pPr>
              <w:jc w:val="center"/>
              <w:ind w:right="240"/>
              <w:spacing w:after="0" w:line="181" w:lineRule="exact"/>
              <w:rPr>
                <w:sz w:val="20"/>
                <w:szCs w:val="20"/>
                <w:color w:val="auto"/>
              </w:rPr>
            </w:pPr>
            <w:r>
              <w:rPr>
                <w:rFonts w:ascii="Times New Roman" w:cs="Times New Roman" w:eastAsia="Times New Roman" w:hAnsi="Times New Roman"/>
                <w:sz w:val="16"/>
                <w:szCs w:val="16"/>
                <w:b w:val="1"/>
                <w:bCs w:val="1"/>
                <w:color w:val="auto"/>
                <w:w w:val="99"/>
              </w:rPr>
              <w:t>Year ended</w:t>
            </w:r>
          </w:p>
        </w:tc>
        <w:tc>
          <w:tcPr>
            <w:tcW w:w="120" w:type="dxa"/>
            <w:vAlign w:val="bottom"/>
          </w:tcPr>
          <w:p>
            <w:pPr>
              <w:spacing w:after="0"/>
              <w:rPr>
                <w:sz w:val="15"/>
                <w:szCs w:val="15"/>
                <w:color w:val="auto"/>
              </w:rPr>
            </w:pPr>
          </w:p>
        </w:tc>
        <w:tc>
          <w:tcPr>
            <w:tcW w:w="2140" w:type="dxa"/>
            <w:vAlign w:val="bottom"/>
            <w:gridSpan w:val="4"/>
          </w:tcPr>
          <w:p>
            <w:pPr>
              <w:jc w:val="center"/>
              <w:ind w:right="36"/>
              <w:spacing w:after="0" w:line="181" w:lineRule="exact"/>
              <w:rPr>
                <w:sz w:val="20"/>
                <w:szCs w:val="20"/>
                <w:color w:val="auto"/>
              </w:rPr>
            </w:pPr>
            <w:r>
              <w:rPr>
                <w:rFonts w:ascii="Times New Roman" w:cs="Times New Roman" w:eastAsia="Times New Roman" w:hAnsi="Times New Roman"/>
                <w:sz w:val="16"/>
                <w:szCs w:val="16"/>
                <w:b w:val="1"/>
                <w:bCs w:val="1"/>
                <w:color w:val="auto"/>
                <w:w w:val="99"/>
              </w:rPr>
              <w:t>Year ended</w:t>
            </w:r>
          </w:p>
        </w:tc>
        <w:tc>
          <w:tcPr>
            <w:tcW w:w="0" w:type="dxa"/>
            <w:vAlign w:val="bottom"/>
          </w:tcPr>
          <w:p>
            <w:pPr>
              <w:spacing w:after="0"/>
              <w:rPr>
                <w:sz w:val="1"/>
                <w:szCs w:val="1"/>
                <w:color w:val="auto"/>
              </w:rPr>
            </w:pPr>
          </w:p>
        </w:tc>
      </w:tr>
      <w:tr>
        <w:trPr>
          <w:trHeight w:val="214"/>
        </w:trPr>
        <w:tc>
          <w:tcPr>
            <w:tcW w:w="4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5"/>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20" w:type="dxa"/>
            <w:vAlign w:val="bottom"/>
          </w:tcPr>
          <w:p>
            <w:pPr>
              <w:spacing w:after="0"/>
              <w:rPr>
                <w:sz w:val="18"/>
                <w:szCs w:val="18"/>
                <w:color w:val="auto"/>
              </w:rPr>
            </w:pPr>
          </w:p>
        </w:tc>
        <w:tc>
          <w:tcPr>
            <w:tcW w:w="2140" w:type="dxa"/>
            <w:vAlign w:val="bottom"/>
            <w:gridSpan w:val="4"/>
          </w:tcPr>
          <w:p>
            <w:pPr>
              <w:jc w:val="center"/>
              <w:ind w:right="36"/>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0" w:type="dxa"/>
            <w:vAlign w:val="bottom"/>
          </w:tcPr>
          <w:p>
            <w:pPr>
              <w:spacing w:after="0"/>
              <w:rPr>
                <w:sz w:val="1"/>
                <w:szCs w:val="1"/>
                <w:color w:val="auto"/>
              </w:rPr>
            </w:pPr>
          </w:p>
        </w:tc>
      </w:tr>
      <w:tr>
        <w:trPr>
          <w:trHeight w:val="186"/>
        </w:trPr>
        <w:tc>
          <w:tcPr>
            <w:tcW w:w="44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1% Increase</w:t>
            </w:r>
          </w:p>
        </w:tc>
        <w:tc>
          <w:tcPr>
            <w:tcW w:w="1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1% Decrease</w:t>
            </w:r>
          </w:p>
        </w:tc>
        <w:tc>
          <w:tcPr>
            <w:tcW w:w="1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1% Increase</w:t>
            </w:r>
          </w:p>
        </w:tc>
        <w:tc>
          <w:tcPr>
            <w:tcW w:w="1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1% Decrease</w:t>
            </w:r>
          </w:p>
        </w:tc>
        <w:tc>
          <w:tcPr>
            <w:tcW w:w="0" w:type="dxa"/>
            <w:vAlign w:val="bottom"/>
          </w:tcPr>
          <w:p>
            <w:pPr>
              <w:spacing w:after="0"/>
              <w:rPr>
                <w:sz w:val="1"/>
                <w:szCs w:val="1"/>
                <w:color w:val="auto"/>
              </w:rPr>
            </w:pPr>
          </w:p>
        </w:tc>
      </w:tr>
      <w:tr>
        <w:trPr>
          <w:trHeight w:val="26"/>
        </w:trPr>
        <w:tc>
          <w:tcPr>
            <w:tcW w:w="44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5"/>
        </w:trPr>
        <w:tc>
          <w:tcPr>
            <w:tcW w:w="4440" w:type="dxa"/>
            <w:vAlign w:val="bottom"/>
            <w:vMerge w:val="continue"/>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4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4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75"/>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Healthcare cost trend rate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bl>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 Plan contributions:</w:t>
      </w:r>
    </w:p>
    <w:p>
      <w:pPr>
        <w:spacing w:after="0" w:line="25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We made the following plan contributions for the years indicated below and estimate our contribution for 2025 to be as follows:</w:t>
      </w:r>
    </w:p>
    <w:p>
      <w:pPr>
        <w:spacing w:after="0" w:line="86"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4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40" w:type="dxa"/>
            <w:vAlign w:val="bottom"/>
            <w:gridSpan w:val="6"/>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center"/>
              <w:ind w:right="33"/>
              <w:spacing w:after="0"/>
              <w:rPr>
                <w:sz w:val="20"/>
                <w:szCs w:val="20"/>
                <w:color w:val="auto"/>
              </w:rPr>
            </w:pPr>
            <w:r>
              <w:rPr>
                <w:rFonts w:ascii="Times New Roman" w:cs="Times New Roman" w:eastAsia="Times New Roman" w:hAnsi="Times New Roman"/>
                <w:sz w:val="16"/>
                <w:szCs w:val="16"/>
                <w:b w:val="1"/>
                <w:bCs w:val="1"/>
                <w:color w:val="auto"/>
              </w:rPr>
              <w:t>Estimated</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6"/>
            <w:vMerge w:val="continue"/>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53"/>
              <w:spacing w:after="0" w:line="216" w:lineRule="exact"/>
              <w:rPr>
                <w:sz w:val="20"/>
                <w:szCs w:val="20"/>
                <w:color w:val="auto"/>
              </w:rPr>
            </w:pPr>
            <w:r>
              <w:rPr>
                <w:rFonts w:ascii="Times New Roman" w:cs="Times New Roman" w:eastAsia="Times New Roman" w:hAnsi="Times New Roman"/>
                <w:sz w:val="16"/>
                <w:szCs w:val="16"/>
                <w:b w:val="1"/>
                <w:bCs w:val="1"/>
                <w:color w:val="auto"/>
                <w:w w:val="99"/>
              </w:rPr>
              <w:t>Contribution</w:t>
            </w:r>
            <w:r>
              <w:rPr>
                <w:rFonts w:ascii="Times New Roman" w:cs="Times New Roman" w:eastAsia="Times New Roman" w:hAnsi="Times New Roman"/>
                <w:sz w:val="21"/>
                <w:szCs w:val="21"/>
                <w:b w:val="1"/>
                <w:bCs w:val="1"/>
                <w:color w:val="auto"/>
                <w:w w:val="99"/>
                <w:vertAlign w:val="superscript"/>
              </w:rPr>
              <w:t>*</w:t>
            </w:r>
          </w:p>
        </w:tc>
        <w:tc>
          <w:tcPr>
            <w:tcW w:w="0" w:type="dxa"/>
            <w:vAlign w:val="bottom"/>
          </w:tcPr>
          <w:p>
            <w:pPr>
              <w:spacing w:after="0"/>
              <w:rPr>
                <w:sz w:val="1"/>
                <w:szCs w:val="1"/>
                <w:color w:val="auto"/>
              </w:rPr>
            </w:pPr>
          </w:p>
        </w:tc>
      </w:tr>
      <w:tr>
        <w:trPr>
          <w:trHeight w:val="250"/>
        </w:trPr>
        <w:tc>
          <w:tcPr>
            <w:tcW w:w="43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center"/>
              <w:ind w:right="53"/>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0" w:type="dxa"/>
            <w:vAlign w:val="bottom"/>
          </w:tcPr>
          <w:p>
            <w:pPr>
              <w:spacing w:after="0"/>
              <w:rPr>
                <w:sz w:val="1"/>
                <w:szCs w:val="1"/>
                <w:color w:val="auto"/>
              </w:rPr>
            </w:pPr>
          </w:p>
        </w:tc>
      </w:tr>
      <w:tr>
        <w:trPr>
          <w:trHeight w:val="250"/>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Defined contribution plan</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4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4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4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70"/>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Defined benefit plan</w:t>
            </w:r>
          </w:p>
        </w:tc>
        <w:tc>
          <w:tcPr>
            <w:tcW w:w="2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23"/>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Total pension plans</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4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31"/>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Non-pension post-employment benefit plans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40" w:type="dxa"/>
            <w:vAlign w:val="bottom"/>
          </w:tcPr>
          <w:p>
            <w:pPr>
              <w:spacing w:after="0"/>
              <w:rPr>
                <w:sz w:val="24"/>
                <w:szCs w:val="24"/>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40" w:type="dxa"/>
            <w:vAlign w:val="bottom"/>
          </w:tcPr>
          <w:p>
            <w:pPr>
              <w:spacing w:after="0"/>
              <w:rPr>
                <w:sz w:val="24"/>
                <w:szCs w:val="24"/>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220" w:hanging="212"/>
        <w:spacing w:after="0"/>
        <w:tabs>
          <w:tab w:leader="none" w:pos="22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Our actual contributions could differ materially from these estimates.</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 Estimated future benefit payments:</w:t>
      </w:r>
    </w:p>
    <w:p>
      <w:pPr>
        <w:spacing w:after="0" w:line="2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benefit payments, which reflect expected future service, as appropriate, are expected to be paid:</w:t>
      </w:r>
    </w:p>
    <w:p>
      <w:pPr>
        <w:spacing w:after="0" w:line="46"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6840" w:type="dxa"/>
            <w:vAlign w:val="bottom"/>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Pension Plans</w:t>
            </w:r>
          </w:p>
        </w:tc>
        <w:tc>
          <w:tcPr>
            <w:tcW w:w="5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Other Benefit Plans</w:t>
            </w:r>
          </w:p>
        </w:tc>
      </w:tr>
      <w:tr>
        <w:trPr>
          <w:trHeight w:val="218"/>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1640" w:type="dxa"/>
            <w:vAlign w:val="bottom"/>
          </w:tcPr>
          <w:p>
            <w:pPr>
              <w:jc w:val="right"/>
              <w:ind w:right="143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18"/>
                <w:szCs w:val="18"/>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29"/>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16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30"/>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6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30"/>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16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30"/>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16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34"/>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64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w:t>
            </w:r>
          </w:p>
        </w:tc>
      </w:tr>
      <w:tr>
        <w:trPr>
          <w:trHeight w:val="223"/>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Total future benefit payments</w:t>
            </w:r>
          </w:p>
        </w:tc>
        <w:tc>
          <w:tcPr>
            <w:tcW w:w="1640" w:type="dxa"/>
            <w:vAlign w:val="bottom"/>
            <w:tcBorders>
              <w:bottom w:val="single" w:sz="8" w:color="auto"/>
            </w:tcBorders>
          </w:tcPr>
          <w:p>
            <w:pPr>
              <w:jc w:val="right"/>
              <w:ind w:right="143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117.9</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w:t>
            </w:r>
          </w:p>
        </w:tc>
      </w:tr>
      <w:tr>
        <w:trPr>
          <w:trHeight w:val="20"/>
        </w:trPr>
        <w:tc>
          <w:tcPr>
            <w:tcW w:w="684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53" w:name="page154"/>
    <w:bookmarkEnd w:id="153"/>
    <w:p>
      <w:pPr>
        <w:jc w:val="center"/>
        <w:spacing w:after="0"/>
        <w:rPr>
          <w:sz w:val="20"/>
          <w:szCs w:val="20"/>
          <w:color w:val="auto"/>
        </w:rPr>
      </w:pPr>
      <w:r>
        <w:rPr>
          <w:rFonts w:ascii="Times New Roman" w:cs="Times New Roman" w:eastAsia="Times New Roman" w:hAnsi="Times New Roman"/>
          <w:sz w:val="18"/>
          <w:szCs w:val="18"/>
          <w:b w:val="1"/>
          <w:bCs w:val="1"/>
          <w:color w:val="auto"/>
        </w:rPr>
        <w:t>CELESTICA INC.</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of U.S. dollars, except percentages and per share amounts)</w:t>
      </w:r>
    </w:p>
    <w:p>
      <w:pPr>
        <w:spacing w:after="0" w:line="387"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18.</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a geographical breakdown of income before the provision for income taxes:</w:t>
      </w:r>
    </w:p>
    <w:p>
      <w:pPr>
        <w:spacing w:after="0" w:line="46"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662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6"/>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6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Domestic (Canada) income (loss)</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18"/>
        </w:trPr>
        <w:tc>
          <w:tcPr>
            <w:tcW w:w="6620" w:type="dxa"/>
            <w:vAlign w:val="bottom"/>
            <w:vMerge w:val="continue"/>
          </w:tcPr>
          <w:p>
            <w:pPr>
              <w:spacing w:after="0"/>
              <w:rPr>
                <w:sz w:val="18"/>
                <w:szCs w:val="18"/>
                <w:color w:val="auto"/>
              </w:rPr>
            </w:pPr>
          </w:p>
        </w:tc>
        <w:tc>
          <w:tcPr>
            <w:tcW w:w="96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2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18"/>
                <w:szCs w:val="18"/>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34"/>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Foreign income</w:t>
            </w:r>
          </w:p>
        </w:tc>
        <w:tc>
          <w:tcPr>
            <w:tcW w:w="96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489.5</w:t>
            </w: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298.6</w:t>
            </w: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245.3</w:t>
            </w:r>
          </w:p>
        </w:tc>
        <w:tc>
          <w:tcPr>
            <w:tcW w:w="0" w:type="dxa"/>
            <w:vAlign w:val="bottom"/>
          </w:tcPr>
          <w:p>
            <w:pPr>
              <w:spacing w:after="0"/>
              <w:rPr>
                <w:sz w:val="1"/>
                <w:szCs w:val="1"/>
                <w:color w:val="auto"/>
              </w:rPr>
            </w:pPr>
          </w:p>
        </w:tc>
      </w:tr>
      <w:tr>
        <w:trPr>
          <w:trHeight w:val="223"/>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96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532.2</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239.1</w:t>
            </w:r>
          </w:p>
        </w:tc>
        <w:tc>
          <w:tcPr>
            <w:tcW w:w="0" w:type="dxa"/>
            <w:vAlign w:val="bottom"/>
          </w:tcPr>
          <w:p>
            <w:pPr>
              <w:spacing w:after="0"/>
              <w:rPr>
                <w:sz w:val="1"/>
                <w:szCs w:val="1"/>
                <w:color w:val="auto"/>
              </w:rPr>
            </w:pPr>
          </w:p>
        </w:tc>
      </w:tr>
      <w:tr>
        <w:trPr>
          <w:trHeight w:val="21"/>
        </w:trPr>
        <w:tc>
          <w:tcPr>
            <w:tcW w:w="66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4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The provision for (recovery of) income taxes consisted of the following:</w:t>
            </w:r>
          </w:p>
        </w:tc>
        <w:tc>
          <w:tcPr>
            <w:tcW w:w="9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6440" w:type="dxa"/>
            <w:vAlign w:val="bottom"/>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224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64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Current income taxes (recoveries)</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05"/>
        </w:trPr>
        <w:tc>
          <w:tcPr>
            <w:tcW w:w="6440" w:type="dxa"/>
            <w:vAlign w:val="bottom"/>
            <w:vMerge w:val="continue"/>
          </w:tcPr>
          <w:p>
            <w:pPr>
              <w:spacing w:after="0"/>
              <w:rPr>
                <w:sz w:val="17"/>
                <w:szCs w:val="17"/>
                <w:color w:val="auto"/>
              </w:rPr>
            </w:pPr>
          </w:p>
        </w:tc>
        <w:tc>
          <w:tcPr>
            <w:tcW w:w="9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Domestic (Canada)</w:t>
            </w:r>
          </w:p>
        </w:tc>
        <w:tc>
          <w:tcPr>
            <w:tcW w:w="9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5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5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4"/>
        </w:trPr>
        <w:tc>
          <w:tcPr>
            <w:tcW w:w="6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Foreign</w:t>
            </w:r>
          </w:p>
        </w:tc>
        <w:tc>
          <w:tcPr>
            <w:tcW w:w="9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134.6</w:t>
            </w:r>
          </w:p>
        </w:tc>
        <w:tc>
          <w:tcPr>
            <w:tcW w:w="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2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85.9</w:t>
            </w:r>
          </w:p>
        </w:tc>
        <w:tc>
          <w:tcPr>
            <w:tcW w:w="0" w:type="dxa"/>
            <w:vAlign w:val="bottom"/>
          </w:tcPr>
          <w:p>
            <w:pPr>
              <w:spacing w:after="0"/>
              <w:rPr>
                <w:sz w:val="1"/>
                <w:szCs w:val="1"/>
                <w:color w:val="auto"/>
              </w:rPr>
            </w:pPr>
          </w:p>
        </w:tc>
      </w:tr>
      <w:tr>
        <w:trPr>
          <w:trHeight w:val="223"/>
        </w:trPr>
        <w:tc>
          <w:tcPr>
            <w:tcW w:w="6440" w:type="dxa"/>
            <w:vAlign w:val="bottom"/>
          </w:tcPr>
          <w:p>
            <w:pPr>
              <w:ind w:left="200"/>
              <w:spacing w:after="0" w:line="223" w:lineRule="exact"/>
              <w:rPr>
                <w:sz w:val="20"/>
                <w:szCs w:val="20"/>
                <w:color w:val="auto"/>
              </w:rPr>
            </w:pPr>
            <w:r>
              <w:rPr>
                <w:rFonts w:ascii="Times New Roman" w:cs="Times New Roman" w:eastAsia="Times New Roman" w:hAnsi="Times New Roman"/>
                <w:sz w:val="18"/>
                <w:szCs w:val="18"/>
                <w:color w:val="auto"/>
              </w:rPr>
              <w:t xml:space="preserve">Total current income taxes </w:t>
            </w:r>
            <w:r>
              <w:rPr>
                <w:rFonts w:ascii="Times New Roman" w:cs="Times New Roman" w:eastAsia="Times New Roman" w:hAnsi="Times New Roman"/>
                <w:sz w:val="23"/>
                <w:szCs w:val="23"/>
                <w:color w:val="auto"/>
                <w:vertAlign w:val="superscript"/>
              </w:rPr>
              <w:t>(i) (ii)</w:t>
            </w: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136.1</w:t>
            </w:r>
          </w:p>
        </w:tc>
        <w:tc>
          <w:tcPr>
            <w:tcW w:w="2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2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86.9</w:t>
            </w:r>
          </w:p>
        </w:tc>
        <w:tc>
          <w:tcPr>
            <w:tcW w:w="0" w:type="dxa"/>
            <w:vAlign w:val="bottom"/>
          </w:tcPr>
          <w:p>
            <w:pPr>
              <w:spacing w:after="0"/>
              <w:rPr>
                <w:sz w:val="1"/>
                <w:szCs w:val="1"/>
                <w:color w:val="auto"/>
              </w:rPr>
            </w:pPr>
          </w:p>
        </w:tc>
      </w:tr>
      <w:tr>
        <w:trPr>
          <w:trHeight w:val="205"/>
        </w:trPr>
        <w:tc>
          <w:tcPr>
            <w:tcW w:w="644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Deferred income taxes (recoveries)</w:t>
            </w:r>
          </w:p>
        </w:tc>
        <w:tc>
          <w:tcPr>
            <w:tcW w:w="9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Domestic (Canada)</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6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Foreign</w:t>
            </w:r>
          </w:p>
        </w:tc>
        <w:tc>
          <w:tcPr>
            <w:tcW w:w="9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0" w:type="dxa"/>
            <w:vAlign w:val="bottom"/>
          </w:tcPr>
          <w:p>
            <w:pPr>
              <w:spacing w:after="0"/>
              <w:rPr>
                <w:sz w:val="1"/>
                <w:szCs w:val="1"/>
                <w:color w:val="auto"/>
              </w:rPr>
            </w:pPr>
          </w:p>
        </w:tc>
      </w:tr>
      <w:tr>
        <w:trPr>
          <w:trHeight w:val="223"/>
        </w:trPr>
        <w:tc>
          <w:tcPr>
            <w:tcW w:w="6440" w:type="dxa"/>
            <w:vAlign w:val="bottom"/>
          </w:tcPr>
          <w:p>
            <w:pPr>
              <w:ind w:left="200"/>
              <w:spacing w:after="0" w:line="223" w:lineRule="exact"/>
              <w:rPr>
                <w:sz w:val="20"/>
                <w:szCs w:val="20"/>
                <w:color w:val="auto"/>
              </w:rPr>
            </w:pPr>
            <w:r>
              <w:rPr>
                <w:rFonts w:ascii="Times New Roman" w:cs="Times New Roman" w:eastAsia="Times New Roman" w:hAnsi="Times New Roman"/>
                <w:sz w:val="18"/>
                <w:szCs w:val="18"/>
                <w:color w:val="auto"/>
              </w:rPr>
              <w:t xml:space="preserve">Total deferred income taxes recoveries </w:t>
            </w:r>
            <w:r>
              <w:rPr>
                <w:rFonts w:ascii="Times New Roman" w:cs="Times New Roman" w:eastAsia="Times New Roman" w:hAnsi="Times New Roman"/>
                <w:sz w:val="23"/>
                <w:szCs w:val="23"/>
                <w:color w:val="auto"/>
                <w:vertAlign w:val="superscript"/>
              </w:rPr>
              <w:t>(i)</w:t>
            </w: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2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0" w:type="dxa"/>
            <w:vAlign w:val="bottom"/>
          </w:tcPr>
          <w:p>
            <w:pPr>
              <w:spacing w:after="0"/>
              <w:rPr>
                <w:sz w:val="1"/>
                <w:szCs w:val="1"/>
                <w:color w:val="auto"/>
              </w:rPr>
            </w:pPr>
          </w:p>
        </w:tc>
      </w:tr>
      <w:tr>
        <w:trPr>
          <w:trHeight w:val="223"/>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92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104.2</w:t>
            </w: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A reconciliation of the expected income tax expense calculated using combined Canadian federal and provincial income tax rate with our income tax expense is as follows:</w:t>
      </w:r>
    </w:p>
    <w:p>
      <w:pPr>
        <w:sectPr>
          <w:pgSz w:w="11900" w:h="16838" w:orient="portrait"/>
          <w:cols w:equalWidth="0" w:num="1">
            <w:col w:w="11240"/>
          </w:cols>
          <w:pgMar w:left="320" w:top="36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Expected statutory rate</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Expected income tax expense calculated using expected statutory rate</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Effect of foreign tax rate differences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Effect of foreign exchange</w:t>
      </w:r>
    </w:p>
    <w:p>
      <w:pPr>
        <w:spacing w:after="0" w:line="31" w:lineRule="exact"/>
        <w:rPr>
          <w:sz w:val="20"/>
          <w:szCs w:val="20"/>
          <w:color w:val="auto"/>
        </w:rPr>
      </w:pPr>
    </w:p>
    <w:p>
      <w:pPr>
        <w:ind w:left="180" w:hanging="161"/>
        <w:spacing w:after="0" w:line="244" w:lineRule="auto"/>
        <w:rPr>
          <w:sz w:val="20"/>
          <w:szCs w:val="20"/>
          <w:color w:val="auto"/>
        </w:rPr>
      </w:pPr>
      <w:r>
        <w:rPr>
          <w:rFonts w:ascii="Times New Roman" w:cs="Times New Roman" w:eastAsia="Times New Roman" w:hAnsi="Times New Roman"/>
          <w:sz w:val="18"/>
          <w:szCs w:val="18"/>
          <w:color w:val="auto"/>
        </w:rPr>
        <w:t xml:space="preserve">Effect of other, including non-taxable/non-deductible items and changes to net provisions related to tax uncertainties </w:t>
      </w:r>
      <w:r>
        <w:rPr>
          <w:rFonts w:ascii="Times New Roman" w:cs="Times New Roman" w:eastAsia="Times New Roman" w:hAnsi="Times New Roman"/>
          <w:sz w:val="23"/>
          <w:szCs w:val="23"/>
          <w:color w:val="auto"/>
          <w:vertAlign w:val="superscript"/>
        </w:rPr>
        <w:t>(i) (ii)</w:t>
      </w:r>
    </w:p>
    <w:p>
      <w:pPr>
        <w:ind w:left="20"/>
        <w:spacing w:after="0" w:line="220" w:lineRule="auto"/>
        <w:rPr>
          <w:sz w:val="20"/>
          <w:szCs w:val="20"/>
          <w:color w:val="auto"/>
        </w:rPr>
      </w:pPr>
      <w:r>
        <w:rPr>
          <w:rFonts w:ascii="Times New Roman" w:cs="Times New Roman" w:eastAsia="Times New Roman" w:hAnsi="Times New Roman"/>
          <w:sz w:val="18"/>
          <w:szCs w:val="18"/>
          <w:color w:val="auto"/>
        </w:rPr>
        <w:t xml:space="preserve">Change in valuation allowance </w:t>
      </w:r>
      <w:r>
        <w:rPr>
          <w:rFonts w:ascii="Times New Roman" w:cs="Times New Roman" w:eastAsia="Times New Roman" w:hAnsi="Times New Roman"/>
          <w:sz w:val="23"/>
          <w:szCs w:val="23"/>
          <w:color w:val="auto"/>
          <w:vertAlign w:val="superscript"/>
        </w:rPr>
        <w:t>(ii)</w:t>
      </w:r>
    </w:p>
    <w:p>
      <w:pPr>
        <w:ind w:left="20"/>
        <w:spacing w:after="0"/>
        <w:rPr>
          <w:sz w:val="20"/>
          <w:szCs w:val="20"/>
          <w:color w:val="auto"/>
        </w:rPr>
      </w:pPr>
      <w:r>
        <w:rPr>
          <w:rFonts w:ascii="Times New Roman" w:cs="Times New Roman" w:eastAsia="Times New Roman" w:hAnsi="Times New Roman"/>
          <w:sz w:val="18"/>
          <w:szCs w:val="18"/>
          <w:color w:val="auto"/>
        </w:rPr>
        <w:t>Income tax expense</w:t>
      </w:r>
    </w:p>
    <w:p>
      <w:pPr>
        <w:spacing w:after="0" w:line="20" w:lineRule="exact"/>
        <w:rPr>
          <w:sz w:val="20"/>
          <w:szCs w:val="20"/>
          <w:color w:val="auto"/>
        </w:rPr>
      </w:pPr>
      <w:r>
        <w:rPr>
          <w:sz w:val="20"/>
          <w:szCs w:val="20"/>
          <w:color w:val="auto"/>
        </w:rPr>
        <w:br w:type="column"/>
      </w:r>
    </w:p>
    <w:p>
      <w:pPr>
        <w:ind w:left="148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475"/>
        </w:trPr>
        <w:tc>
          <w:tcPr>
            <w:tcW w:w="3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26.5 %</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26.5 %</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26.5 %</w:t>
            </w:r>
          </w:p>
        </w:tc>
      </w:tr>
      <w:tr>
        <w:trPr>
          <w:trHeight w:val="230"/>
        </w:trPr>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141.0</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81.1</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63.4</w:t>
            </w:r>
          </w:p>
        </w:tc>
      </w:tr>
      <w:tr>
        <w:trPr>
          <w:trHeight w:val="230"/>
        </w:trPr>
        <w:tc>
          <w:tcPr>
            <w:tcW w:w="360" w:type="dxa"/>
            <w:vAlign w:val="bottom"/>
          </w:tcPr>
          <w:p>
            <w:pPr>
              <w:spacing w:after="0"/>
              <w:rPr>
                <w:sz w:val="19"/>
                <w:szCs w:val="19"/>
                <w:color w:val="auto"/>
              </w:rPr>
            </w:pPr>
          </w:p>
        </w:tc>
        <w:tc>
          <w:tcPr>
            <w:tcW w:w="12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(73.9)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(45.7)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(34.9)</w:t>
            </w:r>
          </w:p>
        </w:tc>
      </w:tr>
      <w:tr>
        <w:trPr>
          <w:trHeight w:val="234"/>
        </w:trPr>
        <w:tc>
          <w:tcPr>
            <w:tcW w:w="360" w:type="dxa"/>
            <w:vAlign w:val="bottom"/>
          </w:tcPr>
          <w:p>
            <w:pPr>
              <w:spacing w:after="0"/>
              <w:rPr>
                <w:sz w:val="20"/>
                <w:szCs w:val="20"/>
                <w:color w:val="auto"/>
              </w:rPr>
            </w:pPr>
          </w:p>
        </w:tc>
        <w:tc>
          <w:tcPr>
            <w:tcW w:w="12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w:t>
            </w:r>
          </w:p>
        </w:tc>
      </w:tr>
      <w:tr>
        <w:trPr>
          <w:trHeight w:val="481"/>
        </w:trPr>
        <w:tc>
          <w:tcPr>
            <w:tcW w:w="360" w:type="dxa"/>
            <w:vAlign w:val="bottom"/>
          </w:tcPr>
          <w:p>
            <w:pPr>
              <w:spacing w:after="0"/>
              <w:rPr>
                <w:sz w:val="24"/>
                <w:szCs w:val="24"/>
                <w:color w:val="auto"/>
              </w:rPr>
            </w:pP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5.0</w:t>
            </w:r>
          </w:p>
        </w:tc>
      </w:tr>
      <w:tr>
        <w:trPr>
          <w:trHeight w:val="234"/>
        </w:trPr>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25.2</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24.3</w:t>
            </w:r>
          </w:p>
        </w:tc>
      </w:tr>
      <w:tr>
        <w:trPr>
          <w:trHeight w:val="223"/>
        </w:trPr>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104.2</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61.6</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59.0</w:t>
            </w: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ectPr>
          <w:pgSz w:w="11900" w:h="16838" w:orient="portrait"/>
          <w:cols w:equalWidth="0" w:num="2">
            <w:col w:w="5660" w:space="700"/>
            <w:col w:w="4880"/>
          </w:cols>
          <w:pgMar w:left="320" w:top="360" w:right="339" w:bottom="1440" w:gutter="0" w:footer="0" w:header="0"/>
          <w:type w:val="continuous"/>
        </w:sectPr>
      </w:pPr>
    </w:p>
    <w:p>
      <w:pPr>
        <w:jc w:val="right"/>
        <w:ind w:left="660" w:hanging="652"/>
        <w:spacing w:after="0" w:line="263" w:lineRule="auto"/>
        <w:tabs>
          <w:tab w:leader="none" w:pos="343"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line items in the two tables above include: (i) for 2024, a $22.3 withholding tax expense incurred to minimize the impact of the enactment of Pillar Two (global minimum tax) legislation in Canada, and a $3.9 tax expense arising from taxable temporary differences associated with the anticipated repatriation of undistributed earnings (Repatriation Expense) from certain of our Asian subsidiaries (ii) for 2023, a $11.3 tax expense arising from both the repatriation of undistributed earnings and taxable temporary differences associated with the anticipated repatriation of undistributed earnings from certain of our Asian subsidiaries; and (iii) for 2022, a $3.3 Repatriation Expense related to certain of our Chinese subsidiaries ($3.3 of which was paid in 2023 and realized as a current tax expense in 2023).</w:t>
      </w:r>
    </w:p>
    <w:p>
      <w:pPr>
        <w:spacing w:after="0" w:line="4" w:lineRule="exact"/>
        <w:rPr>
          <w:rFonts w:ascii="Times New Roman" w:cs="Times New Roman" w:eastAsia="Times New Roman" w:hAnsi="Times New Roman"/>
          <w:sz w:val="16"/>
          <w:szCs w:val="16"/>
          <w:color w:val="auto"/>
        </w:rPr>
      </w:pPr>
    </w:p>
    <w:p>
      <w:pPr>
        <w:ind w:left="660" w:right="20" w:hanging="652"/>
        <w:spacing w:after="0" w:line="280" w:lineRule="auto"/>
        <w:tabs>
          <w:tab w:leader="none" w:pos="416"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line items for 2022, 2023 and 2024 in the two tables above include tax benefits related to return-to-provision adjustments for changes in estimates related to prior years based on changes in facts or circumstances (RTP Adjustments), and net adjustments for tax liabilities and uncertainties (discussed below).</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effective income tax rate can vary significantly period-to-period for various reasons, including as a result of the mix and volume of business in various tax jurisdictions within the Americas, Europe and Asia, in jurisdictions with tax holidays and tax incentives, and in jurisdictions for which no net deferred income tax assets have been recognized because</w:t>
      </w: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154" w:name="page155"/>
    <w:bookmarkEnd w:id="154"/>
    <w:p>
      <w:pPr>
        <w:jc w:val="center"/>
        <w:spacing w:after="0"/>
        <w:rPr>
          <w:sz w:val="20"/>
          <w:szCs w:val="20"/>
          <w:color w:val="auto"/>
        </w:rPr>
      </w:pPr>
      <w:r>
        <w:rPr>
          <w:rFonts w:ascii="Times New Roman" w:cs="Times New Roman" w:eastAsia="Times New Roman" w:hAnsi="Times New Roman"/>
          <w:sz w:val="18"/>
          <w:szCs w:val="18"/>
          <w:b w:val="1"/>
          <w:bCs w:val="1"/>
          <w:color w:val="auto"/>
        </w:rPr>
        <w:t>CELESTICA INC.</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of U.S. dollars, except percentages and per share amounts)</w:t>
      </w:r>
    </w:p>
    <w:p>
      <w:pPr>
        <w:spacing w:after="0" w:line="39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believes it is not probable that future taxable profit will be available against which tax losses and deductible temporary differences could be utilized. Our effective income tax rate can also vary due to the impact of restructuring charges, foreign exchange fluctuations, operating losses, cash repatriations, and changes in our provisions related to tax uncertainties.</w:t>
      </w:r>
    </w:p>
    <w:p>
      <w:pPr>
        <w:spacing w:after="0" w:line="20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During 2024, we recorded net income tax expense of $104.2, which included a $22.3 withholding tax expense incurred to minimize the impact of the enactment of Pillar Two (global minimum tax) legislation in Canada, $14.0 tax expense for tax uncertainties relating to one of our Asian subsidiaries, and a $3.9 Repatriation Expense related to certain of our Asian subsidiaries, offset in part by the recognition of $23.8 of previously unrecognized deferred tax arising from both our NCS acquisition in our U.S. group of subsidiaries and deductible temporary differences in one of our Asian subsidiaries (DTA Recognition), and $11.8 of reversals of tax uncertainties (Reversals) relating to certain of our Asian subsidiaries. Taxable foreign exchange impacts were not significant in 2024.</w:t>
      </w:r>
    </w:p>
    <w:p>
      <w:pPr>
        <w:spacing w:after="0" w:line="21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During 2023, we recorded net income tax expense of $61.6, which included a $11.3 tax expense arising from both the repatriation of undistributed earnings and taxable temporary differences associated with the anticipated repatriation of undistributed earnings from certain of our Asian subsidiaries, and a $4.8 tax expense for tax uncertainties relating to one of our Asian subsidiaries, partially offset by the favorable impact of $5.5 in reversals of previously-recorded tax uncertainties in another of our Asian subsidiaries. Taxable foreign exchange impacts were not significant in 2023. Withholding tax of $5.8 associated with the repatriation of undistributed earnings from certain of our Asian subsidiaries in 2023 (realized as current tax) was fully offset by the reversal of previously accrued deferred taxes from the then-anticipated repatriation of such undistributed earnings.</w:t>
      </w:r>
    </w:p>
    <w:p>
      <w:pPr>
        <w:spacing w:after="0" w:line="21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During 2022, we recorded net income tax expense of $59.0, which was favorably impacted by $4.9 in reversals of tax uncertainties in one of our Asian subsidiaries, which was more than offset by an adverse $3.5 taxable foreign exchange impact arising primarily from the weakening of the Chinese renminbi relative to the U.S. dollar, our functional currency, and a $3.3 Repatriation Expense related to certain of our Chinese subsidiaries. Withholding tax of $10.3 associated with the repatriation of undistributed earnings from certain of our Chinese subsidiaries in 2022 (realized as current tax) was fully offset by the reversal of previously accrued deferred taxes from the then-anticipated repatriation of such undistributed earnings.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55" w:name="page156"/>
    <w:bookmarkEnd w:id="15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CELESTICA INC.</w:t>
      </w:r>
    </w:p>
    <w:p>
      <w:pPr>
        <w:spacing w:after="0" w:line="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 of U.S. dollars, except percentages and per share amounts)</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components of the deferred income taxes are as follows:</w:t>
            </w:r>
          </w:p>
        </w:tc>
        <w:tc>
          <w:tcPr>
            <w:tcW w:w="10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7760" w:type="dxa"/>
            <w:vAlign w:val="bottom"/>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77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05"/>
        </w:trPr>
        <w:tc>
          <w:tcPr>
            <w:tcW w:w="7760" w:type="dxa"/>
            <w:vAlign w:val="bottom"/>
            <w:vMerge w:val="continue"/>
          </w:tcPr>
          <w:p>
            <w:pPr>
              <w:spacing w:after="0"/>
              <w:rPr>
                <w:sz w:val="17"/>
                <w:szCs w:val="17"/>
                <w:color w:val="auto"/>
              </w:rPr>
            </w:pPr>
          </w:p>
        </w:tc>
        <w:tc>
          <w:tcPr>
            <w:tcW w:w="10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Accounting provisions not currently deductible</w:t>
            </w:r>
          </w:p>
        </w:tc>
        <w:tc>
          <w:tcPr>
            <w:tcW w:w="102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12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0" w:type="dxa"/>
            <w:vAlign w:val="bottom"/>
          </w:tcPr>
          <w:p>
            <w:pPr>
              <w:spacing w:after="0"/>
              <w:rPr>
                <w:sz w:val="1"/>
                <w:szCs w:val="1"/>
                <w:color w:val="auto"/>
              </w:rPr>
            </w:pPr>
          </w:p>
        </w:tc>
      </w:tr>
      <w:tr>
        <w:trPr>
          <w:trHeight w:val="230"/>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Pensions and non-pension post-retirement benefits</w:t>
            </w:r>
          </w:p>
        </w:tc>
        <w:tc>
          <w:tcPr>
            <w:tcW w:w="10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29"/>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Tax loss carryforwards</w:t>
            </w:r>
          </w:p>
        </w:tc>
        <w:tc>
          <w:tcPr>
            <w:tcW w:w="10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357.2</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361.0</w:t>
            </w:r>
          </w:p>
        </w:tc>
        <w:tc>
          <w:tcPr>
            <w:tcW w:w="0" w:type="dxa"/>
            <w:vAlign w:val="bottom"/>
          </w:tcPr>
          <w:p>
            <w:pPr>
              <w:spacing w:after="0"/>
              <w:rPr>
                <w:sz w:val="1"/>
                <w:szCs w:val="1"/>
                <w:color w:val="auto"/>
              </w:rPr>
            </w:pPr>
          </w:p>
        </w:tc>
      </w:tr>
      <w:tr>
        <w:trPr>
          <w:trHeight w:val="234"/>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0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12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0" w:type="dxa"/>
            <w:vAlign w:val="bottom"/>
          </w:tcPr>
          <w:p>
            <w:pPr>
              <w:spacing w:after="0"/>
              <w:rPr>
                <w:sz w:val="1"/>
                <w:szCs w:val="1"/>
                <w:color w:val="auto"/>
              </w:rPr>
            </w:pPr>
          </w:p>
        </w:tc>
      </w:tr>
      <w:tr>
        <w:trPr>
          <w:trHeight w:val="218"/>
        </w:trPr>
        <w:tc>
          <w:tcPr>
            <w:tcW w:w="7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gross deferred tax assets</w:t>
            </w:r>
          </w:p>
        </w:tc>
        <w:tc>
          <w:tcPr>
            <w:tcW w:w="10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490.7</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474.4</w:t>
            </w:r>
          </w:p>
        </w:tc>
        <w:tc>
          <w:tcPr>
            <w:tcW w:w="0" w:type="dxa"/>
            <w:vAlign w:val="bottom"/>
          </w:tcPr>
          <w:p>
            <w:pPr>
              <w:spacing w:after="0"/>
              <w:rPr>
                <w:sz w:val="1"/>
                <w:szCs w:val="1"/>
                <w:color w:val="auto"/>
              </w:rPr>
            </w:pPr>
          </w:p>
        </w:tc>
      </w:tr>
      <w:tr>
        <w:trPr>
          <w:trHeight w:val="234"/>
        </w:trPr>
        <w:tc>
          <w:tcPr>
            <w:tcW w:w="7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Less: valuation allowance</w:t>
            </w:r>
          </w:p>
        </w:tc>
        <w:tc>
          <w:tcPr>
            <w:tcW w:w="10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(386.0)</w:t>
            </w:r>
          </w:p>
        </w:tc>
        <w:tc>
          <w:tcPr>
            <w:tcW w:w="12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(381.1)</w:t>
            </w:r>
          </w:p>
        </w:tc>
        <w:tc>
          <w:tcPr>
            <w:tcW w:w="0" w:type="dxa"/>
            <w:vAlign w:val="bottom"/>
          </w:tcPr>
          <w:p>
            <w:pPr>
              <w:spacing w:after="0"/>
              <w:rPr>
                <w:sz w:val="1"/>
                <w:szCs w:val="1"/>
                <w:color w:val="auto"/>
              </w:rPr>
            </w:pPr>
          </w:p>
        </w:tc>
      </w:tr>
      <w:tr>
        <w:trPr>
          <w:trHeight w:val="228"/>
        </w:trPr>
        <w:tc>
          <w:tcPr>
            <w:tcW w:w="77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net deferred tax assets</w:t>
            </w:r>
          </w:p>
        </w:tc>
        <w:tc>
          <w:tcPr>
            <w:tcW w:w="10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0" w:type="dxa"/>
            <w:vAlign w:val="bottom"/>
          </w:tcPr>
          <w:p>
            <w:pPr>
              <w:spacing w:after="0"/>
              <w:rPr>
                <w:sz w:val="1"/>
                <w:szCs w:val="1"/>
                <w:color w:val="auto"/>
              </w:rPr>
            </w:pPr>
          </w:p>
        </w:tc>
      </w:tr>
      <w:tr>
        <w:trPr>
          <w:trHeight w:val="314"/>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0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Unrealized foreign exchange gains</w:t>
            </w:r>
          </w:p>
        </w:tc>
        <w:tc>
          <w:tcPr>
            <w:tcW w:w="10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0" w:type="dxa"/>
            <w:vAlign w:val="bottom"/>
          </w:tcPr>
          <w:p>
            <w:pPr>
              <w:spacing w:after="0"/>
              <w:rPr>
                <w:sz w:val="1"/>
                <w:szCs w:val="1"/>
                <w:color w:val="auto"/>
              </w:rPr>
            </w:pPr>
          </w:p>
        </w:tc>
      </w:tr>
      <w:tr>
        <w:trPr>
          <w:trHeight w:val="234"/>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and intangibles</w:t>
            </w:r>
          </w:p>
        </w:tc>
        <w:tc>
          <w:tcPr>
            <w:tcW w:w="10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2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0" w:type="dxa"/>
            <w:vAlign w:val="bottom"/>
          </w:tcPr>
          <w:p>
            <w:pPr>
              <w:spacing w:after="0"/>
              <w:rPr>
                <w:sz w:val="1"/>
                <w:szCs w:val="1"/>
                <w:color w:val="auto"/>
              </w:rPr>
            </w:pPr>
          </w:p>
        </w:tc>
      </w:tr>
      <w:tr>
        <w:trPr>
          <w:trHeight w:val="228"/>
        </w:trPr>
        <w:tc>
          <w:tcPr>
            <w:tcW w:w="77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10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0" w:type="dxa"/>
            <w:vAlign w:val="bottom"/>
          </w:tcPr>
          <w:p>
            <w:pPr>
              <w:spacing w:after="0"/>
              <w:rPr>
                <w:sz w:val="1"/>
                <w:szCs w:val="1"/>
                <w:color w:val="auto"/>
              </w:rPr>
            </w:pPr>
          </w:p>
        </w:tc>
      </w:tr>
      <w:tr>
        <w:trPr>
          <w:trHeight w:val="103"/>
        </w:trPr>
        <w:tc>
          <w:tcPr>
            <w:tcW w:w="7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deferred tax assets/(liabilities)</w:t>
            </w:r>
          </w:p>
        </w:tc>
        <w:tc>
          <w:tcPr>
            <w:tcW w:w="10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7760" w:type="dxa"/>
            <w:vAlign w:val="bottom"/>
            <w:vMerge w:val="continue"/>
          </w:tcPr>
          <w:p>
            <w:pPr>
              <w:spacing w:after="0"/>
              <w:rPr>
                <w:sz w:val="19"/>
                <w:szCs w:val="19"/>
                <w:color w:val="auto"/>
              </w:rPr>
            </w:pPr>
          </w:p>
        </w:tc>
        <w:tc>
          <w:tcPr>
            <w:tcW w:w="102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2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1"/>
        </w:trPr>
        <w:tc>
          <w:tcPr>
            <w:tcW w:w="77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Comprised of:</w:t>
            </w: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48"/>
        </w:trPr>
        <w:tc>
          <w:tcPr>
            <w:tcW w:w="776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10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0" w:type="dxa"/>
            <w:vAlign w:val="bottom"/>
          </w:tcPr>
          <w:p>
            <w:pPr>
              <w:spacing w:after="0"/>
              <w:rPr>
                <w:sz w:val="1"/>
                <w:szCs w:val="1"/>
                <w:color w:val="auto"/>
              </w:rPr>
            </w:pPr>
          </w:p>
        </w:tc>
      </w:tr>
      <w:tr>
        <w:trPr>
          <w:trHeight w:val="234"/>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10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12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0" w:type="dxa"/>
            <w:vAlign w:val="bottom"/>
          </w:tcPr>
          <w:p>
            <w:pPr>
              <w:spacing w:after="0"/>
              <w:rPr>
                <w:sz w:val="1"/>
                <w:szCs w:val="1"/>
                <w:color w:val="auto"/>
              </w:rPr>
            </w:pPr>
          </w:p>
        </w:tc>
      </w:tr>
      <w:tr>
        <w:trPr>
          <w:trHeight w:val="223"/>
        </w:trPr>
        <w:tc>
          <w:tcPr>
            <w:tcW w:w="7760" w:type="dxa"/>
            <w:vAlign w:val="bottom"/>
          </w:tcPr>
          <w:p>
            <w:pPr>
              <w:spacing w:after="0"/>
              <w:rPr>
                <w:sz w:val="19"/>
                <w:szCs w:val="19"/>
                <w:color w:val="auto"/>
              </w:rPr>
            </w:pPr>
          </w:p>
        </w:tc>
        <w:tc>
          <w:tcPr>
            <w:tcW w:w="102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2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0"/>
        </w:trPr>
        <w:tc>
          <w:tcPr>
            <w:tcW w:w="77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amount of tax loss carryforwards on hand at December 31, 2024 is $1,632.9 (December 31, 2023 — $1,658.3). We have applied a valuation allowance against these tax loss carryforwards to reflect management’s best estimate of future taxable profit that will be available against which we can utilize these tax loss carryforwards. $605.0 of these tax loss carryforwards expire between 2025 and 2044, and the remainder of the tax loss carryforwards have no expiry date.</w:t>
      </w:r>
    </w:p>
    <w:p>
      <w:pPr>
        <w:spacing w:after="0" w:line="20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At December 31, 2024, the aggregate amount of taxable temporary differences associated with investments in subsidiaries for which we have not recognized deferred tax liabilities is $42.2 (December 31, 2023 — $28.4). At December 31, 2024, we recorded aggregate deferred tax assets net of valuation allowance of nil relating to subsidiaries which realized losses. At December 31, 2023, we recorded aggregate deferred tax assets net of valuation allowance of $0.7 for one of our Asian subsidiaries which realized losses in 2021 — 2023. At December 31, 2022, we recorded aggregate deferred tax assets net of valuation allowance of $5.0 for one of our Asian subsidiaries and for our U.S. group of subsidiaries, each of which realized losses in 2021 and 2022. We recognize a valuation allowance against aggregate gross deferred tax assets based on our estimate of the future taxable profit we expect these subsidiaries to achieve based on our review of financial projections.</w:t>
      </w:r>
    </w:p>
    <w:p>
      <w:pPr>
        <w:spacing w:after="0" w:line="21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Certain countries in which we do business grant tax incentives to attract or retain our business. Our tax expense could increase if certain tax incentives from which we benefit are retracted or exhausted. A retraction could occur if we fail to satisfy the conditions on which these tax incentives are based, or if they are not renewed or replaced upon expiration. Our tax expense could also increase if tax rates applicable to us in such jurisdictions are otherwise increased, or due to changes in legislation or administrative practices. Changes in our outlook in any particular country could impact our ability to meet the required conditions.</w:t>
      </w:r>
    </w:p>
    <w:p>
      <w:pPr>
        <w:spacing w:after="0" w:line="21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tax incentives currently consist of tax exemptions for the profits of our Thailand and Laos subsidiaries. These tax exemptions are subject to certain conditions with which we intend to comply, and expire as described below.</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four income tax incentives in Thailand. One of these incentives allows for a 50% income tax exemption until its expiration in 2027. The second incentive allows for a 100% income tax and distribution tax exemption for eight years, and expires in 2028. The third incentive allows for a 100% income tax and distribution tax exemption for six years, and expires in 2028. The fourth incentive, a new incentive obtained in 2023 and expected to commence in 2024, allows for a</w:t>
      </w: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56" w:name="page157"/>
    <w:bookmarkEnd w:id="156"/>
    <w:p>
      <w:pPr>
        <w:jc w:val="center"/>
        <w:spacing w:after="0"/>
        <w:rPr>
          <w:sz w:val="20"/>
          <w:szCs w:val="20"/>
          <w:color w:val="auto"/>
        </w:rPr>
      </w:pPr>
      <w:r>
        <w:rPr>
          <w:rFonts w:ascii="Times New Roman" w:cs="Times New Roman" w:eastAsia="Times New Roman" w:hAnsi="Times New Roman"/>
          <w:sz w:val="18"/>
          <w:szCs w:val="18"/>
          <w:b w:val="1"/>
          <w:bCs w:val="1"/>
          <w:color w:val="auto"/>
        </w:rPr>
        <w:t>CELESTICA INC.</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of U.S. dollars, except percentages and per share amounts)</w:t>
      </w:r>
    </w:p>
    <w:p>
      <w:pPr>
        <w:spacing w:after="0" w:line="39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100% income tax and distribution tax exemption for six years. Our tax incentive in Laos allows for a 100% income tax exemption until 2025, and a reduced income tax rate of 8% thereafter. Upon full expiry of each of the incentives, taxable profits associated with such incentives become fully taxable. The aggregate tax benefit arising from all of our tax incentives was approximately $44 for 2024 (2023 — $40; 2022 — $21).</w:t>
      </w:r>
    </w:p>
    <w:p>
      <w:pPr>
        <w:sectPr>
          <w:pgSz w:w="11900" w:h="16838" w:orient="portrait"/>
          <w:cols w:equalWidth="0" w:num="1">
            <w:col w:w="11240"/>
          </w:cols>
          <w:pgMar w:left="320" w:top="360" w:right="339" w:bottom="1440" w:gutter="0" w:footer="0" w:header="0"/>
        </w:sectPr>
      </w:pP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note 21 for contingencies regarding Romanian and Thai income and value-added tax matters.</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reconciliation of the beginning and ending amount of unrecognized tax benefits is as follows:</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beginning of year</w:t>
      </w:r>
    </w:p>
    <w:p>
      <w:pPr>
        <w:spacing w:after="0" w:line="3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Additions, based on current year tax positions</w:t>
      </w:r>
    </w:p>
    <w:p>
      <w:pPr>
        <w:spacing w:after="0" w:line="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 xml:space="preserve">Additions, for prior years' tax positions </w:t>
      </w:r>
      <w:r>
        <w:rPr>
          <w:rFonts w:ascii="Times New Roman" w:cs="Times New Roman" w:eastAsia="Times New Roman" w:hAnsi="Times New Roman"/>
          <w:sz w:val="23"/>
          <w:szCs w:val="23"/>
          <w:color w:val="auto"/>
          <w:vertAlign w:val="superscript"/>
        </w:rPr>
        <w:t>(i)</w:t>
      </w:r>
    </w:p>
    <w:p>
      <w:pPr>
        <w:ind w:left="100"/>
        <w:spacing w:after="0"/>
        <w:rPr>
          <w:sz w:val="20"/>
          <w:szCs w:val="20"/>
          <w:color w:val="auto"/>
        </w:rPr>
      </w:pPr>
      <w:r>
        <w:rPr>
          <w:rFonts w:ascii="Times New Roman" w:cs="Times New Roman" w:eastAsia="Times New Roman" w:hAnsi="Times New Roman"/>
          <w:sz w:val="18"/>
          <w:szCs w:val="18"/>
          <w:color w:val="auto"/>
        </w:rPr>
        <w:t>Reductions for prior years' tax positions</w:t>
      </w:r>
    </w:p>
    <w:p>
      <w:pPr>
        <w:spacing w:after="0" w:line="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Reductions for lapse of statute of limitations</w:t>
      </w:r>
    </w:p>
    <w:p>
      <w:pPr>
        <w:spacing w:after="0" w:line="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 xml:space="preserve">Reductions due to settlements </w:t>
      </w:r>
      <w:r>
        <w:rPr>
          <w:rFonts w:ascii="Times New Roman" w:cs="Times New Roman" w:eastAsia="Times New Roman" w:hAnsi="Times New Roman"/>
          <w:sz w:val="23"/>
          <w:szCs w:val="23"/>
          <w:color w:val="auto"/>
          <w:vertAlign w:val="superscript"/>
        </w:rPr>
        <w:t>(ii)</w:t>
      </w:r>
    </w:p>
    <w:p>
      <w:pPr>
        <w:ind w:left="100"/>
        <w:spacing w:after="0"/>
        <w:rPr>
          <w:sz w:val="20"/>
          <w:szCs w:val="20"/>
          <w:color w:val="auto"/>
        </w:rPr>
      </w:pPr>
      <w:r>
        <w:rPr>
          <w:rFonts w:ascii="Times New Roman" w:cs="Times New Roman" w:eastAsia="Times New Roman" w:hAnsi="Times New Roman"/>
          <w:sz w:val="18"/>
          <w:szCs w:val="18"/>
          <w:color w:val="auto"/>
        </w:rPr>
        <w:t>Impact of foreign exchange fluctuation</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end of fiscal year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top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8"/>
        </w:trPr>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20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w:t>
            </w:r>
          </w:p>
        </w:tc>
      </w:tr>
      <w:tr>
        <w:trPr>
          <w:trHeight w:val="229"/>
        </w:trPr>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30"/>
        </w:trPr>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29"/>
        </w:trPr>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29"/>
        </w:trPr>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30"/>
        </w:trPr>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34"/>
        </w:trPr>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23"/>
        </w:trPr>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w:t>
            </w:r>
          </w:p>
        </w:tc>
      </w:tr>
    </w:tbl>
    <w:p>
      <w:pPr>
        <w:spacing w:after="0" w:line="148" w:lineRule="exact"/>
        <w:rPr>
          <w:sz w:val="20"/>
          <w:szCs w:val="20"/>
          <w:color w:val="auto"/>
        </w:rPr>
      </w:pPr>
    </w:p>
    <w:p>
      <w:pPr>
        <w:sectPr>
          <w:pgSz w:w="11900" w:h="16838" w:orient="portrait"/>
          <w:cols w:equalWidth="0" w:num="2">
            <w:col w:w="7680" w:space="180"/>
            <w:col w:w="3380"/>
          </w:cols>
          <w:pgMar w:left="320" w:top="360" w:right="339" w:bottom="1440" w:gutter="0" w:footer="0" w:header="0"/>
          <w:type w:val="continuous"/>
        </w:sectPr>
      </w:pPr>
    </w:p>
    <w:p>
      <w:pPr>
        <w:ind w:left="660" w:hanging="652"/>
        <w:spacing w:after="0" w:line="263" w:lineRule="auto"/>
        <w:tabs>
          <w:tab w:leader="none" w:pos="339"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line item in the table above include: (i) for 2024, a $14.0 tax expense for tax uncertainties relating to one of our Asian subsidiaries, and a $5.5 tax expense for tax uncertainties relating to one of our Mexican subsidiaries; and (ii) for 2023, a $4.3 tax expense for tax uncertainties relating to one of our Mexican subsidiaries, and a $3.8 tax expense relating to one of our Asian subsidiaries.</w:t>
      </w:r>
    </w:p>
    <w:p>
      <w:pPr>
        <w:spacing w:after="0" w:line="2" w:lineRule="exact"/>
        <w:rPr>
          <w:rFonts w:ascii="Times New Roman" w:cs="Times New Roman" w:eastAsia="Times New Roman" w:hAnsi="Times New Roman"/>
          <w:sz w:val="16"/>
          <w:szCs w:val="16"/>
          <w:color w:val="auto"/>
        </w:rPr>
      </w:pPr>
    </w:p>
    <w:p>
      <w:pPr>
        <w:ind w:left="360" w:hanging="352"/>
        <w:spacing w:after="0"/>
        <w:tabs>
          <w:tab w:leader="none" w:pos="360"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line item for 2024 includes a $2.4 tax recovery relating to the settlement of a tax audit for one of our Asian subsidiaries.</w:t>
      </w:r>
    </w:p>
    <w:p>
      <w:pPr>
        <w:spacing w:after="0" w:line="25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We recognize interest and penalties accrued related to unrecognized tax benefits within our tax expense. During 2024, we recognized interest and penalties of approximately $4.1 (2023 and 2022 —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We had approximately $8.5 accrued for the payment of interest and penalties at December 31, 2024 (December 31, 2023 —$4.5).</w:t>
      </w:r>
    </w:p>
    <w:p>
      <w:pPr>
        <w:spacing w:after="0" w:line="199"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19.</w:t>
      </w:r>
      <w:r>
        <w:rPr>
          <w:sz w:val="20"/>
          <w:szCs w:val="20"/>
          <w:color w:val="auto"/>
        </w:rPr>
        <w:tab/>
      </w:r>
      <w:r>
        <w:rPr>
          <w:rFonts w:ascii="Times New Roman" w:cs="Times New Roman" w:eastAsia="Times New Roman" w:hAnsi="Times New Roman"/>
          <w:sz w:val="17"/>
          <w:szCs w:val="17"/>
          <w:b w:val="1"/>
          <w:bCs w:val="1"/>
          <w:color w:val="auto"/>
        </w:rPr>
        <w:t>FINANCIAL INSTRUMENTS AND RISK MANAGEMENT:</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financial assets are comprised primarily of cash and cash equivalents, A/R, and derivatives used for hedging purposes. Our financial liabilities are comprised primarily of A/P, certain accrued and other liabilities, the Term Loans, borrowings under the Revolver, lease obligations, and derivatives used for hedging purposes. Subsequent to initial recognition, we record the majority of our financial assets and liabilities at amortized cost except for derivative assets and liabilities, which we measure at fair value.</w:t>
      </w:r>
    </w:p>
    <w:p>
      <w:pPr>
        <w:spacing w:after="0" w:line="207"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2024, we recorded accrued payroll and benefits of $240.5 in accrued and other current liabilities on our consolidated balance sheet (December 31, 2023 — $207.4).</w:t>
      </w:r>
    </w:p>
    <w:p>
      <w:pPr>
        <w:ind w:left="180"/>
        <w:spacing w:after="0"/>
        <w:rPr>
          <w:sz w:val="20"/>
          <w:szCs w:val="20"/>
          <w:color w:val="auto"/>
        </w:rPr>
      </w:pPr>
      <w:r>
        <w:rPr>
          <w:rFonts w:ascii="Times New Roman" w:cs="Times New Roman" w:eastAsia="Times New Roman" w:hAnsi="Times New Roman"/>
          <w:sz w:val="18"/>
          <w:szCs w:val="18"/>
          <w:color w:val="auto"/>
        </w:rPr>
        <w:t>Cash and cash equivalents are comprised of the following:</w:t>
      </w:r>
    </w:p>
    <w:p>
      <w:pPr>
        <w:spacing w:after="0" w:line="27"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8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Cash</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32"/>
        </w:trPr>
        <w:tc>
          <w:tcPr>
            <w:tcW w:w="8200" w:type="dxa"/>
            <w:vAlign w:val="bottom"/>
            <w:vMerge w:val="continue"/>
          </w:tcPr>
          <w:p>
            <w:pPr>
              <w:spacing w:after="0"/>
              <w:rPr>
                <w:sz w:val="20"/>
                <w:szCs w:val="20"/>
                <w:color w:val="auto"/>
              </w:rPr>
            </w:pPr>
          </w:p>
        </w:tc>
        <w:tc>
          <w:tcPr>
            <w:tcW w:w="94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415.4</w:t>
            </w:r>
          </w:p>
        </w:tc>
        <w:tc>
          <w:tcPr>
            <w:tcW w:w="100" w:type="dxa"/>
            <w:vAlign w:val="bottom"/>
          </w:tcPr>
          <w:p>
            <w:pPr>
              <w:spacing w:after="0"/>
              <w:rPr>
                <w:sz w:val="20"/>
                <w:szCs w:val="20"/>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366.8</w:t>
            </w:r>
          </w:p>
        </w:tc>
        <w:tc>
          <w:tcPr>
            <w:tcW w:w="0" w:type="dxa"/>
            <w:vAlign w:val="bottom"/>
          </w:tcPr>
          <w:p>
            <w:pPr>
              <w:spacing w:after="0"/>
              <w:rPr>
                <w:sz w:val="1"/>
                <w:szCs w:val="1"/>
                <w:color w:val="auto"/>
              </w:rPr>
            </w:pPr>
          </w:p>
        </w:tc>
      </w:tr>
      <w:tr>
        <w:trPr>
          <w:trHeight w:val="261"/>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94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23"/>
        </w:trPr>
        <w:tc>
          <w:tcPr>
            <w:tcW w:w="8200" w:type="dxa"/>
            <w:vAlign w:val="bottom"/>
          </w:tcPr>
          <w:p>
            <w:pPr>
              <w:spacing w:after="0"/>
              <w:rPr>
                <w:sz w:val="19"/>
                <w:szCs w:val="19"/>
                <w:color w:val="auto"/>
              </w:rPr>
            </w:pPr>
          </w:p>
        </w:tc>
        <w:tc>
          <w:tcPr>
            <w:tcW w:w="94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423.3</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370.4</w:t>
            </w:r>
          </w:p>
        </w:tc>
        <w:tc>
          <w:tcPr>
            <w:tcW w:w="0" w:type="dxa"/>
            <w:vAlign w:val="bottom"/>
          </w:tcPr>
          <w:p>
            <w:pPr>
              <w:spacing w:after="0"/>
              <w:rPr>
                <w:sz w:val="1"/>
                <w:szCs w:val="1"/>
                <w:color w:val="auto"/>
              </w:rPr>
            </w:pPr>
          </w:p>
        </w:tc>
      </w:tr>
      <w:tr>
        <w:trPr>
          <w:trHeight w:val="20"/>
        </w:trPr>
        <w:tc>
          <w:tcPr>
            <w:tcW w:w="82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current portfolio of cash and cash equivalents consists of bank deposits and short-term investments with original maturities of three months 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less.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157" w:name="page158"/>
    <w:bookmarkEnd w:id="157"/>
    <w:p>
      <w:pPr>
        <w:jc w:val="center"/>
        <w:spacing w:after="0"/>
        <w:rPr>
          <w:sz w:val="20"/>
          <w:szCs w:val="20"/>
          <w:color w:val="auto"/>
        </w:rPr>
      </w:pPr>
      <w:r>
        <w:rPr>
          <w:rFonts w:ascii="Times New Roman" w:cs="Times New Roman" w:eastAsia="Times New Roman" w:hAnsi="Times New Roman"/>
          <w:sz w:val="18"/>
          <w:szCs w:val="18"/>
          <w:b w:val="1"/>
          <w:bCs w:val="1"/>
          <w:color w:val="auto"/>
        </w:rPr>
        <w:t>CELESTICA INC.</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of U.S. dollars, except percentages and per share amounts)</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risk management objectives:</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exposures to a variety of financial risks through our operations. We regularly monitor these risks and have established policies and business practices that are intended to mitigate the adverse effects of these potential exposures, including the use of derivative financial instruments, such as foreign currency forward and swap contracts, the TRS Agreement and interest rate swap agreements. We do not enter into or trade financial instruments, including derivative financial instruments, for speculative purposes.</w:t>
      </w:r>
    </w:p>
    <w:p>
      <w:pPr>
        <w:spacing w:after="0" w:line="205" w:lineRule="exact"/>
        <w:rPr>
          <w:sz w:val="20"/>
          <w:szCs w:val="20"/>
          <w:color w:val="auto"/>
        </w:rPr>
      </w:pPr>
    </w:p>
    <w:p>
      <w:pPr>
        <w:ind w:left="400" w:hanging="392"/>
        <w:spacing w:after="0"/>
        <w:tabs>
          <w:tab w:leader="none" w:pos="400" w:val="left"/>
        </w:tabs>
        <w:numPr>
          <w:ilvl w:val="0"/>
          <w:numId w:val="8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Currency risk:</w:t>
      </w:r>
    </w:p>
    <w:p>
      <w:pPr>
        <w:spacing w:after="0" w:line="25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Due to the global nature of our operations, we are exposed to exchange rate fluctuations on our financial instruments denominated in various currencies. The majority of our currency risk is driven by operational costs, including income tax expense, incurred in local currencies by our subsidiaries. As part of our risk management program, we attempt to mitigate currency risk through a hedging program using forecasts of our anticipated future cash flows and monetary assets and monetary liabilities denominated in foreign currencies. We enter into foreign currency forward contracts and swaps, generally for periods of up to 12 months, to lock in the exchange rates for future foreign currency transactions, which are intended to reduce the foreign currency risk related to our operating costs and future cash flows denominated in local currencies. These derivatives when in effective hedge relationships are designated as cash flow hedging instruments and when the hedge relationship does not meet hedge accounting criteria, the derivatives are measured at fair value with changes in fair value recognized in the consolidated statement of operations. While these contracts are intended to reduce the effects of fluctuations in foreign currency exchange rates on our operating costs and cash flows, our hedging strategy does not mitigate the longer-term impacts of changes to foreign exchange rates. Although our functional currency is the U.S. dollar, currency risk on our income tax expense arises as we are generally required to file our tax returns in the local currency for each particular country in which we have operations. While our hedging program is designed to mitigate currency risk vis-à-vis the U.S. dollar, we remain subject to taxable foreign exchange impacts in our translated local currency financial results relevant for tax reporting purposes.</w:t>
      </w:r>
    </w:p>
    <w:p>
      <w:pPr>
        <w:spacing w:after="0" w:line="21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cannot predict changes in currency exchange rates, the impact of exchange rate changes on our operating results, nor the degree to which we will be able to manage the impact of currency exchange rate changes. Such changes could have a material effect on our business, financial performance and financial condition.</w:t>
      </w:r>
    </w:p>
    <w:p>
      <w:pPr>
        <w:spacing w:after="0" w:line="203"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6"/>
          <w:szCs w:val="16"/>
          <w:color w:val="auto"/>
        </w:rPr>
        <w:t>O</w:t>
      </w:r>
      <w:r>
        <w:rPr>
          <w:rFonts w:ascii="Times New Roman" w:cs="Times New Roman" w:eastAsia="Times New Roman" w:hAnsi="Times New Roman"/>
          <w:sz w:val="17"/>
          <w:szCs w:val="17"/>
          <w:color w:val="auto"/>
        </w:rPr>
        <w:t>ur foreign currency forwards and swaps entered into prior to 2024 were not designated as effective cash flow hedges under GAAP. As such, the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7"/>
          <w:szCs w:val="17"/>
          <w:color w:val="auto"/>
        </w:rPr>
        <w:t>criteria for hedge accounting had not been met and changes in the fair value of those derivatives were marked-to-market through our consolidated statement of operations (miscellaneous expense (income)) instead of being deferred in AOCI. Starting in January 2024, foreign currency forward contracts and swaps were designated as cash flow hedges when the hedging relationship is effective and meets the hedge accounting criteria.</w:t>
      </w:r>
    </w:p>
    <w:p>
      <w:pPr>
        <w:spacing w:after="0" w:line="189" w:lineRule="exact"/>
        <w:rPr>
          <w:sz w:val="20"/>
          <w:szCs w:val="20"/>
          <w:color w:val="auto"/>
        </w:rPr>
      </w:pPr>
    </w:p>
    <w:p>
      <w:pPr>
        <w:ind w:left="400" w:hanging="392"/>
        <w:spacing w:after="0"/>
        <w:tabs>
          <w:tab w:leader="none" w:pos="400" w:val="left"/>
        </w:tabs>
        <w:numPr>
          <w:ilvl w:val="0"/>
          <w:numId w:val="8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Interest rate risk:</w:t>
      </w:r>
    </w:p>
    <w:p>
      <w:pPr>
        <w:spacing w:after="0" w:line="254" w:lineRule="exact"/>
        <w:rPr>
          <w:sz w:val="20"/>
          <w:szCs w:val="20"/>
          <w:color w:val="auto"/>
        </w:rPr>
      </w:pPr>
    </w:p>
    <w:p>
      <w:pPr>
        <w:jc w:val="both"/>
        <w:ind w:firstLine="316"/>
        <w:spacing w:after="0" w:line="258" w:lineRule="auto"/>
        <w:rPr>
          <w:sz w:val="20"/>
          <w:szCs w:val="20"/>
          <w:color w:val="auto"/>
        </w:rPr>
      </w:pPr>
      <w:r>
        <w:rPr>
          <w:rFonts w:ascii="Times New Roman" w:cs="Times New Roman" w:eastAsia="Times New Roman" w:hAnsi="Times New Roman"/>
          <w:sz w:val="18"/>
          <w:szCs w:val="18"/>
          <w:color w:val="auto"/>
        </w:rPr>
        <w:t>Borrowings under the Credit Facility bear interest at specified rates, plus specified margins. See note 11. Our borrowings under this facility at December 31, 2024 totaled $741.2 (December 31, 2023 — $608.9), comprised in each year of aggregate outstanding borrowings under the Term Loans, and other than ordinary course L/Cs (described below), nil amount outstanding under the Revolver. Such borrowings expose us to interest rate risk due to the potential variability of market interest rates. Without accounting for the interest rate swaps described below, a one-percentage point increase in these rates would increase interest expense, based on outstanding borrowings of $741.2 as at December 31, 2024, by $7.4 annually.</w:t>
      </w:r>
    </w:p>
    <w:p>
      <w:pPr>
        <w:spacing w:after="0" w:line="210" w:lineRule="exact"/>
        <w:rPr>
          <w:sz w:val="20"/>
          <w:szCs w:val="20"/>
          <w:color w:val="auto"/>
        </w:rPr>
      </w:pPr>
    </w:p>
    <w:p>
      <w:pPr>
        <w:jc w:val="both"/>
        <w:ind w:firstLine="230"/>
        <w:spacing w:after="0" w:line="254" w:lineRule="auto"/>
        <w:rPr>
          <w:sz w:val="20"/>
          <w:szCs w:val="20"/>
          <w:color w:val="auto"/>
        </w:rPr>
      </w:pPr>
      <w:r>
        <w:rPr>
          <w:rFonts w:ascii="Times New Roman" w:cs="Times New Roman" w:eastAsia="Times New Roman" w:hAnsi="Times New Roman"/>
          <w:sz w:val="18"/>
          <w:szCs w:val="18"/>
          <w:color w:val="auto"/>
        </w:rPr>
        <w:t>As part of our risk management program, we attempt to mitigate interest rate risk through interest rate swaps. In order to partially hedge against our exposure to interest rate variability on our Term Loans, we have entered into various agreements with third-party banks to swap the variable interest rate with a fixed rate of interest for a portion of the borrowings under our Term Loans. At December 31, 2024, we had: (i) interest rate swaps hedging the interest rate risk associated with $100.0 of our Initial Term Loan borrowings (and any subsequent term loans replacing the Initial Term Loan) that expire in December 2025 (Initial Swaps); (ii) interest rate swaps hedging the interest rate risk associated with $100.0 of outstanding borrowings under the Incremental Term Loan that expire in December 2025 (Incremental Swaps); and (iii) interest rate swaps hedging the interest rate risk associated with an additional $130.0 of our Incremental Term Loan borrowings that expire in December 2025 (Additional Incremental Swaps). The option to cancel up to $50.0 of the notional</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58" w:name="page159"/>
    <w:bookmarkEnd w:id="158"/>
    <w:p>
      <w:pPr>
        <w:jc w:val="center"/>
        <w:spacing w:after="0"/>
        <w:rPr>
          <w:sz w:val="20"/>
          <w:szCs w:val="20"/>
          <w:color w:val="auto"/>
        </w:rPr>
      </w:pPr>
      <w:r>
        <w:rPr>
          <w:rFonts w:ascii="Times New Roman" w:cs="Times New Roman" w:eastAsia="Times New Roman" w:hAnsi="Times New Roman"/>
          <w:sz w:val="18"/>
          <w:szCs w:val="18"/>
          <w:b w:val="1"/>
          <w:bCs w:val="1"/>
          <w:color w:val="auto"/>
        </w:rPr>
        <w:t>CELESTICA INC.</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of U.S. dollars, except percentages and per share amounts)</w:t>
      </w:r>
    </w:p>
    <w:p>
      <w:pPr>
        <w:spacing w:after="0" w:line="39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amount of the Additional Incremental Swaps from January 2024 through October 2025 was terminated in January 2024. These derivatives when in effective hedge relationships are designated as cash flow hedging instruments.</w:t>
      </w:r>
    </w:p>
    <w:p>
      <w:pPr>
        <w:spacing w:after="0" w:line="189"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17"/>
          <w:szCs w:val="17"/>
          <w:color w:val="auto"/>
        </w:rPr>
        <w:t>At December 31, 2024, the interest rate risk related to $411.2 of borrowings under the Credit Facility was unhedged, consisting of unhedged amounts outstanding under the Term Loans ($297.5 under the Initial Term Loan and $113.7 under the Incremental Term Loan), and no amounts outstanding (other than ordinary course L/Cs) under the Revolver (December 31, 2023 — $278.9 unhedged, consisting of $180.4 under the Initial Term Loan and $98.5 under the Incremental Term Loan, and no amounts outstanding (other than ordinary course L/Cs) under the Revolver). A one-percentage point increase in applicable interest rates would increase interest expense, based on the outstanding borrowings under the Credit Facility at December 31, 2024, and including the impact of our interest rate swap agreements, by $4.1 annually. As we have swapped $330.0 of our borrowings under the Term Loans from floating to fixed rates as at December 31, 2024, the financial impact of a 25 basis point increase in the floating market interest rate would increase the unrealized gain by $0.8 and a 25 basis point decrease in the floating interest rate would decrease our unrealized gain on the interest rate swaps by $0.8.</w:t>
      </w:r>
    </w:p>
    <w:p>
      <w:pPr>
        <w:spacing w:after="0" w:line="19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amended our Credit Facility in June 2023 to replace LIBOR with Adjusted Term SOFR. See note 11. In June 2023, all of our interest rate swap agreements were similarly amended. None of these amendments (individually or in the aggregate) had a significant impact on our consolidated financial statements. All of our other contracts that were previously indexed to LIBOR transitioned to alternative benchmark rates in prior years. These transitions did not have a significant impact on our consolidated financial statements.</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interest rate swap agreements entered into prior to 2024 were not designated as effective cash flow hedges under GAAP. As such, the criteria for hedge accounting had not been met and changes in the fair value of those derivatives were marked-to-market through our consolidated statement of operations (as miscellaneous expense (income)) instead of being deferred in AOCI. Starting in January 2024, interest rate swaps are designated as cash flow hedges when the hedge relationship is effective and meets GAAP hedge accounting criteria.</w:t>
      </w:r>
    </w:p>
    <w:p>
      <w:pPr>
        <w:spacing w:after="0" w:line="205"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i w:val="1"/>
          <w:iCs w:val="1"/>
          <w:color w:val="auto"/>
        </w:rPr>
        <w:t>(c)</w:t>
      </w:r>
      <w:r>
        <w:rPr>
          <w:sz w:val="20"/>
          <w:szCs w:val="20"/>
          <w:color w:val="auto"/>
        </w:rPr>
        <w:tab/>
      </w:r>
      <w:r>
        <w:rPr>
          <w:rFonts w:ascii="Times New Roman" w:cs="Times New Roman" w:eastAsia="Times New Roman" w:hAnsi="Times New Roman"/>
          <w:sz w:val="17"/>
          <w:szCs w:val="17"/>
          <w:i w:val="1"/>
          <w:iCs w:val="1"/>
          <w:color w:val="auto"/>
        </w:rPr>
        <w:t>Equity price risk:</w:t>
      </w:r>
    </w:p>
    <w:p>
      <w:pPr>
        <w:spacing w:after="0" w:line="25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entered into TRS Agreement in December 2022 with a third-party bank with respect to an original notional amount of 3.0 million of our SVS (reduced to 1.25 million SVS after partial terminations in September 2023 and February 2024), to manage our cash flow requirements and exposure to fluctuations in the share price of the SVS in connection with the settlement of certain outstanding equity awards under our SBC plans. The counterparty under the TRS Agreement is obligated to make a payment to us upon its termination (in whole or in part) or expiration (Settlement) based on the increase (if any) in the value of the TRS (as defined in the TRS Agreement) over the TRS Agreement’s term, in exchange for periodic payments made by us based on the counterparty’s SVS purchase costs and SOFR plus a specified margin. Similarly, if the value of the TRS (as defined in the TRS Agreement) decreases over the term of the TRS Agreement, we are obligated to pay the counterparty the amount of such decrease upon Settlement. The change in value of the TRS is determined by comparing the average amount realized by the counterparty upon the disposition of purchased SVS to the average amount paid for such SVS. The TRS does not qualify for hedge accounting. The counterparty acquired the entire original notional amount at a weighted average price of $12.73 per share. The TRS Agreement provides for automatic annual one-year extensions (subject to specified conditions), and may be terminated by either party (in whole or in part) at any time. In September 2023, we terminated a portion of the TRS Agreement by reducing the notional amount by 0.5 million Common Shares. In February 2024, we terminated a further portion of the TRS Agreement by reducing the notional amount by an additional 1.25 million Common Shares. In connection with the September 2023 and February 2024 partial terminations, we received $5.0 and $32.3 from the counterparty, respectively, each of which was recorded in cash provided by financing activities in our consolidated statement of cash flows.</w:t>
      </w:r>
    </w:p>
    <w:p>
      <w:pPr>
        <w:spacing w:after="0" w:line="222" w:lineRule="exact"/>
        <w:rPr>
          <w:sz w:val="20"/>
          <w:szCs w:val="20"/>
          <w:color w:val="auto"/>
        </w:rPr>
      </w:pPr>
    </w:p>
    <w:p>
      <w:pPr>
        <w:ind w:left="400" w:hanging="392"/>
        <w:spacing w:after="0"/>
        <w:tabs>
          <w:tab w:leader="none" w:pos="400" w:val="left"/>
        </w:tabs>
        <w:numPr>
          <w:ilvl w:val="0"/>
          <w:numId w:val="8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Credit risk:</w:t>
      </w:r>
    </w:p>
    <w:p>
      <w:pPr>
        <w:spacing w:after="0" w:line="25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Credit risk refers to the risk that a counterparty may default on its contractual obligations resulting in a financial loss to us. We believe our credit risk of counterparty non-performance continues to be relatively low. We are in regular contact with our customers, suppliers and logistics providers, and have not experienced significant counterparty credit-related non-performance in 2024 or 2023. However, if a key supplier (or any company within such supplier's supply chain) or customer fails to comply with their contractual obligations, this could result in a significant financial loss to us. We would also suffer a significant financial loss if an institution from which we purchased foreign currency exchange contracts or swaps, interest</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59" w:name="page160"/>
    <w:bookmarkEnd w:id="159"/>
    <w:p>
      <w:pPr>
        <w:jc w:val="center"/>
        <w:spacing w:after="0"/>
        <w:rPr>
          <w:sz w:val="20"/>
          <w:szCs w:val="20"/>
          <w:color w:val="auto"/>
        </w:rPr>
      </w:pPr>
      <w:r>
        <w:rPr>
          <w:rFonts w:ascii="Times New Roman" w:cs="Times New Roman" w:eastAsia="Times New Roman" w:hAnsi="Times New Roman"/>
          <w:sz w:val="18"/>
          <w:szCs w:val="18"/>
          <w:b w:val="1"/>
          <w:bCs w:val="1"/>
          <w:color w:val="auto"/>
        </w:rPr>
        <w:t>CELESTICA INC.</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of U.S. dollars, except percentages and per share amounts)</w:t>
      </w:r>
    </w:p>
    <w:p>
      <w:pPr>
        <w:spacing w:after="0" w:line="39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rate swaps, or annuities for our pension plans, or the counterparty to our TRS, defaults on their contractual obligations. With respect to our financial market activities, we have adopted a policy of dealing only with counterparties we deem to be creditworthy to help mitigate the risk of financial loss from defaults. We monitor the credit risk of the counterparties with whom we conduct business, through a combined process of credit rating reviews and portfolio reviews. To attempt to mitigate the risk of financial loss from defaults under our foreign currency forward contracts and swaps, our interest rate swaps and our TRS Agreement, our contracts are held by counterparty financial institutions, each of which had a Standard and Poor’s rating of A-2 or above at December 31, 2024. In addition, we maintain cash and short-term investments in highly-rated investments or on deposit with major financial institutions. Each financial institution with which we had our A/R sales program and our SFPs had a Standard and Poor’s short-term rating of A-1 or above and a long-term rating of A or above at December 31, 2024. The financial institutions from which annuities have been purchased for the defined benefit component of our U.K. Main pension plan are governed by local regulatory bodies.</w:t>
      </w:r>
    </w:p>
    <w:p>
      <w:pPr>
        <w:spacing w:after="0" w:line="215" w:lineRule="exact"/>
        <w:rPr>
          <w:sz w:val="20"/>
          <w:szCs w:val="20"/>
          <w:color w:val="auto"/>
        </w:rPr>
      </w:pPr>
    </w:p>
    <w:p>
      <w:pPr>
        <w:jc w:val="both"/>
        <w:ind w:firstLine="187"/>
        <w:spacing w:after="0" w:line="253" w:lineRule="auto"/>
        <w:rPr>
          <w:sz w:val="20"/>
          <w:szCs w:val="20"/>
          <w:color w:val="auto"/>
        </w:rPr>
      </w:pPr>
      <w:r>
        <w:rPr>
          <w:rFonts w:ascii="Times New Roman" w:cs="Times New Roman" w:eastAsia="Times New Roman" w:hAnsi="Times New Roman"/>
          <w:sz w:val="18"/>
          <w:szCs w:val="18"/>
          <w:color w:val="auto"/>
        </w:rPr>
        <w:t>We also provide unsecured credit to our customers in the normal course of business. Customer exposures that potentially subject us to credit risk include our A/R, inventory on hand, and non-cancellable purchase orders in support of customer demand. From time to time, we extend the payment terms applicable to certain customers, and/or provide longer payment terms when deemed commercially reasonable. Longer payment terms could adversely impact our working capital requirements, and increase our financial exposure and credit risk. We attempt to mitigate customer credit risk by monitoring our customers’ financial condition and performing ongoing credit evaluations as appropriate. In certain instances, we obtain L/Cs or other forms of security from our customers. We may also purchase credit insurance from a financial institution to reduce our credit exposure to certain customers. We consider credit risk in determining our allowance for credit losses, and we believe that such allowance, as adjusted from time to time, is adequate. The carrying amount of financial assets recorded in our consolidated financial statements, net of our allowance for credit losses, represents our estimate of maximum exposure to credit risk. No significant adjustments were made to our allowance for credit losses during 2024 in connection with our ongoing assessments and monitoring initiatives. At December 31, 2024, less than 1% of our gross A/R was over 90 days past due (December 31, 2023 — less than 1%).</w:t>
      </w:r>
    </w:p>
    <w:p>
      <w:pPr>
        <w:spacing w:after="0" w:line="219"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i w:val="1"/>
          <w:iCs w:val="1"/>
          <w:color w:val="auto"/>
        </w:rPr>
        <w:t>(e)</w:t>
        <w:tab/>
        <w:t>Liquidity risk:</w:t>
      </w:r>
    </w:p>
    <w:p>
      <w:pPr>
        <w:spacing w:after="0" w:line="25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Liquidity risk is the risk that we may not have cash available to satisfy our financial obligations as they come due. We manage liquidity risk through maintenance of cash on hand and access to the various financing arrangements described in notes 4 and 11.</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values:</w:t>
      </w:r>
    </w:p>
    <w:p>
      <w:pPr>
        <w:spacing w:after="0" w:line="25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estimate the fair value of each class of financial instrument. The carrying values of cash and cash equivalents, our A/R, A/P, accrued liabilities and provisions, and our borrowings under the Revolver approximate their fair values due to their short-term nature. The carrying value of the Term Loans approximates their fair value as they bear interest at a variable market rate. The fair values of foreign currency contracts are estimated using generally accepted valuation models based on a discounted cash flow analysis with inputs of observable market data, including currency rates and discount factors. Discount factors are adjusted by our own credit risk or the credit risk of the counterparty, depending on whether the fair values are in liability or asset positions, respectively. We obtained third-party valuations of the swaps under our interest rate swap agreements and the TRS Agreement. The valuations of our interest rate swap agreements are primarily measured through various pricing models or discounted cash flow analyses that incorporate observable market parameters, such as interest rate yield curves and volatility, and credit risk adjustments. The valuation of the TRS is primarily measured by reference to observable market data, including movements in the price of our Common Shares over the valuation period and the volume weighted average price of counterparty's purchases of Common Shares, adjusted for required interest payments based on SOFR, the rate applicable to the TRS Agreement. The valuations of foreign currency contracts, interest rate swaps and the TRS Agreement are based on Level 2 data inputs of the fair value measurement hierarchy (described in note 2</w:t>
      </w:r>
      <w:r>
        <w:rPr>
          <w:rFonts w:ascii="Times New Roman" w:cs="Times New Roman" w:eastAsia="Times New Roman" w:hAnsi="Times New Roman"/>
          <w:sz w:val="18"/>
          <w:szCs w:val="18"/>
          <w:i w:val="1"/>
          <w:iCs w:val="1"/>
          <w:color w:val="auto"/>
        </w:rPr>
        <w:t>(q)</w:t>
      </w:r>
      <w:r>
        <w:rPr>
          <w:rFonts w:ascii="Times New Roman" w:cs="Times New Roman" w:eastAsia="Times New Roman" w:hAnsi="Times New Roman"/>
          <w:sz w:val="18"/>
          <w:szCs w:val="18"/>
          <w:color w:val="auto"/>
        </w:rPr>
        <w:t>). There were no transfers of fair value measurements between fair value hierarchies in 2024 or 2023.</w:t>
      </w:r>
    </w:p>
    <w:p>
      <w:pPr>
        <w:spacing w:after="0" w:line="21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See note 17 for the input levels used to measure the fair value of our pension assets. Foreign currency forward and swap contracts are valued using an income approach, by comparing the current quoted market forward rates to our contract rates and discounting the values with appropriate market observable credit risk adjusted rates.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60" w:name="page161"/>
    <w:bookmarkEnd w:id="160"/>
    <w:p>
      <w:pPr>
        <w:jc w:val="center"/>
        <w:spacing w:after="0"/>
        <w:rPr>
          <w:sz w:val="20"/>
          <w:szCs w:val="20"/>
          <w:color w:val="auto"/>
        </w:rPr>
      </w:pPr>
      <w:r>
        <w:rPr>
          <w:rFonts w:ascii="Times New Roman" w:cs="Times New Roman" w:eastAsia="Times New Roman" w:hAnsi="Times New Roman"/>
          <w:sz w:val="18"/>
          <w:szCs w:val="18"/>
          <w:b w:val="1"/>
          <w:bCs w:val="1"/>
          <w:color w:val="auto"/>
        </w:rPr>
        <w:t>CELESTICA INC.</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of U.S. dollars, except percentages and per share amounts)</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Hedging activities:</w:t>
      </w:r>
    </w:p>
    <w:p>
      <w:pPr>
        <w:spacing w:after="0" w:line="256" w:lineRule="exact"/>
        <w:rPr>
          <w:sz w:val="20"/>
          <w:szCs w:val="20"/>
          <w:color w:val="auto"/>
        </w:rPr>
      </w:pPr>
    </w:p>
    <w:p>
      <w:pPr>
        <w:jc w:val="both"/>
        <w:ind w:firstLine="297"/>
        <w:spacing w:after="0" w:line="258" w:lineRule="auto"/>
        <w:rPr>
          <w:sz w:val="20"/>
          <w:szCs w:val="20"/>
          <w:color w:val="auto"/>
        </w:rPr>
      </w:pPr>
      <w:r>
        <w:rPr>
          <w:rFonts w:ascii="Times New Roman" w:cs="Times New Roman" w:eastAsia="Times New Roman" w:hAnsi="Times New Roman"/>
          <w:sz w:val="18"/>
          <w:szCs w:val="18"/>
          <w:color w:val="auto"/>
        </w:rPr>
        <w:t>At December 31, 2024, we had outstanding foreign currency forward contracts designated as cash flow hedges with a notional value of $497.2 (December 31, 2023 — nil) and outstanding interest rate swaps designated as cash flow hedges with a notional value of $330.0 (December 31, 2023 — nil). At December 31, 2024, we had additional outstanding foreign currency forward contracts not designated as cash flow hedges with a notional value of $250.8 (December 31, 2023 — $700.4) and outstanding interest rate swaps not designated as cash flow hedges with a notional value of nil (December 31, 2023 — $330.0).</w:t>
      </w:r>
    </w:p>
    <w:p>
      <w:pPr>
        <w:spacing w:after="0" w:line="21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tables below presented information regarding the fair values of derivative instruments and the effects of derivative instruments on our consolidated financial statements: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Derivatives not designated as hedging instruments (economic hedges):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9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Asset Derivatives</w:t>
            </w:r>
          </w:p>
        </w:tc>
        <w:tc>
          <w:tcPr>
            <w:tcW w:w="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9"/>
          </w:tcPr>
          <w:p>
            <w:pPr>
              <w:spacing w:after="0"/>
              <w:rPr>
                <w:sz w:val="20"/>
                <w:szCs w:val="20"/>
                <w:color w:val="auto"/>
              </w:rPr>
            </w:pPr>
            <w:r>
              <w:rPr>
                <w:rFonts w:ascii="Times New Roman" w:cs="Times New Roman" w:eastAsia="Times New Roman" w:hAnsi="Times New Roman"/>
                <w:sz w:val="18"/>
                <w:szCs w:val="18"/>
                <w:b w:val="1"/>
                <w:bCs w:val="1"/>
                <w:color w:val="auto"/>
              </w:rPr>
              <w:t>Liability Derivatives</w:t>
            </w:r>
          </w:p>
        </w:tc>
        <w:tc>
          <w:tcPr>
            <w:tcW w:w="1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vMerge w:val="restart"/>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Balance sheet</w:t>
            </w:r>
          </w:p>
        </w:tc>
        <w:tc>
          <w:tcPr>
            <w:tcW w:w="12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5"/>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4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3"/>
            <w:vMerge w:val="restart"/>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Balance sheet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gridSpan w:val="5"/>
          </w:tcPr>
          <w:p>
            <w:pPr>
              <w:jc w:val="right"/>
              <w:ind w:right="97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0" w:type="dxa"/>
            <w:vAlign w:val="bottom"/>
          </w:tcPr>
          <w:p>
            <w:pPr>
              <w:spacing w:after="0"/>
              <w:rPr>
                <w:sz w:val="1"/>
                <w:szCs w:val="1"/>
                <w:color w:val="auto"/>
              </w:rPr>
            </w:pPr>
          </w:p>
        </w:tc>
      </w:tr>
      <w:tr>
        <w:trPr>
          <w:trHeight w:val="169"/>
        </w:trPr>
        <w:tc>
          <w:tcPr>
            <w:tcW w:w="1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4"/>
          </w:tcPr>
          <w:p>
            <w:pPr>
              <w:jc w:val="center"/>
              <w:ind w:right="100"/>
              <w:spacing w:after="0" w:line="169"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1420" w:type="dxa"/>
            <w:vAlign w:val="bottom"/>
            <w:gridSpan w:val="4"/>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5"/>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80" w:type="dxa"/>
            <w:vAlign w:val="bottom"/>
          </w:tcPr>
          <w:p>
            <w:pPr>
              <w:spacing w:after="0"/>
              <w:rPr>
                <w:sz w:val="14"/>
                <w:szCs w:val="14"/>
                <w:color w:val="auto"/>
              </w:rPr>
            </w:pPr>
          </w:p>
        </w:tc>
        <w:tc>
          <w:tcPr>
            <w:tcW w:w="1240" w:type="dxa"/>
            <w:vAlign w:val="bottom"/>
            <w:gridSpan w:val="2"/>
          </w:tcPr>
          <w:p>
            <w:pPr>
              <w:jc w:val="right"/>
              <w:ind w:right="110"/>
              <w:spacing w:after="0" w:line="169"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3"/>
        </w:trPr>
        <w:tc>
          <w:tcPr>
            <w:tcW w:w="19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Foreign currency</w:t>
            </w:r>
          </w:p>
        </w:tc>
        <w:tc>
          <w:tcPr>
            <w:tcW w:w="200" w:type="dxa"/>
            <w:vAlign w:val="bottom"/>
          </w:tcPr>
          <w:p>
            <w:pPr>
              <w:spacing w:after="0"/>
              <w:rPr>
                <w:sz w:val="21"/>
                <w:szCs w:val="21"/>
                <w:color w:val="auto"/>
              </w:rPr>
            </w:pPr>
          </w:p>
        </w:tc>
        <w:tc>
          <w:tcPr>
            <w:tcW w:w="1280" w:type="dxa"/>
            <w:vAlign w:val="bottom"/>
            <w:gridSpan w:val="2"/>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classification</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classification</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gridSpan w:val="2"/>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169"/>
        </w:trPr>
        <w:tc>
          <w:tcPr>
            <w:tcW w:w="1920" w:type="dxa"/>
            <w:vAlign w:val="bottom"/>
            <w:vMerge w:val="continue"/>
          </w:tcPr>
          <w:p>
            <w:pPr>
              <w:spacing w:after="0"/>
              <w:rPr>
                <w:sz w:val="14"/>
                <w:szCs w:val="14"/>
                <w:color w:val="auto"/>
              </w:rPr>
            </w:pPr>
          </w:p>
        </w:tc>
        <w:tc>
          <w:tcPr>
            <w:tcW w:w="1480" w:type="dxa"/>
            <w:vAlign w:val="bottom"/>
            <w:tcBorders>
              <w:top w:val="single" w:sz="8" w:color="auto"/>
            </w:tcBorders>
            <w:gridSpan w:val="3"/>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Other current assets</w:t>
            </w:r>
          </w:p>
        </w:tc>
        <w:tc>
          <w:tcPr>
            <w:tcW w:w="120" w:type="dxa"/>
            <w:vAlign w:val="bottom"/>
          </w:tcPr>
          <w:p>
            <w:pPr>
              <w:spacing w:after="0"/>
              <w:rPr>
                <w:sz w:val="14"/>
                <w:szCs w:val="14"/>
                <w:color w:val="auto"/>
              </w:rPr>
            </w:pPr>
          </w:p>
        </w:tc>
        <w:tc>
          <w:tcPr>
            <w:tcW w:w="880" w:type="dxa"/>
            <w:vAlign w:val="bottom"/>
            <w:tcBorders>
              <w:top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8.9</w:t>
            </w:r>
          </w:p>
        </w:tc>
        <w:tc>
          <w:tcPr>
            <w:tcW w:w="100" w:type="dxa"/>
            <w:vAlign w:val="bottom"/>
          </w:tcPr>
          <w:p>
            <w:pPr>
              <w:spacing w:after="0"/>
              <w:rPr>
                <w:sz w:val="14"/>
                <w:szCs w:val="14"/>
                <w:color w:val="auto"/>
              </w:rPr>
            </w:pPr>
          </w:p>
        </w:tc>
        <w:tc>
          <w:tcPr>
            <w:tcW w:w="260" w:type="dxa"/>
            <w:vAlign w:val="bottom"/>
            <w:tcBorders>
              <w:top w:val="single" w:sz="8" w:color="auto"/>
            </w:tcBorders>
          </w:tcPr>
          <w:p>
            <w:pPr>
              <w:jc w:val="right"/>
              <w:ind w:right="50"/>
              <w:spacing w:after="0" w:line="169"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15.8</w:t>
            </w:r>
          </w:p>
        </w:tc>
        <w:tc>
          <w:tcPr>
            <w:tcW w:w="10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gridSpan w:val="3"/>
          </w:tcPr>
          <w:p>
            <w:pPr>
              <w:jc w:val="center"/>
              <w:ind w:right="10"/>
              <w:spacing w:after="0" w:line="169" w:lineRule="exact"/>
              <w:rPr>
                <w:sz w:val="20"/>
                <w:szCs w:val="20"/>
                <w:color w:val="auto"/>
              </w:rPr>
            </w:pPr>
            <w:r>
              <w:rPr>
                <w:rFonts w:ascii="Times New Roman" w:cs="Times New Roman" w:eastAsia="Times New Roman" w:hAnsi="Times New Roman"/>
                <w:sz w:val="18"/>
                <w:szCs w:val="18"/>
                <w:color w:val="auto"/>
                <w:w w:val="99"/>
              </w:rPr>
              <w:t>Other current</w:t>
            </w:r>
          </w:p>
        </w:tc>
        <w:tc>
          <w:tcPr>
            <w:tcW w:w="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top w:val="single" w:sz="8" w:color="auto"/>
            </w:tcBorders>
            <w:gridSpan w:val="2"/>
          </w:tcPr>
          <w:p>
            <w:pPr>
              <w:jc w:val="right"/>
              <w:ind w:right="100"/>
              <w:spacing w:after="0" w:line="169" w:lineRule="exact"/>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gridSpan w:val="4"/>
          </w:tcPr>
          <w:p>
            <w:pPr>
              <w:jc w:val="right"/>
              <w:spacing w:after="0" w:line="169" w:lineRule="exact"/>
              <w:rPr>
                <w:sz w:val="20"/>
                <w:szCs w:val="20"/>
                <w:color w:val="auto"/>
              </w:rPr>
            </w:pPr>
            <w:r>
              <w:rPr>
                <w:rFonts w:ascii="Times New Roman" w:cs="Times New Roman" w:eastAsia="Times New Roman" w:hAnsi="Times New Roman"/>
                <w:sz w:val="18"/>
                <w:szCs w:val="18"/>
                <w:color w:val="auto"/>
              </w:rPr>
              <w:t>13.1</w:t>
            </w:r>
          </w:p>
        </w:tc>
        <w:tc>
          <w:tcPr>
            <w:tcW w:w="100" w:type="dxa"/>
            <w:vAlign w:val="bottom"/>
          </w:tcPr>
          <w:p>
            <w:pPr>
              <w:spacing w:after="0"/>
              <w:rPr>
                <w:sz w:val="14"/>
                <w:szCs w:val="14"/>
                <w:color w:val="auto"/>
              </w:rPr>
            </w:pPr>
          </w:p>
        </w:tc>
        <w:tc>
          <w:tcPr>
            <w:tcW w:w="18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gridSpan w:val="2"/>
          </w:tcPr>
          <w:p>
            <w:pPr>
              <w:jc w:val="right"/>
              <w:spacing w:after="0" w:line="169" w:lineRule="exact"/>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38"/>
        </w:trPr>
        <w:tc>
          <w:tcPr>
            <w:tcW w:w="1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contracts</w:t>
            </w: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liabilities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19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TRS</w:t>
            </w:r>
          </w:p>
        </w:tc>
        <w:tc>
          <w:tcPr>
            <w:tcW w:w="1480" w:type="dxa"/>
            <w:vAlign w:val="bottom"/>
            <w:gridSpan w:val="3"/>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Other current assets</w:t>
            </w: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99.4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40.6</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3"/>
          </w:tcPr>
          <w:p>
            <w:pPr>
              <w:jc w:val="center"/>
              <w:ind w:right="10"/>
              <w:spacing w:after="0" w:line="189" w:lineRule="exact"/>
              <w:rPr>
                <w:sz w:val="20"/>
                <w:szCs w:val="20"/>
                <w:color w:val="auto"/>
              </w:rPr>
            </w:pPr>
            <w:r>
              <w:rPr>
                <w:rFonts w:ascii="Times New Roman" w:cs="Times New Roman" w:eastAsia="Times New Roman" w:hAnsi="Times New Roman"/>
                <w:sz w:val="18"/>
                <w:szCs w:val="18"/>
                <w:color w:val="auto"/>
                <w:w w:val="99"/>
              </w:rPr>
              <w:t>Other current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gridSpan w:val="2"/>
          </w:tcPr>
          <w:p>
            <w:pPr>
              <w:jc w:val="right"/>
              <w:ind w:right="18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1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liabilities</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19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Interest rate swaps</w:t>
            </w:r>
          </w:p>
        </w:tc>
        <w:tc>
          <w:tcPr>
            <w:tcW w:w="1480" w:type="dxa"/>
            <w:vAlign w:val="bottom"/>
            <w:gridSpan w:val="3"/>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Other current assets</w:t>
            </w: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gridSpan w:val="2"/>
          </w:tcPr>
          <w:p>
            <w:pPr>
              <w:jc w:val="right"/>
              <w:ind w:right="160"/>
              <w:spacing w:after="0" w:line="189"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3"/>
          </w:tcPr>
          <w:p>
            <w:pPr>
              <w:jc w:val="center"/>
              <w:ind w:right="10"/>
              <w:spacing w:after="0" w:line="189" w:lineRule="exact"/>
              <w:rPr>
                <w:sz w:val="20"/>
                <w:szCs w:val="20"/>
                <w:color w:val="auto"/>
              </w:rPr>
            </w:pPr>
            <w:r>
              <w:rPr>
                <w:rFonts w:ascii="Times New Roman" w:cs="Times New Roman" w:eastAsia="Times New Roman" w:hAnsi="Times New Roman"/>
                <w:sz w:val="18"/>
                <w:szCs w:val="18"/>
                <w:color w:val="auto"/>
                <w:w w:val="99"/>
              </w:rPr>
              <w:t>Other current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gridSpan w:val="2"/>
          </w:tcPr>
          <w:p>
            <w:pPr>
              <w:jc w:val="right"/>
              <w:ind w:right="18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1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liabilities</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19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Interest rate swaps</w:t>
            </w:r>
          </w:p>
        </w:tc>
        <w:tc>
          <w:tcPr>
            <w:tcW w:w="1480" w:type="dxa"/>
            <w:vAlign w:val="bottom"/>
            <w:gridSpan w:val="3"/>
          </w:tcPr>
          <w:p>
            <w:pPr>
              <w:jc w:val="center"/>
              <w:spacing w:after="0" w:line="189" w:lineRule="exact"/>
              <w:rPr>
                <w:sz w:val="20"/>
                <w:szCs w:val="20"/>
                <w:color w:val="auto"/>
              </w:rPr>
            </w:pPr>
            <w:r>
              <w:rPr>
                <w:rFonts w:ascii="Times New Roman" w:cs="Times New Roman" w:eastAsia="Times New Roman" w:hAnsi="Times New Roman"/>
                <w:sz w:val="18"/>
                <w:szCs w:val="18"/>
                <w:color w:val="auto"/>
              </w:rPr>
              <w:t>Other non-current</w:t>
            </w: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gridSpan w:val="2"/>
          </w:tcPr>
          <w:p>
            <w:pPr>
              <w:jc w:val="right"/>
              <w:ind w:right="160"/>
              <w:spacing w:after="0" w:line="189"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11.0</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3"/>
          </w:tcPr>
          <w:p>
            <w:pPr>
              <w:jc w:val="center"/>
              <w:spacing w:after="0" w:line="189" w:lineRule="exact"/>
              <w:rPr>
                <w:sz w:val="20"/>
                <w:szCs w:val="20"/>
                <w:color w:val="auto"/>
              </w:rPr>
            </w:pPr>
            <w:r>
              <w:rPr>
                <w:rFonts w:ascii="Times New Roman" w:cs="Times New Roman" w:eastAsia="Times New Roman" w:hAnsi="Times New Roman"/>
                <w:sz w:val="18"/>
                <w:szCs w:val="18"/>
                <w:color w:val="auto"/>
              </w:rPr>
              <w:t>Other non-current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gridSpan w:val="2"/>
          </w:tcPr>
          <w:p>
            <w:pPr>
              <w:jc w:val="right"/>
              <w:ind w:right="18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1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gridSpan w:val="2"/>
          </w:tcPr>
          <w:p>
            <w:pPr>
              <w:jc w:val="center"/>
              <w:ind w:right="90"/>
              <w:spacing w:after="0"/>
              <w:rPr>
                <w:sz w:val="20"/>
                <w:szCs w:val="20"/>
                <w:color w:val="auto"/>
              </w:rPr>
            </w:pPr>
            <w:r>
              <w:rPr>
                <w:rFonts w:ascii="Times New Roman" w:cs="Times New Roman" w:eastAsia="Times New Roman" w:hAnsi="Times New Roman"/>
                <w:sz w:val="18"/>
                <w:szCs w:val="18"/>
                <w:color w:val="auto"/>
                <w:w w:val="99"/>
              </w:rPr>
              <w:t>assets</w:t>
            </w: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liabilities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4500" w:type="dxa"/>
            <w:vAlign w:val="bottom"/>
            <w:tcBorders>
              <w:bottom w:val="single" w:sz="8" w:color="auto"/>
            </w:tcBorders>
            <w:gridSpan w:val="7"/>
          </w:tcPr>
          <w:p>
            <w:pPr>
              <w:ind w:left="1280"/>
              <w:spacing w:after="0"/>
              <w:rPr>
                <w:sz w:val="20"/>
                <w:szCs w:val="20"/>
                <w:color w:val="auto"/>
              </w:rPr>
            </w:pPr>
            <w:r>
              <w:rPr>
                <w:rFonts w:ascii="Times New Roman" w:cs="Times New Roman" w:eastAsia="Times New Roman" w:hAnsi="Times New Roman"/>
                <w:sz w:val="18"/>
                <w:szCs w:val="18"/>
                <w:b w:val="1"/>
                <w:bCs w:val="1"/>
                <w:color w:val="auto"/>
              </w:rPr>
              <w:t>Location of Loss (Gain) Recognized</w:t>
            </w: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700" w:type="dxa"/>
            <w:vAlign w:val="bottom"/>
            <w:tcBorders>
              <w:bottom w:val="single" w:sz="8" w:color="auto"/>
            </w:tcBorders>
            <w:gridSpan w:val="17"/>
          </w:tcPr>
          <w:p>
            <w:pPr>
              <w:jc w:val="center"/>
              <w:ind w:right="1070"/>
              <w:spacing w:after="0"/>
              <w:rPr>
                <w:sz w:val="20"/>
                <w:szCs w:val="20"/>
                <w:color w:val="auto"/>
              </w:rPr>
            </w:pPr>
            <w:r>
              <w:rPr>
                <w:rFonts w:ascii="Times New Roman" w:cs="Times New Roman" w:eastAsia="Times New Roman" w:hAnsi="Times New Roman"/>
                <w:sz w:val="18"/>
                <w:szCs w:val="18"/>
                <w:b w:val="1"/>
                <w:bCs w:val="1"/>
                <w:color w:val="auto"/>
                <w:w w:val="99"/>
              </w:rPr>
              <w:t>Amount of Loss (Gain) Recognized in Income</w:t>
            </w:r>
          </w:p>
        </w:tc>
        <w:tc>
          <w:tcPr>
            <w:tcW w:w="0" w:type="dxa"/>
            <w:vAlign w:val="bottom"/>
          </w:tcPr>
          <w:p>
            <w:pPr>
              <w:spacing w:after="0"/>
              <w:rPr>
                <w:sz w:val="1"/>
                <w:szCs w:val="1"/>
                <w:color w:val="auto"/>
              </w:rPr>
            </w:pPr>
          </w:p>
        </w:tc>
      </w:tr>
      <w:tr>
        <w:trPr>
          <w:trHeight w:val="223"/>
        </w:trPr>
        <w:tc>
          <w:tcPr>
            <w:tcW w:w="1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2560" w:type="dxa"/>
            <w:vAlign w:val="bottom"/>
            <w:tcBorders>
              <w:bottom w:val="single" w:sz="8" w:color="auto"/>
            </w:tcBorders>
            <w:gridSpan w:val="11"/>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c>
          <w:tcPr>
            <w:tcW w:w="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Foreign currency contracts</w:t>
            </w:r>
          </w:p>
        </w:tc>
        <w:tc>
          <w:tcPr>
            <w:tcW w:w="6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6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120" w:type="dxa"/>
            <w:vAlign w:val="bottom"/>
            <w:gridSpan w:val="2"/>
            <w:vMerge w:val="continue"/>
          </w:tcPr>
          <w:p>
            <w:pPr>
              <w:spacing w:after="0"/>
              <w:rPr>
                <w:sz w:val="17"/>
                <w:szCs w:val="17"/>
                <w:color w:val="auto"/>
              </w:rPr>
            </w:pPr>
          </w:p>
        </w:tc>
        <w:tc>
          <w:tcPr>
            <w:tcW w:w="6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 of sales</w:t>
            </w: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840" w:type="dxa"/>
            <w:vAlign w:val="bottom"/>
            <w:gridSpan w:val="2"/>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00" w:type="dxa"/>
            <w:vAlign w:val="bottom"/>
            <w:gridSpan w:val="4"/>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1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SG&amp;A</w:t>
            </w: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00" w:type="dxa"/>
            <w:vAlign w:val="bottom"/>
            <w:gridSpan w:val="4"/>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340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Miscellaneous expense (income)</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0" w:type="dxa"/>
            <w:vAlign w:val="bottom"/>
          </w:tcPr>
          <w:p>
            <w:pPr>
              <w:spacing w:after="0"/>
              <w:rPr>
                <w:sz w:val="1"/>
                <w:szCs w:val="1"/>
                <w:color w:val="auto"/>
              </w:rPr>
            </w:pPr>
          </w:p>
        </w:tc>
      </w:tr>
      <w:tr>
        <w:trPr>
          <w:trHeight w:val="232"/>
        </w:trPr>
        <w:tc>
          <w:tcPr>
            <w:tcW w:w="19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TRS</w:t>
            </w: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 of sales</w:t>
            </w: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00" w:type="dxa"/>
            <w:vAlign w:val="bottom"/>
            <w:gridSpan w:val="4"/>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1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SG&amp;A</w:t>
            </w: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00" w:type="dxa"/>
            <w:vAlign w:val="bottom"/>
            <w:gridSpan w:val="4"/>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340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Miscellaneous expense (income)</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2"/>
        </w:trPr>
        <w:tc>
          <w:tcPr>
            <w:tcW w:w="19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Interest rate swaps</w:t>
            </w: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40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Miscellaneous expense (income)</w:t>
            </w: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0" w:type="dxa"/>
            <w:vAlign w:val="bottom"/>
          </w:tcPr>
          <w:p>
            <w:pPr>
              <w:spacing w:after="0"/>
              <w:rPr>
                <w:sz w:val="1"/>
                <w:szCs w:val="1"/>
                <w:color w:val="auto"/>
              </w:rPr>
            </w:pPr>
          </w:p>
        </w:tc>
      </w:tr>
      <w:tr>
        <w:trPr>
          <w:trHeight w:val="553"/>
        </w:trPr>
        <w:tc>
          <w:tcPr>
            <w:tcW w:w="3400" w:type="dxa"/>
            <w:vAlign w:val="bottom"/>
            <w:gridSpan w:val="4"/>
          </w:tcPr>
          <w:p>
            <w:pPr>
              <w:spacing w:after="0"/>
              <w:rPr>
                <w:sz w:val="20"/>
                <w:szCs w:val="20"/>
                <w:color w:val="auto"/>
              </w:rPr>
            </w:pPr>
            <w:r>
              <w:rPr>
                <w:rFonts w:ascii="Times New Roman" w:cs="Times New Roman" w:eastAsia="Times New Roman" w:hAnsi="Times New Roman"/>
                <w:sz w:val="18"/>
                <w:szCs w:val="18"/>
                <w:i w:val="1"/>
                <w:iCs w:val="1"/>
                <w:color w:val="auto"/>
              </w:rPr>
              <w:t>Derivatives designated as cash flow hedges:</w:t>
            </w: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7"/>
          </w:tcPr>
          <w:p>
            <w:pPr>
              <w:ind w:left="480"/>
              <w:spacing w:after="0"/>
              <w:rPr>
                <w:sz w:val="20"/>
                <w:szCs w:val="20"/>
                <w:color w:val="auto"/>
              </w:rPr>
            </w:pPr>
            <w:r>
              <w:rPr>
                <w:rFonts w:ascii="Times New Roman" w:cs="Times New Roman" w:eastAsia="Times New Roman" w:hAnsi="Times New Roman"/>
                <w:sz w:val="18"/>
                <w:szCs w:val="18"/>
                <w:b w:val="1"/>
                <w:bCs w:val="1"/>
                <w:color w:val="auto"/>
              </w:rPr>
              <w:t>Asset Derivatives</w:t>
            </w: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10"/>
          </w:tcPr>
          <w:p>
            <w:pPr>
              <w:ind w:left="500"/>
              <w:spacing w:after="0"/>
              <w:rPr>
                <w:sz w:val="20"/>
                <w:szCs w:val="20"/>
                <w:color w:val="auto"/>
              </w:rPr>
            </w:pPr>
            <w:r>
              <w:rPr>
                <w:rFonts w:ascii="Times New Roman" w:cs="Times New Roman" w:eastAsia="Times New Roman" w:hAnsi="Times New Roman"/>
                <w:sz w:val="18"/>
                <w:szCs w:val="18"/>
                <w:b w:val="1"/>
                <w:bCs w:val="1"/>
                <w:color w:val="auto"/>
              </w:rPr>
              <w:t>Liability Derivatives</w:t>
            </w:r>
          </w:p>
        </w:tc>
        <w:tc>
          <w:tcPr>
            <w:tcW w:w="1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1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780" w:type="dxa"/>
            <w:vAlign w:val="bottom"/>
            <w:gridSpan w:val="4"/>
          </w:tcPr>
          <w:p>
            <w:pPr>
              <w:jc w:val="center"/>
              <w:ind w:right="100"/>
              <w:spacing w:after="0" w:line="172" w:lineRule="exact"/>
              <w:rPr>
                <w:sz w:val="20"/>
                <w:szCs w:val="20"/>
                <w:color w:val="auto"/>
              </w:rPr>
            </w:pPr>
            <w:r>
              <w:rPr>
                <w:rFonts w:ascii="Times New Roman" w:cs="Times New Roman" w:eastAsia="Times New Roman" w:hAnsi="Times New Roman"/>
                <w:sz w:val="18"/>
                <w:szCs w:val="18"/>
                <w:b w:val="1"/>
                <w:bCs w:val="1"/>
                <w:color w:val="auto"/>
                <w:w w:val="99"/>
              </w:rPr>
              <w:t>Balance sheet</w:t>
            </w:r>
          </w:p>
        </w:tc>
        <w:tc>
          <w:tcPr>
            <w:tcW w:w="2040" w:type="dxa"/>
            <w:vAlign w:val="bottom"/>
            <w:gridSpan w:val="7"/>
          </w:tcPr>
          <w:p>
            <w:pPr>
              <w:jc w:val="center"/>
              <w:spacing w:after="0" w:line="172" w:lineRule="exact"/>
              <w:rPr>
                <w:sz w:val="20"/>
                <w:szCs w:val="20"/>
                <w:color w:val="auto"/>
              </w:rPr>
            </w:pPr>
            <w:r>
              <w:rPr>
                <w:rFonts w:ascii="Times New Roman" w:cs="Times New Roman" w:eastAsia="Times New Roman" w:hAnsi="Times New Roman"/>
                <w:sz w:val="18"/>
                <w:szCs w:val="18"/>
                <w:b w:val="1"/>
                <w:bCs w:val="1"/>
                <w:color w:val="auto"/>
                <w:w w:val="99"/>
              </w:rPr>
              <w:t>Fair Value at December</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3"/>
          </w:tcPr>
          <w:p>
            <w:pPr>
              <w:jc w:val="center"/>
              <w:ind w:left="210"/>
              <w:spacing w:after="0" w:line="172" w:lineRule="exact"/>
              <w:rPr>
                <w:sz w:val="20"/>
                <w:szCs w:val="20"/>
                <w:color w:val="auto"/>
              </w:rPr>
            </w:pPr>
            <w:r>
              <w:rPr>
                <w:rFonts w:ascii="Times New Roman" w:cs="Times New Roman" w:eastAsia="Times New Roman" w:hAnsi="Times New Roman"/>
                <w:sz w:val="18"/>
                <w:szCs w:val="18"/>
                <w:b w:val="1"/>
                <w:bCs w:val="1"/>
                <w:color w:val="auto"/>
                <w:w w:val="99"/>
              </w:rPr>
              <w:t>Balance sheet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80" w:type="dxa"/>
            <w:vAlign w:val="bottom"/>
            <w:gridSpan w:val="6"/>
          </w:tcPr>
          <w:p>
            <w:pPr>
              <w:jc w:val="center"/>
              <w:spacing w:after="0" w:line="172" w:lineRule="exact"/>
              <w:rPr>
                <w:sz w:val="20"/>
                <w:szCs w:val="20"/>
                <w:color w:val="auto"/>
              </w:rPr>
            </w:pPr>
            <w:r>
              <w:rPr>
                <w:rFonts w:ascii="Times New Roman" w:cs="Times New Roman" w:eastAsia="Times New Roman" w:hAnsi="Times New Roman"/>
                <w:sz w:val="18"/>
                <w:szCs w:val="18"/>
                <w:b w:val="1"/>
                <w:bCs w:val="1"/>
                <w:color w:val="auto"/>
                <w:w w:val="98"/>
              </w:rPr>
              <w:t>Fair Value at December</w:t>
            </w: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0"/>
        </w:trPr>
        <w:tc>
          <w:tcPr>
            <w:tcW w:w="2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w w:val="98"/>
              </w:rPr>
              <w:t xml:space="preserve">Foreign currency contracts </w:t>
            </w:r>
            <w:r>
              <w:rPr>
                <w:rFonts w:ascii="Times New Roman" w:cs="Times New Roman" w:eastAsia="Times New Roman" w:hAnsi="Times New Roman"/>
                <w:sz w:val="23"/>
                <w:szCs w:val="23"/>
                <w:color w:val="auto"/>
                <w:w w:val="98"/>
                <w:vertAlign w:val="superscript"/>
              </w:rPr>
              <w:t>(i)</w:t>
            </w:r>
          </w:p>
        </w:tc>
        <w:tc>
          <w:tcPr>
            <w:tcW w:w="600" w:type="dxa"/>
            <w:vAlign w:val="bottom"/>
          </w:tcPr>
          <w:p>
            <w:pPr>
              <w:spacing w:after="0"/>
              <w:rPr>
                <w:sz w:val="20"/>
                <w:szCs w:val="20"/>
                <w:color w:val="auto"/>
              </w:rPr>
            </w:pPr>
          </w:p>
        </w:tc>
        <w:tc>
          <w:tcPr>
            <w:tcW w:w="178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classification</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3"/>
          </w:tcPr>
          <w:p>
            <w:pPr>
              <w:jc w:val="center"/>
              <w:spacing w:after="0" w:line="240" w:lineRule="exact"/>
              <w:rPr>
                <w:sz w:val="20"/>
                <w:szCs w:val="20"/>
                <w:color w:val="auto"/>
              </w:rPr>
            </w:pPr>
            <w:r>
              <w:rPr>
                <w:rFonts w:ascii="Times New Roman" w:cs="Times New Roman" w:eastAsia="Times New Roman" w:hAnsi="Times New Roman"/>
                <w:sz w:val="18"/>
                <w:szCs w:val="18"/>
                <w:b w:val="1"/>
                <w:bCs w:val="1"/>
                <w:color w:val="auto"/>
                <w:w w:val="92"/>
              </w:rPr>
              <w:t xml:space="preserve">31, 2024 </w:t>
            </w:r>
            <w:r>
              <w:rPr>
                <w:rFonts w:ascii="Times New Roman" w:cs="Times New Roman" w:eastAsia="Times New Roman" w:hAnsi="Times New Roman"/>
                <w:sz w:val="23"/>
                <w:szCs w:val="23"/>
                <w:b w:val="1"/>
                <w:bCs w:val="1"/>
                <w:color w:val="auto"/>
                <w:w w:val="92"/>
                <w:vertAlign w:val="superscript"/>
              </w:rPr>
              <w:t>(iii)</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3"/>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rPr>
              <w:t>classification</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80" w:type="dxa"/>
            <w:vAlign w:val="bottom"/>
            <w:gridSpan w:val="5"/>
          </w:tcPr>
          <w:p>
            <w:pPr>
              <w:jc w:val="center"/>
              <w:ind w:left="490"/>
              <w:spacing w:after="0" w:line="240" w:lineRule="exact"/>
              <w:rPr>
                <w:sz w:val="20"/>
                <w:szCs w:val="20"/>
                <w:color w:val="auto"/>
              </w:rPr>
            </w:pPr>
            <w:r>
              <w:rPr>
                <w:rFonts w:ascii="Times New Roman" w:cs="Times New Roman" w:eastAsia="Times New Roman" w:hAnsi="Times New Roman"/>
                <w:sz w:val="18"/>
                <w:szCs w:val="18"/>
                <w:b w:val="1"/>
                <w:bCs w:val="1"/>
                <w:color w:val="auto"/>
                <w:w w:val="94"/>
              </w:rPr>
              <w:t xml:space="preserve">31, 2024 </w:t>
            </w:r>
            <w:r>
              <w:rPr>
                <w:rFonts w:ascii="Times New Roman" w:cs="Times New Roman" w:eastAsia="Times New Roman" w:hAnsi="Times New Roman"/>
                <w:sz w:val="23"/>
                <w:szCs w:val="23"/>
                <w:b w:val="1"/>
                <w:bCs w:val="1"/>
                <w:color w:val="auto"/>
                <w:w w:val="94"/>
                <w:vertAlign w:val="superscript"/>
              </w:rPr>
              <w:t>(iii)</w:t>
            </w:r>
          </w:p>
        </w:tc>
        <w:tc>
          <w:tcPr>
            <w:tcW w:w="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2120" w:type="dxa"/>
            <w:vAlign w:val="bottom"/>
            <w:gridSpan w:val="2"/>
            <w:vMerge w:val="continue"/>
          </w:tcPr>
          <w:p>
            <w:pPr>
              <w:spacing w:after="0"/>
              <w:rPr>
                <w:sz w:val="15"/>
                <w:szCs w:val="15"/>
                <w:color w:val="auto"/>
              </w:rPr>
            </w:pPr>
          </w:p>
        </w:tc>
        <w:tc>
          <w:tcPr>
            <w:tcW w:w="600" w:type="dxa"/>
            <w:vAlign w:val="bottom"/>
          </w:tcPr>
          <w:p>
            <w:pPr>
              <w:spacing w:after="0"/>
              <w:rPr>
                <w:sz w:val="15"/>
                <w:szCs w:val="15"/>
                <w:color w:val="auto"/>
              </w:rPr>
            </w:pPr>
          </w:p>
        </w:tc>
        <w:tc>
          <w:tcPr>
            <w:tcW w:w="1680" w:type="dxa"/>
            <w:vAlign w:val="bottom"/>
            <w:tcBorders>
              <w:top w:val="single" w:sz="8" w:color="auto"/>
            </w:tcBorders>
            <w:gridSpan w:val="3"/>
          </w:tcPr>
          <w:p>
            <w:pPr>
              <w:jc w:val="center"/>
              <w:spacing w:after="0" w:line="177" w:lineRule="exact"/>
              <w:rPr>
                <w:sz w:val="20"/>
                <w:szCs w:val="20"/>
                <w:color w:val="auto"/>
              </w:rPr>
            </w:pPr>
            <w:r>
              <w:rPr>
                <w:rFonts w:ascii="Times New Roman" w:cs="Times New Roman" w:eastAsia="Times New Roman" w:hAnsi="Times New Roman"/>
                <w:sz w:val="18"/>
                <w:szCs w:val="18"/>
                <w:color w:val="auto"/>
              </w:rPr>
              <w:t>Other current assets</w:t>
            </w:r>
          </w:p>
        </w:tc>
        <w:tc>
          <w:tcPr>
            <w:tcW w:w="100" w:type="dxa"/>
            <w:vAlign w:val="bottom"/>
          </w:tcPr>
          <w:p>
            <w:pPr>
              <w:spacing w:after="0"/>
              <w:rPr>
                <w:sz w:val="15"/>
                <w:szCs w:val="15"/>
                <w:color w:val="auto"/>
              </w:rPr>
            </w:pPr>
          </w:p>
        </w:tc>
        <w:tc>
          <w:tcPr>
            <w:tcW w:w="420" w:type="dxa"/>
            <w:vAlign w:val="bottom"/>
            <w:tcBorders>
              <w:top w:val="single" w:sz="8" w:color="auto"/>
            </w:tcBorders>
          </w:tcPr>
          <w:p>
            <w:pPr>
              <w:jc w:val="right"/>
              <w:ind w:right="210"/>
              <w:spacing w:after="0" w:line="177"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gridSpan w:val="2"/>
          </w:tcPr>
          <w:p>
            <w:pPr>
              <w:jc w:val="right"/>
              <w:spacing w:after="0" w:line="177" w:lineRule="exact"/>
              <w:rPr>
                <w:sz w:val="20"/>
                <w:szCs w:val="20"/>
                <w:color w:val="auto"/>
              </w:rPr>
            </w:pPr>
            <w:r>
              <w:rPr>
                <w:rFonts w:ascii="Times New Roman" w:cs="Times New Roman" w:eastAsia="Times New Roman" w:hAnsi="Times New Roman"/>
                <w:sz w:val="18"/>
                <w:szCs w:val="18"/>
                <w:color w:val="auto"/>
              </w:rPr>
              <w:t>3.5</w:t>
            </w:r>
          </w:p>
        </w:tc>
        <w:tc>
          <w:tcPr>
            <w:tcW w:w="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Borders>
              <w:top w:val="single" w:sz="8" w:color="auto"/>
            </w:tcBorders>
            <w:gridSpan w:val="3"/>
          </w:tcPr>
          <w:p>
            <w:pPr>
              <w:jc w:val="center"/>
              <w:ind w:left="210"/>
              <w:spacing w:after="0" w:line="177" w:lineRule="exact"/>
              <w:rPr>
                <w:sz w:val="20"/>
                <w:szCs w:val="20"/>
                <w:color w:val="auto"/>
              </w:rPr>
            </w:pPr>
            <w:r>
              <w:rPr>
                <w:rFonts w:ascii="Times New Roman" w:cs="Times New Roman" w:eastAsia="Times New Roman" w:hAnsi="Times New Roman"/>
                <w:sz w:val="18"/>
                <w:szCs w:val="18"/>
                <w:color w:val="auto"/>
                <w:w w:val="99"/>
              </w:rPr>
              <w:t>Other current</w:t>
            </w:r>
          </w:p>
        </w:tc>
        <w:tc>
          <w:tcPr>
            <w:tcW w:w="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Borders>
              <w:top w:val="single" w:sz="8" w:color="auto"/>
            </w:tcBorders>
          </w:tcPr>
          <w:p>
            <w:pPr>
              <w:jc w:val="right"/>
              <w:ind w:right="530"/>
              <w:spacing w:after="0" w:line="177" w:lineRule="exact"/>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jc w:val="right"/>
              <w:spacing w:after="0" w:line="177" w:lineRule="exact"/>
              <w:rPr>
                <w:sz w:val="20"/>
                <w:szCs w:val="20"/>
                <w:color w:val="auto"/>
              </w:rPr>
            </w:pPr>
            <w:r>
              <w:rPr>
                <w:rFonts w:ascii="Times New Roman" w:cs="Times New Roman" w:eastAsia="Times New Roman" w:hAnsi="Times New Roman"/>
                <w:sz w:val="18"/>
                <w:szCs w:val="18"/>
                <w:color w:val="auto"/>
              </w:rPr>
              <w:t>17.8</w:t>
            </w: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3"/>
          </w:tcPr>
          <w:p>
            <w:pPr>
              <w:jc w:val="center"/>
              <w:ind w:left="210"/>
              <w:spacing w:after="0"/>
              <w:rPr>
                <w:sz w:val="20"/>
                <w:szCs w:val="20"/>
                <w:color w:val="auto"/>
              </w:rPr>
            </w:pPr>
            <w:r>
              <w:rPr>
                <w:rFonts w:ascii="Times New Roman" w:cs="Times New Roman" w:eastAsia="Times New Roman" w:hAnsi="Times New Roman"/>
                <w:sz w:val="18"/>
                <w:szCs w:val="18"/>
                <w:color w:val="auto"/>
              </w:rPr>
              <w:t>liabilities</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1920" w:type="dxa"/>
            <w:vAlign w:val="bottom"/>
          </w:tcPr>
          <w:p>
            <w:pPr>
              <w:ind w:left="20"/>
              <w:spacing w:after="0" w:line="189" w:lineRule="exact"/>
              <w:rPr>
                <w:sz w:val="20"/>
                <w:szCs w:val="20"/>
                <w:color w:val="auto"/>
              </w:rPr>
            </w:pPr>
            <w:r>
              <w:rPr>
                <w:rFonts w:ascii="Times New Roman" w:cs="Times New Roman" w:eastAsia="Times New Roman" w:hAnsi="Times New Roman"/>
                <w:sz w:val="17"/>
                <w:szCs w:val="17"/>
                <w:color w:val="auto"/>
              </w:rPr>
              <w:t xml:space="preserve">Interest rate swaps </w:t>
            </w:r>
            <w:r>
              <w:rPr>
                <w:rFonts w:ascii="Times New Roman" w:cs="Times New Roman" w:eastAsia="Times New Roman" w:hAnsi="Times New Roman"/>
                <w:sz w:val="21"/>
                <w:szCs w:val="21"/>
                <w:color w:val="auto"/>
                <w:vertAlign w:val="superscript"/>
              </w:rPr>
              <w:t>(ii)</w:t>
            </w: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780" w:type="dxa"/>
            <w:vAlign w:val="bottom"/>
            <w:gridSpan w:val="4"/>
          </w:tcPr>
          <w:p>
            <w:pPr>
              <w:jc w:val="center"/>
              <w:ind w:right="100"/>
              <w:spacing w:after="0" w:line="189" w:lineRule="exact"/>
              <w:rPr>
                <w:sz w:val="20"/>
                <w:szCs w:val="20"/>
                <w:color w:val="auto"/>
              </w:rPr>
            </w:pPr>
            <w:r>
              <w:rPr>
                <w:rFonts w:ascii="Times New Roman" w:cs="Times New Roman" w:eastAsia="Times New Roman" w:hAnsi="Times New Roman"/>
                <w:sz w:val="18"/>
                <w:szCs w:val="18"/>
                <w:color w:val="auto"/>
              </w:rPr>
              <w:t>Other current assets</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2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6.6</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3"/>
          </w:tcPr>
          <w:p>
            <w:pPr>
              <w:jc w:val="center"/>
              <w:ind w:left="210"/>
              <w:spacing w:after="0" w:line="189" w:lineRule="exact"/>
              <w:rPr>
                <w:sz w:val="20"/>
                <w:szCs w:val="20"/>
                <w:color w:val="auto"/>
              </w:rPr>
            </w:pPr>
            <w:r>
              <w:rPr>
                <w:rFonts w:ascii="Times New Roman" w:cs="Times New Roman" w:eastAsia="Times New Roman" w:hAnsi="Times New Roman"/>
                <w:sz w:val="18"/>
                <w:szCs w:val="18"/>
                <w:color w:val="auto"/>
                <w:w w:val="99"/>
              </w:rPr>
              <w:t>Other current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gridSpan w:val="2"/>
          </w:tcPr>
          <w:p>
            <w:pPr>
              <w:jc w:val="right"/>
              <w:ind w:right="6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1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3"/>
          </w:tcPr>
          <w:p>
            <w:pPr>
              <w:jc w:val="center"/>
              <w:ind w:left="210"/>
              <w:spacing w:after="0"/>
              <w:rPr>
                <w:sz w:val="20"/>
                <w:szCs w:val="20"/>
                <w:color w:val="auto"/>
              </w:rPr>
            </w:pPr>
            <w:r>
              <w:rPr>
                <w:rFonts w:ascii="Times New Roman" w:cs="Times New Roman" w:eastAsia="Times New Roman" w:hAnsi="Times New Roman"/>
                <w:sz w:val="18"/>
                <w:szCs w:val="18"/>
                <w:color w:val="auto"/>
              </w:rPr>
              <w:t>liabilities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660" w:hanging="652"/>
        <w:spacing w:after="0" w:line="263" w:lineRule="auto"/>
        <w:tabs>
          <w:tab w:leader="none" w:pos="360"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next twelve months, we estimate that $9.4 of existing losses, net of tax, will be reclassified from AOCI into our consolidated statement of operations, to offset transactions denominated in foreign currencies. The maximum length of time we hedge our exposure to the variability in future cash flows for forecasted foreign currency transactions is 12 months.</w:t>
      </w:r>
    </w:p>
    <w:p>
      <w:pPr>
        <w:sectPr>
          <w:pgSz w:w="11900" w:h="16838" w:orient="portrait"/>
          <w:cols w:equalWidth="0" w:num="1">
            <w:col w:w="11240"/>
          </w:cols>
          <w:pgMar w:left="320" w:top="360" w:right="339" w:bottom="1440" w:gutter="0" w:footer="0" w:header="0"/>
        </w:sect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234950</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161" w:name="page162"/>
    <w:bookmarkEnd w:id="161"/>
    <w:p>
      <w:pPr>
        <w:jc w:val="center"/>
        <w:spacing w:after="0"/>
        <w:rPr>
          <w:sz w:val="20"/>
          <w:szCs w:val="20"/>
          <w:color w:val="auto"/>
        </w:rPr>
      </w:pPr>
      <w:r>
        <w:rPr>
          <w:rFonts w:ascii="Times New Roman" w:cs="Times New Roman" w:eastAsia="Times New Roman" w:hAnsi="Times New Roman"/>
          <w:sz w:val="18"/>
          <w:szCs w:val="18"/>
          <w:b w:val="1"/>
          <w:bCs w:val="1"/>
          <w:color w:val="auto"/>
        </w:rPr>
        <w:t>CELESTICA INC.</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of U.S. dollars, except percentages and per share amounts)</w:t>
      </w:r>
    </w:p>
    <w:p>
      <w:pPr>
        <w:spacing w:after="0" w:line="396" w:lineRule="exact"/>
        <w:rPr>
          <w:sz w:val="20"/>
          <w:szCs w:val="20"/>
          <w:color w:val="auto"/>
        </w:rPr>
      </w:pPr>
    </w:p>
    <w:p>
      <w:pPr>
        <w:ind w:left="660" w:hanging="652"/>
        <w:spacing w:after="0" w:line="272" w:lineRule="auto"/>
        <w:tabs>
          <w:tab w:leader="none" w:pos="405"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next twelve months, we estimate that $6.6 of existing gains, net of tax, will be reclassified from AOCI into our consolidated statement of operations, to offset interest payments. The maximum length of time that we hedge our exposure to the variability in future cash flows for forecasted interest payments is 12 months.</w:t>
      </w:r>
    </w:p>
    <w:p>
      <w:pPr>
        <w:spacing w:after="0" w:line="1" w:lineRule="exact"/>
        <w:rPr>
          <w:rFonts w:ascii="Times New Roman" w:cs="Times New Roman" w:eastAsia="Times New Roman" w:hAnsi="Times New Roman"/>
          <w:sz w:val="16"/>
          <w:szCs w:val="16"/>
          <w:color w:val="auto"/>
        </w:rPr>
      </w:pPr>
    </w:p>
    <w:p>
      <w:pPr>
        <w:ind w:left="660" w:hanging="652"/>
        <w:spacing w:after="0" w:line="280" w:lineRule="auto"/>
        <w:tabs>
          <w:tab w:leader="none" w:pos="417"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Prior to 2024, we had no cash flow hedges using foreign currency contracts and interest rate swaps in designated accounting hedges. In January 2024, foreign currency forward contracts and interest rate swaps were designated as cash flow hedges when the hedging relationship is effective and meets the hedge accounting criteria.</w:t>
      </w:r>
    </w:p>
    <w:p>
      <w:pPr>
        <w:spacing w:after="0" w:line="215"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73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 xml:space="preserve">Loss (gain) reclassified from AOCI into income for 2024 </w:t>
            </w:r>
            <w:r>
              <w:rPr>
                <w:rFonts w:ascii="Times New Roman" w:cs="Times New Roman" w:eastAsia="Times New Roman" w:hAnsi="Times New Roman"/>
                <w:sz w:val="23"/>
                <w:szCs w:val="23"/>
                <w:b w:val="1"/>
                <w:bCs w:val="1"/>
                <w:color w:val="auto"/>
                <w:vertAlign w:val="superscript"/>
              </w:rPr>
              <w:t>(i)</w:t>
            </w:r>
          </w:p>
        </w:tc>
        <w:tc>
          <w:tcPr>
            <w:tcW w:w="200" w:type="dxa"/>
            <w:vAlign w:val="bottom"/>
          </w:tcPr>
          <w:p>
            <w:pPr>
              <w:spacing w:after="0"/>
              <w:rPr>
                <w:sz w:val="17"/>
                <w:szCs w:val="17"/>
                <w:color w:val="auto"/>
              </w:rPr>
            </w:pPr>
          </w:p>
        </w:tc>
        <w:tc>
          <w:tcPr>
            <w:tcW w:w="17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Foreign currency</w:t>
            </w:r>
          </w:p>
        </w:tc>
        <w:tc>
          <w:tcPr>
            <w:tcW w:w="160" w:type="dxa"/>
            <w:vAlign w:val="bottom"/>
          </w:tcPr>
          <w:p>
            <w:pPr>
              <w:spacing w:after="0"/>
              <w:rPr>
                <w:sz w:val="17"/>
                <w:szCs w:val="17"/>
                <w:color w:val="auto"/>
              </w:rPr>
            </w:pPr>
          </w:p>
        </w:tc>
        <w:tc>
          <w:tcPr>
            <w:tcW w:w="17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Interest rate swaps</w:t>
            </w:r>
          </w:p>
        </w:tc>
        <w:tc>
          <w:tcPr>
            <w:tcW w:w="0" w:type="dxa"/>
            <w:vAlign w:val="bottom"/>
          </w:tcPr>
          <w:p>
            <w:pPr>
              <w:spacing w:after="0"/>
              <w:rPr>
                <w:sz w:val="1"/>
                <w:szCs w:val="1"/>
                <w:color w:val="auto"/>
              </w:rPr>
            </w:pPr>
          </w:p>
        </w:tc>
      </w:tr>
      <w:tr>
        <w:trPr>
          <w:trHeight w:val="243"/>
        </w:trPr>
        <w:tc>
          <w:tcPr>
            <w:tcW w:w="738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17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contracts</w:t>
            </w:r>
          </w:p>
        </w:tc>
        <w:tc>
          <w:tcPr>
            <w:tcW w:w="16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SG&amp;A</w:t>
            </w: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Finance costs</w:t>
            </w:r>
          </w:p>
        </w:tc>
        <w:tc>
          <w:tcPr>
            <w:tcW w:w="200" w:type="dxa"/>
            <w:vAlign w:val="bottom"/>
          </w:tcPr>
          <w:p>
            <w:pPr>
              <w:spacing w:after="0"/>
              <w:rPr>
                <w:sz w:val="19"/>
                <w:szCs w:val="19"/>
                <w:color w:val="auto"/>
              </w:rPr>
            </w:pPr>
          </w:p>
        </w:tc>
        <w:tc>
          <w:tcPr>
            <w:tcW w:w="1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34"/>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Miscellaneous expense (income)</w:t>
            </w:r>
          </w:p>
        </w:tc>
        <w:tc>
          <w:tcPr>
            <w:tcW w:w="20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320" w:hanging="312"/>
        <w:spacing w:after="0"/>
        <w:tabs>
          <w:tab w:leader="none" w:pos="320"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Nil effects of cash flow hedges were recorded in cost of sales, SG&amp;A and finance costs during 2023 and 2022 and hence were not presented.</w:t>
      </w:r>
    </w:p>
    <w:p>
      <w:pPr>
        <w:spacing w:after="0" w:line="244"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See note 13 for activities we recorded in AOCI related to our interest rate swap cash flow hedges and foreign currency forward contracts cash flow hedges in 2024.</w:t>
      </w:r>
    </w:p>
    <w:p>
      <w:pPr>
        <w:spacing w:after="0" w:line="18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20.</w:t>
      </w:r>
      <w:r>
        <w:rPr>
          <w:sz w:val="20"/>
          <w:szCs w:val="20"/>
          <w:color w:val="auto"/>
        </w:rPr>
        <w:tab/>
      </w:r>
      <w:r>
        <w:rPr>
          <w:rFonts w:ascii="Times New Roman" w:cs="Times New Roman" w:eastAsia="Times New Roman" w:hAnsi="Times New Roman"/>
          <w:sz w:val="17"/>
          <w:szCs w:val="17"/>
          <w:b w:val="1"/>
          <w:bCs w:val="1"/>
          <w:color w:val="auto"/>
        </w:rPr>
        <w:t>EARNINGS PER SHARE:</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Basic and diluted earnings per share for 2024, 2023 and 2022 are calculated by dividing net earnings by the following weighted average number of</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w:t>
      </w:r>
    </w:p>
    <w:p>
      <w:pPr>
        <w:spacing w:after="0" w:line="122"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(in millions)</w:t>
            </w: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18"/>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Basic weighted average number of shares outstanding</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118.1</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120.1</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123.5</w:t>
            </w:r>
          </w:p>
        </w:tc>
        <w:tc>
          <w:tcPr>
            <w:tcW w:w="0" w:type="dxa"/>
            <w:vAlign w:val="bottom"/>
          </w:tcPr>
          <w:p>
            <w:pPr>
              <w:spacing w:after="0"/>
              <w:rPr>
                <w:sz w:val="1"/>
                <w:szCs w:val="1"/>
                <w:color w:val="auto"/>
              </w:rPr>
            </w:pPr>
          </w:p>
        </w:tc>
      </w:tr>
      <w:tr>
        <w:trPr>
          <w:trHeight w:val="234"/>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Dilutive effect of outstanding awards under SBC plans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7"/>
        </w:trPr>
        <w:tc>
          <w:tcPr>
            <w:tcW w:w="76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Diluted weighted average number of shares outstanding</w:t>
            </w: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640" w:type="dxa"/>
            <w:vAlign w:val="bottom"/>
            <w:vMerge w:val="continue"/>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12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120.3</w:t>
            </w:r>
          </w:p>
        </w:tc>
        <w:tc>
          <w:tcPr>
            <w:tcW w:w="10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123.6</w:t>
            </w: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2024 and 2023, we excluded nil stock options from the diluted weighted average number of shares calculation. For 2022, we excluded 0.4 million stock options from the diluted weighted average number of shares calculation as they were out-of-the-money. References to shares in this note are to our Common Shares (applicable subsequent to April 2024) or to our MVS and SVS collectively (applicable prior to April 2024) (see note 12).</w:t>
      </w:r>
    </w:p>
    <w:p>
      <w:pPr>
        <w:spacing w:after="0" w:line="172"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21.</w:t>
      </w:r>
      <w:r>
        <w:rPr>
          <w:sz w:val="20"/>
          <w:szCs w:val="20"/>
          <w:color w:val="auto"/>
        </w:rPr>
        <w:tab/>
      </w:r>
      <w:r>
        <w:rPr>
          <w:rFonts w:ascii="Times New Roman" w:cs="Times New Roman" w:eastAsia="Times New Roman" w:hAnsi="Times New Roman"/>
          <w:sz w:val="17"/>
          <w:szCs w:val="17"/>
          <w:b w:val="1"/>
          <w:bCs w:val="1"/>
          <w:color w:val="auto"/>
        </w:rPr>
        <w:t>COMMITMENTS, CONTINGENCIES AND GUARANTEES: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At December 31, 2024, we had commitments (not recognized as liabilities as of such date) under IT support agreements that require future minimum payments as follows:</w:t>
      </w:r>
    </w:p>
    <w:p>
      <w:pPr>
        <w:spacing w:after="0" w:line="67"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932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82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r>
      <w:tr>
        <w:trPr>
          <w:trHeight w:val="230"/>
        </w:trPr>
        <w:tc>
          <w:tcPr>
            <w:tcW w:w="932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8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r>
      <w:tr>
        <w:trPr>
          <w:trHeight w:val="230"/>
        </w:trPr>
        <w:tc>
          <w:tcPr>
            <w:tcW w:w="932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8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r>
      <w:tr>
        <w:trPr>
          <w:trHeight w:val="229"/>
        </w:trPr>
        <w:tc>
          <w:tcPr>
            <w:tcW w:w="932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8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30"/>
        </w:trPr>
        <w:tc>
          <w:tcPr>
            <w:tcW w:w="932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8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34"/>
        </w:trPr>
        <w:tc>
          <w:tcPr>
            <w:tcW w:w="932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8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23"/>
        </w:trPr>
        <w:tc>
          <w:tcPr>
            <w:tcW w:w="9320" w:type="dxa"/>
            <w:vAlign w:val="bottom"/>
          </w:tcPr>
          <w:p>
            <w:pPr>
              <w:spacing w:after="0"/>
              <w:rPr>
                <w:sz w:val="20"/>
                <w:szCs w:val="20"/>
                <w:color w:val="auto"/>
              </w:rPr>
            </w:pPr>
            <w:r>
              <w:rPr>
                <w:rFonts w:ascii="Times New Roman" w:cs="Times New Roman" w:eastAsia="Times New Roman" w:hAnsi="Times New Roman"/>
                <w:sz w:val="18"/>
                <w:szCs w:val="18"/>
                <w:color w:val="auto"/>
              </w:rPr>
              <w:t>Total future minimum payments</w:t>
            </w:r>
          </w:p>
        </w:tc>
        <w:tc>
          <w:tcPr>
            <w:tcW w:w="82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91.8</w:t>
            </w:r>
          </w:p>
        </w:tc>
      </w:tr>
      <w:tr>
        <w:trPr>
          <w:trHeight w:val="20"/>
        </w:trPr>
        <w:tc>
          <w:tcPr>
            <w:tcW w:w="93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As at December 31, 2024, management had approved $74.6 for capital expenditures, primarily to increase manufacturing space at certain facilities and for machinery and equipment to support new customer programs, and issued $49.2 of such amount in purchase orders to third-party vendors.</w:t>
      </w:r>
    </w:p>
    <w:p>
      <w:pPr>
        <w:spacing w:after="0" w:line="17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have contingent liabilities in the form of L/Cs, letters of guarantee and surety bonds (collectively, Guarantees) which we have provided to various third parties. The Guarantees cover various payments, including customs and excise taxes,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62" w:name="page163"/>
    <w:bookmarkEnd w:id="162"/>
    <w:p>
      <w:pPr>
        <w:jc w:val="center"/>
        <w:spacing w:after="0"/>
        <w:rPr>
          <w:sz w:val="20"/>
          <w:szCs w:val="20"/>
          <w:color w:val="auto"/>
        </w:rPr>
      </w:pPr>
      <w:r>
        <w:rPr>
          <w:rFonts w:ascii="Times New Roman" w:cs="Times New Roman" w:eastAsia="Times New Roman" w:hAnsi="Times New Roman"/>
          <w:sz w:val="18"/>
          <w:szCs w:val="18"/>
          <w:b w:val="1"/>
          <w:bCs w:val="1"/>
          <w:color w:val="auto"/>
        </w:rPr>
        <w:t>CELESTICA INC.</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of U.S. dollars, except percentages and per share amounts)</w:t>
      </w:r>
    </w:p>
    <w:p>
      <w:pPr>
        <w:spacing w:after="0" w:line="39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utility commitments and certain bank guarantees. At December 31, 2024, we had $34.1 of Guarantees (December 31, 2023 — $27.0), including $11.1 (December 31, 2023 — $10.5) of L/Cs outstanding under our Revolver.</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are required to make scheduled quarterly principal amortization payments under the New Term Loans, certain annual mandatory prepayments under the Credit Facility under specified circumstances, payments of outstanding amounts under the Credit Facility at maturity (see note 11), contractual payments under our lease obligations (described in note 7), and contributions to our pension and non-pension post-employment benefit plans (see note 17). We are also required to pay interest, fees and charges under our Credit Facility, A/R sales program and SFPs, interest rate swap agreements (the amounts thereunder are determined based on market rates at the time the interest payments are due) and the TRS Agreement, and may be required to make other payments under the TRS Agreement (see notes 4, 11 and 19). See note 19 for our obligations under the foreign exchange forward contracts we held at December 31, 2024. See note 7 for our real property lease commitments for a lease that has not yet commenced.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Indemnifications:</w:t>
      </w:r>
    </w:p>
    <w:p>
      <w:pPr>
        <w:spacing w:after="0" w:line="21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provide routine indemnifications, the terms of which range in duration and scope, and often are not explicitly defined, including for third-party intellectual property infringement, certain negligence claims, and for our directors and officers. We have also provided indemnifications in connection with the sale of certain assets and each of the Secondary Offerings. The maximum potential liability from these indemnifications cannot be reasonably estimated. In some cases, we have recourse against other parties or insurance to mitigate our risk of loss from these indemnifications. Historically, we have not made significant payments relating to these types of indemnifications.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175" w:lineRule="exact"/>
        <w:rPr>
          <w:sz w:val="20"/>
          <w:szCs w:val="20"/>
          <w:color w:val="auto"/>
        </w:rPr>
      </w:pPr>
    </w:p>
    <w:p>
      <w:pPr>
        <w:jc w:val="both"/>
        <w:ind w:firstLine="355"/>
        <w:spacing w:after="0" w:line="261" w:lineRule="auto"/>
        <w:rPr>
          <w:sz w:val="20"/>
          <w:szCs w:val="20"/>
          <w:color w:val="auto"/>
        </w:rPr>
      </w:pPr>
      <w:r>
        <w:rPr>
          <w:rFonts w:ascii="Times New Roman" w:cs="Times New Roman" w:eastAsia="Times New Roman" w:hAnsi="Times New Roman"/>
          <w:sz w:val="18"/>
          <w:szCs w:val="18"/>
          <w:color w:val="auto"/>
        </w:rPr>
        <w:t>In the normal course of our operations, we may be subject to litigation, investigations and other claims, including legal, regulatory and tax proceedings. Management believes that adequate provisions have been recorded where required. Although it is not always possible to estimate the extent of potential costs, if any, management believes that the ultimate resolution of all such pending matters will not have a material adverse impact on our financial performance, financial position or liquidity.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 and other matters:</w:t>
      </w:r>
    </w:p>
    <w:p>
      <w:pPr>
        <w:spacing w:after="0" w:line="229" w:lineRule="exact"/>
        <w:rPr>
          <w:sz w:val="20"/>
          <w:szCs w:val="20"/>
          <w:color w:val="auto"/>
        </w:rPr>
      </w:pPr>
    </w:p>
    <w:p>
      <w:pPr>
        <w:jc w:val="both"/>
        <w:ind w:firstLine="257"/>
        <w:spacing w:after="0" w:line="282" w:lineRule="auto"/>
        <w:rPr>
          <w:sz w:val="20"/>
          <w:szCs w:val="20"/>
          <w:color w:val="auto"/>
        </w:rPr>
      </w:pPr>
      <w:r>
        <w:rPr>
          <w:rFonts w:ascii="Times New Roman" w:cs="Times New Roman" w:eastAsia="Times New Roman" w:hAnsi="Times New Roman"/>
          <w:sz w:val="18"/>
          <w:szCs w:val="18"/>
          <w:color w:val="auto"/>
        </w:rPr>
        <w:t>We are subject to tax audits in various jurisdictions. Reviews by tax authorities generally focus on, but are not limited to, the validity of our inter-company transactions, including financing and transfer pricing policies which may involve subjective areas of taxation and significant judgment.</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successful pursuit of assertions made by any government authority, including tax authorities, could result in our owing significant amounts of tax or other reimbursements, interest and possibly penalties. We believe we adequately accrue for any probable potential adverse ruling. However, there can be no assurance as to the final resolution of any claims and any resulting proceedings. If any claims and any ensuing proceedings are determined adversely to us, the amounts we may be required to pay could be material, and in excess of amounts accrued.</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2021, the Romanian tax authorities issued a final assessment in the aggregate amount of approximately 31 million Romanian leu (approximately $6 at December 31, 2024 exchange rates), for additional income and value-added taxes for one of our Romanian subsidiaries for the 2014 to 2018 tax years. In order to advance our case to the appeals phase and reduce or eliminate potential interest and penalties, we paid the Romanian tax authorities the full amount assessed in 2021 (without agreement to all or any portion of such assessment). We believe that our originally-filed tax return positions are in compliance with applicable Romanian tax laws and regulations, and intend to vigorously defend our position through all necessary appeals or other judicial processes.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the fourth quarter of 2024, the Thailand tax authorities issued an assessment letter seeking to impose additional value-added taxes and surcharges in the aggregate amount of approximately 403 million Thai baht (approximately $12 at 2024 year-end exchange rates) for our Thai subsidiary for the 2019 tax year. We believe that our original positions with respect to the value-added taxes are in compliance with applicable Thai tax laws and regulations, and intend to vigorously defend our position through all necessary appeals or other judicial processes.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63" w:name="page164"/>
    <w:bookmarkEnd w:id="163"/>
    <w:p>
      <w:pPr>
        <w:jc w:val="center"/>
        <w:spacing w:after="0"/>
        <w:rPr>
          <w:sz w:val="20"/>
          <w:szCs w:val="20"/>
          <w:color w:val="auto"/>
        </w:rPr>
      </w:pPr>
      <w:r>
        <w:rPr>
          <w:rFonts w:ascii="Times New Roman" w:cs="Times New Roman" w:eastAsia="Times New Roman" w:hAnsi="Times New Roman"/>
          <w:sz w:val="18"/>
          <w:szCs w:val="18"/>
          <w:b w:val="1"/>
          <w:bCs w:val="1"/>
          <w:color w:val="auto"/>
        </w:rPr>
        <w:t>CELESTICA INC.</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of U.S. dollars, except percentages and per share amounts)</w:t>
      </w:r>
    </w:p>
    <w:p>
      <w:pPr>
        <w:spacing w:after="0" w:line="387"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22.</w:t>
      </w:r>
      <w:r>
        <w:rPr>
          <w:sz w:val="20"/>
          <w:szCs w:val="20"/>
          <w:color w:val="auto"/>
        </w:rPr>
        <w:tab/>
      </w:r>
      <w:r>
        <w:rPr>
          <w:rFonts w:ascii="Times New Roman" w:cs="Times New Roman" w:eastAsia="Times New Roman" w:hAnsi="Times New Roman"/>
          <w:sz w:val="17"/>
          <w:szCs w:val="17"/>
          <w:b w:val="1"/>
          <w:bCs w:val="1"/>
          <w:color w:val="auto"/>
        </w:rPr>
        <w:t>SEGMENT AND GEOGRAPHIC INFORMATION:</w:t>
      </w:r>
    </w:p>
    <w:p>
      <w:pPr>
        <w:spacing w:after="0" w:line="256" w:lineRule="exact"/>
        <w:rPr>
          <w:sz w:val="20"/>
          <w:szCs w:val="20"/>
          <w:color w:val="auto"/>
        </w:rPr>
      </w:pPr>
    </w:p>
    <w:p>
      <w:pPr>
        <w:jc w:val="both"/>
        <w:ind w:firstLine="190"/>
        <w:spacing w:after="0" w:line="266"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that engage in business activities from which they may earn revenue and incur expenses; for which discrete financial information is available; and whose operating results are regularly reviewed by the chief operating decision maker in deciding how to allocate resources and to assess performance. No operating segments have been aggregated to determine our reportable segments.</w:t>
      </w:r>
    </w:p>
    <w:p>
      <w:pPr>
        <w:spacing w:after="0" w:line="203" w:lineRule="exact"/>
        <w:rPr>
          <w:sz w:val="20"/>
          <w:szCs w:val="20"/>
          <w:color w:val="auto"/>
        </w:rPr>
      </w:pPr>
    </w:p>
    <w:p>
      <w:pPr>
        <w:jc w:val="both"/>
        <w:ind w:firstLine="203"/>
        <w:spacing w:after="0" w:line="261" w:lineRule="auto"/>
        <w:rPr>
          <w:sz w:val="20"/>
          <w:szCs w:val="20"/>
          <w:color w:val="auto"/>
        </w:rPr>
      </w:pPr>
      <w:r>
        <w:rPr>
          <w:rFonts w:ascii="Times New Roman" w:cs="Times New Roman" w:eastAsia="Times New Roman" w:hAnsi="Times New Roman"/>
          <w:sz w:val="18"/>
          <w:szCs w:val="18"/>
          <w:color w:val="auto"/>
        </w:rPr>
        <w:t>Our CEO, as the chief operating decision maker (CODM), organizes our company, manages resource allocations and measures performance among our two operating and reportable segments: ATS and CCS. Our ATS segment consists of our ATS end market, and is comprised of our Aerospace and Defense (A&amp;D), Industrial, HealthTech, and Capital Equipment businesses. Our CCS segment consists of our Communications and Enterprise (servers and storage) end markets.</w:t>
      </w:r>
    </w:p>
    <w:p>
      <w:pPr>
        <w:spacing w:after="0" w:line="20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Factors considered in determining the two reportable segments include the nature of applicable business activities, management structure, market strategy and margin profiles. Products and services in our ATS segment are extensive and are often more regulated than in our CCS segment, and can include the following: government-certified and highly-specialized manufacturing, electronic and enclosure-related services for A&amp;D customers; high-precision semiconductor and display equipment and integrated subsystems; a wide range of industrial automation, controls, test and measurement devices; engineering-focused engagements, including in the areas of telematics, human machine interface, Internet-of-Things and embedded systems; advanced solutions for surgical instruments, diagnostic imaging and patient monitoring; and efficiency products to help manage and monitor the energy and power industries. Our ATS segment businesses typically have higher margin profiles and margin volatility, higher working capital requirements, and longer product life cycles than the traditional businesses in our CCS segment. Products and services in our CCS segment consist predominantly of enterprise-level data communications and information processing infrastructure products and systems, and can include routers, switches, data center interconnects, edge solutions, and servers and storage-related products used by a wide range of businesses and cloud-based and other service providers to manage digital connectivity, commerce and social media applications. Our traditional CCS segment businesses typically have lower margin profiles, lower working capital requirements, and higher volumes than the businesses in our ATS segment. Within our CCS segment, however, our Hardware Platform Solutions (HPS) business (which includes firmware/software enablement across all primary IT infrastructure data center technologies, open source software offerings that complement our hardware platforms, and aftermarket services including IT asset management and disposition, typically has a higher margin profile than our traditional CCS businesses, but also requires specific investments (including research and development (R&amp;D)) and higher working capital. Our CCS segment generally experiences a high degree of volatility in terms of revenue and product/service mix and as a result, our CCS segment margin can fluctuate from period to period</w:t>
      </w:r>
      <w:r>
        <w:rPr>
          <w:rFonts w:ascii="Times New Roman" w:cs="Times New Roman" w:eastAsia="Times New Roman" w:hAnsi="Times New Roman"/>
          <w:sz w:val="18"/>
          <w:szCs w:val="18"/>
          <w:b w:val="1"/>
          <w:bCs w:val="1"/>
          <w:color w:val="auto"/>
        </w:rPr>
        <w:t>.</w:t>
      </w:r>
    </w:p>
    <w:p>
      <w:pPr>
        <w:spacing w:after="0" w:line="220" w:lineRule="exact"/>
        <w:rPr>
          <w:sz w:val="20"/>
          <w:szCs w:val="20"/>
          <w:color w:val="auto"/>
        </w:rPr>
      </w:pPr>
    </w:p>
    <w:p>
      <w:pPr>
        <w:jc w:val="both"/>
        <w:ind w:firstLine="283"/>
        <w:spacing w:after="0" w:line="253" w:lineRule="auto"/>
        <w:rPr>
          <w:sz w:val="20"/>
          <w:szCs w:val="20"/>
          <w:color w:val="auto"/>
        </w:rPr>
      </w:pPr>
      <w:r>
        <w:rPr>
          <w:rFonts w:ascii="Times New Roman" w:cs="Times New Roman" w:eastAsia="Times New Roman" w:hAnsi="Times New Roman"/>
          <w:sz w:val="18"/>
          <w:szCs w:val="18"/>
          <w:color w:val="auto"/>
        </w:rPr>
        <w:t>Segment performance is evaluated based on segment revenue, segment income and segment margin (segment income as a percentage of segment revenue). Revenue is attributed to the segment in which the product is manufactured or the service is performed. Segment income is defined as a segment’s revenue less its cost of sales and its allocatable portion of selling, general and administrative expenses and R&amp;D expenses (collectively, Segment Costs). Identifiable Segment Costs are allocated directly to the applicable segment while other Segment Costs, including indirect costs and certain corporate charges, are allocated to our segments based on an analysis of the relative usage or benefit derived by each segment from such costs. Segment income excludes finance costs; employee SBC expense; commencing in 2023, TRS FVAs (defined in note 12</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amortization of intangible assets (excluding computer software); restructuring and other charges, net of recoveries (the components of which are described in note 14); miscellaneous expense (income); and FCC Transitional ADJ (defined as adjustments due to our transition from International Financial Reporting Standards to GAAP related to foreign currency forward contracts recorded in earnings from operations), as these costs, charges/recoveries and adjustments are managed and reviewed by the CODM at the company level. Our segments do not record inter-segment revenue. Although segment income and segment margin are used to evaluate the performance of our segments, we may incur operating costs in one segment that may also benefit the other segment. The operating segment performance is not evaluated based on segment asset or liability information. Our accounting policies for segment reporting are the same as those applied to the Company as a whole.</w:t>
      </w: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Information regarding each reportable segment for the periods indicated is set forth below:</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64" w:name="page165"/>
    <w:bookmarkEnd w:id="164"/>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CELESTICA INC.</w:t>
      </w:r>
    </w:p>
    <w:p>
      <w:pPr>
        <w:spacing w:after="0" w:line="50"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6"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(in millions of U.S. dollars, except percentages and per share amounts)</w:t>
      </w:r>
    </w:p>
    <w:p>
      <w:pPr>
        <w:spacing w:after="0" w:line="200" w:lineRule="exact"/>
        <w:rPr>
          <w:sz w:val="20"/>
          <w:szCs w:val="20"/>
          <w:color w:val="auto"/>
        </w:rPr>
      </w:pPr>
    </w:p>
    <w:p>
      <w:pPr>
        <w:spacing w:after="0" w:line="255" w:lineRule="exact"/>
        <w:rPr>
          <w:sz w:val="20"/>
          <w:szCs w:val="20"/>
          <w:color w:val="auto"/>
        </w:rPr>
      </w:pPr>
    </w:p>
    <w:tbl>
      <w:tblPr>
        <w:tblLayout w:type="fixed"/>
        <w:tblInd w:w="1071" w:type="dxa"/>
        <w:tblCellMar>
          <w:top w:w="0" w:type="dxa"/>
          <w:left w:w="0" w:type="dxa"/>
          <w:bottom w:w="0" w:type="dxa"/>
          <w:right w:w="0" w:type="dxa"/>
        </w:tblCellMar>
      </w:tblPr>
      <w:tr>
        <w:trPr>
          <w:trHeight w:val="238"/>
        </w:trPr>
        <w:tc>
          <w:tcPr>
            <w:tcW w:w="3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Revenue by segment:</w:t>
            </w: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5"/>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3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2"/>
          </w:tcPr>
          <w:p>
            <w:pPr>
              <w:jc w:val="right"/>
              <w:ind w:right="63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2"/>
          </w:tcPr>
          <w:p>
            <w:pPr>
              <w:jc w:val="right"/>
              <w:ind w:right="612"/>
              <w:spacing w:after="0"/>
              <w:rPr>
                <w:sz w:val="20"/>
                <w:szCs w:val="20"/>
                <w:color w:val="auto"/>
              </w:rPr>
            </w:pPr>
            <w:r>
              <w:rPr>
                <w:rFonts w:ascii="Times New Roman" w:cs="Times New Roman" w:eastAsia="Times New Roman" w:hAnsi="Times New Roman"/>
                <w:sz w:val="18"/>
                <w:szCs w:val="18"/>
                <w:b w:val="1"/>
                <w:bCs w:val="1"/>
                <w:color w:val="auto"/>
              </w:rPr>
              <w:t>2023</w:t>
            </w:r>
          </w:p>
        </w:tc>
        <w:tc>
          <w:tcPr>
            <w:tcW w:w="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2"/>
          </w:tcPr>
          <w:p>
            <w:pPr>
              <w:jc w:val="right"/>
              <w:ind w:right="632"/>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04"/>
        </w:trPr>
        <w:tc>
          <w:tcPr>
            <w:tcW w:w="3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 of Total</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 of Total</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 of Total</w:t>
            </w:r>
          </w:p>
        </w:tc>
        <w:tc>
          <w:tcPr>
            <w:tcW w:w="0" w:type="dxa"/>
            <w:vAlign w:val="bottom"/>
          </w:tcPr>
          <w:p>
            <w:pPr>
              <w:spacing w:after="0"/>
              <w:rPr>
                <w:sz w:val="1"/>
                <w:szCs w:val="1"/>
                <w:color w:val="auto"/>
              </w:rPr>
            </w:pPr>
          </w:p>
        </w:tc>
      </w:tr>
      <w:tr>
        <w:trPr>
          <w:trHeight w:val="242"/>
        </w:trPr>
        <w:tc>
          <w:tcPr>
            <w:tcW w:w="3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ATS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3,155.5</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w:t>
            </w:r>
          </w:p>
        </w:tc>
        <w:tc>
          <w:tcPr>
            <w:tcW w:w="3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3,319.8</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w:t>
            </w:r>
          </w:p>
        </w:tc>
        <w:tc>
          <w:tcPr>
            <w:tcW w:w="18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2,979.0</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41%</w:t>
            </w:r>
          </w:p>
        </w:tc>
        <w:tc>
          <w:tcPr>
            <w:tcW w:w="0" w:type="dxa"/>
            <w:vAlign w:val="bottom"/>
          </w:tcPr>
          <w:p>
            <w:pPr>
              <w:spacing w:after="0"/>
              <w:rPr>
                <w:sz w:val="1"/>
                <w:szCs w:val="1"/>
                <w:color w:val="auto"/>
              </w:rPr>
            </w:pPr>
          </w:p>
        </w:tc>
      </w:tr>
      <w:tr>
        <w:trPr>
          <w:trHeight w:val="252"/>
        </w:trPr>
        <w:tc>
          <w:tcPr>
            <w:tcW w:w="3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CCS</w:t>
            </w: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Communications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3,946.7</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w:t>
            </w:r>
          </w:p>
        </w:tc>
        <w:tc>
          <w:tcPr>
            <w:tcW w:w="3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2,675.6</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w:t>
            </w:r>
          </w:p>
        </w:tc>
        <w:tc>
          <w:tcPr>
            <w:tcW w:w="180" w:type="dxa"/>
            <w:vAlign w:val="bottom"/>
          </w:tcPr>
          <w:p>
            <w:pPr>
              <w:spacing w:after="0"/>
              <w:rPr>
                <w:sz w:val="22"/>
                <w:szCs w:val="22"/>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2,865.0</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40%</w:t>
            </w:r>
          </w:p>
        </w:tc>
        <w:tc>
          <w:tcPr>
            <w:tcW w:w="0" w:type="dxa"/>
            <w:vAlign w:val="bottom"/>
          </w:tcPr>
          <w:p>
            <w:pPr>
              <w:spacing w:after="0"/>
              <w:rPr>
                <w:sz w:val="1"/>
                <w:szCs w:val="1"/>
                <w:color w:val="auto"/>
              </w:rPr>
            </w:pPr>
          </w:p>
        </w:tc>
      </w:tr>
      <w:tr>
        <w:trPr>
          <w:trHeight w:val="261"/>
        </w:trPr>
        <w:tc>
          <w:tcPr>
            <w:tcW w:w="3360" w:type="dxa"/>
            <w:vAlign w:val="bottom"/>
          </w:tcPr>
          <w:p>
            <w:pPr>
              <w:jc w:val="right"/>
              <w:ind w:right="2290"/>
              <w:spacing w:after="0"/>
              <w:rPr>
                <w:sz w:val="20"/>
                <w:szCs w:val="20"/>
                <w:color w:val="auto"/>
              </w:rPr>
            </w:pPr>
            <w:r>
              <w:rPr>
                <w:rFonts w:ascii="Times New Roman" w:cs="Times New Roman" w:eastAsia="Times New Roman" w:hAnsi="Times New Roman"/>
                <w:sz w:val="18"/>
                <w:szCs w:val="18"/>
                <w:color w:val="auto"/>
              </w:rPr>
              <w:t>Enterprise</w:t>
            </w: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2,543.8</w:t>
            </w: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26%</w:t>
            </w:r>
          </w:p>
        </w:tc>
        <w:tc>
          <w:tcPr>
            <w:tcW w:w="1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1,965.6</w:t>
            </w: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1,406.0</w:t>
            </w: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19%</w:t>
            </w:r>
          </w:p>
        </w:tc>
        <w:tc>
          <w:tcPr>
            <w:tcW w:w="0" w:type="dxa"/>
            <w:vAlign w:val="bottom"/>
          </w:tcPr>
          <w:p>
            <w:pPr>
              <w:spacing w:after="0"/>
              <w:rPr>
                <w:sz w:val="1"/>
                <w:szCs w:val="1"/>
                <w:color w:val="auto"/>
              </w:rPr>
            </w:pPr>
          </w:p>
        </w:tc>
      </w:tr>
      <w:tr>
        <w:trPr>
          <w:trHeight w:val="237"/>
        </w:trPr>
        <w:tc>
          <w:tcPr>
            <w:tcW w:w="336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6,490.5</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67%</w:t>
            </w:r>
          </w:p>
        </w:tc>
        <w:tc>
          <w:tcPr>
            <w:tcW w:w="3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4,641.2</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58%</w:t>
            </w:r>
          </w:p>
        </w:tc>
        <w:tc>
          <w:tcPr>
            <w:tcW w:w="18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4,271.0</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59%</w:t>
            </w:r>
          </w:p>
        </w:tc>
        <w:tc>
          <w:tcPr>
            <w:tcW w:w="0" w:type="dxa"/>
            <w:vAlign w:val="bottom"/>
          </w:tcPr>
          <w:p>
            <w:pPr>
              <w:spacing w:after="0"/>
              <w:rPr>
                <w:sz w:val="1"/>
                <w:szCs w:val="1"/>
                <w:color w:val="auto"/>
              </w:rPr>
            </w:pPr>
          </w:p>
        </w:tc>
      </w:tr>
      <w:tr>
        <w:trPr>
          <w:trHeight w:val="148"/>
        </w:trPr>
        <w:tc>
          <w:tcPr>
            <w:tcW w:w="3360" w:type="dxa"/>
            <w:vAlign w:val="bottom"/>
            <w:vMerge w:val="restart"/>
          </w:tcPr>
          <w:p>
            <w:pPr>
              <w:jc w:val="right"/>
              <w:ind w:right="2290"/>
              <w:spacing w:after="0"/>
              <w:rPr>
                <w:sz w:val="20"/>
                <w:szCs w:val="20"/>
                <w:color w:val="auto"/>
              </w:rPr>
            </w:pPr>
            <w:r>
              <w:rPr>
                <w:rFonts w:ascii="Times New Roman" w:cs="Times New Roman" w:eastAsia="Times New Roman" w:hAnsi="Times New Roman"/>
                <w:sz w:val="18"/>
                <w:szCs w:val="18"/>
                <w:color w:val="auto"/>
                <w:w w:val="96"/>
              </w:rPr>
              <w:t>Total revenue</w:t>
            </w: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60" w:type="dxa"/>
            <w:vAlign w:val="bottom"/>
            <w:gridSpan w:val="2"/>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3360" w:type="dxa"/>
            <w:vAlign w:val="bottom"/>
            <w:vMerge w:val="continue"/>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9,646.0</w:t>
            </w: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7,961.0</w:t>
            </w: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7,250.0</w:t>
            </w: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42" w:lineRule="exact"/>
        <w:rPr>
          <w:sz w:val="20"/>
          <w:szCs w:val="20"/>
          <w:color w:val="auto"/>
        </w:rPr>
      </w:pPr>
    </w:p>
    <w:tbl>
      <w:tblPr>
        <w:tblLayout w:type="fixed"/>
        <w:tblInd w:w="51" w:type="dxa"/>
        <w:tblCellMar>
          <w:top w:w="0" w:type="dxa"/>
          <w:left w:w="0" w:type="dxa"/>
          <w:bottom w:w="0" w:type="dxa"/>
          <w:right w:w="0" w:type="dxa"/>
        </w:tblCellMar>
      </w:tblPr>
      <w:tr>
        <w:trPr>
          <w:trHeight w:val="238"/>
        </w:trPr>
        <w:tc>
          <w:tcPr>
            <w:tcW w:w="7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Segment Costs by segment:</w:t>
            </w:r>
          </w:p>
        </w:tc>
        <w:tc>
          <w:tcPr>
            <w:tcW w:w="24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6"/>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1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18"/>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ATS cost of sales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2,894.9</w:t>
            </w:r>
          </w:p>
        </w:tc>
        <w:tc>
          <w:tcPr>
            <w:tcW w:w="14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3,044.3</w:t>
            </w:r>
          </w:p>
        </w:tc>
        <w:tc>
          <w:tcPr>
            <w:tcW w:w="14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2,735.1</w:t>
            </w:r>
          </w:p>
        </w:tc>
        <w:tc>
          <w:tcPr>
            <w:tcW w:w="0" w:type="dxa"/>
            <w:vAlign w:val="bottom"/>
          </w:tcPr>
          <w:p>
            <w:pPr>
              <w:spacing w:after="0"/>
              <w:rPr>
                <w:sz w:val="1"/>
                <w:szCs w:val="1"/>
                <w:color w:val="auto"/>
              </w:rPr>
            </w:pPr>
          </w:p>
        </w:tc>
      </w:tr>
      <w:tr>
        <w:trPr>
          <w:trHeight w:val="229"/>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ATS other Segment Costs</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116.5</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120.5</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w:t>
            </w:r>
          </w:p>
        </w:tc>
        <w:tc>
          <w:tcPr>
            <w:tcW w:w="0" w:type="dxa"/>
            <w:vAlign w:val="bottom"/>
          </w:tcPr>
          <w:p>
            <w:pPr>
              <w:spacing w:after="0"/>
              <w:rPr>
                <w:sz w:val="1"/>
                <w:szCs w:val="1"/>
                <w:color w:val="auto"/>
              </w:rPr>
            </w:pPr>
          </w:p>
        </w:tc>
      </w:tr>
      <w:tr>
        <w:trPr>
          <w:trHeight w:val="229"/>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CCS cost of sales</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5,732.1</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4,136.4</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3,860.0</w:t>
            </w:r>
          </w:p>
        </w:tc>
        <w:tc>
          <w:tcPr>
            <w:tcW w:w="0" w:type="dxa"/>
            <w:vAlign w:val="bottom"/>
          </w:tcPr>
          <w:p>
            <w:pPr>
              <w:spacing w:after="0"/>
              <w:rPr>
                <w:sz w:val="1"/>
                <w:szCs w:val="1"/>
                <w:color w:val="auto"/>
              </w:rPr>
            </w:pPr>
          </w:p>
        </w:tc>
      </w:tr>
      <w:tr>
        <w:trPr>
          <w:trHeight w:val="234"/>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CCS other Segment Costs</w:t>
            </w: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279.9</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218.2</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193.4</w:t>
            </w:r>
          </w:p>
        </w:tc>
        <w:tc>
          <w:tcPr>
            <w:tcW w:w="0" w:type="dxa"/>
            <w:vAlign w:val="bottom"/>
          </w:tcPr>
          <w:p>
            <w:pPr>
              <w:spacing w:after="0"/>
              <w:rPr>
                <w:sz w:val="1"/>
                <w:szCs w:val="1"/>
                <w:color w:val="auto"/>
              </w:rPr>
            </w:pPr>
          </w:p>
        </w:tc>
      </w:tr>
      <w:tr>
        <w:trPr>
          <w:trHeight w:val="148"/>
        </w:trPr>
        <w:tc>
          <w:tcPr>
            <w:tcW w:w="7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 Segment Costs</w:t>
            </w:r>
          </w:p>
        </w:tc>
        <w:tc>
          <w:tcPr>
            <w:tcW w:w="2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7140" w:type="dxa"/>
            <w:vAlign w:val="bottom"/>
            <w:vMerge w:val="continue"/>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9,023.4</w:t>
            </w:r>
          </w:p>
        </w:tc>
        <w:tc>
          <w:tcPr>
            <w:tcW w:w="14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7,519.4</w:t>
            </w:r>
          </w:p>
        </w:tc>
        <w:tc>
          <w:tcPr>
            <w:tcW w:w="14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6,892.1</w:t>
            </w:r>
          </w:p>
        </w:tc>
        <w:tc>
          <w:tcPr>
            <w:tcW w:w="0" w:type="dxa"/>
            <w:vAlign w:val="bottom"/>
          </w:tcPr>
          <w:p>
            <w:pPr>
              <w:spacing w:after="0"/>
              <w:rPr>
                <w:sz w:val="1"/>
                <w:szCs w:val="1"/>
                <w:color w:val="auto"/>
              </w:rPr>
            </w:pPr>
          </w:p>
        </w:tc>
      </w:tr>
      <w:tr>
        <w:trPr>
          <w:trHeight w:val="21"/>
        </w:trPr>
        <w:tc>
          <w:tcPr>
            <w:tcW w:w="7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48" w:lineRule="exact"/>
        <w:rPr>
          <w:sz w:val="20"/>
          <w:szCs w:val="20"/>
          <w:color w:val="auto"/>
        </w:rPr>
      </w:pPr>
    </w:p>
    <w:p>
      <w:pPr>
        <w:ind w:left="1031"/>
        <w:spacing w:after="0"/>
        <w:rPr>
          <w:sz w:val="20"/>
          <w:szCs w:val="20"/>
          <w:color w:val="auto"/>
        </w:rPr>
      </w:pPr>
      <w:r>
        <w:rPr>
          <w:rFonts w:ascii="Times New Roman" w:cs="Times New Roman" w:eastAsia="Times New Roman" w:hAnsi="Times New Roman"/>
          <w:sz w:val="18"/>
          <w:szCs w:val="18"/>
          <w:b w:val="1"/>
          <w:bCs w:val="1"/>
          <w:color w:val="auto"/>
        </w:rPr>
        <w:t>Segment income, segment margin, and</w:t>
      </w:r>
    </w:p>
    <w:p>
      <w:pPr>
        <w:ind w:left="1031"/>
        <w:spacing w:after="0" w:line="219" w:lineRule="auto"/>
        <w:rPr>
          <w:sz w:val="20"/>
          <w:szCs w:val="20"/>
          <w:color w:val="auto"/>
        </w:rPr>
      </w:pPr>
      <w:r>
        <w:rPr>
          <w:rFonts w:ascii="Times New Roman" w:cs="Times New Roman" w:eastAsia="Times New Roman" w:hAnsi="Times New Roman"/>
          <w:sz w:val="18"/>
          <w:szCs w:val="18"/>
          <w:b w:val="1"/>
          <w:bCs w:val="1"/>
          <w:color w:val="auto"/>
        </w:rPr>
        <w:t>reconciliation of segment income to</w:t>
      </w:r>
    </w:p>
    <w:tbl>
      <w:tblPr>
        <w:tblLayout w:type="fixed"/>
        <w:tblInd w:w="1031" w:type="dxa"/>
        <w:tblCellMar>
          <w:top w:w="0" w:type="dxa"/>
          <w:left w:w="0" w:type="dxa"/>
          <w:bottom w:w="0" w:type="dxa"/>
          <w:right w:w="0" w:type="dxa"/>
        </w:tblCellMar>
      </w:tblPr>
      <w:tr>
        <w:trPr>
          <w:trHeight w:val="214"/>
        </w:trPr>
        <w:tc>
          <w:tcPr>
            <w:tcW w:w="2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earnings before income taxes:</w:t>
            </w:r>
          </w:p>
        </w:tc>
        <w:tc>
          <w:tcPr>
            <w:tcW w:w="96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Note</w:t>
            </w:r>
          </w:p>
        </w:tc>
        <w:tc>
          <w:tcPr>
            <w:tcW w:w="164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c>
          <w:tcPr>
            <w:tcW w:w="1660" w:type="dxa"/>
            <w:vAlign w:val="bottom"/>
            <w:tcBorders>
              <w:bottom w:val="single" w:sz="8" w:color="auto"/>
            </w:tcBorders>
          </w:tcPr>
          <w:p>
            <w:pPr>
              <w:spacing w:after="0"/>
              <w:rPr>
                <w:sz w:val="18"/>
                <w:szCs w:val="18"/>
                <w:color w:val="auto"/>
              </w:rPr>
            </w:pPr>
          </w:p>
        </w:tc>
      </w:tr>
      <w:tr>
        <w:trPr>
          <w:trHeight w:val="236"/>
        </w:trPr>
        <w:tc>
          <w:tcPr>
            <w:tcW w:w="2800" w:type="dxa"/>
            <w:vAlign w:val="bottom"/>
          </w:tcPr>
          <w:p>
            <w:pPr>
              <w:spacing w:after="0"/>
              <w:rPr>
                <w:sz w:val="20"/>
                <w:szCs w:val="20"/>
                <w:color w:val="auto"/>
              </w:rPr>
            </w:pPr>
          </w:p>
        </w:tc>
        <w:tc>
          <w:tcPr>
            <w:tcW w:w="2600" w:type="dxa"/>
            <w:vAlign w:val="bottom"/>
            <w:gridSpan w:val="2"/>
          </w:tcPr>
          <w:p>
            <w:pPr>
              <w:jc w:val="right"/>
              <w:ind w:right="559"/>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20" w:type="dxa"/>
            <w:vAlign w:val="bottom"/>
            <w:gridSpan w:val="2"/>
          </w:tcPr>
          <w:p>
            <w:pPr>
              <w:jc w:val="right"/>
              <w:ind w:right="579"/>
              <w:spacing w:after="0"/>
              <w:rPr>
                <w:sz w:val="20"/>
                <w:szCs w:val="20"/>
                <w:color w:val="auto"/>
              </w:rPr>
            </w:pPr>
            <w:r>
              <w:rPr>
                <w:rFonts w:ascii="Times New Roman" w:cs="Times New Roman" w:eastAsia="Times New Roman" w:hAnsi="Times New Roman"/>
                <w:sz w:val="18"/>
                <w:szCs w:val="18"/>
                <w:b w:val="1"/>
                <w:bCs w:val="1"/>
                <w:color w:val="auto"/>
              </w:rPr>
              <w:t>2023</w:t>
            </w:r>
          </w:p>
        </w:tc>
        <w:tc>
          <w:tcPr>
            <w:tcW w:w="140" w:type="dxa"/>
            <w:vAlign w:val="bottom"/>
          </w:tcPr>
          <w:p>
            <w:pPr>
              <w:spacing w:after="0"/>
              <w:rPr>
                <w:sz w:val="20"/>
                <w:szCs w:val="20"/>
                <w:color w:val="auto"/>
              </w:rPr>
            </w:pPr>
          </w:p>
        </w:tc>
        <w:tc>
          <w:tcPr>
            <w:tcW w:w="1660" w:type="dxa"/>
            <w:vAlign w:val="bottom"/>
          </w:tcPr>
          <w:p>
            <w:pPr>
              <w:jc w:val="right"/>
              <w:ind w:right="576"/>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155"/>
        </w:trPr>
        <w:tc>
          <w:tcPr>
            <w:tcW w:w="28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40" w:type="dxa"/>
            <w:vAlign w:val="bottom"/>
            <w:tcBorders>
              <w:top w:val="single" w:sz="8" w:color="auto"/>
            </w:tcBorders>
          </w:tcPr>
          <w:p>
            <w:pPr>
              <w:jc w:val="center"/>
              <w:ind w:left="719"/>
              <w:spacing w:after="0" w:line="155" w:lineRule="exact"/>
              <w:rPr>
                <w:sz w:val="20"/>
                <w:szCs w:val="20"/>
                <w:color w:val="auto"/>
              </w:rPr>
            </w:pPr>
            <w:r>
              <w:rPr>
                <w:rFonts w:ascii="Times New Roman" w:cs="Times New Roman" w:eastAsia="Times New Roman" w:hAnsi="Times New Roman"/>
                <w:sz w:val="16"/>
                <w:szCs w:val="16"/>
                <w:color w:val="auto"/>
                <w:w w:val="99"/>
              </w:rPr>
              <w:t>Segment</w:t>
            </w:r>
          </w:p>
        </w:tc>
        <w:tc>
          <w:tcPr>
            <w:tcW w:w="160" w:type="dxa"/>
            <w:vAlign w:val="bottom"/>
          </w:tcPr>
          <w:p>
            <w:pPr>
              <w:spacing w:after="0"/>
              <w:rPr>
                <w:sz w:val="13"/>
                <w:szCs w:val="13"/>
                <w:color w:val="auto"/>
              </w:rPr>
            </w:pPr>
          </w:p>
        </w:tc>
        <w:tc>
          <w:tcPr>
            <w:tcW w:w="1660" w:type="dxa"/>
            <w:vAlign w:val="bottom"/>
            <w:tcBorders>
              <w:top w:val="single" w:sz="8" w:color="auto"/>
            </w:tcBorders>
          </w:tcPr>
          <w:p>
            <w:pPr>
              <w:jc w:val="center"/>
              <w:ind w:left="699"/>
              <w:spacing w:after="0" w:line="155" w:lineRule="exact"/>
              <w:rPr>
                <w:sz w:val="20"/>
                <w:szCs w:val="20"/>
                <w:color w:val="auto"/>
              </w:rPr>
            </w:pPr>
            <w:r>
              <w:rPr>
                <w:rFonts w:ascii="Times New Roman" w:cs="Times New Roman" w:eastAsia="Times New Roman" w:hAnsi="Times New Roman"/>
                <w:sz w:val="16"/>
                <w:szCs w:val="16"/>
                <w:color w:val="auto"/>
                <w:w w:val="99"/>
              </w:rPr>
              <w:t>Segment</w:t>
            </w:r>
          </w:p>
        </w:tc>
        <w:tc>
          <w:tcPr>
            <w:tcW w:w="140" w:type="dxa"/>
            <w:vAlign w:val="bottom"/>
          </w:tcPr>
          <w:p>
            <w:pPr>
              <w:spacing w:after="0"/>
              <w:rPr>
                <w:sz w:val="13"/>
                <w:szCs w:val="13"/>
                <w:color w:val="auto"/>
              </w:rPr>
            </w:pPr>
          </w:p>
        </w:tc>
        <w:tc>
          <w:tcPr>
            <w:tcW w:w="1660" w:type="dxa"/>
            <w:vAlign w:val="bottom"/>
            <w:tcBorders>
              <w:top w:val="single" w:sz="8" w:color="auto"/>
            </w:tcBorders>
          </w:tcPr>
          <w:p>
            <w:pPr>
              <w:jc w:val="center"/>
              <w:ind w:left="736"/>
              <w:spacing w:after="0" w:line="155" w:lineRule="exact"/>
              <w:rPr>
                <w:sz w:val="20"/>
                <w:szCs w:val="20"/>
                <w:color w:val="auto"/>
              </w:rPr>
            </w:pPr>
            <w:r>
              <w:rPr>
                <w:rFonts w:ascii="Times New Roman" w:cs="Times New Roman" w:eastAsia="Times New Roman" w:hAnsi="Times New Roman"/>
                <w:sz w:val="16"/>
                <w:szCs w:val="16"/>
                <w:color w:val="auto"/>
                <w:w w:val="99"/>
              </w:rPr>
              <w:t>Segment</w:t>
            </w:r>
          </w:p>
        </w:tc>
      </w:tr>
      <w:tr>
        <w:trPr>
          <w:trHeight w:val="210"/>
        </w:trPr>
        <w:tc>
          <w:tcPr>
            <w:tcW w:w="28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40" w:type="dxa"/>
            <w:vAlign w:val="bottom"/>
          </w:tcPr>
          <w:p>
            <w:pPr>
              <w:jc w:val="center"/>
              <w:ind w:left="719"/>
              <w:spacing w:after="0"/>
              <w:rPr>
                <w:sz w:val="20"/>
                <w:szCs w:val="20"/>
                <w:color w:val="auto"/>
              </w:rPr>
            </w:pPr>
            <w:r>
              <w:rPr>
                <w:rFonts w:ascii="Times New Roman" w:cs="Times New Roman" w:eastAsia="Times New Roman" w:hAnsi="Times New Roman"/>
                <w:sz w:val="16"/>
                <w:szCs w:val="16"/>
                <w:color w:val="auto"/>
              </w:rPr>
              <w:t>Margin</w:t>
            </w:r>
          </w:p>
        </w:tc>
        <w:tc>
          <w:tcPr>
            <w:tcW w:w="160" w:type="dxa"/>
            <w:vAlign w:val="bottom"/>
          </w:tcPr>
          <w:p>
            <w:pPr>
              <w:spacing w:after="0"/>
              <w:rPr>
                <w:sz w:val="18"/>
                <w:szCs w:val="18"/>
                <w:color w:val="auto"/>
              </w:rPr>
            </w:pPr>
          </w:p>
        </w:tc>
        <w:tc>
          <w:tcPr>
            <w:tcW w:w="1800" w:type="dxa"/>
            <w:vAlign w:val="bottom"/>
            <w:gridSpan w:val="2"/>
          </w:tcPr>
          <w:p>
            <w:pPr>
              <w:jc w:val="center"/>
              <w:ind w:left="559"/>
              <w:spacing w:after="0"/>
              <w:rPr>
                <w:sz w:val="20"/>
                <w:szCs w:val="20"/>
                <w:color w:val="auto"/>
              </w:rPr>
            </w:pPr>
            <w:r>
              <w:rPr>
                <w:rFonts w:ascii="Times New Roman" w:cs="Times New Roman" w:eastAsia="Times New Roman" w:hAnsi="Times New Roman"/>
                <w:sz w:val="16"/>
                <w:szCs w:val="16"/>
                <w:color w:val="auto"/>
              </w:rPr>
              <w:t>Margin</w:t>
            </w:r>
          </w:p>
        </w:tc>
        <w:tc>
          <w:tcPr>
            <w:tcW w:w="1660" w:type="dxa"/>
            <w:vAlign w:val="bottom"/>
          </w:tcPr>
          <w:p>
            <w:pPr>
              <w:jc w:val="center"/>
              <w:ind w:left="736"/>
              <w:spacing w:after="0"/>
              <w:rPr>
                <w:sz w:val="20"/>
                <w:szCs w:val="20"/>
                <w:color w:val="auto"/>
              </w:rPr>
            </w:pPr>
            <w:r>
              <w:rPr>
                <w:rFonts w:ascii="Times New Roman" w:cs="Times New Roman" w:eastAsia="Times New Roman" w:hAnsi="Times New Roman"/>
                <w:sz w:val="16"/>
                <w:szCs w:val="16"/>
                <w:color w:val="auto"/>
              </w:rPr>
              <w:t>Margin</w:t>
            </w:r>
          </w:p>
        </w:tc>
      </w:tr>
    </w:tbl>
    <w:p>
      <w:pPr>
        <w:spacing w:after="0" w:line="1" w:lineRule="exact"/>
        <w:rPr>
          <w:sz w:val="20"/>
          <w:szCs w:val="20"/>
          <w:color w:val="auto"/>
        </w:rPr>
      </w:pPr>
    </w:p>
    <w:p>
      <w:pPr>
        <w:sectPr>
          <w:pgSz w:w="11900" w:h="16838" w:orient="portrait"/>
          <w:cols w:equalWidth="0" w:num="1">
            <w:col w:w="11051"/>
          </w:cols>
          <w:pgMar w:left="409" w:top="360" w:right="439" w:bottom="1440" w:gutter="0" w:footer="0" w:header="0"/>
        </w:sectPr>
      </w:pPr>
    </w:p>
    <w:p>
      <w:pPr>
        <w:ind w:left="1031"/>
        <w:spacing w:after="0"/>
        <w:rPr>
          <w:sz w:val="20"/>
          <w:szCs w:val="20"/>
          <w:color w:val="auto"/>
        </w:rPr>
      </w:pPr>
      <w:r>
        <w:rPr>
          <w:rFonts w:ascii="Times New Roman" w:cs="Times New Roman" w:eastAsia="Times New Roman" w:hAnsi="Times New Roman"/>
          <w:sz w:val="18"/>
          <w:szCs w:val="18"/>
          <w:color w:val="auto"/>
        </w:rPr>
        <w:t>ATS segment income and margin</w:t>
      </w:r>
    </w:p>
    <w:p>
      <w:pPr>
        <w:spacing w:after="0" w:line="50" w:lineRule="exact"/>
        <w:rPr>
          <w:sz w:val="20"/>
          <w:szCs w:val="20"/>
          <w:color w:val="auto"/>
        </w:rPr>
      </w:pPr>
    </w:p>
    <w:p>
      <w:pPr>
        <w:ind w:left="1031"/>
        <w:spacing w:after="0"/>
        <w:rPr>
          <w:sz w:val="20"/>
          <w:szCs w:val="20"/>
          <w:color w:val="auto"/>
        </w:rPr>
      </w:pPr>
      <w:r>
        <w:rPr>
          <w:rFonts w:ascii="Times New Roman" w:cs="Times New Roman" w:eastAsia="Times New Roman" w:hAnsi="Times New Roman"/>
          <w:sz w:val="18"/>
          <w:szCs w:val="18"/>
          <w:color w:val="auto"/>
        </w:rPr>
        <w:t>CCS segment income and margin</w:t>
      </w:r>
    </w:p>
    <w:p>
      <w:pPr>
        <w:spacing w:after="0" w:line="50" w:lineRule="exact"/>
        <w:rPr>
          <w:sz w:val="20"/>
          <w:szCs w:val="20"/>
          <w:color w:val="auto"/>
        </w:rPr>
      </w:pPr>
    </w:p>
    <w:p>
      <w:pPr>
        <w:ind w:left="1031"/>
        <w:spacing w:after="0"/>
        <w:rPr>
          <w:sz w:val="20"/>
          <w:szCs w:val="20"/>
          <w:color w:val="auto"/>
        </w:rPr>
      </w:pPr>
      <w:r>
        <w:rPr>
          <w:rFonts w:ascii="Times New Roman" w:cs="Times New Roman" w:eastAsia="Times New Roman" w:hAnsi="Times New Roman"/>
          <w:sz w:val="18"/>
          <w:szCs w:val="18"/>
          <w:color w:val="auto"/>
        </w:rPr>
        <w:t>Total segment income</w:t>
      </w:r>
    </w:p>
    <w:p>
      <w:pPr>
        <w:spacing w:after="0" w:line="185" w:lineRule="exact"/>
        <w:rPr>
          <w:sz w:val="20"/>
          <w:szCs w:val="20"/>
          <w:color w:val="auto"/>
        </w:rPr>
      </w:pPr>
    </w:p>
    <w:p>
      <w:pPr>
        <w:ind w:left="1031"/>
        <w:spacing w:after="0"/>
        <w:rPr>
          <w:sz w:val="20"/>
          <w:szCs w:val="20"/>
          <w:color w:val="auto"/>
        </w:rPr>
      </w:pPr>
      <w:r>
        <w:rPr>
          <w:rFonts w:ascii="Times New Roman" w:cs="Times New Roman" w:eastAsia="Times New Roman" w:hAnsi="Times New Roman"/>
          <w:sz w:val="18"/>
          <w:szCs w:val="18"/>
          <w:color w:val="auto"/>
        </w:rPr>
        <w:t>Reconciling items:</w:t>
      </w:r>
    </w:p>
    <w:p>
      <w:pPr>
        <w:spacing w:after="0" w:line="27" w:lineRule="exact"/>
        <w:rPr>
          <w:sz w:val="20"/>
          <w:szCs w:val="20"/>
          <w:color w:val="auto"/>
        </w:rPr>
      </w:pPr>
    </w:p>
    <w:p>
      <w:pPr>
        <w:ind w:left="1191"/>
        <w:spacing w:after="0"/>
        <w:rPr>
          <w:sz w:val="20"/>
          <w:szCs w:val="20"/>
          <w:color w:val="auto"/>
        </w:rPr>
      </w:pPr>
      <w:r>
        <w:rPr>
          <w:rFonts w:ascii="Times New Roman" w:cs="Times New Roman" w:eastAsia="Times New Roman" w:hAnsi="Times New Roman"/>
          <w:sz w:val="18"/>
          <w:szCs w:val="18"/>
          <w:color w:val="auto"/>
        </w:rPr>
        <w:t>Finance costs</w:t>
      </w:r>
    </w:p>
    <w:p>
      <w:pPr>
        <w:spacing w:after="0" w:line="41" w:lineRule="exact"/>
        <w:rPr>
          <w:sz w:val="20"/>
          <w:szCs w:val="20"/>
          <w:color w:val="auto"/>
        </w:rPr>
      </w:pPr>
    </w:p>
    <w:p>
      <w:pPr>
        <w:ind w:left="1191" w:right="260"/>
        <w:spacing w:after="0" w:line="279" w:lineRule="auto"/>
        <w:rPr>
          <w:sz w:val="20"/>
          <w:szCs w:val="20"/>
          <w:color w:val="auto"/>
        </w:rPr>
      </w:pPr>
      <w:r>
        <w:rPr>
          <w:rFonts w:ascii="Times New Roman" w:cs="Times New Roman" w:eastAsia="Times New Roman" w:hAnsi="Times New Roman"/>
          <w:sz w:val="18"/>
          <w:szCs w:val="18"/>
          <w:color w:val="auto"/>
        </w:rPr>
        <w:t xml:space="preserve">Miscellaneous expense (income) </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FCC Transitional ADJ: (gains) Employee SBC expense TRS FVAs (gains)</w:t>
      </w:r>
    </w:p>
    <w:p>
      <w:pPr>
        <w:jc w:val="center"/>
        <w:ind w:left="791"/>
        <w:spacing w:after="0" w:line="226" w:lineRule="auto"/>
        <w:rPr>
          <w:sz w:val="20"/>
          <w:szCs w:val="20"/>
          <w:color w:val="auto"/>
        </w:rPr>
      </w:pPr>
      <w:r>
        <w:rPr>
          <w:rFonts w:ascii="Times New Roman" w:cs="Times New Roman" w:eastAsia="Times New Roman" w:hAnsi="Times New Roman"/>
          <w:sz w:val="18"/>
          <w:szCs w:val="18"/>
          <w:color w:val="auto"/>
        </w:rPr>
        <w:t>Amortization of intangible assets</w:t>
      </w:r>
    </w:p>
    <w:p>
      <w:pPr>
        <w:spacing w:after="0" w:line="1" w:lineRule="exact"/>
        <w:rPr>
          <w:sz w:val="20"/>
          <w:szCs w:val="20"/>
          <w:color w:val="auto"/>
        </w:rPr>
      </w:pPr>
    </w:p>
    <w:p>
      <w:pPr>
        <w:jc w:val="center"/>
        <w:ind w:left="791"/>
        <w:spacing w:after="0"/>
        <w:rPr>
          <w:sz w:val="20"/>
          <w:szCs w:val="20"/>
          <w:color w:val="auto"/>
        </w:rPr>
      </w:pPr>
      <w:r>
        <w:rPr>
          <w:rFonts w:ascii="Times New Roman" w:cs="Times New Roman" w:eastAsia="Times New Roman" w:hAnsi="Times New Roman"/>
          <w:sz w:val="18"/>
          <w:szCs w:val="18"/>
          <w:color w:val="auto"/>
        </w:rPr>
        <w:t>(excluding computer software)</w:t>
      </w:r>
    </w:p>
    <w:p>
      <w:pPr>
        <w:spacing w:after="0" w:line="16" w:lineRule="exact"/>
        <w:rPr>
          <w:sz w:val="20"/>
          <w:szCs w:val="20"/>
          <w:color w:val="auto"/>
        </w:rPr>
      </w:pPr>
    </w:p>
    <w:p>
      <w:pPr>
        <w:ind w:left="1191"/>
        <w:spacing w:after="0" w:line="237" w:lineRule="auto"/>
        <w:rPr>
          <w:sz w:val="20"/>
          <w:szCs w:val="20"/>
          <w:color w:val="auto"/>
        </w:rPr>
      </w:pPr>
      <w:r>
        <w:rPr>
          <w:rFonts w:ascii="Times New Roman" w:cs="Times New Roman" w:eastAsia="Times New Roman" w:hAnsi="Times New Roman"/>
          <w:sz w:val="18"/>
          <w:szCs w:val="18"/>
          <w:color w:val="auto"/>
        </w:rPr>
        <w:t>Restructuring and other charges, net of recoveries</w:t>
      </w:r>
    </w:p>
    <w:p>
      <w:pPr>
        <w:spacing w:after="0" w:line="10" w:lineRule="exact"/>
        <w:rPr>
          <w:sz w:val="20"/>
          <w:szCs w:val="20"/>
          <w:color w:val="auto"/>
        </w:rPr>
      </w:pPr>
    </w:p>
    <w:p>
      <w:pPr>
        <w:ind w:left="1031"/>
        <w:spacing w:after="0"/>
        <w:rPr>
          <w:sz w:val="20"/>
          <w:szCs w:val="20"/>
          <w:color w:val="auto"/>
        </w:rPr>
      </w:pPr>
      <w:r>
        <w:rPr>
          <w:rFonts w:ascii="Times New Roman" w:cs="Times New Roman" w:eastAsia="Times New Roman" w:hAnsi="Times New Roman"/>
          <w:sz w:val="18"/>
          <w:szCs w:val="18"/>
          <w:color w:val="auto"/>
        </w:rPr>
        <w:t>Earnings before income taxes</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5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144.1</w:t>
            </w:r>
          </w:p>
        </w:tc>
        <w:tc>
          <w:tcPr>
            <w:tcW w:w="11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4.6 %  $</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155.0</w:t>
            </w:r>
          </w:p>
        </w:tc>
        <w:tc>
          <w:tcPr>
            <w:tcW w:w="12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4.7 %  $</w:t>
            </w: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140.3</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4.7 %</w:t>
            </w:r>
          </w:p>
        </w:tc>
      </w:tr>
      <w:tr>
        <w:trPr>
          <w:trHeight w:val="256"/>
        </w:trPr>
        <w:tc>
          <w:tcPr>
            <w:tcW w:w="3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478.5</w:t>
            </w:r>
          </w:p>
        </w:tc>
        <w:tc>
          <w:tcPr>
            <w:tcW w:w="9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7.4 %</w:t>
            </w:r>
          </w:p>
        </w:tc>
        <w:tc>
          <w:tcPr>
            <w:tcW w:w="2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286.6</w:t>
            </w:r>
          </w:p>
        </w:tc>
        <w:tc>
          <w:tcPr>
            <w:tcW w:w="10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6.2 %</w:t>
            </w:r>
          </w:p>
        </w:tc>
        <w:tc>
          <w:tcPr>
            <w:tcW w:w="22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217.6</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5.1 %</w:t>
            </w:r>
          </w:p>
        </w:tc>
      </w:tr>
      <w:tr>
        <w:trPr>
          <w:trHeight w:val="237"/>
        </w:trPr>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622.6</w:t>
            </w: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441.6</w:t>
            </w: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357.9</w:t>
            </w:r>
          </w:p>
        </w:tc>
        <w:tc>
          <w:tcPr>
            <w:tcW w:w="820" w:type="dxa"/>
            <w:vAlign w:val="bottom"/>
          </w:tcPr>
          <w:p>
            <w:pPr>
              <w:spacing w:after="0"/>
              <w:rPr>
                <w:sz w:val="20"/>
                <w:szCs w:val="20"/>
                <w:color w:val="auto"/>
              </w:rPr>
            </w:pPr>
          </w:p>
        </w:tc>
      </w:tr>
      <w:tr>
        <w:trPr>
          <w:trHeight w:val="621"/>
        </w:trPr>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52.1</w:t>
            </w: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51.7</w:t>
            </w:r>
          </w:p>
        </w:tc>
        <w:tc>
          <w:tcPr>
            <w:tcW w:w="820" w:type="dxa"/>
            <w:vAlign w:val="bottom"/>
          </w:tcPr>
          <w:p>
            <w:pPr>
              <w:spacing w:after="0"/>
              <w:rPr>
                <w:sz w:val="24"/>
                <w:szCs w:val="24"/>
                <w:color w:val="auto"/>
              </w:rPr>
            </w:pPr>
          </w:p>
        </w:tc>
      </w:tr>
      <w:tr>
        <w:trPr>
          <w:trHeight w:val="257"/>
        </w:trPr>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i w:val="1"/>
                <w:iCs w:val="1"/>
                <w:color w:val="auto"/>
                <w:w w:val="88"/>
              </w:rPr>
              <w:t>15</w:t>
            </w:r>
          </w:p>
        </w:tc>
        <w:tc>
          <w:tcPr>
            <w:tcW w:w="200" w:type="dxa"/>
            <w:vAlign w:val="bottom"/>
          </w:tcPr>
          <w:p>
            <w:pPr>
              <w:spacing w:after="0"/>
              <w:rPr>
                <w:sz w:val="22"/>
                <w:szCs w:val="22"/>
                <w:color w:val="auto"/>
              </w:rPr>
            </w:pP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15.0</w:t>
            </w:r>
          </w:p>
        </w:tc>
        <w:tc>
          <w:tcPr>
            <w:tcW w:w="9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10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20" w:type="dxa"/>
            <w:vAlign w:val="bottom"/>
          </w:tcPr>
          <w:p>
            <w:pPr>
              <w:spacing w:after="0"/>
              <w:rPr>
                <w:sz w:val="22"/>
                <w:szCs w:val="22"/>
                <w:color w:val="auto"/>
              </w:rPr>
            </w:pPr>
          </w:p>
        </w:tc>
      </w:tr>
      <w:tr>
        <w:trPr>
          <w:trHeight w:val="256"/>
        </w:trPr>
        <w:tc>
          <w:tcPr>
            <w:tcW w:w="3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9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820" w:type="dxa"/>
            <w:vAlign w:val="bottom"/>
          </w:tcPr>
          <w:p>
            <w:pPr>
              <w:spacing w:after="0"/>
              <w:rPr>
                <w:sz w:val="22"/>
                <w:szCs w:val="22"/>
                <w:color w:val="auto"/>
              </w:rPr>
            </w:pPr>
          </w:p>
        </w:tc>
      </w:tr>
      <w:tr>
        <w:trPr>
          <w:trHeight w:val="257"/>
        </w:trPr>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i w:val="1"/>
                <w:iCs w:val="1"/>
                <w:color w:val="auto"/>
                <w:w w:val="88"/>
              </w:rPr>
              <w:t>12</w:t>
            </w:r>
          </w:p>
        </w:tc>
        <w:tc>
          <w:tcPr>
            <w:tcW w:w="200" w:type="dxa"/>
            <w:vAlign w:val="bottom"/>
          </w:tcPr>
          <w:p>
            <w:pPr>
              <w:spacing w:after="0"/>
              <w:rPr>
                <w:sz w:val="22"/>
                <w:szCs w:val="22"/>
                <w:color w:val="auto"/>
              </w:rPr>
            </w:pP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57.4</w:t>
            </w:r>
          </w:p>
        </w:tc>
        <w:tc>
          <w:tcPr>
            <w:tcW w:w="9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10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51.0</w:t>
            </w:r>
          </w:p>
        </w:tc>
        <w:tc>
          <w:tcPr>
            <w:tcW w:w="820" w:type="dxa"/>
            <w:vAlign w:val="bottom"/>
          </w:tcPr>
          <w:p>
            <w:pPr>
              <w:spacing w:after="0"/>
              <w:rPr>
                <w:sz w:val="22"/>
                <w:szCs w:val="22"/>
                <w:color w:val="auto"/>
              </w:rPr>
            </w:pPr>
          </w:p>
        </w:tc>
      </w:tr>
      <w:tr>
        <w:trPr>
          <w:trHeight w:val="256"/>
        </w:trPr>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i w:val="1"/>
                <w:iCs w:val="1"/>
                <w:color w:val="auto"/>
                <w:w w:val="88"/>
              </w:rPr>
              <w:t>12</w:t>
            </w:r>
          </w:p>
        </w:tc>
        <w:tc>
          <w:tcPr>
            <w:tcW w:w="20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9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22"/>
                <w:szCs w:val="22"/>
                <w:color w:val="auto"/>
              </w:rPr>
            </w:pPr>
          </w:p>
        </w:tc>
      </w:tr>
      <w:tr>
        <w:trPr>
          <w:trHeight w:val="419"/>
        </w:trPr>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38.8</w:t>
            </w: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37.0</w:t>
            </w:r>
          </w:p>
        </w:tc>
        <w:tc>
          <w:tcPr>
            <w:tcW w:w="820" w:type="dxa"/>
            <w:vAlign w:val="bottom"/>
          </w:tcPr>
          <w:p>
            <w:pPr>
              <w:spacing w:after="0"/>
              <w:rPr>
                <w:sz w:val="24"/>
                <w:szCs w:val="24"/>
                <w:color w:val="auto"/>
              </w:rPr>
            </w:pPr>
          </w:p>
        </w:tc>
      </w:tr>
      <w:tr>
        <w:trPr>
          <w:trHeight w:val="418"/>
        </w:trPr>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i w:val="1"/>
                <w:iCs w:val="1"/>
                <w:color w:val="auto"/>
                <w:w w:val="88"/>
              </w:rPr>
              <w:t>14</w:t>
            </w:r>
          </w:p>
        </w:tc>
        <w:tc>
          <w:tcPr>
            <w:tcW w:w="2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19.4</w:t>
            </w:r>
          </w:p>
        </w:tc>
        <w:tc>
          <w:tcPr>
            <w:tcW w:w="9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6.7</w:t>
            </w:r>
          </w:p>
        </w:tc>
        <w:tc>
          <w:tcPr>
            <w:tcW w:w="820" w:type="dxa"/>
            <w:vAlign w:val="bottom"/>
          </w:tcPr>
          <w:p>
            <w:pPr>
              <w:spacing w:after="0"/>
              <w:rPr>
                <w:sz w:val="24"/>
                <w:szCs w:val="24"/>
                <w:color w:val="auto"/>
              </w:rPr>
            </w:pPr>
          </w:p>
        </w:tc>
      </w:tr>
      <w:tr>
        <w:trPr>
          <w:trHeight w:val="223"/>
        </w:trPr>
        <w:tc>
          <w:tcPr>
            <w:tcW w:w="36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532.2</w:t>
            </w:r>
          </w:p>
        </w:tc>
        <w:tc>
          <w:tcPr>
            <w:tcW w:w="98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306.0</w:t>
            </w:r>
          </w:p>
        </w:tc>
        <w:tc>
          <w:tcPr>
            <w:tcW w:w="10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239.1</w:t>
            </w:r>
          </w:p>
        </w:tc>
        <w:tc>
          <w:tcPr>
            <w:tcW w:w="820" w:type="dxa"/>
            <w:vAlign w:val="bottom"/>
          </w:tcPr>
          <w:p>
            <w:pPr>
              <w:spacing w:after="0"/>
              <w:rPr>
                <w:sz w:val="19"/>
                <w:szCs w:val="19"/>
                <w:color w:val="auto"/>
              </w:rPr>
            </w:pPr>
          </w:p>
        </w:tc>
      </w:tr>
      <w:tr>
        <w:trPr>
          <w:trHeight w:val="20"/>
        </w:trPr>
        <w:tc>
          <w:tcPr>
            <w:tcW w:w="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3032760</wp:posOffset>
            </wp:positionH>
            <wp:positionV relativeFrom="paragraph">
              <wp:posOffset>-2253615</wp:posOffset>
            </wp:positionV>
            <wp:extent cx="53975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0">
                      <a:extLst>
                        <a:ext uri="{28A0092B-C50C-407E-A947-70E740481C1C}"/>
                      </a:extLst>
                    </a:blip>
                    <a:srcRect/>
                    <a:stretch>
                      <a:fillRect/>
                    </a:stretch>
                  </pic:blipFill>
                  <pic:spPr bwMode="auto">
                    <a:xfrm>
                      <a:off x="0" y="0"/>
                      <a:ext cx="539750" cy="8255"/>
                    </a:xfrm>
                    <a:prstGeom prst="rect">
                      <a:avLst/>
                    </a:prstGeom>
                    <a:noFill/>
                  </pic:spPr>
                </pic:pic>
              </a:graphicData>
            </a:graphic>
          </wp:anchor>
        </w:drawing>
        <w:drawing>
          <wp:anchor simplePos="0" relativeHeight="251657728" behindDoc="1" locked="0" layoutInCell="0" allowOverlap="1">
            <wp:simplePos x="0" y="0"/>
            <wp:positionH relativeFrom="column">
              <wp:posOffset>1884045</wp:posOffset>
            </wp:positionH>
            <wp:positionV relativeFrom="paragraph">
              <wp:posOffset>-2253615</wp:posOffset>
            </wp:positionV>
            <wp:extent cx="53975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1">
                      <a:extLst>
                        <a:ext uri="{28A0092B-C50C-407E-A947-70E740481C1C}"/>
                      </a:extLst>
                    </a:blip>
                    <a:srcRect/>
                    <a:stretch>
                      <a:fillRect/>
                    </a:stretch>
                  </pic:blipFill>
                  <pic:spPr bwMode="auto">
                    <a:xfrm>
                      <a:off x="0" y="0"/>
                      <a:ext cx="539750" cy="8255"/>
                    </a:xfrm>
                    <a:prstGeom prst="rect">
                      <a:avLst/>
                    </a:prstGeom>
                    <a:noFill/>
                  </pic:spPr>
                </pic:pic>
              </a:graphicData>
            </a:graphic>
          </wp:anchor>
        </w:drawing>
        <w:drawing>
          <wp:anchor simplePos="0" relativeHeight="251657728" behindDoc="1" locked="0" layoutInCell="0" allowOverlap="1">
            <wp:simplePos x="0" y="0"/>
            <wp:positionH relativeFrom="column">
              <wp:posOffset>743585</wp:posOffset>
            </wp:positionH>
            <wp:positionV relativeFrom="paragraph">
              <wp:posOffset>-2253615</wp:posOffset>
            </wp:positionV>
            <wp:extent cx="53149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2">
                      <a:extLst>
                        <a:ext uri="{28A0092B-C50C-407E-A947-70E740481C1C}"/>
                      </a:extLst>
                    </a:blip>
                    <a:srcRect/>
                    <a:stretch>
                      <a:fillRect/>
                    </a:stretch>
                  </pic:blipFill>
                  <pic:spPr bwMode="auto">
                    <a:xfrm>
                      <a:off x="0" y="0"/>
                      <a:ext cx="531495" cy="8255"/>
                    </a:xfrm>
                    <a:prstGeom prst="rect">
                      <a:avLst/>
                    </a:prstGeom>
                    <a:noFill/>
                  </pic:spPr>
                </pic:pic>
              </a:graphicData>
            </a:graphic>
          </wp:anchor>
        </w:drawing>
      </w:r>
    </w:p>
    <w:p>
      <w:pPr>
        <w:spacing w:after="0" w:line="148" w:lineRule="exact"/>
        <w:rPr>
          <w:sz w:val="20"/>
          <w:szCs w:val="20"/>
          <w:color w:val="auto"/>
        </w:rPr>
      </w:pPr>
    </w:p>
    <w:p>
      <w:pPr>
        <w:sectPr>
          <w:pgSz w:w="11900" w:h="16838" w:orient="portrait"/>
          <w:cols w:equalWidth="0" w:num="2">
            <w:col w:w="3991" w:space="440"/>
            <w:col w:w="6620"/>
          </w:cols>
          <w:pgMar w:left="409" w:top="360" w:right="439" w:bottom="1440" w:gutter="0" w:footer="0" w:header="0"/>
          <w:type w:val="continuous"/>
        </w:sectPr>
      </w:pPr>
    </w:p>
    <w:p>
      <w:pPr>
        <w:ind w:left="251" w:hanging="251"/>
        <w:spacing w:after="0"/>
        <w:tabs>
          <w:tab w:leader="none" w:pos="251" w:val="left"/>
        </w:tabs>
        <w:numPr>
          <w:ilvl w:val="0"/>
          <w:numId w:val="87"/>
        </w:numPr>
        <w:rPr>
          <w:rFonts w:ascii="Times New Roman" w:cs="Times New Roman" w:eastAsia="Times New Roman" w:hAnsi="Times New Roman"/>
          <w:sz w:val="9"/>
          <w:szCs w:val="9"/>
          <w:color w:val="auto"/>
        </w:rPr>
      </w:pPr>
      <w:r>
        <w:rPr>
          <w:rFonts w:ascii="Times New Roman" w:cs="Times New Roman" w:eastAsia="Times New Roman" w:hAnsi="Times New Roman"/>
          <w:sz w:val="16"/>
          <w:szCs w:val="16"/>
          <w:color w:val="auto"/>
        </w:rPr>
        <w:t>Miscellaneous expense (income) for 2023 included a favorable TRS FVA of $45.6. Commencing in 2024, TRS FVAs are reported in cost of sales and SG&amp;A.</w:t>
      </w:r>
    </w:p>
    <w:p>
      <w:pPr>
        <w:spacing w:after="0" w:line="200" w:lineRule="exact"/>
        <w:rPr>
          <w:rFonts w:ascii="Times New Roman" w:cs="Times New Roman" w:eastAsia="Times New Roman" w:hAnsi="Times New Roman"/>
          <w:sz w:val="9"/>
          <w:szCs w:val="9"/>
          <w:color w:val="auto"/>
        </w:rPr>
      </w:pPr>
    </w:p>
    <w:p>
      <w:pPr>
        <w:spacing w:after="0" w:line="200" w:lineRule="exact"/>
        <w:rPr>
          <w:rFonts w:ascii="Times New Roman" w:cs="Times New Roman" w:eastAsia="Times New Roman" w:hAnsi="Times New Roman"/>
          <w:sz w:val="9"/>
          <w:szCs w:val="9"/>
          <w:color w:val="auto"/>
        </w:rPr>
      </w:pPr>
    </w:p>
    <w:p>
      <w:pPr>
        <w:spacing w:after="0" w:line="200" w:lineRule="exact"/>
        <w:rPr>
          <w:rFonts w:ascii="Times New Roman" w:cs="Times New Roman" w:eastAsia="Times New Roman" w:hAnsi="Times New Roman"/>
          <w:sz w:val="9"/>
          <w:szCs w:val="9"/>
          <w:color w:val="auto"/>
        </w:rPr>
      </w:pPr>
    </w:p>
    <w:p>
      <w:pPr>
        <w:spacing w:after="0" w:line="237" w:lineRule="exact"/>
        <w:rPr>
          <w:rFonts w:ascii="Times New Roman" w:cs="Times New Roman" w:eastAsia="Times New Roman" w:hAnsi="Times New Roman"/>
          <w:sz w:val="9"/>
          <w:szCs w:val="9"/>
          <w:color w:val="auto"/>
        </w:rPr>
      </w:pPr>
    </w:p>
    <w:p>
      <w:pPr>
        <w:ind w:left="5371"/>
        <w:spacing w:after="0"/>
        <w:rPr>
          <w:rFonts w:ascii="Times New Roman" w:cs="Times New Roman" w:eastAsia="Times New Roman" w:hAnsi="Times New Roman"/>
          <w:sz w:val="9"/>
          <w:szCs w:val="9"/>
          <w:color w:val="auto"/>
        </w:rPr>
      </w:pPr>
      <w:r>
        <w:rPr>
          <w:rFonts w:ascii="Times New Roman" w:cs="Times New Roman" w:eastAsia="Times New Roman" w:hAnsi="Times New Roman"/>
          <w:sz w:val="18"/>
          <w:szCs w:val="18"/>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wp:posOffset>
            </wp:positionH>
            <wp:positionV relativeFrom="paragraph">
              <wp:posOffset>227330</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51"/>
          </w:cols>
          <w:pgMar w:left="409" w:top="360" w:right="439" w:bottom="1440" w:gutter="0" w:footer="0" w:header="0"/>
          <w:type w:val="continuous"/>
        </w:sectPr>
      </w:pPr>
    </w:p>
    <w:bookmarkStart w:id="165" w:name="page166"/>
    <w:bookmarkEnd w:id="165"/>
    <w:p>
      <w:pPr>
        <w:jc w:val="center"/>
        <w:spacing w:after="0"/>
        <w:rPr>
          <w:sz w:val="20"/>
          <w:szCs w:val="20"/>
          <w:color w:val="auto"/>
        </w:rPr>
      </w:pPr>
      <w:r>
        <w:rPr>
          <w:rFonts w:ascii="Times New Roman" w:cs="Times New Roman" w:eastAsia="Times New Roman" w:hAnsi="Times New Roman"/>
          <w:sz w:val="18"/>
          <w:szCs w:val="18"/>
          <w:b w:val="1"/>
          <w:bCs w:val="1"/>
          <w:color w:val="auto"/>
        </w:rPr>
        <w:t>CELESTICA INC.</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of U.S. dollars, except percentages and per share amounts)</w:t>
      </w:r>
    </w:p>
    <w:p>
      <w:pPr>
        <w:spacing w:after="0" w:line="391"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The following table details our external revenue allocated by manufacturing location among countries that generated 10% or more of total revenue for the years indicated:</w:t>
      </w:r>
    </w:p>
    <w:p>
      <w:pPr>
        <w:spacing w:after="0" w:line="1" w:lineRule="exact"/>
        <w:rPr>
          <w:sz w:val="20"/>
          <w:szCs w:val="20"/>
          <w:color w:val="auto"/>
        </w:rPr>
      </w:pPr>
    </w:p>
    <w:p>
      <w:pPr>
        <w:ind w:left="784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38" w:lineRule="exact"/>
        <w:rPr>
          <w:sz w:val="20"/>
          <w:szCs w:val="20"/>
          <w:color w:val="auto"/>
        </w:rPr>
      </w:pPr>
    </w:p>
    <w:tbl>
      <w:tblPr>
        <w:tblLayout w:type="fixed"/>
        <w:tblInd w:w="20" w:type="dxa"/>
        <w:tblCellMar>
          <w:top w:w="0" w:type="dxa"/>
          <w:left w:w="0" w:type="dxa"/>
          <w:bottom w:w="0" w:type="dxa"/>
          <w:right w:w="0" w:type="dxa"/>
        </w:tblCellMar>
      </w:tblPr>
      <w:tr>
        <w:trPr>
          <w:trHeight w:val="243"/>
        </w:trPr>
        <w:tc>
          <w:tcPr>
            <w:tcW w:w="6340" w:type="dxa"/>
            <w:vAlign w:val="bottom"/>
          </w:tcPr>
          <w:p>
            <w:pPr>
              <w:spacing w:after="0"/>
              <w:rPr>
                <w:sz w:val="21"/>
                <w:szCs w:val="21"/>
                <w:color w:val="auto"/>
              </w:rPr>
            </w:pPr>
          </w:p>
        </w:tc>
        <w:tc>
          <w:tcPr>
            <w:tcW w:w="10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60" w:type="dxa"/>
            <w:vAlign w:val="bottom"/>
            <w:tcBorders>
              <w:top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2023</w:t>
            </w:r>
          </w:p>
        </w:tc>
        <w:tc>
          <w:tcPr>
            <w:tcW w:w="50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560" w:type="dxa"/>
            <w:vAlign w:val="bottom"/>
            <w:tcBorders>
              <w:top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18"/>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Thailand</w:t>
            </w:r>
          </w:p>
        </w:tc>
        <w:tc>
          <w:tcPr>
            <w:tcW w:w="106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10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100" w:type="dxa"/>
            <w:vAlign w:val="bottom"/>
          </w:tcPr>
          <w:p>
            <w:pPr>
              <w:spacing w:after="0"/>
              <w:rPr>
                <w:sz w:val="18"/>
                <w:szCs w:val="18"/>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44 %</w:t>
            </w:r>
          </w:p>
        </w:tc>
      </w:tr>
      <w:tr>
        <w:trPr>
          <w:trHeight w:val="229"/>
        </w:trPr>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Malaysia</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r>
      <w:tr>
        <w:trPr>
          <w:trHeight w:val="234"/>
        </w:trPr>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China</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r>
    </w:tbl>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Less than 10%.</w:t>
      </w:r>
    </w:p>
    <w:p>
      <w:pPr>
        <w:spacing w:after="0" w:line="248" w:lineRule="exact"/>
        <w:rPr>
          <w:sz w:val="20"/>
          <w:szCs w:val="20"/>
          <w:color w:val="auto"/>
        </w:rPr>
      </w:pPr>
    </w:p>
    <w:p>
      <w:pPr>
        <w:jc w:val="both"/>
        <w:ind w:right="20" w:firstLine="209"/>
        <w:spacing w:after="0" w:line="271" w:lineRule="auto"/>
        <w:rPr>
          <w:sz w:val="20"/>
          <w:szCs w:val="20"/>
          <w:color w:val="auto"/>
        </w:rPr>
      </w:pPr>
      <w:r>
        <w:rPr>
          <w:rFonts w:ascii="Times New Roman" w:cs="Times New Roman" w:eastAsia="Times New Roman" w:hAnsi="Times New Roman"/>
          <w:sz w:val="18"/>
          <w:szCs w:val="18"/>
          <w:color w:val="auto"/>
        </w:rPr>
        <w:t>The following table details our allocation of PP&amp;E and operating leases ROU assets among countries that represented 10% or more of total PP&amp;E and operating leases ROU assets for the years indicated:</w:t>
      </w:r>
    </w:p>
    <w:p>
      <w:pPr>
        <w:spacing w:after="0" w:line="1" w:lineRule="exact"/>
        <w:rPr>
          <w:sz w:val="20"/>
          <w:szCs w:val="20"/>
          <w:color w:val="auto"/>
        </w:rPr>
      </w:pPr>
    </w:p>
    <w:p>
      <w:pPr>
        <w:ind w:left="910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38" w:lineRule="exact"/>
        <w:rPr>
          <w:sz w:val="20"/>
          <w:szCs w:val="20"/>
          <w:color w:val="auto"/>
        </w:rPr>
      </w:pPr>
    </w:p>
    <w:tbl>
      <w:tblPr>
        <w:tblLayout w:type="fixed"/>
        <w:tblInd w:w="20" w:type="dxa"/>
        <w:tblCellMar>
          <w:top w:w="0" w:type="dxa"/>
          <w:left w:w="0" w:type="dxa"/>
          <w:bottom w:w="0" w:type="dxa"/>
          <w:right w:w="0" w:type="dxa"/>
        </w:tblCellMar>
      </w:tblPr>
      <w:tr>
        <w:trPr>
          <w:trHeight w:val="243"/>
        </w:trPr>
        <w:tc>
          <w:tcPr>
            <w:tcW w:w="7960" w:type="dxa"/>
            <w:vAlign w:val="bottom"/>
          </w:tcPr>
          <w:p>
            <w:pPr>
              <w:spacing w:after="0"/>
              <w:rPr>
                <w:sz w:val="21"/>
                <w:szCs w:val="21"/>
                <w:color w:val="auto"/>
              </w:rPr>
            </w:pP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2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58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8"/>
        </w:trPr>
        <w:tc>
          <w:tcPr>
            <w:tcW w:w="7960" w:type="dxa"/>
            <w:vAlign w:val="bottom"/>
          </w:tcPr>
          <w:p>
            <w:pPr>
              <w:spacing w:after="0"/>
              <w:rPr>
                <w:sz w:val="20"/>
                <w:szCs w:val="20"/>
                <w:color w:val="auto"/>
              </w:rPr>
            </w:pPr>
            <w:r>
              <w:rPr>
                <w:rFonts w:ascii="Times New Roman" w:cs="Times New Roman" w:eastAsia="Times New Roman" w:hAnsi="Times New Roman"/>
                <w:sz w:val="18"/>
                <w:szCs w:val="18"/>
                <w:color w:val="auto"/>
              </w:rPr>
              <w:t>Thailand</w:t>
            </w:r>
          </w:p>
        </w:tc>
        <w:tc>
          <w:tcPr>
            <w:tcW w:w="10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1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r>
      <w:tr>
        <w:trPr>
          <w:trHeight w:val="229"/>
        </w:trPr>
        <w:tc>
          <w:tcPr>
            <w:tcW w:w="9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24 %</w:t>
            </w:r>
          </w:p>
        </w:tc>
      </w:tr>
      <w:tr>
        <w:trPr>
          <w:trHeight w:val="229"/>
        </w:trPr>
        <w:tc>
          <w:tcPr>
            <w:tcW w:w="9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Malaysia</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9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Mexico</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Less than 10%.</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Customers:</w:t>
      </w:r>
    </w:p>
    <w:p>
      <w:pPr>
        <w:spacing w:after="0" w:line="256" w:lineRule="exact"/>
        <w:rPr>
          <w:sz w:val="20"/>
          <w:szCs w:val="20"/>
          <w:color w:val="auto"/>
        </w:rPr>
      </w:pPr>
    </w:p>
    <w:p>
      <w:pPr>
        <w:jc w:val="both"/>
        <w:ind w:firstLine="220"/>
        <w:spacing w:after="0" w:line="266" w:lineRule="auto"/>
        <w:rPr>
          <w:sz w:val="20"/>
          <w:szCs w:val="20"/>
          <w:color w:val="auto"/>
        </w:rPr>
      </w:pPr>
      <w:r>
        <w:rPr>
          <w:rFonts w:ascii="Times New Roman" w:cs="Times New Roman" w:eastAsia="Times New Roman" w:hAnsi="Times New Roman"/>
          <w:sz w:val="18"/>
          <w:szCs w:val="18"/>
          <w:color w:val="auto"/>
        </w:rPr>
        <w:t>In 2024, two customers (each in our CCS segment) individually represented 10% or more of total revenue (28% and 11%, respectively). In 2023, one customer (in our CCS segment) individually represented 10% or more of total revenue (22%). In 2022, two customers (each in our CCS segment) individually represented 10% or more of total revenue (11% for each customer).</w:t>
      </w:r>
    </w:p>
    <w:p>
      <w:pPr>
        <w:spacing w:after="0" w:line="20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At December 31, 2024, we had one customer (in our CCS segment) that individually represented 10% or more of total A/R (December 31, 2023— two customers, one in our CCS segment and one in our ATS segment).</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F-59</w:t>
      </w:r>
    </w:p>
    <w:p>
      <w:pPr>
        <w:sectPr>
          <w:pgSz w:w="11900" w:h="16838" w:orient="portrait"/>
          <w:cols w:equalWidth="0" w:num="1">
            <w:col w:w="11240"/>
          </w:cols>
          <w:pgMar w:left="320" w:top="360" w:right="339" w:bottom="1440" w:gutter="0" w:footer="0" w:header="0"/>
        </w:sectPr>
      </w:pPr>
    </w:p>
    <w:bookmarkStart w:id="166" w:name="page167"/>
    <w:bookmarkEnd w:id="166"/>
    <w:p>
      <w:pPr>
        <w:jc w:val="right"/>
        <w:spacing w:after="0"/>
        <w:rPr>
          <w:sz w:val="20"/>
          <w:szCs w:val="20"/>
          <w:color w:val="auto"/>
        </w:rPr>
      </w:pPr>
      <w:r>
        <w:rPr>
          <w:rFonts w:ascii="Times New Roman" w:cs="Times New Roman" w:eastAsia="Times New Roman" w:hAnsi="Times New Roman"/>
          <w:sz w:val="18"/>
          <w:szCs w:val="18"/>
          <w:b w:val="1"/>
          <w:bCs w:val="1"/>
          <w:color w:val="auto"/>
        </w:rPr>
        <w:t>Exhibit 4.3</w:t>
      </w:r>
    </w:p>
    <w:p>
      <w:pPr>
        <w:spacing w:after="0" w:line="252"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DESCRIPTION OF SECURITIES</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rights of shareholders of Celestica Inc. (the “Company,” “Celestica,” “we,” or “us”) are governed by the Ontario Business Corporations Act (the “OBCA”), Celestica’s Restated Articles of Incorporation (“Articles”), and Celestica’s by-laws (“By-laws”). Our authorized share capital consists of an unlimited number of common shares, without nominal or par value, and an unlimited number of preferred shares, issuable in series, without nominal or par value.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Common Shares</w:t>
      </w:r>
    </w:p>
    <w:p>
      <w:pPr>
        <w:spacing w:after="0" w:line="256" w:lineRule="exact"/>
        <w:rPr>
          <w:sz w:val="20"/>
          <w:szCs w:val="20"/>
          <w:color w:val="auto"/>
        </w:rPr>
      </w:pPr>
    </w:p>
    <w:p>
      <w:pPr>
        <w:ind w:right="80" w:firstLine="180"/>
        <w:spacing w:after="0" w:line="266" w:lineRule="auto"/>
        <w:rPr>
          <w:sz w:val="20"/>
          <w:szCs w:val="20"/>
          <w:color w:val="auto"/>
        </w:rPr>
      </w:pPr>
      <w:r>
        <w:rPr>
          <w:rFonts w:ascii="Times New Roman" w:cs="Times New Roman" w:eastAsia="Times New Roman" w:hAnsi="Times New Roman"/>
          <w:sz w:val="18"/>
          <w:szCs w:val="18"/>
          <w:u w:val="single" w:color="auto"/>
          <w:color w:val="auto"/>
        </w:rPr>
        <w:t>Dividends</w:t>
      </w:r>
      <w:r>
        <w:rPr>
          <w:rFonts w:ascii="Times New Roman" w:cs="Times New Roman" w:eastAsia="Times New Roman" w:hAnsi="Times New Roman"/>
          <w:sz w:val="18"/>
          <w:szCs w:val="18"/>
          <w:color w:val="auto"/>
        </w:rPr>
        <w:t>. Subject to the prior rights of the holders of preferred shares, the holders of common shares shall be entitled to receive dividends, and the Company shall pay dividends on the common shares, as and when declared by the board of directors of the Company (the “Board”), in such amount and in such form as the Board may from time to time determine.</w:t>
      </w:r>
    </w:p>
    <w:p>
      <w:pPr>
        <w:spacing w:after="0" w:line="20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u w:val="single" w:color="auto"/>
          <w:color w:val="auto"/>
        </w:rPr>
        <w:t>Voting Rights</w:t>
      </w:r>
      <w:r>
        <w:rPr>
          <w:rFonts w:ascii="Times New Roman" w:cs="Times New Roman" w:eastAsia="Times New Roman" w:hAnsi="Times New Roman"/>
          <w:sz w:val="18"/>
          <w:szCs w:val="18"/>
          <w:color w:val="auto"/>
        </w:rPr>
        <w:t>. The holders of the common shares shall be entitled to receive notice of and to attend all meetings of shareholders of the Company, and to vote together at all such meetings, except meetings at which only the holders of one class or series of shares are entitled to vote separately as a class or series, as the case may be. The holders of common shares shall be entitled to one vote per share at any meeting of holders of common shares at which they are entitled to vote separately as a class. Generally, all matters to be voted on by shareholders must be approved by a simple majority (or, in the case of election of directors where the number of candidates nominated for election exceeds the number of directors to be elected, by a plurality, and in the case of an amalgamation or amendments to our Articles, by two-thirds) of the votes cast in respect of common shares held by persons present in person or by proxy, voting together.</w:t>
      </w:r>
    </w:p>
    <w:p>
      <w:pPr>
        <w:spacing w:after="0" w:line="21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u w:val="single" w:color="auto"/>
          <w:color w:val="auto"/>
        </w:rPr>
        <w:t>Rights on Dissolution</w:t>
      </w:r>
      <w:r>
        <w:rPr>
          <w:rFonts w:ascii="Times New Roman" w:cs="Times New Roman" w:eastAsia="Times New Roman" w:hAnsi="Times New Roman"/>
          <w:sz w:val="18"/>
          <w:szCs w:val="18"/>
          <w:color w:val="auto"/>
        </w:rPr>
        <w:t>. In the event of the liquidation, dissolution or winding-up of the Company, whether voluntary or involuntary, or any other distribution of the assets of the Company among its shareholders for the purpose of winding-up its affairs, subject to the prior rights of the holders of preferred shares, the holders of the common shares then outstanding shall be entitled to receive the remaining property and assets of the Company rateably according to the number of common shares held by each holder.</w:t>
      </w:r>
    </w:p>
    <w:p>
      <w:pPr>
        <w:spacing w:after="0" w:line="207" w:lineRule="exact"/>
        <w:rPr>
          <w:sz w:val="20"/>
          <w:szCs w:val="20"/>
          <w:color w:val="auto"/>
        </w:rPr>
      </w:pPr>
    </w:p>
    <w:p>
      <w:pPr>
        <w:jc w:val="both"/>
        <w:ind w:firstLine="193"/>
        <w:spacing w:after="0" w:line="282" w:lineRule="auto"/>
        <w:rPr>
          <w:sz w:val="20"/>
          <w:szCs w:val="20"/>
          <w:color w:val="auto"/>
        </w:rPr>
      </w:pPr>
      <w:r>
        <w:rPr>
          <w:rFonts w:ascii="Times New Roman" w:cs="Times New Roman" w:eastAsia="Times New Roman" w:hAnsi="Times New Roman"/>
          <w:sz w:val="18"/>
          <w:szCs w:val="18"/>
          <w:u w:val="single" w:color="auto"/>
          <w:color w:val="auto"/>
        </w:rPr>
        <w:t>Other Rights</w:t>
      </w:r>
      <w:r>
        <w:rPr>
          <w:rFonts w:ascii="Times New Roman" w:cs="Times New Roman" w:eastAsia="Times New Roman" w:hAnsi="Times New Roman"/>
          <w:sz w:val="18"/>
          <w:szCs w:val="18"/>
          <w:color w:val="auto"/>
        </w:rPr>
        <w:t>. The common shares are not redeemable, nor do the holders of such shares have pre-emptive purchase rights. Directors do not stand for re-election at staggered intervals. Other than under applicable securities laws, there are no restrictions on the transferability of common shares.</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Substantial Shareholders</w:t>
      </w:r>
      <w:r>
        <w:rPr>
          <w:rFonts w:ascii="Times New Roman" w:cs="Times New Roman" w:eastAsia="Times New Roman" w:hAnsi="Times New Roman"/>
          <w:sz w:val="18"/>
          <w:szCs w:val="18"/>
          <w:color w:val="auto"/>
        </w:rPr>
        <w:t>. There are no provisions in the Articles or the Company’s By-laws discriminating against any existing or prospective holder of our securities as a result of such shareholder owning a substantial number of our securities.</w:t>
      </w:r>
    </w:p>
    <w:p>
      <w:pPr>
        <w:spacing w:after="0" w:line="189" w:lineRule="exact"/>
        <w:rPr>
          <w:sz w:val="20"/>
          <w:szCs w:val="20"/>
          <w:color w:val="auto"/>
        </w:rPr>
      </w:pPr>
    </w:p>
    <w:p>
      <w:pPr>
        <w:jc w:val="both"/>
        <w:ind w:firstLine="189"/>
        <w:spacing w:after="0" w:line="256" w:lineRule="auto"/>
        <w:rPr>
          <w:sz w:val="20"/>
          <w:szCs w:val="20"/>
          <w:color w:val="auto"/>
        </w:rPr>
      </w:pPr>
      <w:r>
        <w:rPr>
          <w:rFonts w:ascii="Times New Roman" w:cs="Times New Roman" w:eastAsia="Times New Roman" w:hAnsi="Times New Roman"/>
          <w:sz w:val="18"/>
          <w:szCs w:val="18"/>
          <w:color w:val="auto"/>
        </w:rPr>
        <w:t>However, transactions involving shareholders that hold a substantial number of securities may be subject to Multilateral Instrument 61-101 Protection of Minority Security Holders in Special Transactions (“MI 61-101”). MI 61-101 contains requirements in connection with certain types of transactions including related party transactions. Related party transactions include, for an issuer, certain types of transactions between the issuer and a person that is a related party of the issuer at the time the transaction is agreed to, whether or not there are also other parties to the transaction. Related parties of an issuer include, among others, control persons of the issuer, directors, senior officers and persons that have beneficial ownership or control or direction over (or a combination thereof), directly or indirectly, 10% of the voting securities of the issuer.</w:t>
      </w:r>
    </w:p>
    <w:p>
      <w:pPr>
        <w:spacing w:after="0" w:line="214" w:lineRule="exact"/>
        <w:rPr>
          <w:sz w:val="20"/>
          <w:szCs w:val="20"/>
          <w:color w:val="auto"/>
        </w:rPr>
      </w:pPr>
    </w:p>
    <w:p>
      <w:pPr>
        <w:jc w:val="both"/>
        <w:ind w:firstLine="300"/>
        <w:spacing w:after="0" w:line="266" w:lineRule="auto"/>
        <w:rPr>
          <w:sz w:val="20"/>
          <w:szCs w:val="20"/>
          <w:color w:val="auto"/>
        </w:rPr>
      </w:pPr>
      <w:r>
        <w:rPr>
          <w:rFonts w:ascii="Times New Roman" w:cs="Times New Roman" w:eastAsia="Times New Roman" w:hAnsi="Times New Roman"/>
          <w:sz w:val="18"/>
          <w:szCs w:val="18"/>
          <w:color w:val="auto"/>
        </w:rPr>
        <w:t>Subject to the availability of certain exemptions, MI 61-101 provides certain procedural protections for minority or disinterested shareholders in connection with the types of transactions that are subject to MI 61-101. In particular, MI 61-101 requires, subject to certain exemptions: (i) more detailed disclosure in the proxy material sent to security holders in connection with a transaction; (ii) the preparation of a formal valuation of the subject matter of</w:t>
      </w:r>
    </w:p>
    <w:p>
      <w:pPr>
        <w:sectPr>
          <w:pgSz w:w="11900" w:h="16838" w:orient="portrait"/>
          <w:cols w:equalWidth="0" w:num="1">
            <w:col w:w="11240"/>
          </w:cols>
          <w:pgMar w:left="320" w:top="1413" w:right="33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8"/>
          <w:szCs w:val="18"/>
          <w:color w:val="auto"/>
        </w:rPr>
        <w:t>the transaction; and (iii) minority approval of the proposed transaction by a majority of the votes cast by minority or disinterested shareholders.</w:t>
      </w:r>
    </w:p>
    <w:p>
      <w:pPr>
        <w:spacing w:after="0" w:line="25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Modification, Sub-division and Consolidation</w:t>
      </w:r>
      <w:r>
        <w:rPr>
          <w:rFonts w:ascii="Times New Roman" w:cs="Times New Roman" w:eastAsia="Times New Roman" w:hAnsi="Times New Roman"/>
          <w:sz w:val="18"/>
          <w:szCs w:val="18"/>
          <w:color w:val="auto"/>
        </w:rPr>
        <w:t>. Any modification to the provisions attaching to the common shares requires the affirmative vote of two-thirds of the votes cast by the holders of common shares.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u w:val="single" w:color="auto"/>
          <w:color w:val="auto"/>
        </w:rPr>
        <w:t>Creation of Other Voting Shares</w:t>
      </w:r>
      <w:r>
        <w:rPr>
          <w:rFonts w:ascii="Times New Roman" w:cs="Times New Roman" w:eastAsia="Times New Roman" w:hAnsi="Times New Roman"/>
          <w:sz w:val="18"/>
          <w:szCs w:val="18"/>
          <w:color w:val="auto"/>
        </w:rPr>
        <w:t>. The Company may not create any class or series of shares, or issue any shares of any class or series (other than common shares) having the right to vote generally on all matters that may be submitted to a vote of shareholders (except matters for which applicable law requires the approval of holders of another class or series of shares voting separately as a class or series) without the separate affirmative vote of two-thirds of the votes cast by the holders of common shares.</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 There are no provisions in the Articles or our By-laws that have been adopted in order to have the effect of delaying, deferring or preventing a change in control of the Company and that operate only with respect to an extraordinary corporate transaction involving the Company (or any of its subsidiaries), such as a merger, reorganization, tender offer, sale or transfer or substantially all of its assets, or liquidation.</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Changes in the Capital of the Company</w:t>
      </w:r>
      <w:r>
        <w:rPr>
          <w:rFonts w:ascii="Times New Roman" w:cs="Times New Roman" w:eastAsia="Times New Roman" w:hAnsi="Times New Roman"/>
          <w:sz w:val="18"/>
          <w:szCs w:val="18"/>
          <w:color w:val="auto"/>
        </w:rPr>
        <w:t>. There are no provisions in the Articles or our By-laws which are more stringent than those required by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OBCA.</w:t>
      </w:r>
    </w:p>
    <w:p>
      <w:pPr>
        <w:spacing w:after="0" w:line="23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u w:val="single" w:color="auto"/>
          <w:color w:val="auto"/>
        </w:rPr>
        <w:t>Advance Notice By-law</w:t>
      </w:r>
      <w:r>
        <w:rPr>
          <w:rFonts w:ascii="Times New Roman" w:cs="Times New Roman" w:eastAsia="Times New Roman" w:hAnsi="Times New Roman"/>
          <w:sz w:val="18"/>
          <w:szCs w:val="18"/>
          <w:color w:val="auto"/>
        </w:rPr>
        <w:t>. The Company’s advance notice by-law (the “Advance Notice By-Law”), among other things, provides that shareholders seeking to nominate, in compliance with the Advance Notice By-Law, candidates for election as directors must give timely notice in writing to the Corporate Secretary of the Company. The Advance Notice By-Law does not interfere with the ability of shareholders to requisition a meeting or to nominate directors by way of a shareholder proposal in accordance with the OBCA. To be timely, such notice must be properly given (i) in the case of an annual meeting (including an annual and special meeting) of shareholders, not less than 30 days prior to the date of the meeting; provided, however, that in the event that the meeting is to be held on a date that is less than 50 days after the date (the “Notice Date”) on which the first disclosure in a press release reported by a national news service in Canada, or in a document publicly filed by the Corporation under its profile both on SEDAR+ at www.sedarplus.ca and on EDGAR at www.sec.gov,of the date of the meeting was made, notice by the nominating shareholder must be properly given not later than the close of business on the tenth day following the Notice Date; (ii) in the case of a special meeting (which is not also an annual meeting) of shareholders called for the purpose of electing directors (whether or not also called for other purposes), not later than the close of business on the fifteenth day following the Notice Date; and (iii) notwithstanding the foregoing, in the case of an annual meeting of shareholders or a special meeting (which is not also an annual meeting) of shareholders called for the purpose of electing directors (whether or not also called for other purposes) where “notice-and-access” is used for delivery of proxy-related materials and the Notice Date is not less than 50 days before the date of the meeting, not less than 40 days prior to the date of the meeting.</w:t>
      </w:r>
    </w:p>
    <w:p>
      <w:pPr>
        <w:spacing w:after="0" w:line="22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Advance Notice By-Law also prescribes the proper written form for a shareholder’s notice as well as additional requirements in connection with nominations. Except as otherwise provided by applicable law and the Articles, no person will be eligible for election as a director of the Company unless nominated in accordance with the provisions of the Company’s Advance Notice By-Law.</w:t>
      </w:r>
    </w:p>
    <w:p>
      <w:pPr>
        <w:spacing w:after="0" w:line="20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Advance Notice By-Law authorizes the chair of the meeting to determine whether a nomination was made in accordance with the procedures set forth in the Advance Notice By-Law and, if any proposed nomination is not in compliance with the Advance Notice By-Law, to declare that such defective nomination shall be disregarded. The Board may, in its sole discretion, waive any requirements of the Advance Notice By-Law.</w:t>
      </w:r>
    </w:p>
    <w:p>
      <w:pPr>
        <w:spacing w:after="0" w:line="20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u w:val="single" w:color="auto"/>
          <w:color w:val="auto"/>
        </w:rPr>
        <w:t>Rights to Own Securities</w:t>
      </w:r>
      <w:r>
        <w:rPr>
          <w:rFonts w:ascii="Times New Roman" w:cs="Times New Roman" w:eastAsia="Times New Roman" w:hAnsi="Times New Roman"/>
          <w:sz w:val="18"/>
          <w:szCs w:val="18"/>
          <w:color w:val="auto"/>
        </w:rPr>
        <w:t xml:space="preserve">. There are no limitations under our Articles, By-laws or in the OBCA on the rights to own our securities, including the rights of non-resident or foreign shareholders to hold or exercise voting rights on our securities, except that certain transactions under the </w:t>
      </w:r>
      <w:r>
        <w:rPr>
          <w:rFonts w:ascii="Times New Roman" w:cs="Times New Roman" w:eastAsia="Times New Roman" w:hAnsi="Times New Roman"/>
          <w:sz w:val="18"/>
          <w:szCs w:val="18"/>
          <w:i w:val="1"/>
          <w:iCs w:val="1"/>
          <w:color w:val="auto"/>
        </w:rPr>
        <w:t>Investment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Canada Act </w:t>
      </w:r>
      <w:r>
        <w:rPr>
          <w:rFonts w:ascii="Times New Roman" w:cs="Times New Roman" w:eastAsia="Times New Roman" w:hAnsi="Times New Roman"/>
          <w:sz w:val="18"/>
          <w:szCs w:val="18"/>
          <w:color w:val="auto"/>
        </w:rPr>
        <w:t>may require that a “non-Canadian” not acquire “control” of the Company without prior review and approval by the Minister of Innovation,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Science and Industry. The acquisition of one-third or more of the voting shares of the Company would give rise to a</w:t>
      </w:r>
    </w:p>
    <w:p>
      <w:pPr>
        <w:sectPr>
          <w:pgSz w:w="11900" w:h="16838" w:orient="portrait"/>
          <w:cols w:equalWidth="0" w:num="1">
            <w:col w:w="11240"/>
          </w:cols>
          <w:pgMar w:left="320" w:top="1417" w:right="339" w:bottom="1440" w:gutter="0" w:footer="0" w:header="0"/>
        </w:sectPr>
      </w:pPr>
    </w:p>
    <w:bookmarkStart w:id="168" w:name="page169"/>
    <w:bookmarkEnd w:id="168"/>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rebuttable presumption of the acquisition of control, and the acquisition of more than fifty percent of the voting shares of the Company would constitute an acquisition of control. In addition, the </w:t>
      </w:r>
      <w:r>
        <w:rPr>
          <w:rFonts w:ascii="Times New Roman" w:cs="Times New Roman" w:eastAsia="Times New Roman" w:hAnsi="Times New Roman"/>
          <w:sz w:val="18"/>
          <w:szCs w:val="18"/>
          <w:i w:val="1"/>
          <w:iCs w:val="1"/>
          <w:color w:val="auto"/>
        </w:rPr>
        <w:t>Investment Canada Act</w:t>
      </w:r>
      <w:r>
        <w:rPr>
          <w:rFonts w:ascii="Times New Roman" w:cs="Times New Roman" w:eastAsia="Times New Roman" w:hAnsi="Times New Roman"/>
          <w:sz w:val="18"/>
          <w:szCs w:val="18"/>
          <w:color w:val="auto"/>
        </w:rPr>
        <w:t xml:space="preserve"> provides the Canadian government with broad discretionary powers in relation to national security to review and potentially prohibit, condition or require the divestiture of, any investment in the Company by a non-Canadian, including non-control level investments. “Non-Canadian” generally means an individual who is neither a Canadian citizen nor a permanent resident of Canada within the meaning of the </w:t>
      </w:r>
      <w:r>
        <w:rPr>
          <w:rFonts w:ascii="Times New Roman" w:cs="Times New Roman" w:eastAsia="Times New Roman" w:hAnsi="Times New Roman"/>
          <w:sz w:val="18"/>
          <w:szCs w:val="18"/>
          <w:i w:val="1"/>
          <w:iCs w:val="1"/>
          <w:color w:val="auto"/>
        </w:rPr>
        <w:t>Immigration and Refugee Protection Act</w:t>
      </w:r>
      <w:r>
        <w:rPr>
          <w:rFonts w:ascii="Times New Roman" w:cs="Times New Roman" w:eastAsia="Times New Roman" w:hAnsi="Times New Roman"/>
          <w:sz w:val="18"/>
          <w:szCs w:val="18"/>
          <w:color w:val="auto"/>
        </w:rPr>
        <w:t xml:space="preserve"> (Canada) who has been ordinarily resident in Canada for not more than one year after the time at which he or she first became eligible to apply for Canadian citizenship, or a corporation, partnership, trust or joint venture that is ultimately controlled by non-Canadians.</w:t>
      </w:r>
    </w:p>
    <w:p>
      <w:pPr>
        <w:spacing w:after="0" w:line="21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addition, limitations on the ability to acquire and hold shares of the Company may be imposed by the Competition Act (Canada) (the “Competition Act”). This legislation grants the Commissioner of Competition (the “Commissioner”) jurisdiction, for up to three years, to challenge the acquisition of an interest in us before the Competition Tribunal if the Commissioner believes that it would, or would be likely to, result in a substantial lessening or prevention of competition in any market in Canada. The Competition Act requires that any person proposing to acquire any of the assets in Canada of an operating business file a notification with the Competition Bureau where specified “size of the parties” and “size of the transaction” thresholds are exceeded. In the case of share acquisitions, an additional “shareholding threshold” applies. Any person who intends to acquire shares must file a notification with the Competition Bureau if certain financial thresholds are exceeded, and that person would hold more than 20% of our voting shares as a result of the acquisition. If a person already owns more than 20% of our voting shares, a notification must be filed when the acquisition would bring that person’s holdings over 50%. Where a notification is required, the legislation prohibits completion of the acquisition until the expiration of a statutory waiting period or unless the Commissioner waives the waiting period.</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Preferred Shares</w:t>
      </w:r>
    </w:p>
    <w:p>
      <w:pPr>
        <w:spacing w:after="0" w:line="256" w:lineRule="exact"/>
        <w:rPr>
          <w:sz w:val="20"/>
          <w:szCs w:val="20"/>
          <w:color w:val="auto"/>
        </w:rPr>
      </w:pPr>
    </w:p>
    <w:p>
      <w:pPr>
        <w:jc w:val="both"/>
        <w:ind w:firstLine="208"/>
        <w:spacing w:after="0" w:line="258" w:lineRule="auto"/>
        <w:rPr>
          <w:sz w:val="20"/>
          <w:szCs w:val="20"/>
          <w:color w:val="auto"/>
        </w:rPr>
      </w:pPr>
      <w:r>
        <w:rPr>
          <w:rFonts w:ascii="Times New Roman" w:cs="Times New Roman" w:eastAsia="Times New Roman" w:hAnsi="Times New Roman"/>
          <w:sz w:val="18"/>
          <w:szCs w:val="18"/>
          <w:color w:val="auto"/>
        </w:rPr>
        <w:t>The Company’s Board may issue preferred shares from time to time in one or more series, and (subject to the provisions of the Articles) determine the designation of, and the rights, privileges, restrictions and conditions attaching to, such shares (including, without limitation, dividend rights, cancellation, retraction or redemption rights, voting rights, conversion or exchange rights, sinking fund provisions and/or other provisions). Preferred shares of each series will rank as to dividends (to the extent cumulative dividends are applicable) and capital on a parity with preferred shares of every other series. Preferred shares of each series will rank as to dividends and capital senior to the common shares.</w:t>
      </w:r>
    </w:p>
    <w:p>
      <w:pPr>
        <w:spacing w:after="0" w:line="21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With respect to a distribution of assets in the event of a liquidation, dissolution or winding-up of the Company, whether voluntary or involuntary, or any other distribution of the assets of the Company for the purpose of winding up its affairs, holders of preferred shares of each series will be entitled to receive from the assets of the Company in respect of each such share held a sum equal to the amount in the stated capital account for such series divided by the number of shares in such series then outstanding, together with any accrued (in the case of cumulative dividends) or declared (in the case of non-cumulative dividends) and unpaid dividends thereon, before any amount shall be paid or any assets are distributed to the holders of common shares. Upon the receipt of such sum, the holders of preferred shares shall not be entitled to share in the distribution of our remaining assets and their preferred shares will be canceled.</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are currently no preferred shares outstanding.</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Listing</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common shares are listed on the New York Stock Exchange and the Toronto Stock Exchange under the symbol “CLS.”</w:t>
      </w:r>
    </w:p>
    <w:p>
      <w:pPr>
        <w:sectPr>
          <w:pgSz w:w="11900" w:h="16838" w:orient="portrait"/>
          <w:cols w:equalWidth="0" w:num="1">
            <w:col w:w="11240"/>
          </w:cols>
          <w:pgMar w:left="320" w:top="1417" w:right="339" w:bottom="1440" w:gutter="0" w:footer="0" w:header="0"/>
        </w:sectPr>
      </w:pPr>
    </w:p>
    <w:bookmarkStart w:id="169" w:name="page170"/>
    <w:bookmarkEnd w:id="169"/>
    <w:p>
      <w:pPr>
        <w:spacing w:after="0" w:line="1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AMENDED EXECUTIVE EMPLOYMENT AGREEMENT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BETWEEN:</w:t>
      </w:r>
    </w:p>
    <w:p>
      <w:pPr>
        <w:spacing w:after="0" w:line="220"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Celestica Inc.</w:t>
      </w:r>
      <w:r>
        <w:rPr>
          <w:rFonts w:ascii="Times New Roman" w:cs="Times New Roman" w:eastAsia="Times New Roman" w:hAnsi="Times New Roman"/>
          <w:sz w:val="22"/>
          <w:szCs w:val="22"/>
          <w:color w:val="auto"/>
        </w:rPr>
        <w:t>, a corporation duly incorporated</w:t>
      </w:r>
    </w:p>
    <w:p>
      <w:pPr>
        <w:spacing w:after="0" w:line="32"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22"/>
          <w:szCs w:val="22"/>
          <w:color w:val="auto"/>
        </w:rPr>
        <w:t>pursuant to the laws of the Province of Ontario</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(hereinafter referred to as "</w:t>
      </w:r>
      <w:r>
        <w:rPr>
          <w:rFonts w:ascii="Times New Roman" w:cs="Times New Roman" w:eastAsia="Times New Roman" w:hAnsi="Times New Roman"/>
          <w:sz w:val="22"/>
          <w:szCs w:val="22"/>
          <w:u w:val="single" w:color="auto"/>
          <w:color w:val="auto"/>
        </w:rPr>
        <w:t>Celestica</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and-</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Celestica LLC</w:t>
      </w:r>
      <w:r>
        <w:rPr>
          <w:rFonts w:ascii="Times New Roman" w:cs="Times New Roman" w:eastAsia="Times New Roman" w:hAnsi="Times New Roman"/>
          <w:sz w:val="22"/>
          <w:szCs w:val="22"/>
          <w:color w:val="auto"/>
        </w:rPr>
        <w:t>, a Delaware Corporation</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(hereinafter referred to as "</w:t>
      </w:r>
      <w:r>
        <w:rPr>
          <w:rFonts w:ascii="Times New Roman" w:cs="Times New Roman" w:eastAsia="Times New Roman" w:hAnsi="Times New Roman"/>
          <w:sz w:val="22"/>
          <w:szCs w:val="22"/>
          <w:u w:val="single" w:color="auto"/>
          <w:color w:val="auto"/>
        </w:rPr>
        <w:t>CLLC</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and-</w:t>
      </w:r>
    </w:p>
    <w:p>
      <w:pPr>
        <w:spacing w:after="0" w:line="22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Celestica International LP</w:t>
      </w:r>
      <w:r>
        <w:rPr>
          <w:rFonts w:ascii="Times New Roman" w:cs="Times New Roman" w:eastAsia="Times New Roman" w:hAnsi="Times New Roman"/>
          <w:sz w:val="22"/>
          <w:szCs w:val="22"/>
          <w:color w:val="auto"/>
        </w:rPr>
        <w:t>, a corporation duly incorporated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pursuant to the laws of the Province of Ontario</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(hereinafter referred to as "</w:t>
      </w:r>
      <w:r>
        <w:rPr>
          <w:rFonts w:ascii="Times New Roman" w:cs="Times New Roman" w:eastAsia="Times New Roman" w:hAnsi="Times New Roman"/>
          <w:sz w:val="22"/>
          <w:szCs w:val="22"/>
          <w:u w:val="single" w:color="auto"/>
          <w:color w:val="auto"/>
        </w:rPr>
        <w:t>CILP</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and-</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Mr. Robert A. Mionis</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(hereinafter referred to as the "</w:t>
      </w:r>
      <w:r>
        <w:rPr>
          <w:rFonts w:ascii="Times New Roman" w:cs="Times New Roman" w:eastAsia="Times New Roman" w:hAnsi="Times New Roman"/>
          <w:sz w:val="22"/>
          <w:szCs w:val="22"/>
          <w:u w:val="single" w:color="auto"/>
          <w:color w:val="auto"/>
        </w:rPr>
        <w:t>Executive</w:t>
      </w:r>
      <w:r>
        <w:rPr>
          <w:rFonts w:ascii="Times New Roman" w:cs="Times New Roman" w:eastAsia="Times New Roman" w:hAnsi="Times New Roman"/>
          <w:sz w:val="22"/>
          <w:szCs w:val="22"/>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WHEREAS:</w:t>
      </w:r>
    </w:p>
    <w:p>
      <w:pPr>
        <w:spacing w:after="0" w:line="224" w:lineRule="exact"/>
        <w:rPr>
          <w:sz w:val="20"/>
          <w:szCs w:val="20"/>
          <w:color w:val="auto"/>
        </w:rPr>
      </w:pPr>
    </w:p>
    <w:p>
      <w:pPr>
        <w:ind w:left="980" w:right="380" w:hanging="324"/>
        <w:spacing w:after="0" w:line="271" w:lineRule="auto"/>
        <w:tabs>
          <w:tab w:leader="none" w:pos="1022"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of the employees of Celestica International Inc. were transferred to a related entity, Celestica International LP, ("</w:t>
      </w:r>
      <w:r>
        <w:rPr>
          <w:rFonts w:ascii="Times New Roman" w:cs="Times New Roman" w:eastAsia="Times New Roman" w:hAnsi="Times New Roman"/>
          <w:sz w:val="22"/>
          <w:szCs w:val="22"/>
          <w:u w:val="single" w:color="auto"/>
          <w:color w:val="auto"/>
        </w:rPr>
        <w:t>CILP</w:t>
      </w:r>
      <w:r>
        <w:rPr>
          <w:rFonts w:ascii="Times New Roman" w:cs="Times New Roman" w:eastAsia="Times New Roman" w:hAnsi="Times New Roman"/>
          <w:sz w:val="22"/>
          <w:szCs w:val="22"/>
          <w:color w:val="auto"/>
        </w:rPr>
        <w:t>"), as of May 12, 2018,</w:t>
      </w:r>
    </w:p>
    <w:p>
      <w:pPr>
        <w:spacing w:after="0" w:line="157" w:lineRule="exact"/>
        <w:rPr>
          <w:rFonts w:ascii="Times New Roman" w:cs="Times New Roman" w:eastAsia="Times New Roman" w:hAnsi="Times New Roman"/>
          <w:sz w:val="22"/>
          <w:szCs w:val="22"/>
          <w:color w:val="auto"/>
        </w:rPr>
      </w:pPr>
    </w:p>
    <w:p>
      <w:pPr>
        <w:ind w:left="980" w:right="260" w:hanging="324"/>
        <w:spacing w:after="0" w:line="263" w:lineRule="auto"/>
        <w:tabs>
          <w:tab w:leader="none" w:pos="1030"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 Celestica and CILP entered into an Executive Employment Agreement effective August 1, 2015, as amended August 1, 2016, (collectively the "</w:t>
      </w:r>
      <w:r>
        <w:rPr>
          <w:rFonts w:ascii="Times New Roman" w:cs="Times New Roman" w:eastAsia="Times New Roman" w:hAnsi="Times New Roman"/>
          <w:sz w:val="22"/>
          <w:szCs w:val="22"/>
          <w:u w:val="single" w:color="auto"/>
          <w:color w:val="auto"/>
        </w:rPr>
        <w:t>Prior Agreements</w:t>
      </w:r>
      <w:r>
        <w:rPr>
          <w:rFonts w:ascii="Times New Roman" w:cs="Times New Roman" w:eastAsia="Times New Roman" w:hAnsi="Times New Roman"/>
          <w:sz w:val="22"/>
          <w:szCs w:val="22"/>
          <w:color w:val="auto"/>
        </w:rPr>
        <w:t>") for the purpose of setting forth the terms and conditions of the Executive's employment with CILP.</w:t>
      </w:r>
    </w:p>
    <w:p>
      <w:pPr>
        <w:spacing w:after="0" w:line="167" w:lineRule="exact"/>
        <w:rPr>
          <w:rFonts w:ascii="Times New Roman" w:cs="Times New Roman" w:eastAsia="Times New Roman" w:hAnsi="Times New Roman"/>
          <w:sz w:val="22"/>
          <w:szCs w:val="22"/>
          <w:color w:val="auto"/>
        </w:rPr>
      </w:pPr>
    </w:p>
    <w:p>
      <w:pPr>
        <w:ind w:left="980" w:right="20" w:hanging="324"/>
        <w:spacing w:after="0" w:line="271" w:lineRule="auto"/>
        <w:tabs>
          <w:tab w:leader="none" w:pos="1030"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Whereas the parties hereto wish to amend certain provisions of the Executive's employment, effective on and after the Effective Date on the terms set out in this agreement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ind w:right="140"/>
        <w:spacing w:after="0" w:line="295" w:lineRule="auto"/>
        <w:rPr>
          <w:sz w:val="20"/>
          <w:szCs w:val="20"/>
          <w:color w:val="auto"/>
        </w:rPr>
      </w:pPr>
      <w:r>
        <w:rPr>
          <w:rFonts w:ascii="Times New Roman" w:cs="Times New Roman" w:eastAsia="Times New Roman" w:hAnsi="Times New Roman"/>
          <w:sz w:val="21"/>
          <w:szCs w:val="21"/>
          <w:color w:val="auto"/>
        </w:rPr>
        <w:t>NOW THEREFORE, in consideration of the mutual covenants and promises set out herein and other good and valuable consideration, the receipt and sufficiency of which is acknowledged, Celestica, CILP, CLLC and the Executive agree as follows: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1</w:t>
      </w:r>
    </w:p>
    <w:p>
      <w:pPr>
        <w:sectPr>
          <w:pgSz w:w="11900" w:h="16838" w:orient="portrait"/>
          <w:cols w:equalWidth="0" w:num="1">
            <w:col w:w="11240"/>
          </w:cols>
          <w:pgMar w:left="320" w:top="1440" w:right="339" w:bottom="1440" w:gutter="0" w:footer="0" w:header="0"/>
          <w:type w:val="continuous"/>
        </w:sectPr>
      </w:pPr>
    </w:p>
    <w:bookmarkStart w:id="170" w:name="page171"/>
    <w:bookmarkEnd w:id="170"/>
    <w:p>
      <w:pPr>
        <w:spacing w:after="0" w:line="194"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22"/>
          <w:szCs w:val="22"/>
          <w:b w:val="1"/>
          <w:bCs w:val="1"/>
          <w:color w:val="auto"/>
        </w:rPr>
        <w:t>SECTION 1</w:t>
      </w:r>
      <w:r>
        <w:rPr>
          <w:sz w:val="20"/>
          <w:szCs w:val="20"/>
          <w:color w:val="auto"/>
        </w:rPr>
        <w:tab/>
      </w:r>
      <w:r>
        <w:rPr>
          <w:rFonts w:ascii="Times New Roman" w:cs="Times New Roman" w:eastAsia="Times New Roman" w:hAnsi="Times New Roman"/>
          <w:sz w:val="21"/>
          <w:szCs w:val="21"/>
          <w:b w:val="1"/>
          <w:bCs w:val="1"/>
          <w:color w:val="auto"/>
        </w:rPr>
        <w:t>DEFINITIONS</w:t>
      </w:r>
    </w:p>
    <w:p>
      <w:pPr>
        <w:spacing w:after="0" w:line="224" w:lineRule="exact"/>
        <w:rPr>
          <w:sz w:val="20"/>
          <w:szCs w:val="20"/>
          <w:color w:val="auto"/>
        </w:rPr>
      </w:pPr>
    </w:p>
    <w:p>
      <w:pPr>
        <w:ind w:left="1120" w:hanging="464"/>
        <w:spacing w:after="0"/>
        <w:tabs>
          <w:tab w:leader="none" w:pos="1120"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Base Salary</w:t>
      </w:r>
      <w:r>
        <w:rPr>
          <w:rFonts w:ascii="Times New Roman" w:cs="Times New Roman" w:eastAsia="Times New Roman" w:hAnsi="Times New Roman"/>
          <w:sz w:val="22"/>
          <w:szCs w:val="22"/>
          <w:color w:val="auto"/>
        </w:rPr>
        <w:t>" has the meaning set out in Section 5.01.</w:t>
      </w:r>
    </w:p>
    <w:p>
      <w:pPr>
        <w:spacing w:after="0" w:line="219" w:lineRule="exact"/>
        <w:rPr>
          <w:rFonts w:ascii="Times New Roman" w:cs="Times New Roman" w:eastAsia="Times New Roman" w:hAnsi="Times New Roman"/>
          <w:sz w:val="22"/>
          <w:szCs w:val="22"/>
          <w:color w:val="auto"/>
        </w:rPr>
      </w:pPr>
    </w:p>
    <w:p>
      <w:pPr>
        <w:ind w:left="1300" w:right="280" w:hanging="644"/>
        <w:spacing w:after="0" w:line="309" w:lineRule="auto"/>
        <w:tabs>
          <w:tab w:leader="none" w:pos="1120" w:val="left"/>
        </w:tabs>
        <w:numPr>
          <w:ilvl w:val="0"/>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Benefit Plan</w:t>
      </w:r>
      <w:r>
        <w:rPr>
          <w:rFonts w:ascii="Times New Roman" w:cs="Times New Roman" w:eastAsia="Times New Roman" w:hAnsi="Times New Roman"/>
          <w:sz w:val="21"/>
          <w:szCs w:val="21"/>
          <w:color w:val="auto"/>
        </w:rPr>
        <w:t>" means the plan or plans pursuant to which health and welfare benefits are provided to the U.S. executive employees of CLLC and includes the U.S. International Benefit Plan, as amended from time to time.</w:t>
      </w:r>
    </w:p>
    <w:p>
      <w:pPr>
        <w:spacing w:after="0" w:line="120" w:lineRule="exact"/>
        <w:rPr>
          <w:rFonts w:ascii="Times New Roman" w:cs="Times New Roman" w:eastAsia="Times New Roman" w:hAnsi="Times New Roman"/>
          <w:sz w:val="21"/>
          <w:szCs w:val="21"/>
          <w:color w:val="auto"/>
        </w:rPr>
      </w:pPr>
    </w:p>
    <w:p>
      <w:pPr>
        <w:ind w:left="1120" w:hanging="464"/>
        <w:spacing w:after="0"/>
        <w:tabs>
          <w:tab w:leader="none" w:pos="1120"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means the Board of Directors of the Celestica unless otherwise specified.</w:t>
      </w:r>
    </w:p>
    <w:p>
      <w:pPr>
        <w:spacing w:after="0" w:line="219" w:lineRule="exact"/>
        <w:rPr>
          <w:rFonts w:ascii="Times New Roman" w:cs="Times New Roman" w:eastAsia="Times New Roman" w:hAnsi="Times New Roman"/>
          <w:sz w:val="22"/>
          <w:szCs w:val="22"/>
          <w:color w:val="auto"/>
        </w:rPr>
      </w:pPr>
    </w:p>
    <w:p>
      <w:pPr>
        <w:ind w:left="1300" w:right="20" w:hanging="644"/>
        <w:spacing w:after="0" w:line="266" w:lineRule="auto"/>
        <w:tabs>
          <w:tab w:leader="none" w:pos="1120" w:val="left"/>
        </w:tabs>
        <w:numPr>
          <w:ilvl w:val="0"/>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Canadian Pension Plans</w:t>
      </w:r>
      <w:r>
        <w:rPr>
          <w:rFonts w:ascii="Times New Roman" w:cs="Times New Roman" w:eastAsia="Times New Roman" w:hAnsi="Times New Roman"/>
          <w:sz w:val="21"/>
          <w:szCs w:val="21"/>
          <w:color w:val="auto"/>
        </w:rPr>
        <w:t>" means (i) the Celestica International Inc., Celestica Retirement Plan, a registered pension plan, as may be amended, replaced or discontinued from time to time in accordance with the terms thereof, and</w:t>
      </w:r>
    </w:p>
    <w:p>
      <w:pPr>
        <w:spacing w:after="0" w:line="1" w:lineRule="exact"/>
        <w:rPr>
          <w:rFonts w:ascii="Times New Roman" w:cs="Times New Roman" w:eastAsia="Times New Roman" w:hAnsi="Times New Roman"/>
          <w:sz w:val="21"/>
          <w:szCs w:val="21"/>
          <w:color w:val="auto"/>
        </w:rPr>
      </w:pPr>
    </w:p>
    <w:p>
      <w:pPr>
        <w:ind w:left="1300" w:right="340" w:firstLine="4"/>
        <w:spacing w:after="0" w:line="252" w:lineRule="auto"/>
        <w:tabs>
          <w:tab w:leader="none" w:pos="1618" w:val="left"/>
        </w:tabs>
        <w:numPr>
          <w:ilvl w:val="1"/>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Celestica International Inc., Supplemental Executive Retirement Plan, as may be amended, replaced or discontinued from time to time in accordance with the terms thereof, modified or amended as necessary for compliance with the requirements of Section 409A of the Code.</w:t>
      </w:r>
    </w:p>
    <w:p>
      <w:pPr>
        <w:spacing w:after="0" w:line="178"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Cause</w:t>
      </w:r>
      <w:r>
        <w:rPr>
          <w:rFonts w:ascii="Times New Roman" w:cs="Times New Roman" w:eastAsia="Times New Roman" w:hAnsi="Times New Roman"/>
          <w:sz w:val="22"/>
          <w:szCs w:val="22"/>
          <w:color w:val="auto"/>
        </w:rPr>
        <w:t>" means:</w:t>
      </w:r>
    </w:p>
    <w:p>
      <w:pPr>
        <w:spacing w:after="0" w:line="219" w:lineRule="exact"/>
        <w:rPr>
          <w:rFonts w:ascii="Times New Roman" w:cs="Times New Roman" w:eastAsia="Times New Roman" w:hAnsi="Times New Roman"/>
          <w:sz w:val="22"/>
          <w:szCs w:val="22"/>
          <w:color w:val="auto"/>
        </w:rPr>
      </w:pPr>
    </w:p>
    <w:p>
      <w:pPr>
        <w:ind w:left="1960" w:right="260" w:hanging="656"/>
        <w:spacing w:after="0" w:line="257" w:lineRule="auto"/>
        <w:tabs>
          <w:tab w:leader="none" w:pos="1732" w:val="left"/>
        </w:tabs>
        <w:numPr>
          <w:ilvl w:val="1"/>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existence of cause for termination of employment at common law as determined by the law of the province of Ontario, including, but not limited to, fraud, theft, dishonesty, illegality, breach of statute or regulation, conflict of interest, or gross incompetence; or</w:t>
      </w:r>
    </w:p>
    <w:p>
      <w:pPr>
        <w:spacing w:after="0" w:line="186" w:lineRule="exact"/>
        <w:rPr>
          <w:rFonts w:ascii="Times New Roman" w:cs="Times New Roman" w:eastAsia="Times New Roman" w:hAnsi="Times New Roman"/>
          <w:sz w:val="22"/>
          <w:szCs w:val="22"/>
          <w:color w:val="auto"/>
        </w:rPr>
      </w:pPr>
    </w:p>
    <w:p>
      <w:pPr>
        <w:ind w:left="1960" w:right="80" w:hanging="656"/>
        <w:spacing w:after="0" w:line="271" w:lineRule="auto"/>
        <w:tabs>
          <w:tab w:leader="none" w:pos="1792" w:val="left"/>
        </w:tabs>
        <w:numPr>
          <w:ilvl w:val="1"/>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 becomes insolvent and unable to pay his debts in full, or files an assignment in bankruptcy or is adjudicated a bankrupt; or</w:t>
      </w:r>
    </w:p>
    <w:p>
      <w:pPr>
        <w:spacing w:after="0" w:line="157" w:lineRule="exact"/>
        <w:rPr>
          <w:rFonts w:ascii="Times New Roman" w:cs="Times New Roman" w:eastAsia="Times New Roman" w:hAnsi="Times New Roman"/>
          <w:sz w:val="22"/>
          <w:szCs w:val="22"/>
          <w:color w:val="auto"/>
        </w:rPr>
      </w:pPr>
    </w:p>
    <w:p>
      <w:pPr>
        <w:ind w:left="1840" w:hanging="536"/>
        <w:spacing w:after="0"/>
        <w:tabs>
          <w:tab w:leader="none" w:pos="1840" w:val="left"/>
        </w:tabs>
        <w:numPr>
          <w:ilvl w:val="1"/>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 fails to meet any of the conditions precedent set out in Section 2.03, or</w:t>
      </w:r>
    </w:p>
    <w:p>
      <w:pPr>
        <w:spacing w:after="0" w:line="219" w:lineRule="exact"/>
        <w:rPr>
          <w:rFonts w:ascii="Times New Roman" w:cs="Times New Roman" w:eastAsia="Times New Roman" w:hAnsi="Times New Roman"/>
          <w:sz w:val="22"/>
          <w:szCs w:val="22"/>
          <w:color w:val="auto"/>
        </w:rPr>
      </w:pPr>
    </w:p>
    <w:p>
      <w:pPr>
        <w:ind w:left="1840" w:hanging="536"/>
        <w:spacing w:after="0"/>
        <w:tabs>
          <w:tab w:leader="none" w:pos="1840" w:val="left"/>
        </w:tabs>
        <w:numPr>
          <w:ilvl w:val="1"/>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misrepresentation by the Executive with respect to the matters set out in Section 4.03 and 4.04; or</w:t>
      </w:r>
    </w:p>
    <w:p>
      <w:pPr>
        <w:spacing w:after="0" w:line="219" w:lineRule="exact"/>
        <w:rPr>
          <w:rFonts w:ascii="Times New Roman" w:cs="Times New Roman" w:eastAsia="Times New Roman" w:hAnsi="Times New Roman"/>
          <w:sz w:val="22"/>
          <w:szCs w:val="22"/>
          <w:color w:val="auto"/>
        </w:rPr>
      </w:pPr>
    </w:p>
    <w:p>
      <w:pPr>
        <w:ind w:left="1960" w:hanging="656"/>
        <w:spacing w:after="0" w:line="284" w:lineRule="auto"/>
        <w:tabs>
          <w:tab w:leader="none" w:pos="1780" w:val="left"/>
        </w:tabs>
        <w:numPr>
          <w:ilvl w:val="1"/>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 has breached any other material obligation under this Agreement and has failed to rectify such breach within ten (10) days of provision of written notice to do so by Celestica, CILP or CLLC.</w:t>
      </w:r>
    </w:p>
    <w:p>
      <w:pPr>
        <w:spacing w:after="0" w:line="143" w:lineRule="exact"/>
        <w:rPr>
          <w:rFonts w:ascii="Times New Roman" w:cs="Times New Roman" w:eastAsia="Times New Roman" w:hAnsi="Times New Roman"/>
          <w:sz w:val="22"/>
          <w:szCs w:val="22"/>
          <w:color w:val="auto"/>
        </w:rPr>
      </w:pPr>
    </w:p>
    <w:p>
      <w:pPr>
        <w:ind w:left="1080" w:hanging="424"/>
        <w:spacing w:after="0"/>
        <w:tabs>
          <w:tab w:leader="none" w:pos="1080"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Change of Control</w:t>
      </w:r>
      <w:r>
        <w:rPr>
          <w:rFonts w:ascii="Times New Roman" w:cs="Times New Roman" w:eastAsia="Times New Roman" w:hAnsi="Times New Roman"/>
          <w:sz w:val="22"/>
          <w:szCs w:val="22"/>
          <w:color w:val="auto"/>
        </w:rPr>
        <w:t>" means the occurrence of any of the following after the date hereof:</w:t>
      </w:r>
    </w:p>
    <w:p>
      <w:pPr>
        <w:spacing w:after="0" w:line="219" w:lineRule="exact"/>
        <w:rPr>
          <w:rFonts w:ascii="Times New Roman" w:cs="Times New Roman" w:eastAsia="Times New Roman" w:hAnsi="Times New Roman"/>
          <w:sz w:val="22"/>
          <w:szCs w:val="22"/>
          <w:color w:val="auto"/>
        </w:rPr>
      </w:pPr>
    </w:p>
    <w:p>
      <w:pPr>
        <w:jc w:val="both"/>
        <w:ind w:left="1960" w:hanging="656"/>
        <w:spacing w:after="0" w:line="256" w:lineRule="auto"/>
        <w:tabs>
          <w:tab w:leader="none" w:pos="1732" w:val="left"/>
        </w:tabs>
        <w:numPr>
          <w:ilvl w:val="1"/>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acquisition by any person (or more than one person acting as a group) of beneficial ownership of securities of Celestica which, directly or following conversion or exercise thereof, would entitle the holder thereof to cast more than fifty percent (50%) of the votes attaching to all securities of Celestica which may be cast to elect directors of Celestica, other than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160"/>
          </w:cols>
          <w:pgMar w:left="320" w:top="1440" w:right="419" w:bottom="1440" w:gutter="0" w:footer="0" w:header="0"/>
        </w:sectPr>
      </w:pPr>
    </w:p>
    <w:bookmarkStart w:id="171" w:name="page172"/>
    <w:bookmarkEnd w:id="171"/>
    <w:p>
      <w:pPr>
        <w:spacing w:after="0" w:line="198" w:lineRule="exact"/>
        <w:rPr>
          <w:sz w:val="20"/>
          <w:szCs w:val="20"/>
          <w:color w:val="auto"/>
        </w:rPr>
      </w:pPr>
    </w:p>
    <w:p>
      <w:pPr>
        <w:ind w:left="1304" w:right="260"/>
        <w:spacing w:after="0" w:line="271" w:lineRule="auto"/>
        <w:rPr>
          <w:sz w:val="20"/>
          <w:szCs w:val="20"/>
          <w:color w:val="auto"/>
        </w:rPr>
      </w:pPr>
      <w:r>
        <w:rPr>
          <w:rFonts w:ascii="Times New Roman" w:cs="Times New Roman" w:eastAsia="Times New Roman" w:hAnsi="Times New Roman"/>
          <w:sz w:val="22"/>
          <w:szCs w:val="22"/>
          <w:color w:val="auto"/>
        </w:rPr>
        <w:t>the additional acquisition of securities by a person beneficially owning such number of securities on the date hereof;</w:t>
      </w:r>
    </w:p>
    <w:p>
      <w:pPr>
        <w:spacing w:after="0" w:line="158" w:lineRule="exact"/>
        <w:rPr>
          <w:sz w:val="20"/>
          <w:szCs w:val="20"/>
          <w:color w:val="auto"/>
        </w:rPr>
      </w:pPr>
    </w:p>
    <w:p>
      <w:pPr>
        <w:ind w:left="1304" w:right="40" w:hanging="656"/>
        <w:spacing w:after="0" w:line="256" w:lineRule="auto"/>
        <w:tabs>
          <w:tab w:leader="none" w:pos="1136" w:val="left"/>
        </w:tabs>
        <w:numPr>
          <w:ilvl w:val="1"/>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majority of the directors of Celestica are replaced during any twelve (12) month period by directors whose appointment or election was not endorsed by a majority of the directors before the date of the appointment or election, including, without limitation, as a consequence of the solicitation of proxies through a proxy circular by persons other than management; or</w:t>
      </w:r>
    </w:p>
    <w:p>
      <w:pPr>
        <w:spacing w:after="0" w:line="176" w:lineRule="exact"/>
        <w:rPr>
          <w:rFonts w:ascii="Times New Roman" w:cs="Times New Roman" w:eastAsia="Times New Roman" w:hAnsi="Times New Roman"/>
          <w:sz w:val="22"/>
          <w:szCs w:val="22"/>
          <w:color w:val="auto"/>
        </w:rPr>
      </w:pPr>
    </w:p>
    <w:p>
      <w:pPr>
        <w:ind w:left="1304" w:hanging="656"/>
        <w:spacing w:after="0" w:line="249" w:lineRule="auto"/>
        <w:tabs>
          <w:tab w:leader="none" w:pos="1196" w:val="left"/>
        </w:tabs>
        <w:numPr>
          <w:ilvl w:val="1"/>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consummation of an amalgamation, arrangement, merger or other consolidation of Celestica with another company or a sale of all or substantially all of the assets of Celestica to another company pursuant to which, and such that, all the persons who, immediately prior to such consummation, beneficially owned all of the securities of Celestica which could be cast to elect directors of Celestica, immediately thereafter do not beneficially own securities of the successor or continuing company or company acquiring the assets which would entitle such persons, directly or following conversion or exercise thereof, to cast more than fifty percent (50%) of the votes attaching to all securities of such company which may be cast to elect directors of that company;</w:t>
      </w:r>
    </w:p>
    <w:p>
      <w:pPr>
        <w:spacing w:after="0" w:line="195" w:lineRule="exact"/>
        <w:rPr>
          <w:rFonts w:ascii="Times New Roman" w:cs="Times New Roman" w:eastAsia="Times New Roman" w:hAnsi="Times New Roman"/>
          <w:sz w:val="22"/>
          <w:szCs w:val="22"/>
          <w:color w:val="auto"/>
        </w:rPr>
      </w:pPr>
    </w:p>
    <w:p>
      <w:pPr>
        <w:ind w:left="644" w:right="240" w:hanging="644"/>
        <w:spacing w:after="0" w:line="257" w:lineRule="auto"/>
        <w:tabs>
          <w:tab w:leader="none" w:pos="464"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Change of Control Period</w:t>
      </w:r>
      <w:r>
        <w:rPr>
          <w:rFonts w:ascii="Times New Roman" w:cs="Times New Roman" w:eastAsia="Times New Roman" w:hAnsi="Times New Roman"/>
          <w:sz w:val="22"/>
          <w:szCs w:val="22"/>
          <w:color w:val="auto"/>
        </w:rPr>
        <w:t>" means the earlier of the six (6) preceding the Change of Control or Celestica makes a public disclosure of such transaction that then creates a Change of Control, or two (2) years after the Change of Control.</w:t>
      </w:r>
    </w:p>
    <w:p>
      <w:pPr>
        <w:spacing w:after="0" w:line="172" w:lineRule="exact"/>
        <w:rPr>
          <w:rFonts w:ascii="Times New Roman" w:cs="Times New Roman" w:eastAsia="Times New Roman" w:hAnsi="Times New Roman"/>
          <w:sz w:val="22"/>
          <w:szCs w:val="22"/>
          <w:color w:val="auto"/>
        </w:rPr>
      </w:pPr>
    </w:p>
    <w:p>
      <w:pPr>
        <w:ind w:left="464" w:hanging="464"/>
        <w:spacing w:after="0"/>
        <w:tabs>
          <w:tab w:leader="none" w:pos="464"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means the U.S. Internal Revenue Code of 1986, as amended.</w:t>
      </w:r>
    </w:p>
    <w:p>
      <w:pPr>
        <w:spacing w:after="0" w:line="219" w:lineRule="exact"/>
        <w:rPr>
          <w:rFonts w:ascii="Times New Roman" w:cs="Times New Roman" w:eastAsia="Times New Roman" w:hAnsi="Times New Roman"/>
          <w:sz w:val="22"/>
          <w:szCs w:val="22"/>
          <w:color w:val="auto"/>
        </w:rPr>
      </w:pPr>
    </w:p>
    <w:p>
      <w:pPr>
        <w:ind w:left="424" w:hanging="424"/>
        <w:spacing w:after="0"/>
        <w:tabs>
          <w:tab w:leader="none" w:pos="424"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Competitive Business</w:t>
      </w:r>
      <w:r>
        <w:rPr>
          <w:rFonts w:ascii="Times New Roman" w:cs="Times New Roman" w:eastAsia="Times New Roman" w:hAnsi="Times New Roman"/>
          <w:sz w:val="22"/>
          <w:szCs w:val="22"/>
          <w:color w:val="auto"/>
        </w:rPr>
        <w:t>" has the meaning set out in Section 10.03 of this Agreement.</w:t>
      </w:r>
    </w:p>
    <w:p>
      <w:pPr>
        <w:spacing w:after="0" w:line="233" w:lineRule="exact"/>
        <w:rPr>
          <w:rFonts w:ascii="Times New Roman" w:cs="Times New Roman" w:eastAsia="Times New Roman" w:hAnsi="Times New Roman"/>
          <w:sz w:val="22"/>
          <w:szCs w:val="22"/>
          <w:color w:val="auto"/>
        </w:rPr>
      </w:pPr>
    </w:p>
    <w:p>
      <w:pPr>
        <w:ind w:left="424" w:hanging="424"/>
        <w:spacing w:after="0"/>
        <w:tabs>
          <w:tab w:leader="none" w:pos="424"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Confidential Information</w:t>
      </w:r>
      <w:r>
        <w:rPr>
          <w:rFonts w:ascii="Times New Roman" w:cs="Times New Roman" w:eastAsia="Times New Roman" w:hAnsi="Times New Roman"/>
          <w:sz w:val="22"/>
          <w:szCs w:val="22"/>
          <w:color w:val="auto"/>
        </w:rPr>
        <w:t>" has the meaning set out in Section 9 of this Agreement.</w:t>
      </w:r>
    </w:p>
    <w:p>
      <w:pPr>
        <w:spacing w:after="0" w:line="219" w:lineRule="exact"/>
        <w:rPr>
          <w:rFonts w:ascii="Times New Roman" w:cs="Times New Roman" w:eastAsia="Times New Roman" w:hAnsi="Times New Roman"/>
          <w:sz w:val="22"/>
          <w:szCs w:val="22"/>
          <w:color w:val="auto"/>
        </w:rPr>
      </w:pPr>
    </w:p>
    <w:p>
      <w:pPr>
        <w:ind w:left="644" w:right="320" w:hanging="644"/>
        <w:spacing w:after="0" w:line="271" w:lineRule="auto"/>
        <w:tabs>
          <w:tab w:leader="none" w:pos="464"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Corporation</w:t>
      </w:r>
      <w:r>
        <w:rPr>
          <w:rFonts w:ascii="Times New Roman" w:cs="Times New Roman" w:eastAsia="Times New Roman" w:hAnsi="Times New Roman"/>
          <w:sz w:val="22"/>
          <w:szCs w:val="22"/>
          <w:color w:val="auto"/>
        </w:rPr>
        <w:t>" means Celestica Inc. (Celestica), and all of its subsidiaries, including, but not limited to, Celestica International Inc. (CILP), Celestica LLC (CLLC).</w:t>
      </w:r>
    </w:p>
    <w:p>
      <w:pPr>
        <w:spacing w:after="0" w:line="157" w:lineRule="exact"/>
        <w:rPr>
          <w:rFonts w:ascii="Times New Roman" w:cs="Times New Roman" w:eastAsia="Times New Roman" w:hAnsi="Times New Roman"/>
          <w:sz w:val="22"/>
          <w:szCs w:val="22"/>
          <w:color w:val="auto"/>
        </w:rPr>
      </w:pPr>
    </w:p>
    <w:p>
      <w:pPr>
        <w:ind w:left="644" w:right="160" w:hanging="644"/>
        <w:spacing w:after="0" w:line="271" w:lineRule="auto"/>
        <w:tabs>
          <w:tab w:leader="none" w:pos="416"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CSUP</w:t>
      </w:r>
      <w:r>
        <w:rPr>
          <w:rFonts w:ascii="Times New Roman" w:cs="Times New Roman" w:eastAsia="Times New Roman" w:hAnsi="Times New Roman"/>
          <w:sz w:val="22"/>
          <w:szCs w:val="22"/>
          <w:color w:val="auto"/>
        </w:rPr>
        <w:t>" means the Celestica Share Unit Plan as may be amended, replaced, or discontinued in accordance with the terms thereof.</w:t>
      </w:r>
    </w:p>
    <w:p>
      <w:pPr>
        <w:spacing w:after="0" w:line="171" w:lineRule="exact"/>
        <w:rPr>
          <w:rFonts w:ascii="Times New Roman" w:cs="Times New Roman" w:eastAsia="Times New Roman" w:hAnsi="Times New Roman"/>
          <w:sz w:val="22"/>
          <w:szCs w:val="22"/>
          <w:color w:val="auto"/>
        </w:rPr>
      </w:pPr>
    </w:p>
    <w:p>
      <w:pPr>
        <w:ind w:left="644" w:right="260" w:hanging="644"/>
        <w:spacing w:after="0" w:line="271" w:lineRule="auto"/>
        <w:tabs>
          <w:tab w:leader="none" w:pos="524"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CTI Plan</w:t>
      </w:r>
      <w:r>
        <w:rPr>
          <w:rFonts w:ascii="Times New Roman" w:cs="Times New Roman" w:eastAsia="Times New Roman" w:hAnsi="Times New Roman"/>
          <w:sz w:val="22"/>
          <w:szCs w:val="22"/>
          <w:color w:val="auto"/>
        </w:rPr>
        <w:t>" means the Celestica Team Incentive Plan as may be amended, replaced, or discontinued from time to time in the sole discretion of the Board.</w:t>
      </w:r>
    </w:p>
    <w:p>
      <w:pPr>
        <w:spacing w:after="0" w:line="157" w:lineRule="exact"/>
        <w:rPr>
          <w:rFonts w:ascii="Times New Roman" w:cs="Times New Roman" w:eastAsia="Times New Roman" w:hAnsi="Times New Roman"/>
          <w:sz w:val="22"/>
          <w:szCs w:val="22"/>
          <w:color w:val="auto"/>
        </w:rPr>
      </w:pPr>
    </w:p>
    <w:p>
      <w:pPr>
        <w:ind w:left="464" w:hanging="464"/>
        <w:spacing w:after="0"/>
        <w:tabs>
          <w:tab w:leader="none" w:pos="464"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means the date on which the Executive is placed on CLLC's payroll.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0524"/>
          </w:cols>
          <w:pgMar w:left="976" w:top="1440" w:right="399" w:bottom="1440" w:gutter="0" w:footer="0" w:header="0"/>
        </w:sectPr>
      </w:pPr>
    </w:p>
    <w:bookmarkStart w:id="172" w:name="page173"/>
    <w:bookmarkEnd w:id="172"/>
    <w:p>
      <w:pPr>
        <w:spacing w:after="0" w:line="198" w:lineRule="exact"/>
        <w:rPr>
          <w:sz w:val="20"/>
          <w:szCs w:val="20"/>
          <w:color w:val="auto"/>
        </w:rPr>
      </w:pPr>
    </w:p>
    <w:p>
      <w:pPr>
        <w:ind w:left="644" w:hanging="644"/>
        <w:spacing w:after="0" w:line="257" w:lineRule="auto"/>
        <w:tabs>
          <w:tab w:leader="none" w:pos="464"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Eligible Earnings</w:t>
      </w:r>
      <w:r>
        <w:rPr>
          <w:rFonts w:ascii="Times New Roman" w:cs="Times New Roman" w:eastAsia="Times New Roman" w:hAnsi="Times New Roman"/>
          <w:sz w:val="22"/>
          <w:szCs w:val="22"/>
          <w:color w:val="auto"/>
        </w:rPr>
        <w:t>" means an amount equal to the Executive's annual Base Salary in effect immediately prior to the Termination Date, and the Executive's target payment under the CTI Plan for the current fiscal year based on target achievement of the "</w:t>
      </w:r>
      <w:r>
        <w:rPr>
          <w:rFonts w:ascii="Times New Roman" w:cs="Times New Roman" w:eastAsia="Times New Roman" w:hAnsi="Times New Roman"/>
          <w:sz w:val="22"/>
          <w:szCs w:val="22"/>
          <w:u w:val="single" w:color="auto"/>
          <w:color w:val="auto"/>
        </w:rPr>
        <w:t>Corporate Results Factor</w:t>
      </w:r>
      <w:r>
        <w:rPr>
          <w:rFonts w:ascii="Times New Roman" w:cs="Times New Roman" w:eastAsia="Times New Roman" w:hAnsi="Times New Roman"/>
          <w:sz w:val="22"/>
          <w:szCs w:val="22"/>
          <w:color w:val="auto"/>
        </w:rPr>
        <w:t>" of 1.0 and an "</w:t>
      </w:r>
      <w:r>
        <w:rPr>
          <w:rFonts w:ascii="Times New Roman" w:cs="Times New Roman" w:eastAsia="Times New Roman" w:hAnsi="Times New Roman"/>
          <w:sz w:val="22"/>
          <w:szCs w:val="22"/>
          <w:u w:val="single" w:color="auto"/>
          <w:color w:val="auto"/>
        </w:rPr>
        <w:t>Individual Performance Factor</w:t>
      </w:r>
      <w:r>
        <w:rPr>
          <w:rFonts w:ascii="Times New Roman" w:cs="Times New Roman" w:eastAsia="Times New Roman" w:hAnsi="Times New Roman"/>
          <w:sz w:val="22"/>
          <w:szCs w:val="22"/>
          <w:color w:val="auto"/>
        </w:rPr>
        <w:t>" at 1.0.</w:t>
      </w:r>
    </w:p>
    <w:p>
      <w:pPr>
        <w:spacing w:after="0" w:line="186" w:lineRule="exact"/>
        <w:rPr>
          <w:rFonts w:ascii="Times New Roman" w:cs="Times New Roman" w:eastAsia="Times New Roman" w:hAnsi="Times New Roman"/>
          <w:sz w:val="22"/>
          <w:szCs w:val="22"/>
          <w:color w:val="auto"/>
        </w:rPr>
      </w:pPr>
    </w:p>
    <w:p>
      <w:pPr>
        <w:ind w:left="644" w:right="80" w:hanging="644"/>
        <w:spacing w:after="0" w:line="252" w:lineRule="auto"/>
        <w:tabs>
          <w:tab w:leader="none" w:pos="464"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Good Reason</w:t>
      </w:r>
      <w:r>
        <w:rPr>
          <w:rFonts w:ascii="Times New Roman" w:cs="Times New Roman" w:eastAsia="Times New Roman" w:hAnsi="Times New Roman"/>
          <w:sz w:val="22"/>
          <w:szCs w:val="22"/>
          <w:color w:val="auto"/>
        </w:rPr>
        <w:t>" for the voluntary termination of this Agreement by the Executive, shall mean the occurrence (without the Executive's express written consent) of any one of the following acts by Celestica, CILP or CLLC, or failure by Celestica, CILP or CLLC to act, unless, in the case of any act or failure to act described in subsections (i)-(v) below, such act or failure to act is corrected prior to the Termination Date:</w:t>
      </w:r>
    </w:p>
    <w:p>
      <w:pPr>
        <w:spacing w:after="0" w:line="179" w:lineRule="exact"/>
        <w:rPr>
          <w:rFonts w:ascii="Times New Roman" w:cs="Times New Roman" w:eastAsia="Times New Roman" w:hAnsi="Times New Roman"/>
          <w:sz w:val="22"/>
          <w:szCs w:val="22"/>
          <w:color w:val="auto"/>
        </w:rPr>
      </w:pPr>
    </w:p>
    <w:p>
      <w:pPr>
        <w:ind w:left="1304" w:right="60" w:hanging="656"/>
        <w:spacing w:after="0" w:line="251" w:lineRule="auto"/>
        <w:tabs>
          <w:tab w:leader="none" w:pos="1076" w:val="left"/>
        </w:tabs>
        <w:numPr>
          <w:ilvl w:val="1"/>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assignment to the Executive of any duties inconsistent in any material adverse respect with the Executive's position, authority, duties or responsibilities as they exist immediately prior to the time of such assignment or the diminution or adverse alteration in any material adverse respect of such position, authority, duties or responsibilities, excluding, for this purpose, an isolated, insubstantial and inadvertent action not taken in bad faith and which is remedied by Celestica, CILP or CLLC, as applicable, after receipt of notice thereof given by Executive;</w:t>
      </w:r>
    </w:p>
    <w:p>
      <w:pPr>
        <w:spacing w:after="0" w:line="181" w:lineRule="exact"/>
        <w:rPr>
          <w:rFonts w:ascii="Times New Roman" w:cs="Times New Roman" w:eastAsia="Times New Roman" w:hAnsi="Times New Roman"/>
          <w:sz w:val="22"/>
          <w:szCs w:val="22"/>
          <w:color w:val="auto"/>
        </w:rPr>
      </w:pPr>
    </w:p>
    <w:p>
      <w:pPr>
        <w:ind w:left="1304" w:right="60" w:hanging="656"/>
        <w:spacing w:after="0" w:line="251" w:lineRule="auto"/>
        <w:tabs>
          <w:tab w:leader="none" w:pos="1136" w:val="left"/>
        </w:tabs>
        <w:numPr>
          <w:ilvl w:val="1"/>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 other provision of this Agreement, any reduction, or series of reductions in the Executive's Total Compensation for any fiscal year of greater than twenty percent (20%) of such Total Compensation from that made available to the Executive in the prior fiscal year. For the purpose of this Section 1(l)(ii) "</w:t>
      </w:r>
      <w:r>
        <w:rPr>
          <w:rFonts w:ascii="Times New Roman" w:cs="Times New Roman" w:eastAsia="Times New Roman" w:hAnsi="Times New Roman"/>
          <w:sz w:val="22"/>
          <w:szCs w:val="22"/>
          <w:u w:val="single" w:color="auto"/>
          <w:color w:val="auto"/>
        </w:rPr>
        <w:t>Total Compensation</w:t>
      </w:r>
      <w:r>
        <w:rPr>
          <w:rFonts w:ascii="Times New Roman" w:cs="Times New Roman" w:eastAsia="Times New Roman" w:hAnsi="Times New Roman"/>
          <w:sz w:val="22"/>
          <w:szCs w:val="22"/>
          <w:color w:val="auto"/>
        </w:rPr>
        <w:t>" mean cash and equity based compensation and includes Base Salary, payments under the CTI Plan and awards under the LTIP and CSUP and excludes payments made under Section 5.04 and 5.06;</w:t>
      </w:r>
    </w:p>
    <w:p>
      <w:pPr>
        <w:spacing w:after="0" w:line="194" w:lineRule="exact"/>
        <w:rPr>
          <w:rFonts w:ascii="Times New Roman" w:cs="Times New Roman" w:eastAsia="Times New Roman" w:hAnsi="Times New Roman"/>
          <w:sz w:val="22"/>
          <w:szCs w:val="22"/>
          <w:color w:val="auto"/>
        </w:rPr>
      </w:pPr>
    </w:p>
    <w:p>
      <w:pPr>
        <w:ind w:left="1304" w:right="440" w:hanging="656"/>
        <w:spacing w:after="0" w:line="271" w:lineRule="auto"/>
        <w:tabs>
          <w:tab w:leader="none" w:pos="1196" w:val="left"/>
        </w:tabs>
        <w:numPr>
          <w:ilvl w:val="1"/>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failure by CLLC to pay to the Executive any portion of the Executive's current compensation within thirty (30) days of the date such compensation is due;</w:t>
      </w:r>
    </w:p>
    <w:p>
      <w:pPr>
        <w:spacing w:after="0" w:line="157" w:lineRule="exact"/>
        <w:rPr>
          <w:rFonts w:ascii="Times New Roman" w:cs="Times New Roman" w:eastAsia="Times New Roman" w:hAnsi="Times New Roman"/>
          <w:sz w:val="22"/>
          <w:szCs w:val="22"/>
          <w:color w:val="auto"/>
        </w:rPr>
      </w:pPr>
    </w:p>
    <w:p>
      <w:pPr>
        <w:ind w:left="1304" w:right="100" w:hanging="656"/>
        <w:spacing w:after="0" w:line="250" w:lineRule="auto"/>
        <w:tabs>
          <w:tab w:leader="none" w:pos="1184" w:val="left"/>
        </w:tabs>
        <w:numPr>
          <w:ilvl w:val="1"/>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save and except where CLLC implements a change to the Benefit Plan and Pension Plans that applies to all of its employees in receipt of such benefits, the failure by CLLC to continue to provide the Executive with benefits substantially similar to those enjoyed by the Executive under the Benefit Plan and Pension Plans in which the Executive is participating immediately prior to the time of such failure or the taking of any other action by CLLC which would directly or indirectly materially reduce any of such benefits or deprive the Executive of any material fringe benefit enjoyed by the Executive immediately prior to the time of the taking of such action;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0584"/>
          </w:cols>
          <w:pgMar w:left="976" w:top="1440" w:right="339" w:bottom="1440" w:gutter="0" w:footer="0" w:header="0"/>
        </w:sectPr>
      </w:pPr>
    </w:p>
    <w:bookmarkStart w:id="173" w:name="page174"/>
    <w:bookmarkEnd w:id="173"/>
    <w:p>
      <w:pPr>
        <w:spacing w:after="0" w:line="198" w:lineRule="exact"/>
        <w:rPr>
          <w:sz w:val="20"/>
          <w:szCs w:val="20"/>
          <w:color w:val="auto"/>
        </w:rPr>
      </w:pPr>
    </w:p>
    <w:p>
      <w:pPr>
        <w:ind w:left="1304" w:right="60" w:hanging="656"/>
        <w:spacing w:after="0" w:line="271" w:lineRule="auto"/>
        <w:tabs>
          <w:tab w:leader="none" w:pos="1124" w:val="left"/>
        </w:tabs>
        <w:numPr>
          <w:ilvl w:val="1"/>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failure by the Corporation to obtain the assumption of this Agreement to perform this Agreement by any successor.</w:t>
      </w:r>
    </w:p>
    <w:p>
      <w:pPr>
        <w:spacing w:after="0" w:line="157" w:lineRule="exact"/>
        <w:rPr>
          <w:rFonts w:ascii="Times New Roman" w:cs="Times New Roman" w:eastAsia="Times New Roman" w:hAnsi="Times New Roman"/>
          <w:sz w:val="22"/>
          <w:szCs w:val="22"/>
          <w:color w:val="auto"/>
        </w:rPr>
      </w:pPr>
    </w:p>
    <w:p>
      <w:pPr>
        <w:ind w:left="644" w:right="300" w:hanging="644"/>
        <w:spacing w:after="0" w:line="284" w:lineRule="auto"/>
        <w:tabs>
          <w:tab w:leader="none" w:pos="464"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Income Tax Act</w:t>
      </w:r>
      <w:r>
        <w:rPr>
          <w:rFonts w:ascii="Times New Roman" w:cs="Times New Roman" w:eastAsia="Times New Roman" w:hAnsi="Times New Roman"/>
          <w:sz w:val="22"/>
          <w:szCs w:val="22"/>
          <w:color w:val="auto"/>
        </w:rPr>
        <w:t>" means the Income Tax Act (Canada) and any regulations thereunder, as amended from time to time.</w:t>
      </w:r>
    </w:p>
    <w:p>
      <w:pPr>
        <w:spacing w:after="0" w:line="143" w:lineRule="exact"/>
        <w:rPr>
          <w:rFonts w:ascii="Times New Roman" w:cs="Times New Roman" w:eastAsia="Times New Roman" w:hAnsi="Times New Roman"/>
          <w:sz w:val="22"/>
          <w:szCs w:val="22"/>
          <w:color w:val="auto"/>
        </w:rPr>
      </w:pPr>
    </w:p>
    <w:p>
      <w:pPr>
        <w:ind w:left="424" w:hanging="424"/>
        <w:spacing w:after="0"/>
        <w:tabs>
          <w:tab w:leader="none" w:pos="424"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Intellectual Property</w:t>
      </w:r>
      <w:r>
        <w:rPr>
          <w:rFonts w:ascii="Times New Roman" w:cs="Times New Roman" w:eastAsia="Times New Roman" w:hAnsi="Times New Roman"/>
          <w:sz w:val="22"/>
          <w:szCs w:val="22"/>
          <w:color w:val="auto"/>
        </w:rPr>
        <w:t>" shall have the meaning as set forth in Section 11.02.</w:t>
      </w:r>
    </w:p>
    <w:p>
      <w:pPr>
        <w:spacing w:after="0" w:line="219" w:lineRule="exact"/>
        <w:rPr>
          <w:rFonts w:ascii="Times New Roman" w:cs="Times New Roman" w:eastAsia="Times New Roman" w:hAnsi="Times New Roman"/>
          <w:sz w:val="22"/>
          <w:szCs w:val="22"/>
          <w:color w:val="auto"/>
        </w:rPr>
      </w:pPr>
    </w:p>
    <w:p>
      <w:pPr>
        <w:ind w:left="644" w:right="740" w:hanging="644"/>
        <w:spacing w:after="0" w:line="271" w:lineRule="auto"/>
        <w:tabs>
          <w:tab w:leader="none" w:pos="440"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LTIP</w:t>
      </w:r>
      <w:r>
        <w:rPr>
          <w:rFonts w:ascii="Times New Roman" w:cs="Times New Roman" w:eastAsia="Times New Roman" w:hAnsi="Times New Roman"/>
          <w:sz w:val="22"/>
          <w:szCs w:val="22"/>
          <w:color w:val="auto"/>
        </w:rPr>
        <w:t>" means the Celestica Inc. Long Term Incentive Plan as may be amended, replaced, or discontinued in accordance with the terms thereof.</w:t>
      </w:r>
    </w:p>
    <w:p>
      <w:pPr>
        <w:spacing w:after="0" w:line="157" w:lineRule="exact"/>
        <w:rPr>
          <w:rFonts w:ascii="Times New Roman" w:cs="Times New Roman" w:eastAsia="Times New Roman" w:hAnsi="Times New Roman"/>
          <w:sz w:val="22"/>
          <w:szCs w:val="22"/>
          <w:color w:val="auto"/>
        </w:rPr>
      </w:pPr>
    </w:p>
    <w:p>
      <w:pPr>
        <w:ind w:left="424" w:hanging="424"/>
        <w:spacing w:after="0"/>
        <w:tabs>
          <w:tab w:leader="none" w:pos="424"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Moral Rights</w:t>
      </w:r>
      <w:r>
        <w:rPr>
          <w:rFonts w:ascii="Times New Roman" w:cs="Times New Roman" w:eastAsia="Times New Roman" w:hAnsi="Times New Roman"/>
          <w:sz w:val="22"/>
          <w:szCs w:val="22"/>
          <w:color w:val="auto"/>
        </w:rPr>
        <w:t>" shall have the meaning as set forth in Section 11.03.</w:t>
      </w:r>
    </w:p>
    <w:p>
      <w:pPr>
        <w:spacing w:after="0" w:line="233" w:lineRule="exact"/>
        <w:rPr>
          <w:rFonts w:ascii="Times New Roman" w:cs="Times New Roman" w:eastAsia="Times New Roman" w:hAnsi="Times New Roman"/>
          <w:sz w:val="22"/>
          <w:szCs w:val="22"/>
          <w:color w:val="auto"/>
        </w:rPr>
      </w:pPr>
    </w:p>
    <w:p>
      <w:pPr>
        <w:ind w:left="644" w:hanging="644"/>
        <w:spacing w:after="0" w:line="252" w:lineRule="auto"/>
        <w:tabs>
          <w:tab w:leader="none" w:pos="464"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Pension Plans</w:t>
      </w:r>
      <w:r>
        <w:rPr>
          <w:rFonts w:ascii="Times New Roman" w:cs="Times New Roman" w:eastAsia="Times New Roman" w:hAnsi="Times New Roman"/>
          <w:sz w:val="22"/>
          <w:szCs w:val="22"/>
          <w:color w:val="auto"/>
        </w:rPr>
        <w:t>" means (i) the Celestica 401(k) Retirement Plan, as may be amended, replaced, or discontinued from time to time in accordance with the terms thereof, and (ii) the Celestica Corporation Supplemental Executive Retirement Plan, as may be amended, replaced, or discontinued from time to time in accordance with the terms thereof.</w:t>
      </w:r>
    </w:p>
    <w:p>
      <w:pPr>
        <w:spacing w:after="0" w:line="179" w:lineRule="exact"/>
        <w:rPr>
          <w:rFonts w:ascii="Times New Roman" w:cs="Times New Roman" w:eastAsia="Times New Roman" w:hAnsi="Times New Roman"/>
          <w:sz w:val="22"/>
          <w:szCs w:val="22"/>
          <w:color w:val="auto"/>
        </w:rPr>
      </w:pPr>
    </w:p>
    <w:p>
      <w:pPr>
        <w:ind w:left="464" w:hanging="464"/>
        <w:spacing w:after="0"/>
        <w:tabs>
          <w:tab w:leader="none" w:pos="464"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Potential Change of Control</w:t>
      </w:r>
      <w:r>
        <w:rPr>
          <w:rFonts w:ascii="Times New Roman" w:cs="Times New Roman" w:eastAsia="Times New Roman" w:hAnsi="Times New Roman"/>
          <w:sz w:val="22"/>
          <w:szCs w:val="22"/>
          <w:color w:val="auto"/>
        </w:rPr>
        <w:t>" shall be deemed to have occurred if any one of the following occurs:</w:t>
      </w:r>
    </w:p>
    <w:p>
      <w:pPr>
        <w:spacing w:after="0" w:line="219" w:lineRule="exact"/>
        <w:rPr>
          <w:rFonts w:ascii="Times New Roman" w:cs="Times New Roman" w:eastAsia="Times New Roman" w:hAnsi="Times New Roman"/>
          <w:sz w:val="22"/>
          <w:szCs w:val="22"/>
          <w:color w:val="auto"/>
        </w:rPr>
      </w:pPr>
    </w:p>
    <w:p>
      <w:pPr>
        <w:ind w:left="1304" w:right="320" w:hanging="656"/>
        <w:spacing w:after="0" w:line="284" w:lineRule="auto"/>
        <w:tabs>
          <w:tab w:leader="none" w:pos="1076" w:val="left"/>
        </w:tabs>
        <w:numPr>
          <w:ilvl w:val="1"/>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Celestica enters into a binding agreement, the consummation of which would result in the occurrence of a Change of Control; or</w:t>
      </w:r>
    </w:p>
    <w:p>
      <w:pPr>
        <w:spacing w:after="0" w:line="144" w:lineRule="exact"/>
        <w:rPr>
          <w:sz w:val="20"/>
          <w:szCs w:val="20"/>
          <w:color w:val="auto"/>
        </w:rPr>
      </w:pPr>
    </w:p>
    <w:p>
      <w:pPr>
        <w:ind w:left="1304" w:right="20" w:hanging="656"/>
        <w:spacing w:after="0" w:line="271" w:lineRule="auto"/>
        <w:tabs>
          <w:tab w:leader="none" w:pos="1136" w:val="left"/>
        </w:tabs>
        <w:numPr>
          <w:ilvl w:val="1"/>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Celestica publicly announces an intention to take or to consider taking action which, if consummated, would constitute a Change of Control; or</w:t>
      </w:r>
    </w:p>
    <w:p>
      <w:pPr>
        <w:spacing w:after="0" w:line="157" w:lineRule="exact"/>
        <w:rPr>
          <w:rFonts w:ascii="Times New Roman" w:cs="Times New Roman" w:eastAsia="Times New Roman" w:hAnsi="Times New Roman"/>
          <w:sz w:val="22"/>
          <w:szCs w:val="22"/>
          <w:color w:val="auto"/>
        </w:rPr>
      </w:pPr>
    </w:p>
    <w:p>
      <w:pPr>
        <w:ind w:left="1304" w:right="580" w:hanging="656"/>
        <w:spacing w:after="0" w:line="271" w:lineRule="auto"/>
        <w:tabs>
          <w:tab w:leader="none" w:pos="1196" w:val="left"/>
        </w:tabs>
        <w:numPr>
          <w:ilvl w:val="1"/>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Board adopts a resolution to the effect that, for purposes of this Agreement, a Potential Change of Control has occurred.</w:t>
      </w:r>
    </w:p>
    <w:p>
      <w:pPr>
        <w:spacing w:after="0" w:line="171" w:lineRule="exact"/>
        <w:rPr>
          <w:rFonts w:ascii="Times New Roman" w:cs="Times New Roman" w:eastAsia="Times New Roman" w:hAnsi="Times New Roman"/>
          <w:sz w:val="22"/>
          <w:szCs w:val="22"/>
          <w:color w:val="auto"/>
        </w:rPr>
      </w:pPr>
    </w:p>
    <w:p>
      <w:pPr>
        <w:ind w:left="644" w:right="300" w:hanging="644"/>
        <w:spacing w:after="0" w:line="271" w:lineRule="auto"/>
        <w:tabs>
          <w:tab w:leader="none" w:pos="512"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Potential Change of Control Period</w:t>
      </w:r>
      <w:r>
        <w:rPr>
          <w:rFonts w:ascii="Times New Roman" w:cs="Times New Roman" w:eastAsia="Times New Roman" w:hAnsi="Times New Roman"/>
          <w:sz w:val="22"/>
          <w:szCs w:val="22"/>
          <w:color w:val="auto"/>
        </w:rPr>
        <w:t>" shall commence upon the occurrence of a Potential Change of Control and shall lapse immediately following the first to occur of:</w:t>
      </w:r>
    </w:p>
    <w:p>
      <w:pPr>
        <w:spacing w:after="0" w:line="157" w:lineRule="exact"/>
        <w:rPr>
          <w:rFonts w:ascii="Times New Roman" w:cs="Times New Roman" w:eastAsia="Times New Roman" w:hAnsi="Times New Roman"/>
          <w:sz w:val="22"/>
          <w:szCs w:val="22"/>
          <w:color w:val="auto"/>
        </w:rPr>
      </w:pPr>
    </w:p>
    <w:p>
      <w:pPr>
        <w:ind w:left="1064" w:hanging="416"/>
        <w:spacing w:after="0"/>
        <w:tabs>
          <w:tab w:leader="none" w:pos="1064" w:val="left"/>
        </w:tabs>
        <w:numPr>
          <w:ilvl w:val="1"/>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Change of Control; or</w:t>
      </w:r>
    </w:p>
    <w:p>
      <w:pPr>
        <w:spacing w:after="0" w:line="219" w:lineRule="exact"/>
        <w:rPr>
          <w:rFonts w:ascii="Times New Roman" w:cs="Times New Roman" w:eastAsia="Times New Roman" w:hAnsi="Times New Roman"/>
          <w:sz w:val="22"/>
          <w:szCs w:val="22"/>
          <w:color w:val="auto"/>
        </w:rPr>
      </w:pPr>
    </w:p>
    <w:p>
      <w:pPr>
        <w:ind w:left="1304" w:right="460" w:hanging="656"/>
        <w:spacing w:after="0" w:line="271" w:lineRule="auto"/>
        <w:tabs>
          <w:tab w:leader="none" w:pos="1132" w:val="left"/>
        </w:tabs>
        <w:numPr>
          <w:ilvl w:val="1"/>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earlier of six months preceding the Change of Control or the public disclosure by Celestica of such transaction that then creates a Change of Control.</w:t>
      </w:r>
    </w:p>
    <w:p>
      <w:pPr>
        <w:spacing w:after="0" w:line="171" w:lineRule="exact"/>
        <w:rPr>
          <w:rFonts w:ascii="Times New Roman" w:cs="Times New Roman" w:eastAsia="Times New Roman" w:hAnsi="Times New Roman"/>
          <w:sz w:val="22"/>
          <w:szCs w:val="22"/>
          <w:color w:val="auto"/>
        </w:rPr>
      </w:pPr>
    </w:p>
    <w:p>
      <w:pPr>
        <w:ind w:left="644" w:right="20" w:hanging="644"/>
        <w:spacing w:after="0" w:line="250" w:lineRule="auto"/>
        <w:tabs>
          <w:tab w:leader="none" w:pos="464"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Trade Secrets</w:t>
      </w:r>
      <w:r>
        <w:rPr>
          <w:rFonts w:ascii="Times New Roman" w:cs="Times New Roman" w:eastAsia="Times New Roman" w:hAnsi="Times New Roman"/>
          <w:sz w:val="22"/>
          <w:szCs w:val="22"/>
          <w:color w:val="auto"/>
        </w:rPr>
        <w:t>" means detailed confidential information and trade secrets (printed or otherwise) concerning past, present, future, and contemplated products, services, operations and marketing techniques and procedures of the Corporation, including, without limitation, business plans, inventions, pending and undisclosed patents and patent applications, proprietary business methods and proprietary manufacturing operations, proprietary product and proprietary manufacturing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0524"/>
          </w:cols>
          <w:pgMar w:left="976" w:top="1440" w:right="399" w:bottom="1440" w:gutter="0" w:footer="0" w:header="0"/>
        </w:sectPr>
      </w:pPr>
    </w:p>
    <w:bookmarkStart w:id="174" w:name="page175"/>
    <w:bookmarkEnd w:id="174"/>
    <w:p>
      <w:pPr>
        <w:spacing w:after="0" w:line="198" w:lineRule="exact"/>
        <w:rPr>
          <w:sz w:val="20"/>
          <w:szCs w:val="20"/>
          <w:color w:val="auto"/>
        </w:rPr>
      </w:pPr>
    </w:p>
    <w:p>
      <w:pPr>
        <w:ind w:left="1300" w:right="660"/>
        <w:spacing w:after="0" w:line="271" w:lineRule="auto"/>
        <w:rPr>
          <w:sz w:val="20"/>
          <w:szCs w:val="20"/>
          <w:color w:val="auto"/>
        </w:rPr>
      </w:pPr>
      <w:r>
        <w:rPr>
          <w:rFonts w:ascii="Times New Roman" w:cs="Times New Roman" w:eastAsia="Times New Roman" w:hAnsi="Times New Roman"/>
          <w:sz w:val="22"/>
          <w:szCs w:val="22"/>
          <w:color w:val="auto"/>
        </w:rPr>
        <w:t>information, know how, and information relating to addresses, preferences, needs and requirements of past, present, and prospective clients, customers, suppliers, and employees of the Corporation.</w:t>
      </w:r>
    </w:p>
    <w:p>
      <w:pPr>
        <w:spacing w:after="0" w:line="158" w:lineRule="exact"/>
        <w:rPr>
          <w:sz w:val="20"/>
          <w:szCs w:val="20"/>
          <w:color w:val="auto"/>
        </w:rPr>
      </w:pPr>
    </w:p>
    <w:p>
      <w:pPr>
        <w:ind w:left="1300" w:right="60" w:hanging="644"/>
        <w:spacing w:after="0" w:line="256" w:lineRule="auto"/>
        <w:tabs>
          <w:tab w:leader="none" w:pos="1120"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Termination Date</w:t>
      </w:r>
      <w:r>
        <w:rPr>
          <w:rFonts w:ascii="Times New Roman" w:cs="Times New Roman" w:eastAsia="Times New Roman" w:hAnsi="Times New Roman"/>
          <w:sz w:val="22"/>
          <w:szCs w:val="22"/>
          <w:color w:val="auto"/>
        </w:rPr>
        <w:t>" means the date upon which the Executive ceases to be employed by CILP and CLLC and, in the case of the termination of the Executive's employment other than for willful misconduct, disobedience or willful neglect of duty that is not trivial and has not been condoned by the employer, such term includes the minimum statutory notice period pursuant to the ESA.</w:t>
      </w:r>
    </w:p>
    <w:p>
      <w:pPr>
        <w:spacing w:after="0" w:line="176" w:lineRule="exact"/>
        <w:rPr>
          <w:rFonts w:ascii="Times New Roman" w:cs="Times New Roman" w:eastAsia="Times New Roman" w:hAnsi="Times New Roman"/>
          <w:sz w:val="22"/>
          <w:szCs w:val="22"/>
          <w:color w:val="auto"/>
        </w:rPr>
      </w:pPr>
    </w:p>
    <w:p>
      <w:pPr>
        <w:ind w:left="1300" w:right="340" w:hanging="644"/>
        <w:spacing w:after="0" w:line="263" w:lineRule="auto"/>
        <w:tabs>
          <w:tab w:leader="none" w:pos="1108"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Without Cause</w:t>
      </w:r>
      <w:r>
        <w:rPr>
          <w:rFonts w:ascii="Times New Roman" w:cs="Times New Roman" w:eastAsia="Times New Roman" w:hAnsi="Times New Roman"/>
          <w:sz w:val="22"/>
          <w:szCs w:val="22"/>
          <w:color w:val="auto"/>
        </w:rPr>
        <w:t>" means the termination of the Executive's employment other than for Cause and other than for willful misconduct, disobedience, or willful misconduct, neglect of duty that is not trivial and that has not been condoned by the Corporation.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2 POSITION, TERM AND CONDITIONS PRECEDENT</w:t>
      </w:r>
    </w:p>
    <w:p>
      <w:pPr>
        <w:spacing w:after="0" w:line="224" w:lineRule="exact"/>
        <w:rPr>
          <w:sz w:val="20"/>
          <w:szCs w:val="20"/>
          <w:color w:val="auto"/>
        </w:rPr>
      </w:pPr>
    </w:p>
    <w:p>
      <w:pPr>
        <w:ind w:left="600" w:right="200" w:hanging="647"/>
        <w:spacing w:after="0" w:line="253" w:lineRule="auto"/>
        <w:tabs>
          <w:tab w:leader="none" w:pos="580" w:val="left"/>
        </w:tabs>
        <w:rPr>
          <w:sz w:val="20"/>
          <w:szCs w:val="20"/>
          <w:color w:val="auto"/>
        </w:rPr>
      </w:pPr>
      <w:r>
        <w:rPr>
          <w:rFonts w:ascii="Times New Roman" w:cs="Times New Roman" w:eastAsia="Times New Roman" w:hAnsi="Times New Roman"/>
          <w:sz w:val="22"/>
          <w:szCs w:val="22"/>
          <w:color w:val="auto"/>
        </w:rPr>
        <w:t>2.01</w:t>
      </w:r>
      <w:r>
        <w:rPr>
          <w:sz w:val="20"/>
          <w:szCs w:val="20"/>
          <w:color w:val="auto"/>
        </w:rPr>
        <w:tab/>
      </w:r>
      <w:r>
        <w:rPr>
          <w:rFonts w:ascii="Times New Roman" w:cs="Times New Roman" w:eastAsia="Times New Roman" w:hAnsi="Times New Roman"/>
          <w:sz w:val="22"/>
          <w:szCs w:val="22"/>
          <w:u w:val="single" w:color="auto"/>
          <w:color w:val="auto"/>
        </w:rPr>
        <w:t>Position</w:t>
      </w:r>
      <w:r>
        <w:rPr>
          <w:rFonts w:ascii="Times New Roman" w:cs="Times New Roman" w:eastAsia="Times New Roman" w:hAnsi="Times New Roman"/>
          <w:sz w:val="22"/>
          <w:szCs w:val="22"/>
          <w:color w:val="auto"/>
        </w:rPr>
        <w:t>. The Executive commenced employment with CILP and became President and Chief Executive Officer of</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Celestica on August 1, 2015. To facilitate the amendments as outlined herein, the Executive will be put on the CLLC payroll on the Effective Date. By the amendments hereto, the Executive remains an employee of CILP and becomes an employee of CLLC. For clarity, the Executive's employment is with both CILP and CLLC, jointly, and he shall continue to report to the Board as outlined below.</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Executive will perform his duties for CLLC from his office in New Hampshire USA.</w:t>
      </w:r>
    </w:p>
    <w:p>
      <w:pPr>
        <w:spacing w:after="0" w:line="220" w:lineRule="exact"/>
        <w:rPr>
          <w:sz w:val="20"/>
          <w:szCs w:val="20"/>
          <w:color w:val="auto"/>
        </w:rPr>
      </w:pPr>
    </w:p>
    <w:p>
      <w:pPr>
        <w:jc w:val="both"/>
        <w:ind w:left="660" w:right="640"/>
        <w:spacing w:after="0" w:line="256" w:lineRule="auto"/>
        <w:rPr>
          <w:sz w:val="20"/>
          <w:szCs w:val="20"/>
          <w:color w:val="auto"/>
        </w:rPr>
      </w:pPr>
      <w:r>
        <w:rPr>
          <w:rFonts w:ascii="Times New Roman" w:cs="Times New Roman" w:eastAsia="Times New Roman" w:hAnsi="Times New Roman"/>
          <w:sz w:val="22"/>
          <w:szCs w:val="22"/>
          <w:color w:val="auto"/>
        </w:rPr>
        <w:t>The Executive will continue to hold the position of President and Chief Executive Officer of Celestica and CILP in accordance with the terms set out in this Agreement. The Executive will perform his duties for Celestica and CILP primarily from the Celestica's head office in the Greater Toronto Area, Ontario, with frequent travel to the various jurisdictions where the Corporation has operations.</w:t>
      </w:r>
    </w:p>
    <w:p>
      <w:pPr>
        <w:spacing w:after="0" w:line="176"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2"/>
          <w:szCs w:val="22"/>
          <w:color w:val="auto"/>
        </w:rPr>
        <w:t>2.02</w:t>
      </w:r>
      <w:r>
        <w:rPr>
          <w:sz w:val="20"/>
          <w:szCs w:val="20"/>
          <w:color w:val="auto"/>
        </w:rPr>
        <w:tab/>
      </w:r>
      <w:r>
        <w:rPr>
          <w:rFonts w:ascii="Times New Roman" w:cs="Times New Roman" w:eastAsia="Times New Roman" w:hAnsi="Times New Roman"/>
          <w:sz w:val="21"/>
          <w:szCs w:val="21"/>
          <w:u w:val="single" w:color="auto"/>
          <w:color w:val="auto"/>
        </w:rPr>
        <w:t>Term</w:t>
      </w:r>
      <w:r>
        <w:rPr>
          <w:rFonts w:ascii="Times New Roman" w:cs="Times New Roman" w:eastAsia="Times New Roman" w:hAnsi="Times New Roman"/>
          <w:sz w:val="21"/>
          <w:szCs w:val="21"/>
          <w:color w:val="auto"/>
        </w:rPr>
        <w:t>. The Executive's employment shall be for an indefinite period, subject to termination in accordance with Section 7 or</w:t>
      </w:r>
    </w:p>
    <w:p>
      <w:pPr>
        <w:spacing w:after="0" w:line="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8 of this Agreement.</w:t>
      </w:r>
    </w:p>
    <w:p>
      <w:pPr>
        <w:spacing w:after="0" w:line="196"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2"/>
          <w:szCs w:val="22"/>
          <w:color w:val="auto"/>
        </w:rPr>
        <w:t>2.03</w:t>
      </w:r>
      <w:r>
        <w:rPr>
          <w:sz w:val="20"/>
          <w:szCs w:val="20"/>
          <w:color w:val="auto"/>
        </w:rPr>
        <w:tab/>
      </w:r>
      <w:r>
        <w:rPr>
          <w:rFonts w:ascii="Times New Roman" w:cs="Times New Roman" w:eastAsia="Times New Roman" w:hAnsi="Times New Roman"/>
          <w:sz w:val="21"/>
          <w:szCs w:val="21"/>
          <w:u w:val="single" w:color="auto"/>
          <w:color w:val="auto"/>
        </w:rPr>
        <w:t>Conditions Precedent</w:t>
      </w:r>
      <w:r>
        <w:rPr>
          <w:rFonts w:ascii="Times New Roman" w:cs="Times New Roman" w:eastAsia="Times New Roman" w:hAnsi="Times New Roman"/>
          <w:sz w:val="21"/>
          <w:szCs w:val="21"/>
          <w:color w:val="auto"/>
        </w:rPr>
        <w:t>. This Agreement is conditional on:</w:t>
      </w:r>
    </w:p>
    <w:p>
      <w:pPr>
        <w:spacing w:after="0" w:line="220" w:lineRule="exact"/>
        <w:rPr>
          <w:sz w:val="20"/>
          <w:szCs w:val="20"/>
          <w:color w:val="auto"/>
        </w:rPr>
      </w:pPr>
    </w:p>
    <w:p>
      <w:pPr>
        <w:ind w:left="1300" w:hanging="644"/>
        <w:spacing w:after="0" w:line="256" w:lineRule="auto"/>
        <w:tabs>
          <w:tab w:leader="none" w:pos="1108"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 maintaining all work permits and other approvals required to perform duties and responsibilities for and to Celestica and CILP as contemplated in this Agreement in Canada. Celestica undertakes to use best efforts to assist the Executive in obtaining and maintaining work permits and other approvals as contemplated by this Section 2.03(a) as further specified in Section 5.14; and</w:t>
      </w:r>
    </w:p>
    <w:p>
      <w:pPr>
        <w:spacing w:after="0" w:line="176"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 being in good standing with all applicable securities commissions.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440" w:right="339" w:bottom="1440" w:gutter="0" w:footer="0" w:header="0"/>
        </w:sectPr>
      </w:pPr>
    </w:p>
    <w:bookmarkStart w:id="175" w:name="page176"/>
    <w:bookmarkEnd w:id="175"/>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3 RESPONSIBILITIES, REPORTING AND LOCATION</w:t>
      </w:r>
    </w:p>
    <w:p>
      <w:pPr>
        <w:spacing w:after="0" w:line="224" w:lineRule="exact"/>
        <w:rPr>
          <w:sz w:val="20"/>
          <w:szCs w:val="20"/>
          <w:color w:val="auto"/>
        </w:rPr>
      </w:pPr>
    </w:p>
    <w:p>
      <w:pPr>
        <w:ind w:left="600" w:hanging="647"/>
        <w:spacing w:after="0" w:line="251" w:lineRule="auto"/>
        <w:tabs>
          <w:tab w:leader="none" w:pos="580" w:val="left"/>
        </w:tabs>
        <w:rPr>
          <w:sz w:val="20"/>
          <w:szCs w:val="20"/>
          <w:color w:val="auto"/>
        </w:rPr>
      </w:pPr>
      <w:r>
        <w:rPr>
          <w:rFonts w:ascii="Times New Roman" w:cs="Times New Roman" w:eastAsia="Times New Roman" w:hAnsi="Times New Roman"/>
          <w:sz w:val="22"/>
          <w:szCs w:val="22"/>
          <w:color w:val="auto"/>
        </w:rPr>
        <w:t>3.01</w:t>
      </w:r>
      <w:r>
        <w:rPr>
          <w:sz w:val="20"/>
          <w:szCs w:val="20"/>
          <w:color w:val="auto"/>
        </w:rPr>
        <w:tab/>
      </w:r>
      <w:r>
        <w:rPr>
          <w:rFonts w:ascii="Times New Roman" w:cs="Times New Roman" w:eastAsia="Times New Roman" w:hAnsi="Times New Roman"/>
          <w:sz w:val="22"/>
          <w:szCs w:val="22"/>
          <w:u w:val="single" w:color="auto"/>
          <w:color w:val="auto"/>
        </w:rPr>
        <w:t>Responsibilities</w:t>
      </w:r>
      <w:r>
        <w:rPr>
          <w:rFonts w:ascii="Times New Roman" w:cs="Times New Roman" w:eastAsia="Times New Roman" w:hAnsi="Times New Roman"/>
          <w:sz w:val="22"/>
          <w:szCs w:val="22"/>
          <w:color w:val="auto"/>
        </w:rPr>
        <w:t>. The Executive shall serve CLLC, CILP and the Corporation in such capacities, and shall perform such</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duties and exercise such powers pertaining to the management and operation of the Corporation, as may be determined from time to time by the Board consistent with the offices of the Executive. It is acknowledged and agreed that the duties and responsibilities of the Executive may be adjusted from time to time by the Board as the Board. acting reasonably, may determine to be appropriate. Without limitation of the foregoing, the Executive shall occupy the office of President and Chief Executive Officer of Celestica and shall:</w:t>
      </w:r>
    </w:p>
    <w:p>
      <w:pPr>
        <w:spacing w:after="0" w:line="181" w:lineRule="exact"/>
        <w:rPr>
          <w:sz w:val="20"/>
          <w:szCs w:val="20"/>
          <w:color w:val="auto"/>
        </w:rPr>
      </w:pPr>
    </w:p>
    <w:p>
      <w:pPr>
        <w:ind w:left="1300" w:hanging="644"/>
        <w:spacing w:after="0" w:line="284" w:lineRule="auto"/>
        <w:tabs>
          <w:tab w:leader="none" w:pos="1108"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devote all of the Executive's business time and attention and the Executive's best efforts to the business and affairs of the Corporation;</w:t>
      </w:r>
    </w:p>
    <w:p>
      <w:pPr>
        <w:spacing w:after="0" w:line="143" w:lineRule="exact"/>
        <w:rPr>
          <w:rFonts w:ascii="Times New Roman" w:cs="Times New Roman" w:eastAsia="Times New Roman" w:hAnsi="Times New Roman"/>
          <w:sz w:val="22"/>
          <w:szCs w:val="22"/>
          <w:color w:val="auto"/>
        </w:rPr>
      </w:pPr>
    </w:p>
    <w:p>
      <w:pPr>
        <w:ind w:left="1300" w:right="420" w:hanging="644"/>
        <w:spacing w:after="0" w:line="271" w:lineRule="auto"/>
        <w:tabs>
          <w:tab w:leader="none" w:pos="1120"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perform those duties that may reasonably be assigned to the Executive diligently and faithfully to the best of the Executive's abilities and in the best interests of the Corporation; and</w:t>
      </w:r>
    </w:p>
    <w:p>
      <w:pPr>
        <w:spacing w:after="0" w:line="157"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use the Executive's best efforts to promote the interests and goodwill of the Corporation.</w:t>
      </w:r>
    </w:p>
    <w:p>
      <w:pPr>
        <w:spacing w:after="0" w:line="220" w:lineRule="exact"/>
        <w:rPr>
          <w:sz w:val="20"/>
          <w:szCs w:val="20"/>
          <w:color w:val="auto"/>
        </w:rPr>
      </w:pPr>
    </w:p>
    <w:p>
      <w:pPr>
        <w:ind w:left="600" w:right="860" w:hanging="647"/>
        <w:spacing w:after="0" w:line="271" w:lineRule="auto"/>
        <w:tabs>
          <w:tab w:leader="none" w:pos="580" w:val="left"/>
        </w:tabs>
        <w:rPr>
          <w:sz w:val="20"/>
          <w:szCs w:val="20"/>
          <w:color w:val="auto"/>
        </w:rPr>
      </w:pPr>
      <w:r>
        <w:rPr>
          <w:rFonts w:ascii="Times New Roman" w:cs="Times New Roman" w:eastAsia="Times New Roman" w:hAnsi="Times New Roman"/>
          <w:sz w:val="22"/>
          <w:szCs w:val="22"/>
          <w:color w:val="auto"/>
        </w:rPr>
        <w:t>3.02</w:t>
      </w:r>
      <w:r>
        <w:rPr>
          <w:sz w:val="20"/>
          <w:szCs w:val="20"/>
          <w:color w:val="auto"/>
        </w:rPr>
        <w:tab/>
      </w:r>
      <w:r>
        <w:rPr>
          <w:rFonts w:ascii="Times New Roman" w:cs="Times New Roman" w:eastAsia="Times New Roman" w:hAnsi="Times New Roman"/>
          <w:sz w:val="22"/>
          <w:szCs w:val="22"/>
          <w:u w:val="single" w:color="auto"/>
          <w:color w:val="auto"/>
        </w:rPr>
        <w:t>Reporting</w:t>
      </w:r>
      <w:r>
        <w:rPr>
          <w:rFonts w:ascii="Times New Roman" w:cs="Times New Roman" w:eastAsia="Times New Roman" w:hAnsi="Times New Roman"/>
          <w:sz w:val="22"/>
          <w:szCs w:val="22"/>
          <w:color w:val="auto"/>
        </w:rPr>
        <w:t>. In his capacity as President and Chief Executive Officer of Celestica. the Executive shall report to the</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Chairperson of the Board.</w:t>
      </w:r>
    </w:p>
    <w:p>
      <w:pPr>
        <w:spacing w:after="0" w:line="171" w:lineRule="exact"/>
        <w:rPr>
          <w:sz w:val="20"/>
          <w:szCs w:val="20"/>
          <w:color w:val="auto"/>
        </w:rPr>
      </w:pPr>
    </w:p>
    <w:p>
      <w:pPr>
        <w:ind w:left="600" w:right="420" w:hanging="647"/>
        <w:spacing w:after="0" w:line="257" w:lineRule="auto"/>
        <w:tabs>
          <w:tab w:leader="none" w:pos="580" w:val="left"/>
        </w:tabs>
        <w:rPr>
          <w:sz w:val="20"/>
          <w:szCs w:val="20"/>
          <w:color w:val="auto"/>
        </w:rPr>
      </w:pPr>
      <w:r>
        <w:rPr>
          <w:rFonts w:ascii="Times New Roman" w:cs="Times New Roman" w:eastAsia="Times New Roman" w:hAnsi="Times New Roman"/>
          <w:sz w:val="22"/>
          <w:szCs w:val="22"/>
          <w:color w:val="auto"/>
        </w:rPr>
        <w:t>3.03</w:t>
      </w:r>
      <w:r>
        <w:rPr>
          <w:sz w:val="20"/>
          <w:szCs w:val="20"/>
          <w:color w:val="auto"/>
        </w:rPr>
        <w:tab/>
      </w:r>
      <w:r>
        <w:rPr>
          <w:rFonts w:ascii="Times New Roman" w:cs="Times New Roman" w:eastAsia="Times New Roman" w:hAnsi="Times New Roman"/>
          <w:sz w:val="22"/>
          <w:szCs w:val="22"/>
          <w:u w:val="single" w:color="auto"/>
          <w:color w:val="auto"/>
        </w:rPr>
        <w:t>Location</w:t>
      </w:r>
      <w:r>
        <w:rPr>
          <w:rFonts w:ascii="Times New Roman" w:cs="Times New Roman" w:eastAsia="Times New Roman" w:hAnsi="Times New Roman"/>
          <w:sz w:val="22"/>
          <w:szCs w:val="22"/>
          <w:color w:val="auto"/>
        </w:rPr>
        <w:t>. The Executive shall devote not less than 40-60% of his time providing services to CILP and Celestica while</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working from Celestica's head offices located in the Greater Toronto Area, Ontario. The Executive shall perform his duties for CLLC from his office in New Hampshire, U.S.A.</w:t>
      </w:r>
    </w:p>
    <w:p>
      <w:pPr>
        <w:spacing w:after="0" w:line="173" w:lineRule="exact"/>
        <w:rPr>
          <w:sz w:val="20"/>
          <w:szCs w:val="20"/>
          <w:color w:val="auto"/>
        </w:rPr>
      </w:pPr>
    </w:p>
    <w:p>
      <w:pPr>
        <w:ind w:left="600" w:right="80" w:hanging="647"/>
        <w:spacing w:after="0" w:line="253" w:lineRule="auto"/>
        <w:tabs>
          <w:tab w:leader="none" w:pos="580" w:val="left"/>
        </w:tabs>
        <w:rPr>
          <w:sz w:val="20"/>
          <w:szCs w:val="20"/>
          <w:color w:val="auto"/>
        </w:rPr>
      </w:pPr>
      <w:r>
        <w:rPr>
          <w:rFonts w:ascii="Times New Roman" w:cs="Times New Roman" w:eastAsia="Times New Roman" w:hAnsi="Times New Roman"/>
          <w:sz w:val="22"/>
          <w:szCs w:val="22"/>
          <w:color w:val="auto"/>
        </w:rPr>
        <w:t>3.04</w:t>
      </w:r>
      <w:r>
        <w:rPr>
          <w:sz w:val="20"/>
          <w:szCs w:val="20"/>
          <w:color w:val="auto"/>
        </w:rPr>
        <w:tab/>
      </w:r>
      <w:r>
        <w:rPr>
          <w:rFonts w:ascii="Times New Roman" w:cs="Times New Roman" w:eastAsia="Times New Roman" w:hAnsi="Times New Roman"/>
          <w:sz w:val="22"/>
          <w:szCs w:val="22"/>
          <w:u w:val="single" w:color="auto"/>
          <w:color w:val="auto"/>
        </w:rPr>
        <w:t>Resignation as Officer or Director</w:t>
      </w:r>
      <w:r>
        <w:rPr>
          <w:rFonts w:ascii="Times New Roman" w:cs="Times New Roman" w:eastAsia="Times New Roman" w:hAnsi="Times New Roman"/>
          <w:sz w:val="22"/>
          <w:szCs w:val="22"/>
          <w:color w:val="auto"/>
        </w:rPr>
        <w:t>. Notwithstanding any provision of this Agreement or any other agreement or document</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to the contrary, the Executive shall be deemed to resign as an officer and director of Celestica and all other applicable subsidiaries contemporaneously with the termination of his employment pursuant to Section 6, 7 or 8 of this Agreement, and shall, immediately upon request by the Corporation, sign any and all documents necessary to give effect to such resignation.</w:t>
      </w:r>
    </w:p>
    <w:p>
      <w:pPr>
        <w:spacing w:after="0" w:line="179" w:lineRule="exact"/>
        <w:rPr>
          <w:sz w:val="20"/>
          <w:szCs w:val="20"/>
          <w:color w:val="auto"/>
        </w:rPr>
      </w:pPr>
    </w:p>
    <w:p>
      <w:pPr>
        <w:ind w:left="600" w:right="400" w:hanging="647"/>
        <w:spacing w:after="0" w:line="271" w:lineRule="auto"/>
        <w:tabs>
          <w:tab w:leader="none" w:pos="580" w:val="left"/>
        </w:tabs>
        <w:rPr>
          <w:sz w:val="20"/>
          <w:szCs w:val="20"/>
          <w:color w:val="auto"/>
        </w:rPr>
      </w:pPr>
      <w:r>
        <w:rPr>
          <w:rFonts w:ascii="Times New Roman" w:cs="Times New Roman" w:eastAsia="Times New Roman" w:hAnsi="Times New Roman"/>
          <w:sz w:val="22"/>
          <w:szCs w:val="22"/>
          <w:color w:val="auto"/>
        </w:rPr>
        <w:t>3.05</w:t>
      </w:r>
      <w:r>
        <w:rPr>
          <w:sz w:val="20"/>
          <w:szCs w:val="20"/>
          <w:color w:val="auto"/>
        </w:rPr>
        <w:tab/>
      </w:r>
      <w:r>
        <w:rPr>
          <w:rFonts w:ascii="Times New Roman" w:cs="Times New Roman" w:eastAsia="Times New Roman" w:hAnsi="Times New Roman"/>
          <w:sz w:val="22"/>
          <w:szCs w:val="22"/>
          <w:u w:val="single" w:color="auto"/>
          <w:color w:val="auto"/>
        </w:rPr>
        <w:t>Existing Board Appointments</w:t>
      </w:r>
      <w:r>
        <w:rPr>
          <w:rFonts w:ascii="Times New Roman" w:cs="Times New Roman" w:eastAsia="Times New Roman" w:hAnsi="Times New Roman"/>
          <w:sz w:val="22"/>
          <w:szCs w:val="22"/>
          <w:color w:val="auto"/>
        </w:rPr>
        <w:t>. The Executive shall not serve on any boards of directors without prior written approval</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from the Chairperson of the Board.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4 STANDARD OF PERFORMANCE AND FIDUCIARY DUTY</w:t>
      </w:r>
    </w:p>
    <w:p>
      <w:pPr>
        <w:spacing w:after="0" w:line="224" w:lineRule="exact"/>
        <w:rPr>
          <w:sz w:val="20"/>
          <w:szCs w:val="20"/>
          <w:color w:val="auto"/>
        </w:rPr>
      </w:pPr>
    </w:p>
    <w:p>
      <w:pPr>
        <w:ind w:left="600" w:right="80" w:hanging="647"/>
        <w:spacing w:after="0" w:line="252" w:lineRule="auto"/>
        <w:tabs>
          <w:tab w:leader="none" w:pos="580" w:val="left"/>
        </w:tabs>
        <w:rPr>
          <w:sz w:val="20"/>
          <w:szCs w:val="20"/>
          <w:color w:val="auto"/>
        </w:rPr>
      </w:pPr>
      <w:r>
        <w:rPr>
          <w:rFonts w:ascii="Times New Roman" w:cs="Times New Roman" w:eastAsia="Times New Roman" w:hAnsi="Times New Roman"/>
          <w:sz w:val="22"/>
          <w:szCs w:val="22"/>
          <w:color w:val="auto"/>
        </w:rPr>
        <w:t>4.01</w:t>
      </w:r>
      <w:r>
        <w:rPr>
          <w:sz w:val="20"/>
          <w:szCs w:val="20"/>
          <w:color w:val="auto"/>
        </w:rPr>
        <w:tab/>
      </w:r>
      <w:r>
        <w:rPr>
          <w:rFonts w:ascii="Times New Roman" w:cs="Times New Roman" w:eastAsia="Times New Roman" w:hAnsi="Times New Roman"/>
          <w:sz w:val="22"/>
          <w:szCs w:val="22"/>
          <w:u w:val="single" w:color="auto"/>
          <w:color w:val="auto"/>
        </w:rPr>
        <w:t>Standard of Performance</w:t>
      </w:r>
      <w:r>
        <w:rPr>
          <w:rFonts w:ascii="Times New Roman" w:cs="Times New Roman" w:eastAsia="Times New Roman" w:hAnsi="Times New Roman"/>
          <w:sz w:val="22"/>
          <w:szCs w:val="22"/>
          <w:color w:val="auto"/>
        </w:rPr>
        <w:t>. The Executive shall perform his duties in accordance with the bylaws and policies of the</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Corporation, and all applicable laws and regulations. The Executive acknowledges that he has received a copy of Celestica's Business Conduct Governance policy ("</w:t>
      </w:r>
      <w:r>
        <w:rPr>
          <w:rFonts w:ascii="Times New Roman" w:cs="Times New Roman" w:eastAsia="Times New Roman" w:hAnsi="Times New Roman"/>
          <w:sz w:val="22"/>
          <w:szCs w:val="22"/>
          <w:u w:val="single" w:color="auto"/>
          <w:color w:val="auto"/>
        </w:rPr>
        <w:t>BCG Policy</w:t>
      </w:r>
      <w:r>
        <w:rPr>
          <w:rFonts w:ascii="Times New Roman" w:cs="Times New Roman" w:eastAsia="Times New Roman" w:hAnsi="Times New Roman"/>
          <w:sz w:val="22"/>
          <w:szCs w:val="22"/>
          <w:color w:val="auto"/>
        </w:rPr>
        <w:t>"), the LTIP, the CSUP, Insider 4.01 Trading Policy, Share Ownership Policy, and the Policy on Outside Directorships for Executives.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20"/>
          </w:cols>
          <w:pgMar w:left="320" w:top="1440" w:right="359" w:bottom="1440" w:gutter="0" w:footer="0" w:header="0"/>
        </w:sectPr>
      </w:pPr>
    </w:p>
    <w:bookmarkStart w:id="176" w:name="page177"/>
    <w:bookmarkEnd w:id="176"/>
    <w:p>
      <w:pPr>
        <w:spacing w:after="0" w:line="198" w:lineRule="exact"/>
        <w:rPr>
          <w:sz w:val="20"/>
          <w:szCs w:val="20"/>
          <w:color w:val="auto"/>
        </w:rPr>
      </w:pPr>
    </w:p>
    <w:p>
      <w:pPr>
        <w:ind w:left="640" w:right="180"/>
        <w:spacing w:after="0" w:line="257" w:lineRule="auto"/>
        <w:rPr>
          <w:sz w:val="20"/>
          <w:szCs w:val="20"/>
          <w:color w:val="auto"/>
        </w:rPr>
      </w:pPr>
      <w:r>
        <w:rPr>
          <w:rFonts w:ascii="Times New Roman" w:cs="Times New Roman" w:eastAsia="Times New Roman" w:hAnsi="Times New Roman"/>
          <w:sz w:val="22"/>
          <w:szCs w:val="22"/>
          <w:color w:val="auto"/>
        </w:rPr>
        <w:t>Except as otherwise provided in Section 3.05 while employed under this Agreement the Executive shall devote all of his time, attention and ability to the business and affairs of the Corporation and shall use his best efforts to promote and further the business, profitability, and reputation of the Corporation.</w:t>
      </w:r>
    </w:p>
    <w:p>
      <w:pPr>
        <w:spacing w:after="0" w:line="186" w:lineRule="exact"/>
        <w:rPr>
          <w:sz w:val="20"/>
          <w:szCs w:val="20"/>
          <w:color w:val="auto"/>
        </w:rPr>
      </w:pPr>
    </w:p>
    <w:p>
      <w:pPr>
        <w:ind w:left="580" w:right="180" w:hanging="647"/>
        <w:spacing w:after="0" w:line="257" w:lineRule="auto"/>
        <w:tabs>
          <w:tab w:leader="none" w:pos="560" w:val="left"/>
        </w:tabs>
        <w:rPr>
          <w:sz w:val="20"/>
          <w:szCs w:val="20"/>
          <w:color w:val="auto"/>
        </w:rPr>
      </w:pPr>
      <w:r>
        <w:rPr>
          <w:rFonts w:ascii="Times New Roman" w:cs="Times New Roman" w:eastAsia="Times New Roman" w:hAnsi="Times New Roman"/>
          <w:sz w:val="22"/>
          <w:szCs w:val="22"/>
          <w:color w:val="auto"/>
        </w:rPr>
        <w:t>4.02</w:t>
      </w:r>
      <w:r>
        <w:rPr>
          <w:sz w:val="20"/>
          <w:szCs w:val="20"/>
          <w:color w:val="auto"/>
        </w:rPr>
        <w:tab/>
      </w:r>
      <w:r>
        <w:rPr>
          <w:rFonts w:ascii="Times New Roman" w:cs="Times New Roman" w:eastAsia="Times New Roman" w:hAnsi="Times New Roman"/>
          <w:sz w:val="22"/>
          <w:szCs w:val="22"/>
          <w:u w:val="single" w:color="auto"/>
          <w:color w:val="auto"/>
        </w:rPr>
        <w:t>Fiduciary Duty</w:t>
      </w:r>
      <w:r>
        <w:rPr>
          <w:rFonts w:ascii="Times New Roman" w:cs="Times New Roman" w:eastAsia="Times New Roman" w:hAnsi="Times New Roman"/>
          <w:sz w:val="22"/>
          <w:szCs w:val="22"/>
          <w:color w:val="auto"/>
        </w:rPr>
        <w:t>. The Executive agrees to act diligently, loyally and in a trustworthy manner to the best of his skill and</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ability. The Executive acknowledges that he is a fiduciary of the Corporation, and that he shall at all times act in the best interests of the Corporation.</w:t>
      </w:r>
    </w:p>
    <w:p>
      <w:pPr>
        <w:spacing w:after="0" w:line="173" w:lineRule="exact"/>
        <w:rPr>
          <w:sz w:val="20"/>
          <w:szCs w:val="20"/>
          <w:color w:val="auto"/>
        </w:rPr>
      </w:pPr>
    </w:p>
    <w:p>
      <w:pPr>
        <w:ind w:left="580" w:right="20" w:hanging="647"/>
        <w:spacing w:after="0" w:line="251" w:lineRule="auto"/>
        <w:tabs>
          <w:tab w:leader="none" w:pos="560" w:val="left"/>
        </w:tabs>
        <w:rPr>
          <w:sz w:val="20"/>
          <w:szCs w:val="20"/>
          <w:color w:val="auto"/>
        </w:rPr>
      </w:pPr>
      <w:r>
        <w:rPr>
          <w:rFonts w:ascii="Times New Roman" w:cs="Times New Roman" w:eastAsia="Times New Roman" w:hAnsi="Times New Roman"/>
          <w:sz w:val="22"/>
          <w:szCs w:val="22"/>
          <w:color w:val="auto"/>
        </w:rPr>
        <w:t>4.03</w:t>
      </w:r>
      <w:r>
        <w:rPr>
          <w:sz w:val="20"/>
          <w:szCs w:val="20"/>
          <w:color w:val="auto"/>
        </w:rPr>
        <w:tab/>
      </w:r>
      <w:r>
        <w:rPr>
          <w:rFonts w:ascii="Times New Roman" w:cs="Times New Roman" w:eastAsia="Times New Roman" w:hAnsi="Times New Roman"/>
          <w:sz w:val="22"/>
          <w:szCs w:val="22"/>
          <w:u w:val="single" w:color="auto"/>
          <w:color w:val="auto"/>
        </w:rPr>
        <w:t>Conflict of Interest</w:t>
      </w:r>
      <w:r>
        <w:rPr>
          <w:rFonts w:ascii="Times New Roman" w:cs="Times New Roman" w:eastAsia="Times New Roman" w:hAnsi="Times New Roman"/>
          <w:sz w:val="22"/>
          <w:szCs w:val="22"/>
          <w:color w:val="auto"/>
        </w:rPr>
        <w:t>. The Executive shall ensure that his direct or indirect personal interests do not, whether potentially or</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actually. conflict with the interests of the Corporation. The Executive agrees to promptly report any potential or actual conflicts of interest to the Chairperson of the Board in accordance with, and subject to, the BCG Policy. The Executive represents and warrants to the Corporation that he is not subject to any constraints or restrictive covenants of any kind that would prevent him from performing the duties and responsibilities contemplated under this Agreement or from devoting his full time and attention to the affairs of the Corporation.</w:t>
      </w:r>
    </w:p>
    <w:p>
      <w:pPr>
        <w:spacing w:after="0" w:line="181" w:lineRule="exact"/>
        <w:rPr>
          <w:sz w:val="20"/>
          <w:szCs w:val="20"/>
          <w:color w:val="auto"/>
        </w:rPr>
      </w:pPr>
    </w:p>
    <w:p>
      <w:pPr>
        <w:ind w:left="580" w:hanging="647"/>
        <w:spacing w:after="0" w:line="250" w:lineRule="auto"/>
        <w:tabs>
          <w:tab w:leader="none" w:pos="560" w:val="left"/>
        </w:tabs>
        <w:rPr>
          <w:sz w:val="20"/>
          <w:szCs w:val="20"/>
          <w:color w:val="auto"/>
        </w:rPr>
      </w:pPr>
      <w:r>
        <w:rPr>
          <w:rFonts w:ascii="Times New Roman" w:cs="Times New Roman" w:eastAsia="Times New Roman" w:hAnsi="Times New Roman"/>
          <w:sz w:val="22"/>
          <w:szCs w:val="22"/>
          <w:color w:val="auto"/>
        </w:rPr>
        <w:t>4.04</w:t>
      </w:r>
      <w:r>
        <w:rPr>
          <w:sz w:val="20"/>
          <w:szCs w:val="20"/>
          <w:color w:val="auto"/>
        </w:rPr>
        <w:tab/>
      </w:r>
      <w:r>
        <w:rPr>
          <w:rFonts w:ascii="Times New Roman" w:cs="Times New Roman" w:eastAsia="Times New Roman" w:hAnsi="Times New Roman"/>
          <w:sz w:val="22"/>
          <w:szCs w:val="22"/>
          <w:u w:val="single" w:color="auto"/>
          <w:color w:val="auto"/>
        </w:rPr>
        <w:t>Representation by Executive</w:t>
      </w:r>
      <w:r>
        <w:rPr>
          <w:rFonts w:ascii="Times New Roman" w:cs="Times New Roman" w:eastAsia="Times New Roman" w:hAnsi="Times New Roman"/>
          <w:sz w:val="22"/>
          <w:szCs w:val="22"/>
          <w:color w:val="auto"/>
        </w:rPr>
        <w:t>. The Executive agrees that during his employment under this Agreement, he shall not breach</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any obligation of confidentiality or non-solicitation or non-competition he may have to any former employer or pursuant to any agreement with a third party to which he is bound. For greater certainty, the Executive agrees that he shall not bring with him in the performance of his duties hereunder, any confidential information, trade secrets, equipment, computer software or intellectual property of any former employer or customer of any former employer which are not generally available to the public. unless the Executive has first obtained written authorization for its possession and use and provided confirmation in writing of such authorization to the Corporation. The Executive acknowledges that the Corporation has relied upon the representations outlined in this Section 4.04, and agrees that any intentional or reckless misrepresentation of a material nature shall be considered Cause for termination.</w:t>
      </w:r>
    </w:p>
    <w:p>
      <w:pPr>
        <w:spacing w:after="0" w:line="180" w:lineRule="exact"/>
        <w:rPr>
          <w:sz w:val="20"/>
          <w:szCs w:val="20"/>
          <w:color w:val="auto"/>
        </w:rPr>
      </w:pPr>
    </w:p>
    <w:p>
      <w:pPr>
        <w:ind w:left="580" w:hanging="647"/>
        <w:spacing w:after="0" w:line="253" w:lineRule="auto"/>
        <w:tabs>
          <w:tab w:leader="none" w:pos="560" w:val="left"/>
        </w:tabs>
        <w:rPr>
          <w:sz w:val="20"/>
          <w:szCs w:val="20"/>
          <w:color w:val="auto"/>
        </w:rPr>
      </w:pPr>
      <w:r>
        <w:rPr>
          <w:rFonts w:ascii="Times New Roman" w:cs="Times New Roman" w:eastAsia="Times New Roman" w:hAnsi="Times New Roman"/>
          <w:sz w:val="22"/>
          <w:szCs w:val="22"/>
          <w:color w:val="auto"/>
        </w:rPr>
        <w:t>4.05</w:t>
      </w:r>
      <w:r>
        <w:rPr>
          <w:sz w:val="20"/>
          <w:szCs w:val="20"/>
          <w:color w:val="auto"/>
        </w:rPr>
        <w:tab/>
      </w:r>
      <w:r>
        <w:rPr>
          <w:rFonts w:ascii="Times New Roman" w:cs="Times New Roman" w:eastAsia="Times New Roman" w:hAnsi="Times New Roman"/>
          <w:sz w:val="22"/>
          <w:szCs w:val="22"/>
          <w:u w:val="single" w:color="auto"/>
          <w:color w:val="auto"/>
        </w:rPr>
        <w:t>Share Ownership Requirements</w:t>
      </w:r>
      <w:r>
        <w:rPr>
          <w:rFonts w:ascii="Times New Roman" w:cs="Times New Roman" w:eastAsia="Times New Roman" w:hAnsi="Times New Roman"/>
          <w:sz w:val="22"/>
          <w:szCs w:val="22"/>
          <w:color w:val="auto"/>
        </w:rPr>
        <w:t>. The Executive acknowledges that he has received a copy of the Celestica Executive Share</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Ownership Guidelines and agrees to be bound by such Guidelines, as amended from time to time. Following the Executive's cessation of employment under this Agreement for any reason, the Executive shall be required to retain share ownership at the level specified in the Share Ownership Guidelines on his Termination Date for the twelve (12) month period immediately following his Termination Date.</w:t>
      </w:r>
    </w:p>
    <w:p>
      <w:pPr>
        <w:spacing w:after="0" w:line="179" w:lineRule="exact"/>
        <w:rPr>
          <w:sz w:val="20"/>
          <w:szCs w:val="20"/>
          <w:color w:val="auto"/>
        </w:rPr>
      </w:pPr>
    </w:p>
    <w:p>
      <w:pPr>
        <w:ind w:left="580" w:right="60" w:hanging="647"/>
        <w:spacing w:after="0" w:line="257" w:lineRule="auto"/>
        <w:tabs>
          <w:tab w:leader="none" w:pos="560" w:val="left"/>
        </w:tabs>
        <w:rPr>
          <w:sz w:val="20"/>
          <w:szCs w:val="20"/>
          <w:color w:val="auto"/>
        </w:rPr>
      </w:pPr>
      <w:r>
        <w:rPr>
          <w:rFonts w:ascii="Times New Roman" w:cs="Times New Roman" w:eastAsia="Times New Roman" w:hAnsi="Times New Roman"/>
          <w:sz w:val="22"/>
          <w:szCs w:val="22"/>
          <w:color w:val="auto"/>
        </w:rPr>
        <w:t>4.06</w:t>
      </w:r>
      <w:r>
        <w:rPr>
          <w:sz w:val="20"/>
          <w:szCs w:val="20"/>
          <w:color w:val="auto"/>
        </w:rPr>
        <w:tab/>
      </w:r>
      <w:r>
        <w:rPr>
          <w:rFonts w:ascii="Times New Roman" w:cs="Times New Roman" w:eastAsia="Times New Roman" w:hAnsi="Times New Roman"/>
          <w:sz w:val="22"/>
          <w:szCs w:val="22"/>
          <w:u w:val="single" w:color="auto"/>
          <w:color w:val="auto"/>
        </w:rPr>
        <w:t>Restrictions on Trading Corporate Shares</w:t>
      </w:r>
      <w:r>
        <w:rPr>
          <w:rFonts w:ascii="Times New Roman" w:cs="Times New Roman" w:eastAsia="Times New Roman" w:hAnsi="Times New Roman"/>
          <w:sz w:val="22"/>
          <w:szCs w:val="22"/>
          <w:color w:val="auto"/>
        </w:rPr>
        <w:t>. The Executive acknowledges that he has received a copy of the Celestica</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Trading Policy for Senior Managers and agrees to be bound by such Policy, as amended from time to time. The Executive agrees to not pledge any shares of the Corporation that he holds.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20"/>
          </w:cols>
          <w:pgMar w:left="340" w:top="1440" w:right="339" w:bottom="1440" w:gutter="0" w:footer="0" w:header="0"/>
        </w:sectPr>
      </w:pPr>
    </w:p>
    <w:bookmarkStart w:id="177" w:name="page178"/>
    <w:bookmarkEnd w:id="177"/>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5 COMPENSATION AND BENEFITS AND PERQUISITES</w:t>
      </w:r>
    </w:p>
    <w:p>
      <w:pPr>
        <w:spacing w:after="0" w:line="224"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2"/>
          <w:szCs w:val="22"/>
          <w:color w:val="auto"/>
        </w:rPr>
        <w:t>5.01</w:t>
      </w:r>
      <w:r>
        <w:rPr>
          <w:sz w:val="20"/>
          <w:szCs w:val="20"/>
          <w:color w:val="auto"/>
        </w:rPr>
        <w:tab/>
      </w:r>
      <w:r>
        <w:rPr>
          <w:rFonts w:ascii="Times New Roman" w:cs="Times New Roman" w:eastAsia="Times New Roman" w:hAnsi="Times New Roman"/>
          <w:sz w:val="21"/>
          <w:szCs w:val="21"/>
          <w:u w:val="single" w:color="auto"/>
          <w:color w:val="auto"/>
        </w:rPr>
        <w:t>Base Salary</w:t>
      </w:r>
      <w:r>
        <w:rPr>
          <w:rFonts w:ascii="Times New Roman" w:cs="Times New Roman" w:eastAsia="Times New Roman" w:hAnsi="Times New Roman"/>
          <w:sz w:val="21"/>
          <w:szCs w:val="21"/>
          <w:color w:val="auto"/>
        </w:rPr>
        <w:t>. Effective on and after the Effective Date, CLLC shall pay the Executive an annual base salary, in an amount</w:t>
      </w:r>
    </w:p>
    <w:p>
      <w:pPr>
        <w:spacing w:after="0" w:line="28" w:lineRule="exact"/>
        <w:rPr>
          <w:sz w:val="20"/>
          <w:szCs w:val="20"/>
          <w:color w:val="auto"/>
        </w:rPr>
      </w:pPr>
    </w:p>
    <w:p>
      <w:pPr>
        <w:ind w:left="660" w:right="760"/>
        <w:spacing w:after="0" w:line="261" w:lineRule="auto"/>
        <w:rPr>
          <w:sz w:val="20"/>
          <w:szCs w:val="20"/>
          <w:color w:val="auto"/>
        </w:rPr>
      </w:pPr>
      <w:r>
        <w:rPr>
          <w:rFonts w:ascii="Times New Roman" w:cs="Times New Roman" w:eastAsia="Times New Roman" w:hAnsi="Times New Roman"/>
          <w:sz w:val="22"/>
          <w:szCs w:val="22"/>
          <w:color w:val="auto"/>
        </w:rPr>
        <w:t>approved by the Board ("</w:t>
      </w:r>
      <w:r>
        <w:rPr>
          <w:rFonts w:ascii="Times New Roman" w:cs="Times New Roman" w:eastAsia="Times New Roman" w:hAnsi="Times New Roman"/>
          <w:sz w:val="22"/>
          <w:szCs w:val="22"/>
          <w:u w:val="single" w:color="auto"/>
          <w:color w:val="auto"/>
        </w:rPr>
        <w:t>Base Salary</w:t>
      </w:r>
      <w:r>
        <w:rPr>
          <w:rFonts w:ascii="Times New Roman" w:cs="Times New Roman" w:eastAsia="Times New Roman" w:hAnsi="Times New Roman"/>
          <w:sz w:val="22"/>
          <w:szCs w:val="22"/>
          <w:color w:val="auto"/>
        </w:rPr>
        <w:t>"). The Base Salary shall be paid in accordance with CLLC's regular payroll practices.</w:t>
      </w:r>
    </w:p>
    <w:p>
      <w:pPr>
        <w:spacing w:after="0" w:line="168" w:lineRule="exact"/>
        <w:rPr>
          <w:sz w:val="20"/>
          <w:szCs w:val="20"/>
          <w:color w:val="auto"/>
        </w:rPr>
      </w:pPr>
    </w:p>
    <w:p>
      <w:pPr>
        <w:ind w:left="600" w:right="800" w:hanging="647"/>
        <w:spacing w:after="0" w:line="271" w:lineRule="auto"/>
        <w:tabs>
          <w:tab w:leader="none" w:pos="580" w:val="left"/>
        </w:tabs>
        <w:rPr>
          <w:sz w:val="20"/>
          <w:szCs w:val="20"/>
          <w:color w:val="auto"/>
        </w:rPr>
      </w:pPr>
      <w:r>
        <w:rPr>
          <w:rFonts w:ascii="Times New Roman" w:cs="Times New Roman" w:eastAsia="Times New Roman" w:hAnsi="Times New Roman"/>
          <w:sz w:val="22"/>
          <w:szCs w:val="22"/>
          <w:color w:val="auto"/>
        </w:rPr>
        <w:t>5.02</w:t>
      </w:r>
      <w:r>
        <w:rPr>
          <w:sz w:val="20"/>
          <w:szCs w:val="20"/>
          <w:color w:val="auto"/>
        </w:rPr>
        <w:tab/>
      </w:r>
      <w:r>
        <w:rPr>
          <w:rFonts w:ascii="Times New Roman" w:cs="Times New Roman" w:eastAsia="Times New Roman" w:hAnsi="Times New Roman"/>
          <w:sz w:val="22"/>
          <w:szCs w:val="22"/>
          <w:u w:val="single" w:color="auto"/>
          <w:color w:val="auto"/>
        </w:rPr>
        <w:t>Service as a Director</w:t>
      </w:r>
      <w:r>
        <w:rPr>
          <w:rFonts w:ascii="Times New Roman" w:cs="Times New Roman" w:eastAsia="Times New Roman" w:hAnsi="Times New Roman"/>
          <w:sz w:val="22"/>
          <w:szCs w:val="22"/>
          <w:color w:val="auto"/>
        </w:rPr>
        <w:t>. The Executive shall not receive any additional compensation for his service as a director of</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Celestica or any subsidiary.</w:t>
      </w:r>
    </w:p>
    <w:p>
      <w:pPr>
        <w:spacing w:after="0" w:line="158" w:lineRule="exact"/>
        <w:rPr>
          <w:sz w:val="20"/>
          <w:szCs w:val="20"/>
          <w:color w:val="auto"/>
        </w:rPr>
      </w:pPr>
    </w:p>
    <w:p>
      <w:pPr>
        <w:ind w:left="600" w:right="140" w:hanging="647"/>
        <w:spacing w:after="0" w:line="251" w:lineRule="auto"/>
        <w:tabs>
          <w:tab w:leader="none" w:pos="580" w:val="left"/>
        </w:tabs>
        <w:rPr>
          <w:sz w:val="20"/>
          <w:szCs w:val="20"/>
          <w:color w:val="auto"/>
        </w:rPr>
      </w:pPr>
      <w:r>
        <w:rPr>
          <w:rFonts w:ascii="Times New Roman" w:cs="Times New Roman" w:eastAsia="Times New Roman" w:hAnsi="Times New Roman"/>
          <w:sz w:val="22"/>
          <w:szCs w:val="22"/>
          <w:color w:val="auto"/>
        </w:rPr>
        <w:t>5.03</w:t>
      </w:r>
      <w:r>
        <w:rPr>
          <w:sz w:val="20"/>
          <w:szCs w:val="20"/>
          <w:color w:val="auto"/>
        </w:rPr>
        <w:tab/>
      </w:r>
      <w:r>
        <w:rPr>
          <w:rFonts w:ascii="Times New Roman" w:cs="Times New Roman" w:eastAsia="Times New Roman" w:hAnsi="Times New Roman"/>
          <w:sz w:val="22"/>
          <w:szCs w:val="22"/>
          <w:u w:val="single" w:color="auto"/>
          <w:color w:val="auto"/>
        </w:rPr>
        <w:t>Celestica Team Incentive Payment (CTI Plan)</w:t>
      </w:r>
      <w:r>
        <w:rPr>
          <w:rFonts w:ascii="Times New Roman" w:cs="Times New Roman" w:eastAsia="Times New Roman" w:hAnsi="Times New Roman"/>
          <w:sz w:val="22"/>
          <w:szCs w:val="22"/>
          <w:color w:val="auto"/>
        </w:rPr>
        <w:t>. In addition to the Base Salary, CLLC shall pay the Executive an incentive</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payment, calculated and payable in accordance with the CTI Plan. based on a target incentive as approved by the Board and the attainment of certain corporate and individual performance objectives to be specified by the Board in each particular year. The amount payable under the CTI Plan is variable and it is possible that a nil amount could be payable. Payment of any annual incentive payment under the CTI Plan by CLLC shall at all times be subject to the terms of the CTI Plan.</w:t>
      </w:r>
    </w:p>
    <w:p>
      <w:pPr>
        <w:spacing w:after="0" w:line="181" w:lineRule="exact"/>
        <w:rPr>
          <w:sz w:val="20"/>
          <w:szCs w:val="20"/>
          <w:color w:val="auto"/>
        </w:rPr>
      </w:pPr>
    </w:p>
    <w:p>
      <w:pPr>
        <w:ind w:left="600" w:hanging="647"/>
        <w:spacing w:after="0" w:line="271" w:lineRule="auto"/>
        <w:tabs>
          <w:tab w:leader="none" w:pos="580" w:val="left"/>
        </w:tabs>
        <w:rPr>
          <w:sz w:val="20"/>
          <w:szCs w:val="20"/>
          <w:color w:val="auto"/>
        </w:rPr>
      </w:pPr>
      <w:r>
        <w:rPr>
          <w:rFonts w:ascii="Times New Roman" w:cs="Times New Roman" w:eastAsia="Times New Roman" w:hAnsi="Times New Roman"/>
          <w:sz w:val="22"/>
          <w:szCs w:val="22"/>
          <w:color w:val="auto"/>
        </w:rPr>
        <w:t>5.04</w:t>
      </w:r>
      <w:r>
        <w:rPr>
          <w:sz w:val="20"/>
          <w:szCs w:val="20"/>
          <w:color w:val="auto"/>
        </w:rPr>
        <w:tab/>
      </w:r>
      <w:r>
        <w:rPr>
          <w:rFonts w:ascii="Times New Roman" w:cs="Times New Roman" w:eastAsia="Times New Roman" w:hAnsi="Times New Roman"/>
          <w:sz w:val="22"/>
          <w:szCs w:val="22"/>
          <w:u w:val="single" w:color="auto"/>
          <w:color w:val="auto"/>
        </w:rPr>
        <w:t>Equity Based Compensation</w:t>
      </w:r>
      <w:r>
        <w:rPr>
          <w:rFonts w:ascii="Times New Roman" w:cs="Times New Roman" w:eastAsia="Times New Roman" w:hAnsi="Times New Roman"/>
          <w:sz w:val="22"/>
          <w:szCs w:val="22"/>
          <w:color w:val="auto"/>
        </w:rPr>
        <w:t>. The Executive shall be eligible for annual grants under the LTIP and/or CSUP, as determined</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by the Board.</w:t>
      </w:r>
    </w:p>
    <w:p>
      <w:pPr>
        <w:spacing w:after="0" w:line="171" w:lineRule="exact"/>
        <w:rPr>
          <w:sz w:val="20"/>
          <w:szCs w:val="20"/>
          <w:color w:val="auto"/>
        </w:rPr>
      </w:pPr>
    </w:p>
    <w:p>
      <w:pPr>
        <w:ind w:left="660" w:right="240"/>
        <w:spacing w:after="0" w:line="271" w:lineRule="auto"/>
        <w:rPr>
          <w:sz w:val="20"/>
          <w:szCs w:val="20"/>
          <w:color w:val="auto"/>
        </w:rPr>
      </w:pPr>
      <w:r>
        <w:rPr>
          <w:rFonts w:ascii="Times New Roman" w:cs="Times New Roman" w:eastAsia="Times New Roman" w:hAnsi="Times New Roman"/>
          <w:sz w:val="22"/>
          <w:szCs w:val="22"/>
          <w:color w:val="auto"/>
        </w:rPr>
        <w:t>Nothing in this Agreement shall be interpreted as restricting the ability of the Corporation, acting through the Board, to amend, replace, or discontinue the LTIP and/or CSUP.</w:t>
      </w:r>
    </w:p>
    <w:p>
      <w:pPr>
        <w:spacing w:after="0" w:line="158" w:lineRule="exact"/>
        <w:rPr>
          <w:sz w:val="20"/>
          <w:szCs w:val="20"/>
          <w:color w:val="auto"/>
        </w:rPr>
      </w:pPr>
    </w:p>
    <w:p>
      <w:pPr>
        <w:ind w:left="660" w:right="260"/>
        <w:spacing w:after="0" w:line="295" w:lineRule="auto"/>
        <w:rPr>
          <w:sz w:val="20"/>
          <w:szCs w:val="20"/>
          <w:color w:val="auto"/>
        </w:rPr>
      </w:pPr>
      <w:r>
        <w:rPr>
          <w:rFonts w:ascii="Times New Roman" w:cs="Times New Roman" w:eastAsia="Times New Roman" w:hAnsi="Times New Roman"/>
          <w:sz w:val="21"/>
          <w:szCs w:val="21"/>
          <w:color w:val="auto"/>
        </w:rPr>
        <w:t>Sections 7.02, 14.02 and 21.09 of the current LTIP will not apply to any "</w:t>
      </w:r>
      <w:r>
        <w:rPr>
          <w:rFonts w:ascii="Times New Roman" w:cs="Times New Roman" w:eastAsia="Times New Roman" w:hAnsi="Times New Roman"/>
          <w:sz w:val="21"/>
          <w:szCs w:val="21"/>
          <w:u w:val="single" w:color="auto"/>
          <w:color w:val="auto"/>
        </w:rPr>
        <w:t>Options</w:t>
      </w:r>
      <w:r>
        <w:rPr>
          <w:rFonts w:ascii="Times New Roman" w:cs="Times New Roman" w:eastAsia="Times New Roman" w:hAnsi="Times New Roman"/>
          <w:sz w:val="21"/>
          <w:szCs w:val="21"/>
          <w:color w:val="auto"/>
        </w:rPr>
        <w:t>," Restricted Share Units ("</w:t>
      </w:r>
      <w:r>
        <w:rPr>
          <w:rFonts w:ascii="Times New Roman" w:cs="Times New Roman" w:eastAsia="Times New Roman" w:hAnsi="Times New Roman"/>
          <w:sz w:val="21"/>
          <w:szCs w:val="21"/>
          <w:u w:val="single" w:color="auto"/>
          <w:color w:val="auto"/>
        </w:rPr>
        <w:t>RSUs</w:t>
      </w:r>
      <w:r>
        <w:rPr>
          <w:rFonts w:ascii="Times New Roman" w:cs="Times New Roman" w:eastAsia="Times New Roman" w:hAnsi="Times New Roman"/>
          <w:sz w:val="21"/>
          <w:szCs w:val="21"/>
          <w:color w:val="auto"/>
        </w:rPr>
        <w:t>") or Performance Share Units ("</w:t>
      </w:r>
      <w:r>
        <w:rPr>
          <w:rFonts w:ascii="Times New Roman" w:cs="Times New Roman" w:eastAsia="Times New Roman" w:hAnsi="Times New Roman"/>
          <w:sz w:val="21"/>
          <w:szCs w:val="21"/>
          <w:u w:val="single" w:color="auto"/>
          <w:color w:val="auto"/>
        </w:rPr>
        <w:t>PSUs</w:t>
      </w:r>
      <w:r>
        <w:rPr>
          <w:rFonts w:ascii="Times New Roman" w:cs="Times New Roman" w:eastAsia="Times New Roman" w:hAnsi="Times New Roman"/>
          <w:sz w:val="21"/>
          <w:szCs w:val="21"/>
          <w:color w:val="auto"/>
        </w:rPr>
        <w:t>"), (each as defined in the LTIP) granted to the Executive under the LTIP. Instead,</w:t>
      </w:r>
    </w:p>
    <w:p>
      <w:pPr>
        <w:spacing w:after="0" w:line="135" w:lineRule="exact"/>
        <w:rPr>
          <w:sz w:val="20"/>
          <w:szCs w:val="20"/>
          <w:color w:val="auto"/>
        </w:rPr>
      </w:pPr>
    </w:p>
    <w:p>
      <w:pPr>
        <w:ind w:left="1960" w:right="20" w:hanging="656"/>
        <w:spacing w:after="0" w:line="263" w:lineRule="auto"/>
        <w:tabs>
          <w:tab w:leader="none" w:pos="1732"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Section 7.1 of the LTIP, if the Executive's employment is terminated at any time Without Cause all outstanding Options shall vest on the Termination Date and may be exercised in accordance with the terms of the LTIP;</w:t>
      </w:r>
    </w:p>
    <w:p>
      <w:pPr>
        <w:spacing w:after="0" w:line="167" w:lineRule="exact"/>
        <w:rPr>
          <w:rFonts w:ascii="Times New Roman" w:cs="Times New Roman" w:eastAsia="Times New Roman" w:hAnsi="Times New Roman"/>
          <w:sz w:val="22"/>
          <w:szCs w:val="22"/>
          <w:color w:val="auto"/>
        </w:rPr>
      </w:pPr>
    </w:p>
    <w:p>
      <w:pPr>
        <w:ind w:left="1960" w:right="340" w:hanging="656"/>
        <w:spacing w:after="0" w:line="256" w:lineRule="auto"/>
        <w:tabs>
          <w:tab w:leader="none" w:pos="1792"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Section 21 of the LTIP, if the Executive's employment is terminated at any time Without Cause, all outstanding RSUs and PSUs shall vest on the Termination Date. All PSUs shall vest as if the target level of performance specified in the conditions attaching to the Grant of the PSUs had been achieved as of the Termination Date;</w:t>
      </w:r>
    </w:p>
    <w:p>
      <w:pPr>
        <w:spacing w:after="0" w:line="176" w:lineRule="exact"/>
        <w:rPr>
          <w:rFonts w:ascii="Times New Roman" w:cs="Times New Roman" w:eastAsia="Times New Roman" w:hAnsi="Times New Roman"/>
          <w:sz w:val="22"/>
          <w:szCs w:val="22"/>
          <w:color w:val="auto"/>
        </w:rPr>
      </w:pPr>
    </w:p>
    <w:p>
      <w:pPr>
        <w:ind w:left="1960" w:right="320" w:hanging="656"/>
        <w:spacing w:after="0" w:line="257" w:lineRule="auto"/>
        <w:tabs>
          <w:tab w:leader="none" w:pos="1852"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the Executive resigns for Good Reason within the Change of Control Period or the Potential Change of Control Period, all outstanding RSUs and PSUs shall be governed in accordance with Section 6.02 of this Agreement.</w:t>
      </w:r>
    </w:p>
    <w:p>
      <w:pPr>
        <w:spacing w:after="0" w:line="173" w:lineRule="exact"/>
        <w:rPr>
          <w:sz w:val="20"/>
          <w:szCs w:val="20"/>
          <w:color w:val="auto"/>
        </w:rPr>
      </w:pPr>
    </w:p>
    <w:p>
      <w:pPr>
        <w:ind w:left="660" w:right="340"/>
        <w:spacing w:after="0" w:line="271" w:lineRule="auto"/>
        <w:rPr>
          <w:sz w:val="20"/>
          <w:szCs w:val="20"/>
          <w:color w:val="auto"/>
        </w:rPr>
      </w:pPr>
      <w:r>
        <w:rPr>
          <w:rFonts w:ascii="Times New Roman" w:cs="Times New Roman" w:eastAsia="Times New Roman" w:hAnsi="Times New Roman"/>
          <w:sz w:val="22"/>
          <w:szCs w:val="22"/>
          <w:color w:val="auto"/>
        </w:rPr>
        <w:t>Section 7.08 of the current CSUP will not apply to RSUs and PSUs granted to the Executive under the CSUP. Instead, notwithstanding Sections 6 and 7 of the CSUP, 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00"/>
          </w:cols>
          <w:pgMar w:left="320" w:top="1440" w:right="379" w:bottom="1440" w:gutter="0" w:footer="0" w:header="0"/>
        </w:sectPr>
      </w:pPr>
    </w:p>
    <w:bookmarkStart w:id="178" w:name="page179"/>
    <w:bookmarkEnd w:id="178"/>
    <w:p>
      <w:pPr>
        <w:spacing w:after="0" w:line="198" w:lineRule="exact"/>
        <w:rPr>
          <w:sz w:val="20"/>
          <w:szCs w:val="20"/>
          <w:color w:val="auto"/>
        </w:rPr>
      </w:pPr>
    </w:p>
    <w:p>
      <w:pPr>
        <w:jc w:val="both"/>
        <w:ind w:left="600" w:right="120" w:hanging="4"/>
        <w:spacing w:after="0" w:line="256" w:lineRule="auto"/>
        <w:tabs>
          <w:tab w:leader="none" w:pos="954"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Executive's employment is terminated at any time Without Cause, or (B) the Executive resigns for Good Reason within the Change of Control Period or the Potential Change of Control Period, all outstanding RSUs or PSUs shall vest on the Termination Date. All PSUs shall vest as if the target level of performance specified in the conditions attaching to the Grant of the PSUs had been achieved as of the Termination Date.</w:t>
      </w:r>
    </w:p>
    <w:p>
      <w:pPr>
        <w:spacing w:after="0" w:line="176" w:lineRule="exact"/>
        <w:rPr>
          <w:sz w:val="20"/>
          <w:szCs w:val="20"/>
          <w:color w:val="auto"/>
        </w:rPr>
      </w:pPr>
    </w:p>
    <w:p>
      <w:pPr>
        <w:ind w:left="540" w:right="100" w:hanging="647"/>
        <w:spacing w:after="0" w:line="257" w:lineRule="auto"/>
        <w:tabs>
          <w:tab w:leader="none" w:pos="520" w:val="left"/>
        </w:tabs>
        <w:rPr>
          <w:sz w:val="20"/>
          <w:szCs w:val="20"/>
          <w:color w:val="auto"/>
        </w:rPr>
      </w:pPr>
      <w:r>
        <w:rPr>
          <w:rFonts w:ascii="Times New Roman" w:cs="Times New Roman" w:eastAsia="Times New Roman" w:hAnsi="Times New Roman"/>
          <w:sz w:val="22"/>
          <w:szCs w:val="22"/>
          <w:color w:val="auto"/>
        </w:rPr>
        <w:t>5.05</w:t>
      </w:r>
      <w:r>
        <w:rPr>
          <w:sz w:val="20"/>
          <w:szCs w:val="20"/>
          <w:color w:val="auto"/>
        </w:rPr>
        <w:tab/>
      </w:r>
      <w:r>
        <w:rPr>
          <w:rFonts w:ascii="Times New Roman" w:cs="Times New Roman" w:eastAsia="Times New Roman" w:hAnsi="Times New Roman"/>
          <w:sz w:val="22"/>
          <w:szCs w:val="22"/>
          <w:u w:val="single" w:color="auto"/>
          <w:color w:val="auto"/>
        </w:rPr>
        <w:t>Pension Plans</w:t>
      </w:r>
      <w:r>
        <w:rPr>
          <w:rFonts w:ascii="Times New Roman" w:cs="Times New Roman" w:eastAsia="Times New Roman" w:hAnsi="Times New Roman"/>
          <w:sz w:val="22"/>
          <w:szCs w:val="22"/>
          <w:color w:val="auto"/>
        </w:rPr>
        <w:t>. Commencing on the Effective Date the Executive shall be eligible to participate in the Pension Plans, in</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accordance with the terms of such Pension Plans. Nothing in this Agreement shall be interpreted as restricting the ability of the Corporation to amend, replace or discontinue the Pension Plans.</w:t>
      </w:r>
    </w:p>
    <w:p>
      <w:pPr>
        <w:spacing w:after="0" w:line="17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The Executive shall cease to accrue benefits in the Canadian Pension Plans on the Effective Date.</w:t>
      </w:r>
    </w:p>
    <w:p>
      <w:pPr>
        <w:spacing w:after="0" w:line="233" w:lineRule="exact"/>
        <w:rPr>
          <w:sz w:val="20"/>
          <w:szCs w:val="20"/>
          <w:color w:val="auto"/>
        </w:rPr>
      </w:pPr>
    </w:p>
    <w:p>
      <w:pPr>
        <w:ind w:left="600" w:right="160"/>
        <w:spacing w:after="0" w:line="247" w:lineRule="auto"/>
        <w:rPr>
          <w:sz w:val="20"/>
          <w:szCs w:val="20"/>
          <w:color w:val="auto"/>
        </w:rPr>
      </w:pPr>
      <w:r>
        <w:rPr>
          <w:rFonts w:ascii="Times New Roman" w:cs="Times New Roman" w:eastAsia="Times New Roman" w:hAnsi="Times New Roman"/>
          <w:sz w:val="22"/>
          <w:szCs w:val="22"/>
          <w:color w:val="auto"/>
        </w:rPr>
        <w:t>Notwithstanding the terms of the Celestica International Inc. Supplemental Executive Retirement Plan (the "</w:t>
      </w:r>
      <w:r>
        <w:rPr>
          <w:rFonts w:ascii="Times New Roman" w:cs="Times New Roman" w:eastAsia="Times New Roman" w:hAnsi="Times New Roman"/>
          <w:sz w:val="22"/>
          <w:szCs w:val="22"/>
          <w:u w:val="single" w:color="auto"/>
          <w:color w:val="auto"/>
        </w:rPr>
        <w:t>Canadian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Supplemental Plan</w:t>
      </w:r>
      <w:r>
        <w:rPr>
          <w:rFonts w:ascii="Times New Roman" w:cs="Times New Roman" w:eastAsia="Times New Roman" w:hAnsi="Times New Roman"/>
          <w:sz w:val="22"/>
          <w:szCs w:val="22"/>
          <w:color w:val="auto"/>
        </w:rPr>
        <w:t>"), in exchange for the Executive being credited a notional account balance in the Celestica Corporation Supplemental Executive Retirement Plan (the "</w:t>
      </w:r>
      <w:r>
        <w:rPr>
          <w:rFonts w:ascii="Times New Roman" w:cs="Times New Roman" w:eastAsia="Times New Roman" w:hAnsi="Times New Roman"/>
          <w:sz w:val="22"/>
          <w:szCs w:val="22"/>
          <w:u w:val="single" w:color="auto"/>
          <w:color w:val="auto"/>
        </w:rPr>
        <w:t>U.S. Supplemental Plan</w:t>
      </w:r>
      <w:r>
        <w:rPr>
          <w:rFonts w:ascii="Times New Roman" w:cs="Times New Roman" w:eastAsia="Times New Roman" w:hAnsi="Times New Roman"/>
          <w:sz w:val="22"/>
          <w:szCs w:val="22"/>
          <w:color w:val="auto"/>
        </w:rPr>
        <w:t>") in an amount equal to the balance held in his account in the Canadian Supplemental Plan (using an exchange rate on the date of the exchange), the Executive shall have no further right or entitlement to any payment from the Canadian Supplemental Plan. The parties agree to affect such exchange as soon as reasonably practicable after the Effective Date, to the extent possible, in a manner that complies with, or is exempt from, the requirements of "Section 409A" (as defined below). If the exchange cannot be completed in a manner that is exempt from, or complies with, the requirements of Section 409A, then the Executive's entitlements under the Canadian Supplemental Plan for service prior to the Effective Date shall remain payable from the Canadian Supplemental Plan.</w:t>
      </w:r>
    </w:p>
    <w:p>
      <w:pPr>
        <w:spacing w:after="0" w:line="191" w:lineRule="exact"/>
        <w:rPr>
          <w:sz w:val="20"/>
          <w:szCs w:val="20"/>
          <w:color w:val="auto"/>
        </w:rPr>
      </w:pPr>
    </w:p>
    <w:p>
      <w:pPr>
        <w:ind w:left="540" w:hanging="647"/>
        <w:spacing w:after="0" w:line="284" w:lineRule="auto"/>
        <w:tabs>
          <w:tab w:leader="none" w:pos="520" w:val="left"/>
        </w:tabs>
        <w:rPr>
          <w:sz w:val="20"/>
          <w:szCs w:val="20"/>
          <w:color w:val="auto"/>
        </w:rPr>
      </w:pPr>
      <w:r>
        <w:rPr>
          <w:rFonts w:ascii="Times New Roman" w:cs="Times New Roman" w:eastAsia="Times New Roman" w:hAnsi="Times New Roman"/>
          <w:sz w:val="22"/>
          <w:szCs w:val="22"/>
          <w:color w:val="auto"/>
        </w:rPr>
        <w:t>5.06</w:t>
      </w:r>
      <w:r>
        <w:rPr>
          <w:sz w:val="20"/>
          <w:szCs w:val="20"/>
          <w:color w:val="auto"/>
        </w:rPr>
        <w:tab/>
      </w:r>
      <w:r>
        <w:rPr>
          <w:rFonts w:ascii="Times New Roman" w:cs="Times New Roman" w:eastAsia="Times New Roman" w:hAnsi="Times New Roman"/>
          <w:sz w:val="22"/>
          <w:szCs w:val="22"/>
          <w:u w:val="single" w:color="auto"/>
          <w:color w:val="auto"/>
        </w:rPr>
        <w:t>Benefits</w:t>
      </w:r>
      <w:r>
        <w:rPr>
          <w:rFonts w:ascii="Times New Roman" w:cs="Times New Roman" w:eastAsia="Times New Roman" w:hAnsi="Times New Roman"/>
          <w:sz w:val="22"/>
          <w:szCs w:val="22"/>
          <w:color w:val="auto"/>
        </w:rPr>
        <w:t>. The Executive shall be eligible to participate in the Benefit Plan in accordance with the terms of the Benefit Plan</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subject to the following:</w:t>
      </w:r>
    </w:p>
    <w:p>
      <w:pPr>
        <w:spacing w:after="0" w:line="144" w:lineRule="exact"/>
        <w:rPr>
          <w:sz w:val="20"/>
          <w:szCs w:val="20"/>
          <w:color w:val="auto"/>
        </w:rPr>
      </w:pPr>
    </w:p>
    <w:p>
      <w:pPr>
        <w:ind w:left="1240" w:right="500" w:hanging="644"/>
        <w:spacing w:after="0" w:line="271" w:lineRule="auto"/>
        <w:tabs>
          <w:tab w:leader="none" w:pos="1048"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Executive Medical</w:t>
      </w:r>
      <w:r>
        <w:rPr>
          <w:rFonts w:ascii="Times New Roman" w:cs="Times New Roman" w:eastAsia="Times New Roman" w:hAnsi="Times New Roman"/>
          <w:sz w:val="22"/>
          <w:szCs w:val="22"/>
          <w:color w:val="auto"/>
        </w:rPr>
        <w:t>. CLLC will provide the Executive with access to an annual executive medical examination. CLLC will pay for the cost of such examination;</w:t>
      </w:r>
    </w:p>
    <w:p>
      <w:pPr>
        <w:spacing w:after="0" w:line="157" w:lineRule="exact"/>
        <w:rPr>
          <w:rFonts w:ascii="Times New Roman" w:cs="Times New Roman" w:eastAsia="Times New Roman" w:hAnsi="Times New Roman"/>
          <w:sz w:val="22"/>
          <w:szCs w:val="22"/>
          <w:color w:val="auto"/>
        </w:rPr>
      </w:pPr>
    </w:p>
    <w:p>
      <w:pPr>
        <w:ind w:left="1240" w:right="20" w:hanging="644"/>
        <w:spacing w:after="0" w:line="271" w:lineRule="auto"/>
        <w:tabs>
          <w:tab w:leader="none" w:pos="1060"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Benefit Plan</w:t>
      </w:r>
      <w:r>
        <w:rPr>
          <w:rFonts w:ascii="Times New Roman" w:cs="Times New Roman" w:eastAsia="Times New Roman" w:hAnsi="Times New Roman"/>
          <w:sz w:val="22"/>
          <w:szCs w:val="22"/>
          <w:color w:val="auto"/>
        </w:rPr>
        <w:t>. Commencing on the Effective Date the Executive, and his spouse and children, shall be enrolled in the Benefit Plan in place from time to time and subject to the terms of the plan.</w:t>
      </w:r>
    </w:p>
    <w:p>
      <w:pPr>
        <w:spacing w:after="0" w:line="171" w:lineRule="exact"/>
        <w:rPr>
          <w:rFonts w:ascii="Times New Roman" w:cs="Times New Roman" w:eastAsia="Times New Roman" w:hAnsi="Times New Roman"/>
          <w:sz w:val="22"/>
          <w:szCs w:val="22"/>
          <w:color w:val="auto"/>
        </w:rPr>
      </w:pPr>
    </w:p>
    <w:p>
      <w:pPr>
        <w:ind w:left="1240" w:hanging="644"/>
        <w:spacing w:after="0" w:line="252" w:lineRule="auto"/>
        <w:tabs>
          <w:tab w:leader="none" w:pos="1048"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Enhanced Life Insurance</w:t>
      </w:r>
      <w:r>
        <w:rPr>
          <w:rFonts w:ascii="Times New Roman" w:cs="Times New Roman" w:eastAsia="Times New Roman" w:hAnsi="Times New Roman"/>
          <w:sz w:val="22"/>
          <w:szCs w:val="22"/>
          <w:color w:val="auto"/>
        </w:rPr>
        <w:t>. CLLC shall make available to the Executive enhanced life insurance coverage for the period he is actively at work with CLLC, to provide for life insurance coverage at a rate of three (3) times the Executive's Base Salary to a maximum of USA $1,500,000. The Executive shall notify CLLC if he wishes to elect to receive such coverage;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120"/>
          </w:cols>
          <w:pgMar w:left="380" w:top="1440" w:right="399" w:bottom="1440" w:gutter="0" w:footer="0" w:header="0"/>
        </w:sectPr>
      </w:pPr>
    </w:p>
    <w:bookmarkStart w:id="179" w:name="page180"/>
    <w:bookmarkEnd w:id="179"/>
    <w:p>
      <w:pPr>
        <w:spacing w:after="0" w:line="198" w:lineRule="exact"/>
        <w:rPr>
          <w:sz w:val="20"/>
          <w:szCs w:val="20"/>
          <w:color w:val="auto"/>
        </w:rPr>
      </w:pPr>
    </w:p>
    <w:p>
      <w:pPr>
        <w:ind w:left="1300" w:right="20" w:hanging="644"/>
        <w:spacing w:after="0" w:line="257" w:lineRule="auto"/>
        <w:tabs>
          <w:tab w:leader="none" w:pos="1120"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Enhanced Long Term Disability Benefits</w:t>
      </w:r>
      <w:r>
        <w:rPr>
          <w:rFonts w:ascii="Times New Roman" w:cs="Times New Roman" w:eastAsia="Times New Roman" w:hAnsi="Times New Roman"/>
          <w:sz w:val="22"/>
          <w:szCs w:val="22"/>
          <w:color w:val="auto"/>
        </w:rPr>
        <w:t>. CLLC shall make available to the Executive enhanced long term disability coverage of sixty percent (60%) of the Executive's Base Salary to a maximum monthly benefit amount of USA $25,000.</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Nothing in this Agreement shall be interpreted as restricting the ability of CLLC to amend or discontinue the Benefit Plan.</w:t>
      </w:r>
    </w:p>
    <w:p>
      <w:pPr>
        <w:spacing w:after="0" w:line="231" w:lineRule="exact"/>
        <w:rPr>
          <w:sz w:val="20"/>
          <w:szCs w:val="20"/>
          <w:color w:val="auto"/>
        </w:rPr>
      </w:pPr>
    </w:p>
    <w:p>
      <w:pPr>
        <w:jc w:val="both"/>
        <w:ind w:left="640" w:hanging="647"/>
        <w:spacing w:after="0" w:line="253" w:lineRule="auto"/>
        <w:tabs>
          <w:tab w:leader="none" w:pos="620" w:val="left"/>
        </w:tabs>
        <w:rPr>
          <w:sz w:val="20"/>
          <w:szCs w:val="20"/>
          <w:color w:val="auto"/>
        </w:rPr>
      </w:pPr>
      <w:r>
        <w:rPr>
          <w:rFonts w:ascii="Times New Roman" w:cs="Times New Roman" w:eastAsia="Times New Roman" w:hAnsi="Times New Roman"/>
          <w:sz w:val="22"/>
          <w:szCs w:val="22"/>
          <w:color w:val="auto"/>
        </w:rPr>
        <w:t>5.07</w:t>
      </w:r>
      <w:r>
        <w:rPr>
          <w:sz w:val="20"/>
          <w:szCs w:val="20"/>
          <w:color w:val="auto"/>
        </w:rPr>
        <w:tab/>
      </w:r>
      <w:r>
        <w:rPr>
          <w:rFonts w:ascii="Times New Roman" w:cs="Times New Roman" w:eastAsia="Times New Roman" w:hAnsi="Times New Roman"/>
          <w:sz w:val="22"/>
          <w:szCs w:val="22"/>
          <w:u w:val="single" w:color="auto"/>
          <w:color w:val="auto"/>
        </w:rPr>
        <w:t>Vacation</w:t>
      </w:r>
      <w:r>
        <w:rPr>
          <w:rFonts w:ascii="Times New Roman" w:cs="Times New Roman" w:eastAsia="Times New Roman" w:hAnsi="Times New Roman"/>
          <w:sz w:val="22"/>
          <w:szCs w:val="22"/>
          <w:color w:val="auto"/>
        </w:rPr>
        <w:t>. The Executive shall be entitled to four weeks' paid vacation in each completed year of employment under this</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Agreement pro-rated for partial years. Such vacation must be taken at a time or times acceptable to the Corporation having regard to its operations. All vacation entitlement must be taken in the year it is granted. The Executive shall not be entitled to carry forward any unused vacation to a future year, and any such unused vacation shall be forfeited. Notwithstanding the foregoing, the Executive shall receive no less vacation each year than is required under the ESA.</w:t>
      </w:r>
    </w:p>
    <w:p>
      <w:pPr>
        <w:spacing w:after="0" w:line="179" w:lineRule="exact"/>
        <w:rPr>
          <w:sz w:val="20"/>
          <w:szCs w:val="20"/>
          <w:color w:val="auto"/>
        </w:rPr>
      </w:pPr>
    </w:p>
    <w:p>
      <w:pPr>
        <w:ind w:left="600" w:right="20" w:hanging="647"/>
        <w:spacing w:after="0" w:line="249" w:lineRule="auto"/>
        <w:tabs>
          <w:tab w:leader="none" w:pos="580" w:val="left"/>
        </w:tabs>
        <w:rPr>
          <w:sz w:val="20"/>
          <w:szCs w:val="20"/>
          <w:color w:val="auto"/>
        </w:rPr>
      </w:pPr>
      <w:r>
        <w:rPr>
          <w:rFonts w:ascii="Times New Roman" w:cs="Times New Roman" w:eastAsia="Times New Roman" w:hAnsi="Times New Roman"/>
          <w:sz w:val="22"/>
          <w:szCs w:val="22"/>
          <w:color w:val="auto"/>
        </w:rPr>
        <w:t>5.08</w:t>
      </w:r>
      <w:r>
        <w:rPr>
          <w:sz w:val="20"/>
          <w:szCs w:val="20"/>
          <w:color w:val="auto"/>
        </w:rPr>
        <w:tab/>
      </w:r>
      <w:r>
        <w:rPr>
          <w:rFonts w:ascii="Times New Roman" w:cs="Times New Roman" w:eastAsia="Times New Roman" w:hAnsi="Times New Roman"/>
          <w:sz w:val="22"/>
          <w:szCs w:val="22"/>
          <w:u w:val="single" w:color="auto"/>
          <w:color w:val="auto"/>
        </w:rPr>
        <w:t>Expenses</w:t>
      </w:r>
      <w:r>
        <w:rPr>
          <w:rFonts w:ascii="Times New Roman" w:cs="Times New Roman" w:eastAsia="Times New Roman" w:hAnsi="Times New Roman"/>
          <w:sz w:val="22"/>
          <w:szCs w:val="22"/>
          <w:color w:val="auto"/>
        </w:rPr>
        <w:t>. The Executive shall be reimbursed for all reasonable travelling, entertainment and other out-of-pocket business</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expenses actually and properly incurred by him in connection with his duties hereunder as permitted under the Corporation's expense policy in place from time to time and as may be amended or discontinued in the sole discretion of the Corporation or the Board. For all such expenses in respect of which the Executive seeks reimbursement, the Executive shall furnish to CLLC or CILP, as applicable, detailed statements satisfactory to them evidencing the claimed expense, its amount and proof of payment, as and when required by them. The Executive will be reimbursed by CLLC or CILP, as applicable, depending on whether the expense was incurred in relation to his performance of duties for a specific subsidiary.</w:t>
      </w:r>
    </w:p>
    <w:p>
      <w:pPr>
        <w:spacing w:after="0" w:line="182" w:lineRule="exact"/>
        <w:rPr>
          <w:sz w:val="20"/>
          <w:szCs w:val="20"/>
          <w:color w:val="auto"/>
        </w:rPr>
      </w:pPr>
    </w:p>
    <w:p>
      <w:pPr>
        <w:ind w:left="660" w:right="100"/>
        <w:spacing w:after="0" w:line="263" w:lineRule="auto"/>
        <w:rPr>
          <w:sz w:val="20"/>
          <w:szCs w:val="20"/>
          <w:color w:val="auto"/>
        </w:rPr>
      </w:pPr>
      <w:r>
        <w:rPr>
          <w:rFonts w:ascii="Times New Roman" w:cs="Times New Roman" w:eastAsia="Times New Roman" w:hAnsi="Times New Roman"/>
          <w:sz w:val="22"/>
          <w:szCs w:val="22"/>
          <w:color w:val="auto"/>
        </w:rPr>
        <w:t>Notwithstanding Celestica's expense policy, the Executive shall be reimbursed for business class travel for all airfare within North America, domestic continental USA, or globally including travel between the Executive's New Hampshire's office location and Celestica's Head office in Toronto, Ontario.</w:t>
      </w:r>
    </w:p>
    <w:p>
      <w:pPr>
        <w:spacing w:after="0" w:line="167" w:lineRule="exact"/>
        <w:rPr>
          <w:sz w:val="20"/>
          <w:szCs w:val="20"/>
          <w:color w:val="auto"/>
        </w:rPr>
      </w:pPr>
    </w:p>
    <w:p>
      <w:pPr>
        <w:ind w:left="660" w:right="40"/>
        <w:spacing w:after="0" w:line="257" w:lineRule="auto"/>
        <w:rPr>
          <w:sz w:val="20"/>
          <w:szCs w:val="20"/>
          <w:color w:val="auto"/>
        </w:rPr>
      </w:pPr>
      <w:r>
        <w:rPr>
          <w:rFonts w:ascii="Times New Roman" w:cs="Times New Roman" w:eastAsia="Times New Roman" w:hAnsi="Times New Roman"/>
          <w:sz w:val="22"/>
          <w:szCs w:val="22"/>
          <w:color w:val="auto"/>
        </w:rPr>
        <w:t>The Executive's spouse and child (ren) shall be reimbursed for airfares between Ontario. Canada and New Hampshire, USA to a maximum of USA $50,000 until the maximum travel allowance is used. Any such reimbursement shall be made no later than March 15th of the year following the year in which the Executive incurs the expense.</w:t>
      </w:r>
    </w:p>
    <w:p>
      <w:pPr>
        <w:spacing w:after="0" w:line="173" w:lineRule="exact"/>
        <w:rPr>
          <w:sz w:val="20"/>
          <w:szCs w:val="20"/>
          <w:color w:val="auto"/>
        </w:rPr>
      </w:pPr>
    </w:p>
    <w:p>
      <w:pPr>
        <w:ind w:left="600" w:right="300" w:hanging="647"/>
        <w:spacing w:after="0" w:line="284" w:lineRule="auto"/>
        <w:tabs>
          <w:tab w:leader="none" w:pos="580" w:val="left"/>
        </w:tabs>
        <w:rPr>
          <w:sz w:val="20"/>
          <w:szCs w:val="20"/>
          <w:color w:val="auto"/>
        </w:rPr>
      </w:pPr>
      <w:r>
        <w:rPr>
          <w:rFonts w:ascii="Times New Roman" w:cs="Times New Roman" w:eastAsia="Times New Roman" w:hAnsi="Times New Roman"/>
          <w:sz w:val="22"/>
          <w:szCs w:val="22"/>
          <w:color w:val="auto"/>
        </w:rPr>
        <w:t>5.09</w:t>
      </w:r>
      <w:r>
        <w:rPr>
          <w:sz w:val="20"/>
          <w:szCs w:val="20"/>
          <w:color w:val="auto"/>
        </w:rPr>
        <w:tab/>
      </w:r>
      <w:r>
        <w:rPr>
          <w:rFonts w:ascii="Times New Roman" w:cs="Times New Roman" w:eastAsia="Times New Roman" w:hAnsi="Times New Roman"/>
          <w:sz w:val="22"/>
          <w:szCs w:val="22"/>
          <w:u w:val="single" w:color="auto"/>
          <w:color w:val="auto"/>
        </w:rPr>
        <w:t>Living Accommodations</w:t>
      </w:r>
      <w:r>
        <w:rPr>
          <w:rFonts w:ascii="Times New Roman" w:cs="Times New Roman" w:eastAsia="Times New Roman" w:hAnsi="Times New Roman"/>
          <w:sz w:val="22"/>
          <w:szCs w:val="22"/>
          <w:color w:val="auto"/>
        </w:rPr>
        <w:t>. CILP shall pay for the Executive's housing accommodation while he is working at Celestica's</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head office in the Greater Toronto Area, Ontario, to an annual maximum of CAD $100,000.</w:t>
      </w:r>
    </w:p>
    <w:p>
      <w:pPr>
        <w:spacing w:after="0" w:line="144" w:lineRule="exact"/>
        <w:rPr>
          <w:sz w:val="20"/>
          <w:szCs w:val="20"/>
          <w:color w:val="auto"/>
        </w:rPr>
      </w:pPr>
    </w:p>
    <w:p>
      <w:pPr>
        <w:ind w:left="600" w:right="80" w:hanging="647"/>
        <w:spacing w:after="0" w:line="252" w:lineRule="auto"/>
        <w:tabs>
          <w:tab w:leader="none" w:pos="580" w:val="left"/>
        </w:tabs>
        <w:rPr>
          <w:sz w:val="20"/>
          <w:szCs w:val="20"/>
          <w:color w:val="auto"/>
        </w:rPr>
      </w:pPr>
      <w:r>
        <w:rPr>
          <w:rFonts w:ascii="Times New Roman" w:cs="Times New Roman" w:eastAsia="Times New Roman" w:hAnsi="Times New Roman"/>
          <w:sz w:val="22"/>
          <w:szCs w:val="22"/>
          <w:color w:val="auto"/>
        </w:rPr>
        <w:t>5.10</w:t>
      </w:r>
      <w:r>
        <w:rPr>
          <w:sz w:val="20"/>
          <w:szCs w:val="20"/>
          <w:color w:val="auto"/>
        </w:rPr>
        <w:tab/>
      </w:r>
      <w:r>
        <w:rPr>
          <w:rFonts w:ascii="Times New Roman" w:cs="Times New Roman" w:eastAsia="Times New Roman" w:hAnsi="Times New Roman"/>
          <w:sz w:val="22"/>
          <w:szCs w:val="22"/>
          <w:u w:val="single" w:color="auto"/>
          <w:color w:val="auto"/>
        </w:rPr>
        <w:t>Relocation</w:t>
      </w:r>
      <w:r>
        <w:rPr>
          <w:rFonts w:ascii="Times New Roman" w:cs="Times New Roman" w:eastAsia="Times New Roman" w:hAnsi="Times New Roman"/>
          <w:sz w:val="22"/>
          <w:szCs w:val="22"/>
          <w:color w:val="auto"/>
        </w:rPr>
        <w:t>. CILP will pay for relocation expenses for the Executive in accordance with its Relocation Policy ("</w:t>
      </w:r>
      <w:r>
        <w:rPr>
          <w:rFonts w:ascii="Times New Roman" w:cs="Times New Roman" w:eastAsia="Times New Roman" w:hAnsi="Times New Roman"/>
          <w:sz w:val="22"/>
          <w:szCs w:val="22"/>
          <w:u w:val="single" w:color="auto"/>
          <w:color w:val="auto"/>
        </w:rPr>
        <w:t>Relocation Policy</w:t>
      </w:r>
      <w:r>
        <w:rPr>
          <w:rFonts w:ascii="Times New Roman" w:cs="Times New Roman" w:eastAsia="Times New Roman" w:hAnsi="Times New Roman"/>
          <w:sz w:val="22"/>
          <w:szCs w:val="22"/>
          <w:color w:val="auto"/>
        </w:rPr>
        <w:t>") in order to facilitate the Executive's living accommodation while he is working at Celestica's head office in the Greater Toronto Area, Ontario. In the event of a termination of this Agreement prior to the Executive's fifth (5th) anniversary of employment, in accordance with the Relocation Policy, CLLC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1440" w:right="339" w:bottom="1440" w:gutter="0" w:footer="0" w:header="0"/>
        </w:sectPr>
      </w:pPr>
    </w:p>
    <w:bookmarkStart w:id="180" w:name="page181"/>
    <w:bookmarkEnd w:id="180"/>
    <w:p>
      <w:pPr>
        <w:jc w:val="center"/>
        <w:ind w:right="200"/>
        <w:spacing w:after="0"/>
        <w:rPr>
          <w:sz w:val="20"/>
          <w:szCs w:val="20"/>
          <w:color w:val="auto"/>
        </w:rPr>
      </w:pPr>
      <w:r>
        <w:rPr>
          <w:rFonts w:ascii="Times New Roman" w:cs="Times New Roman" w:eastAsia="Times New Roman" w:hAnsi="Times New Roman"/>
          <w:sz w:val="22"/>
          <w:szCs w:val="22"/>
          <w:color w:val="auto"/>
        </w:rPr>
        <w:t>will pay for the Executive to ship all moveable property, and airfare for the Executive, to intercontinental U.S.A.</w:t>
      </w:r>
    </w:p>
    <w:p>
      <w:pPr>
        <w:spacing w:after="0" w:line="220" w:lineRule="exact"/>
        <w:rPr>
          <w:sz w:val="20"/>
          <w:szCs w:val="20"/>
          <w:color w:val="auto"/>
        </w:rPr>
      </w:pPr>
    </w:p>
    <w:p>
      <w:pPr>
        <w:ind w:left="600" w:right="200" w:hanging="647"/>
        <w:spacing w:after="0" w:line="271" w:lineRule="auto"/>
        <w:tabs>
          <w:tab w:leader="none" w:pos="580" w:val="left"/>
        </w:tabs>
        <w:rPr>
          <w:sz w:val="20"/>
          <w:szCs w:val="20"/>
          <w:color w:val="auto"/>
        </w:rPr>
      </w:pPr>
      <w:r>
        <w:rPr>
          <w:rFonts w:ascii="Times New Roman" w:cs="Times New Roman" w:eastAsia="Times New Roman" w:hAnsi="Times New Roman"/>
          <w:sz w:val="22"/>
          <w:szCs w:val="22"/>
          <w:color w:val="auto"/>
        </w:rPr>
        <w:t>5.11</w:t>
      </w:r>
      <w:r>
        <w:rPr>
          <w:sz w:val="20"/>
          <w:szCs w:val="20"/>
          <w:color w:val="auto"/>
        </w:rPr>
        <w:tab/>
      </w:r>
      <w:r>
        <w:rPr>
          <w:rFonts w:ascii="Times New Roman" w:cs="Times New Roman" w:eastAsia="Times New Roman" w:hAnsi="Times New Roman"/>
          <w:sz w:val="22"/>
          <w:szCs w:val="22"/>
          <w:u w:val="single" w:color="auto"/>
          <w:color w:val="auto"/>
        </w:rPr>
        <w:t>Tax Assistance</w:t>
      </w:r>
      <w:r>
        <w:rPr>
          <w:rFonts w:ascii="Times New Roman" w:cs="Times New Roman" w:eastAsia="Times New Roman" w:hAnsi="Times New Roman"/>
          <w:sz w:val="22"/>
          <w:szCs w:val="22"/>
          <w:color w:val="auto"/>
        </w:rPr>
        <w:t>. CLLC shall arrange for tax advice and preparation for the Executive's Canadian and USA tax filings, for</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the duration of this Agreement. It is understood that this may be considered a taxable benefit.</w:t>
      </w:r>
    </w:p>
    <w:p>
      <w:pPr>
        <w:spacing w:after="0" w:line="171" w:lineRule="exact"/>
        <w:rPr>
          <w:sz w:val="20"/>
          <w:szCs w:val="20"/>
          <w:color w:val="auto"/>
        </w:rPr>
      </w:pPr>
    </w:p>
    <w:p>
      <w:pPr>
        <w:jc w:val="center"/>
        <w:ind w:right="140"/>
        <w:spacing w:after="0" w:line="254" w:lineRule="auto"/>
        <w:rPr>
          <w:sz w:val="20"/>
          <w:szCs w:val="20"/>
          <w:color w:val="auto"/>
        </w:rPr>
      </w:pPr>
      <w:r>
        <w:rPr>
          <w:rFonts w:ascii="Times New Roman" w:cs="Times New Roman" w:eastAsia="Times New Roman" w:hAnsi="Times New Roman"/>
          <w:sz w:val="22"/>
          <w:szCs w:val="22"/>
          <w:color w:val="auto"/>
        </w:rPr>
        <w:t xml:space="preserve">5.12  </w:t>
      </w:r>
      <w:r>
        <w:rPr>
          <w:rFonts w:ascii="Times New Roman" w:cs="Times New Roman" w:eastAsia="Times New Roman" w:hAnsi="Times New Roman"/>
          <w:sz w:val="22"/>
          <w:szCs w:val="22"/>
          <w:u w:val="single" w:color="auto"/>
          <w:color w:val="auto"/>
        </w:rPr>
        <w:t>Section 409A</w:t>
      </w:r>
      <w:r>
        <w:rPr>
          <w:rFonts w:ascii="Times New Roman" w:cs="Times New Roman" w:eastAsia="Times New Roman" w:hAnsi="Times New Roman"/>
          <w:sz w:val="22"/>
          <w:szCs w:val="22"/>
          <w:color w:val="auto"/>
        </w:rPr>
        <w:t>. The parties agree that it is their intent that the payments and benefits under this Agreement comply with or be exempt from Section 409A of the Code and the regulations and guidance promulgated thereunder (collectively</w:t>
      </w:r>
    </w:p>
    <w:p>
      <w:pPr>
        <w:spacing w:after="0" w:line="2" w:lineRule="exact"/>
        <w:rPr>
          <w:sz w:val="20"/>
          <w:szCs w:val="20"/>
          <w:color w:val="auto"/>
        </w:rPr>
      </w:pPr>
    </w:p>
    <w:p>
      <w:pPr>
        <w:ind w:left="660" w:right="260"/>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Section 409A</w:t>
      </w:r>
      <w:r>
        <w:rPr>
          <w:rFonts w:ascii="Times New Roman" w:cs="Times New Roman" w:eastAsia="Times New Roman" w:hAnsi="Times New Roman"/>
          <w:sz w:val="22"/>
          <w:szCs w:val="22"/>
          <w:color w:val="auto"/>
        </w:rPr>
        <w:t>") to the extent applicable, and this Agreement shall be interpreted to comply with or be exempt from Section 409A, and all provisions of this Agreement shall be construed in a manner consistent with the requirements for avoiding taxes or penalties under Section 409A. In no event shall the Corporation have any liability to the Executive or any other person due to the failure of this Agreement or any payment or benefit hereunder to comply with or be exempt from Section 409A.</w:t>
      </w:r>
    </w:p>
    <w:p>
      <w:pPr>
        <w:spacing w:after="0" w:line="186" w:lineRule="exact"/>
        <w:rPr>
          <w:sz w:val="20"/>
          <w:szCs w:val="20"/>
          <w:color w:val="auto"/>
        </w:rPr>
      </w:pPr>
    </w:p>
    <w:p>
      <w:pPr>
        <w:ind w:left="660" w:right="520"/>
        <w:spacing w:after="0" w:line="266" w:lineRule="auto"/>
        <w:rPr>
          <w:sz w:val="20"/>
          <w:szCs w:val="20"/>
          <w:color w:val="auto"/>
        </w:rPr>
      </w:pPr>
      <w:r>
        <w:rPr>
          <w:rFonts w:ascii="Times New Roman" w:cs="Times New Roman" w:eastAsia="Times New Roman" w:hAnsi="Times New Roman"/>
          <w:sz w:val="21"/>
          <w:szCs w:val="21"/>
          <w:color w:val="auto"/>
        </w:rPr>
        <w:t>A termination of employment shall not be deemed to have occurred for purposes of any provision of this Agreement providing for the payment of any amounts or benefits considered "nonqualified deferred compensation" under</w:t>
      </w:r>
    </w:p>
    <w:p>
      <w:pPr>
        <w:spacing w:after="0" w:line="2" w:lineRule="exact"/>
        <w:rPr>
          <w:sz w:val="20"/>
          <w:szCs w:val="20"/>
          <w:color w:val="auto"/>
        </w:rPr>
      </w:pPr>
    </w:p>
    <w:p>
      <w:pPr>
        <w:ind w:left="660" w:right="40"/>
        <w:spacing w:after="0" w:line="258" w:lineRule="auto"/>
        <w:rPr>
          <w:sz w:val="20"/>
          <w:szCs w:val="20"/>
          <w:color w:val="auto"/>
        </w:rPr>
      </w:pPr>
      <w:r>
        <w:rPr>
          <w:rFonts w:ascii="Times New Roman" w:cs="Times New Roman" w:eastAsia="Times New Roman" w:hAnsi="Times New Roman"/>
          <w:sz w:val="21"/>
          <w:szCs w:val="21"/>
          <w:color w:val="auto"/>
        </w:rPr>
        <w:t>Section 409A upon or following a termination of employment unless such termination is also a "separation from service" within the meaning of Section 409A and, for purposes of any such provision of this Agreement, references to a "termination," "termination of employment" or like terms shall mean "separation from service." If the Executive is deemed on the date of termination to be a "specified employee" within the meaning of that term under Section 409A(a)(2)</w:t>
      </w:r>
    </w:p>
    <w:p>
      <w:pPr>
        <w:spacing w:after="0" w:line="1" w:lineRule="exact"/>
        <w:rPr>
          <w:sz w:val="20"/>
          <w:szCs w:val="20"/>
          <w:color w:val="auto"/>
        </w:rPr>
      </w:pPr>
    </w:p>
    <w:p>
      <w:pPr>
        <w:ind w:left="660" w:hanging="4"/>
        <w:spacing w:after="0" w:line="247" w:lineRule="auto"/>
        <w:tabs>
          <w:tab w:leader="none" w:pos="1002"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the Code, then with regard to any payment or the provision of any benefit that is considered nonqualified deferred compensation under Section 409A payable on account of a "separation from service," such payment or benefit shall not be made or provided prior to the date which is the earlier of (i) the expiration of the six (6)-month period measured from the date of such "separation from service" of the Executive, and (ii) the date of the Executive's death (as applicable, the "</w:t>
      </w:r>
      <w:r>
        <w:rPr>
          <w:rFonts w:ascii="Times New Roman" w:cs="Times New Roman" w:eastAsia="Times New Roman" w:hAnsi="Times New Roman"/>
          <w:sz w:val="22"/>
          <w:szCs w:val="22"/>
          <w:u w:val="single" w:color="auto"/>
          <w:color w:val="auto"/>
        </w:rPr>
        <w:t>Delay Period</w:t>
      </w:r>
      <w:r>
        <w:rPr>
          <w:rFonts w:ascii="Times New Roman" w:cs="Times New Roman" w:eastAsia="Times New Roman" w:hAnsi="Times New Roman"/>
          <w:sz w:val="22"/>
          <w:szCs w:val="22"/>
          <w:color w:val="auto"/>
        </w:rPr>
        <w:t>"). All payments and benefits delayed pursuant to this Section 5.12 (whether they would have otherwise been payable in a single lump sum or in installments in the absence of such delay) shall be paid or reimbursed on the first business day following the expiration of the Delay Period to the Executive in a lump sum, and any remaining payments and benefits due under this Agreement shall be paid or provided in accordance with the normal payment dates specified for them herein.</w:t>
      </w:r>
    </w:p>
    <w:p>
      <w:pPr>
        <w:spacing w:after="0" w:line="184" w:lineRule="exact"/>
        <w:rPr>
          <w:sz w:val="20"/>
          <w:szCs w:val="20"/>
          <w:color w:val="auto"/>
        </w:rPr>
      </w:pPr>
    </w:p>
    <w:p>
      <w:pPr>
        <w:ind w:left="600" w:right="60" w:hanging="647"/>
        <w:spacing w:after="0" w:line="251" w:lineRule="auto"/>
        <w:tabs>
          <w:tab w:leader="none" w:pos="580" w:val="left"/>
        </w:tabs>
        <w:rPr>
          <w:sz w:val="20"/>
          <w:szCs w:val="20"/>
          <w:color w:val="auto"/>
        </w:rPr>
      </w:pPr>
      <w:r>
        <w:rPr>
          <w:rFonts w:ascii="Times New Roman" w:cs="Times New Roman" w:eastAsia="Times New Roman" w:hAnsi="Times New Roman"/>
          <w:sz w:val="22"/>
          <w:szCs w:val="22"/>
          <w:color w:val="auto"/>
        </w:rPr>
        <w:t>5.13</w:t>
        <w:tab/>
        <w:t>Each payment made under this Agreement shall be designated as a "separate payment" within the meaning of Section 409A. All reimbursements and in-kind benefits provided under this Agreement shall be made or provided in accordance with the requirements of Section 409A to the extent that such reimbursements or in- kind benefits are subject to Section 409A. All reimbursements for expenses paid pursuant hereto that constitute taxable income to the Executive shall in no event be paid later than the end of the year next following the year in which the Executive incurs such expense or pays such related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40"/>
          </w:cols>
          <w:pgMar w:left="320" w:top="1422" w:right="339" w:bottom="1440" w:gutter="0" w:footer="0" w:header="0"/>
        </w:sectPr>
      </w:pPr>
    </w:p>
    <w:bookmarkStart w:id="181" w:name="page182"/>
    <w:bookmarkEnd w:id="181"/>
    <w:p>
      <w:pPr>
        <w:spacing w:after="0" w:line="198" w:lineRule="exact"/>
        <w:rPr>
          <w:sz w:val="20"/>
          <w:szCs w:val="20"/>
          <w:color w:val="auto"/>
        </w:rPr>
      </w:pPr>
    </w:p>
    <w:p>
      <w:pPr>
        <w:ind w:left="660" w:right="20"/>
        <w:spacing w:after="0" w:line="250" w:lineRule="auto"/>
        <w:rPr>
          <w:sz w:val="20"/>
          <w:szCs w:val="20"/>
          <w:color w:val="auto"/>
        </w:rPr>
      </w:pPr>
      <w:r>
        <w:rPr>
          <w:rFonts w:ascii="Times New Roman" w:cs="Times New Roman" w:eastAsia="Times New Roman" w:hAnsi="Times New Roman"/>
          <w:sz w:val="22"/>
          <w:szCs w:val="22"/>
          <w:color w:val="auto"/>
        </w:rPr>
        <w:t>tax. Unless otherwise permitted by Section 409A, the right to reimbursement or in-kind benefits under this Agreement shall not be subject to liquidation or exchange for another benefit and the amount of expenses eligible for reimbursement, or in-kind benefits, provided during any taxable year shall not affect the expenses eligible for reimbursement, or in-kind benefits to be provided, respectively, in any other taxable year. Whenever a payment under this Agreement specifies a payment period with reference to a number of days (e.g., "payment shall be made within seventy-five (75) days following the Executive's Termination Date"), the actual date of payment within the specified period shall be within the sole discretion of the Corporation.</w:t>
      </w:r>
    </w:p>
    <w:p>
      <w:pPr>
        <w:spacing w:after="0" w:line="180" w:lineRule="exact"/>
        <w:rPr>
          <w:sz w:val="20"/>
          <w:szCs w:val="20"/>
          <w:color w:val="auto"/>
        </w:rPr>
      </w:pPr>
    </w:p>
    <w:p>
      <w:pPr>
        <w:jc w:val="both"/>
        <w:ind w:left="600" w:hanging="647"/>
        <w:spacing w:after="0" w:line="263" w:lineRule="auto"/>
        <w:tabs>
          <w:tab w:leader="none" w:pos="580" w:val="left"/>
        </w:tabs>
        <w:rPr>
          <w:sz w:val="20"/>
          <w:szCs w:val="20"/>
          <w:color w:val="auto"/>
        </w:rPr>
      </w:pPr>
      <w:r>
        <w:rPr>
          <w:rFonts w:ascii="Times New Roman" w:cs="Times New Roman" w:eastAsia="Times New Roman" w:hAnsi="Times New Roman"/>
          <w:sz w:val="22"/>
          <w:szCs w:val="22"/>
          <w:color w:val="auto"/>
        </w:rPr>
        <w:t>5.14</w:t>
      </w:r>
      <w:r>
        <w:rPr>
          <w:sz w:val="20"/>
          <w:szCs w:val="20"/>
          <w:color w:val="auto"/>
        </w:rPr>
        <w:tab/>
      </w:r>
      <w:r>
        <w:rPr>
          <w:rFonts w:ascii="Times New Roman" w:cs="Times New Roman" w:eastAsia="Times New Roman" w:hAnsi="Times New Roman"/>
          <w:sz w:val="22"/>
          <w:szCs w:val="22"/>
          <w:u w:val="single" w:color="auto"/>
          <w:color w:val="auto"/>
        </w:rPr>
        <w:t>Work Visa</w:t>
      </w:r>
      <w:r>
        <w:rPr>
          <w:rFonts w:ascii="Times New Roman" w:cs="Times New Roman" w:eastAsia="Times New Roman" w:hAnsi="Times New Roman"/>
          <w:sz w:val="22"/>
          <w:szCs w:val="22"/>
          <w:color w:val="auto"/>
        </w:rPr>
        <w:t>. Upon receipt of any required information and documentation from the Executive, Celestica, CILP or CLLC or</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any one of them, shall and at its or their expense, make all necessary arrangements with respect to the application for such approvals and permits as are required for the Executive to work in Canada.</w:t>
      </w:r>
    </w:p>
    <w:p>
      <w:pPr>
        <w:spacing w:after="0" w:line="167" w:lineRule="exact"/>
        <w:rPr>
          <w:sz w:val="20"/>
          <w:szCs w:val="20"/>
          <w:color w:val="auto"/>
        </w:rPr>
      </w:pPr>
    </w:p>
    <w:p>
      <w:pPr>
        <w:ind w:left="600" w:right="80" w:hanging="647"/>
        <w:spacing w:after="0" w:line="257" w:lineRule="auto"/>
        <w:tabs>
          <w:tab w:leader="none" w:pos="580" w:val="left"/>
        </w:tabs>
        <w:rPr>
          <w:sz w:val="20"/>
          <w:szCs w:val="20"/>
          <w:color w:val="auto"/>
        </w:rPr>
      </w:pPr>
      <w:r>
        <w:rPr>
          <w:rFonts w:ascii="Times New Roman" w:cs="Times New Roman" w:eastAsia="Times New Roman" w:hAnsi="Times New Roman"/>
          <w:sz w:val="22"/>
          <w:szCs w:val="22"/>
          <w:color w:val="auto"/>
        </w:rPr>
        <w:t>5.15</w:t>
      </w:r>
      <w:r>
        <w:rPr>
          <w:sz w:val="20"/>
          <w:szCs w:val="20"/>
          <w:color w:val="auto"/>
        </w:rPr>
        <w:tab/>
      </w:r>
      <w:r>
        <w:rPr>
          <w:rFonts w:ascii="Times New Roman" w:cs="Times New Roman" w:eastAsia="Times New Roman" w:hAnsi="Times New Roman"/>
          <w:sz w:val="22"/>
          <w:szCs w:val="22"/>
          <w:u w:val="single" w:color="auto"/>
          <w:color w:val="auto"/>
        </w:rPr>
        <w:t>Annual Review of Compensation and Benefits</w:t>
      </w:r>
      <w:r>
        <w:rPr>
          <w:rFonts w:ascii="Times New Roman" w:cs="Times New Roman" w:eastAsia="Times New Roman" w:hAnsi="Times New Roman"/>
          <w:sz w:val="22"/>
          <w:szCs w:val="22"/>
          <w:color w:val="auto"/>
        </w:rPr>
        <w:t>. On an annual basis the Board shall review the terms of the Executive's</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compensation and benefits and may change such terms as in the sole discretion of the Board is necessary and appropriate to maintain competitive advantage in the marketplace.</w:t>
      </w:r>
    </w:p>
    <w:p>
      <w:pPr>
        <w:spacing w:after="0" w:line="173" w:lineRule="exact"/>
        <w:rPr>
          <w:sz w:val="20"/>
          <w:szCs w:val="20"/>
          <w:color w:val="auto"/>
        </w:rPr>
      </w:pPr>
    </w:p>
    <w:p>
      <w:pPr>
        <w:ind w:left="600" w:right="100" w:hanging="647"/>
        <w:spacing w:after="0" w:line="268" w:lineRule="auto"/>
        <w:tabs>
          <w:tab w:leader="none" w:pos="580" w:val="left"/>
        </w:tabs>
        <w:rPr>
          <w:sz w:val="20"/>
          <w:szCs w:val="20"/>
          <w:color w:val="auto"/>
        </w:rPr>
      </w:pPr>
      <w:r>
        <w:rPr>
          <w:rFonts w:ascii="Times New Roman" w:cs="Times New Roman" w:eastAsia="Times New Roman" w:hAnsi="Times New Roman"/>
          <w:sz w:val="22"/>
          <w:szCs w:val="22"/>
          <w:color w:val="auto"/>
        </w:rPr>
        <w:t>5.16</w:t>
      </w:r>
      <w:r>
        <w:rPr>
          <w:sz w:val="20"/>
          <w:szCs w:val="20"/>
          <w:color w:val="auto"/>
        </w:rPr>
        <w:tab/>
      </w:r>
      <w:r>
        <w:rPr>
          <w:rFonts w:ascii="Times New Roman" w:cs="Times New Roman" w:eastAsia="Times New Roman" w:hAnsi="Times New Roman"/>
          <w:sz w:val="21"/>
          <w:szCs w:val="21"/>
          <w:u w:val="single" w:color="auto"/>
          <w:color w:val="auto"/>
        </w:rPr>
        <w:t>Unilateral Right to Amend or Terminate Employee Plans</w:t>
      </w:r>
      <w:r>
        <w:rPr>
          <w:rFonts w:ascii="Times New Roman" w:cs="Times New Roman" w:eastAsia="Times New Roman" w:hAnsi="Times New Roman"/>
          <w:sz w:val="21"/>
          <w:szCs w:val="21"/>
          <w:color w:val="auto"/>
        </w:rPr>
        <w:t>. For greater certainty and without limitation to the provisions of</w:t>
      </w:r>
      <w:r>
        <w:rPr>
          <w:rFonts w:ascii="Times New Roman" w:cs="Times New Roman" w:eastAsia="Times New Roman" w:hAnsi="Times New Roman"/>
          <w:sz w:val="21"/>
          <w:szCs w:val="21"/>
          <w:u w:val="single" w:color="auto"/>
          <w:color w:val="auto"/>
        </w:rPr>
        <w:t xml:space="preserve"> </w:t>
      </w:r>
      <w:r>
        <w:rPr>
          <w:rFonts w:ascii="Times New Roman" w:cs="Times New Roman" w:eastAsia="Times New Roman" w:hAnsi="Times New Roman"/>
          <w:sz w:val="21"/>
          <w:szCs w:val="21"/>
          <w:color w:val="auto"/>
        </w:rPr>
        <w:t>the relevant plans and policies, the Executive acknowledges and agrees that the Corporation reserves the right in its sole discretion to unilaterally amend or terminate any employee plan, program, arrangement or policy in which the Executive participates or may become eligible to participate without notice or compensation to the Executive including, without limitation, the CTI Plan, LTIP, CSUP, the Canadian Pension Plans, the Pension Plans and Benefit Plans.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6 CHANGE OF CONTROL OR POTENTIAL CHANGE OF CONTROL</w:t>
      </w:r>
    </w:p>
    <w:p>
      <w:pPr>
        <w:spacing w:after="0" w:line="237" w:lineRule="exact"/>
        <w:rPr>
          <w:sz w:val="20"/>
          <w:szCs w:val="20"/>
          <w:color w:val="auto"/>
        </w:rPr>
      </w:pPr>
    </w:p>
    <w:p>
      <w:pPr>
        <w:ind w:left="600" w:right="160" w:hanging="647"/>
        <w:spacing w:after="0" w:line="252" w:lineRule="auto"/>
        <w:tabs>
          <w:tab w:leader="none" w:pos="580" w:val="left"/>
        </w:tabs>
        <w:rPr>
          <w:sz w:val="20"/>
          <w:szCs w:val="20"/>
          <w:color w:val="auto"/>
        </w:rPr>
      </w:pPr>
      <w:r>
        <w:rPr>
          <w:rFonts w:ascii="Times New Roman" w:cs="Times New Roman" w:eastAsia="Times New Roman" w:hAnsi="Times New Roman"/>
          <w:sz w:val="22"/>
          <w:szCs w:val="22"/>
          <w:color w:val="auto"/>
        </w:rPr>
        <w:t>6.01</w:t>
        <w:tab/>
        <w:t>Upon a Change of Control or Potential Change of Control, the Executive's employment will continue in accordance with the terms and provisions of this Agreement, on the same terms and conditions which were in effect immediately prior to the Change of Control or Potential Change of Control, or on such other terms as may be subsequently agreed upon in writing between CLLC, CILP and the Executive.</w:t>
      </w:r>
    </w:p>
    <w:p>
      <w:pPr>
        <w:spacing w:after="0" w:line="179" w:lineRule="exact"/>
        <w:rPr>
          <w:sz w:val="20"/>
          <w:szCs w:val="20"/>
          <w:color w:val="auto"/>
        </w:rPr>
      </w:pPr>
    </w:p>
    <w:p>
      <w:pPr>
        <w:ind w:left="600" w:right="500" w:hanging="647"/>
        <w:spacing w:after="0" w:line="284" w:lineRule="auto"/>
        <w:tabs>
          <w:tab w:leader="none" w:pos="580" w:val="left"/>
        </w:tabs>
        <w:rPr>
          <w:sz w:val="20"/>
          <w:szCs w:val="20"/>
          <w:color w:val="auto"/>
        </w:rPr>
      </w:pPr>
      <w:r>
        <w:rPr>
          <w:rFonts w:ascii="Times New Roman" w:cs="Times New Roman" w:eastAsia="Times New Roman" w:hAnsi="Times New Roman"/>
          <w:sz w:val="22"/>
          <w:szCs w:val="22"/>
          <w:color w:val="auto"/>
        </w:rPr>
        <w:t>6.02</w:t>
        <w:tab/>
        <w:t>If the Executive's employment is terminated Without Cause, under this Agreement and during the Change of Control Period or the Potential Change of Control Period, the Executive shall:</w:t>
      </w:r>
    </w:p>
    <w:p>
      <w:pPr>
        <w:spacing w:after="0" w:line="144" w:lineRule="exact"/>
        <w:rPr>
          <w:sz w:val="20"/>
          <w:szCs w:val="20"/>
          <w:color w:val="auto"/>
        </w:rPr>
      </w:pPr>
    </w:p>
    <w:p>
      <w:pPr>
        <w:ind w:left="1120" w:hanging="464"/>
        <w:spacing w:after="0"/>
        <w:tabs>
          <w:tab w:leader="none" w:pos="1120"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 entitled to severance payable by CLLC as follows:</w:t>
      </w:r>
    </w:p>
    <w:p>
      <w:pPr>
        <w:spacing w:after="0" w:line="219" w:lineRule="exact"/>
        <w:rPr>
          <w:rFonts w:ascii="Times New Roman" w:cs="Times New Roman" w:eastAsia="Times New Roman" w:hAnsi="Times New Roman"/>
          <w:sz w:val="22"/>
          <w:szCs w:val="22"/>
          <w:color w:val="auto"/>
        </w:rPr>
      </w:pPr>
    </w:p>
    <w:p>
      <w:pPr>
        <w:ind w:left="1720" w:hanging="416"/>
        <w:spacing w:after="0"/>
        <w:tabs>
          <w:tab w:leader="none" w:pos="1720" w:val="left"/>
        </w:tabs>
        <w:numPr>
          <w:ilvl w:val="1"/>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Base Salary up to and including the Termination Date;</w:t>
      </w:r>
    </w:p>
    <w:p>
      <w:pPr>
        <w:spacing w:after="0" w:line="219"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1"/>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lump sum payment equal to three (3) years of Base Salary;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200"/>
          </w:cols>
          <w:pgMar w:left="320" w:top="1440" w:right="379" w:bottom="1440" w:gutter="0" w:footer="0" w:header="0"/>
        </w:sectPr>
      </w:pPr>
    </w:p>
    <w:bookmarkStart w:id="182" w:name="page183"/>
    <w:bookmarkEnd w:id="182"/>
    <w:p>
      <w:pPr>
        <w:spacing w:after="0" w:line="198" w:lineRule="exact"/>
        <w:rPr>
          <w:sz w:val="20"/>
          <w:szCs w:val="20"/>
          <w:color w:val="auto"/>
        </w:rPr>
      </w:pPr>
    </w:p>
    <w:p>
      <w:pPr>
        <w:ind w:left="1184" w:hanging="536"/>
        <w:spacing w:after="0"/>
        <w:tabs>
          <w:tab w:leader="none" w:pos="1184" w:val="left"/>
        </w:tabs>
        <w:numPr>
          <w:ilvl w:val="1"/>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lump sum payment equal to three (3) years of target CTI:</w:t>
      </w:r>
    </w:p>
    <w:p>
      <w:pPr>
        <w:spacing w:after="0" w:line="219" w:lineRule="exact"/>
        <w:rPr>
          <w:rFonts w:ascii="Times New Roman" w:cs="Times New Roman" w:eastAsia="Times New Roman" w:hAnsi="Times New Roman"/>
          <w:sz w:val="22"/>
          <w:szCs w:val="22"/>
          <w:color w:val="auto"/>
        </w:rPr>
      </w:pPr>
    </w:p>
    <w:p>
      <w:pPr>
        <w:ind w:left="1304" w:right="800" w:hanging="656"/>
        <w:spacing w:after="0" w:line="271" w:lineRule="auto"/>
        <w:tabs>
          <w:tab w:leader="none" w:pos="1184" w:val="left"/>
        </w:tabs>
        <w:numPr>
          <w:ilvl w:val="1"/>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payments under the CTI Plan in respect of the fiscal year preceding the fiscal year in which the Termination Date falls, if such amount has not already been paid to the Executive;</w:t>
      </w:r>
    </w:p>
    <w:p>
      <w:pPr>
        <w:spacing w:after="0" w:line="171" w:lineRule="exact"/>
        <w:rPr>
          <w:rFonts w:ascii="Times New Roman" w:cs="Times New Roman" w:eastAsia="Times New Roman" w:hAnsi="Times New Roman"/>
          <w:sz w:val="22"/>
          <w:szCs w:val="22"/>
          <w:color w:val="auto"/>
        </w:rPr>
      </w:pPr>
    </w:p>
    <w:p>
      <w:pPr>
        <w:ind w:left="1304" w:right="140" w:hanging="656"/>
        <w:spacing w:after="0" w:line="271" w:lineRule="auto"/>
        <w:tabs>
          <w:tab w:leader="none" w:pos="1124" w:val="left"/>
        </w:tabs>
        <w:numPr>
          <w:ilvl w:val="1"/>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vacation pay earned but unpaid up to and including the Termination Date and for the statutory notice period as required by the ESA;</w:t>
      </w:r>
    </w:p>
    <w:p>
      <w:pPr>
        <w:spacing w:after="0" w:line="157" w:lineRule="exact"/>
        <w:rPr>
          <w:rFonts w:ascii="Times New Roman" w:cs="Times New Roman" w:eastAsia="Times New Roman" w:hAnsi="Times New Roman"/>
          <w:sz w:val="22"/>
          <w:szCs w:val="22"/>
          <w:color w:val="auto"/>
        </w:rPr>
      </w:pPr>
    </w:p>
    <w:p>
      <w:pPr>
        <w:ind w:left="1304" w:right="160" w:hanging="656"/>
        <w:spacing w:after="0" w:line="257" w:lineRule="auto"/>
        <w:tabs>
          <w:tab w:leader="none" w:pos="1184" w:val="left"/>
        </w:tabs>
        <w:numPr>
          <w:ilvl w:val="1"/>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lump sum payment equal to three (3) times the contributions/credits allocated to the Pension Plans on the Executive's behalf in the year preceding the Termination Date less the contributions CLLC is required to make to the Pension Plans pursuant to Section 6.02(d) below.</w:t>
      </w:r>
    </w:p>
    <w:p>
      <w:pPr>
        <w:spacing w:after="0" w:line="186" w:lineRule="exact"/>
        <w:rPr>
          <w:rFonts w:ascii="Times New Roman" w:cs="Times New Roman" w:eastAsia="Times New Roman" w:hAnsi="Times New Roman"/>
          <w:sz w:val="22"/>
          <w:szCs w:val="22"/>
          <w:color w:val="auto"/>
        </w:rPr>
      </w:pPr>
    </w:p>
    <w:p>
      <w:pPr>
        <w:ind w:left="644" w:right="100" w:hanging="644"/>
        <w:spacing w:after="0" w:line="268" w:lineRule="auto"/>
        <w:tabs>
          <w:tab w:leader="none" w:pos="464" w:val="left"/>
        </w:tabs>
        <w:numPr>
          <w:ilvl w:val="0"/>
          <w:numId w:val="1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be entitled to continued benefits coverage under the Benefit Plan and perquisites as set out in Section 5 for the statutory notice period pursuant to the ESA only. Following the end of the statutory notice period, the Executive shall continue to have medical benefits at similar coverage levels as existed immediately preceding the Change in Control for a two (2) year period by the purchasing company or with a third party insurance policy;</w:t>
      </w:r>
    </w:p>
    <w:p>
      <w:pPr>
        <w:spacing w:after="0" w:line="163" w:lineRule="exact"/>
        <w:rPr>
          <w:rFonts w:ascii="Times New Roman" w:cs="Times New Roman" w:eastAsia="Times New Roman" w:hAnsi="Times New Roman"/>
          <w:sz w:val="21"/>
          <w:szCs w:val="21"/>
          <w:color w:val="auto"/>
        </w:rPr>
      </w:pPr>
    </w:p>
    <w:p>
      <w:pPr>
        <w:ind w:left="644" w:right="80" w:hanging="644"/>
        <w:spacing w:after="0" w:line="253" w:lineRule="auto"/>
        <w:tabs>
          <w:tab w:leader="none" w:pos="452"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as of the Termination Date or during the statutory notice period, the Executive is approved for short-term disability or long-term disability benefits, the lump sum payment amounts specified in Section 6.02(a)(iii) and (b) shall be reduced by all such disability payment(s) received by the Executive. The Executive agrees to reimburse CLLC for any overpayment under Section 6.02(a)(iii) and (b) resulting from his receipt of disability payment(s) after the payments in Section 6.02(a)(iii) and (b) are made to the Executive;</w:t>
      </w:r>
    </w:p>
    <w:p>
      <w:pPr>
        <w:spacing w:after="0" w:line="178" w:lineRule="exact"/>
        <w:rPr>
          <w:rFonts w:ascii="Times New Roman" w:cs="Times New Roman" w:eastAsia="Times New Roman" w:hAnsi="Times New Roman"/>
          <w:sz w:val="22"/>
          <w:szCs w:val="22"/>
          <w:color w:val="auto"/>
        </w:rPr>
      </w:pPr>
    </w:p>
    <w:p>
      <w:pPr>
        <w:ind w:left="464" w:hanging="464"/>
        <w:spacing w:after="0"/>
        <w:tabs>
          <w:tab w:leader="none" w:pos="464"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shall participate in the Pension Plans for the statutory notice period as required under the ESA only;</w:t>
      </w:r>
    </w:p>
    <w:p>
      <w:pPr>
        <w:spacing w:after="0" w:line="219" w:lineRule="exact"/>
        <w:rPr>
          <w:rFonts w:ascii="Times New Roman" w:cs="Times New Roman" w:eastAsia="Times New Roman" w:hAnsi="Times New Roman"/>
          <w:sz w:val="22"/>
          <w:szCs w:val="22"/>
          <w:color w:val="auto"/>
        </w:rPr>
      </w:pPr>
    </w:p>
    <w:p>
      <w:pPr>
        <w:ind w:left="644" w:right="220" w:hanging="644"/>
        <w:spacing w:after="0" w:line="284" w:lineRule="auto"/>
        <w:tabs>
          <w:tab w:leader="none" w:pos="452"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shall not be entitled to any new grants under the LTIP, CSUP or other Company equity plan in place at the time, as amended in Section 6.02, (e) (i), (ii) and (iii) of this Agreement as follows;</w:t>
      </w:r>
    </w:p>
    <w:p>
      <w:pPr>
        <w:spacing w:after="0" w:line="143" w:lineRule="exact"/>
        <w:rPr>
          <w:rFonts w:ascii="Times New Roman" w:cs="Times New Roman" w:eastAsia="Times New Roman" w:hAnsi="Times New Roman"/>
          <w:sz w:val="22"/>
          <w:szCs w:val="22"/>
          <w:color w:val="auto"/>
        </w:rPr>
      </w:pPr>
    </w:p>
    <w:p>
      <w:pPr>
        <w:ind w:left="1304" w:hanging="656"/>
        <w:spacing w:after="0" w:line="252" w:lineRule="auto"/>
        <w:tabs>
          <w:tab w:leader="none" w:pos="1076" w:val="left"/>
        </w:tabs>
        <w:numPr>
          <w:ilvl w:val="1"/>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PSU grants are within twelve (12) months from the Change of Control date (or Termination Date), then the related PSUs will be accelerated to the Change of Control date (or Termination Date) and vest based on target performance unless actual performance at the time of Change of Control has exceeded target performance in which case actual performance shall vest; or</w:t>
      </w:r>
    </w:p>
    <w:p>
      <w:pPr>
        <w:spacing w:after="0" w:line="192" w:lineRule="exact"/>
        <w:rPr>
          <w:rFonts w:ascii="Times New Roman" w:cs="Times New Roman" w:eastAsia="Times New Roman" w:hAnsi="Times New Roman"/>
          <w:sz w:val="22"/>
          <w:szCs w:val="22"/>
          <w:color w:val="auto"/>
        </w:rPr>
      </w:pPr>
    </w:p>
    <w:p>
      <w:pPr>
        <w:ind w:left="1304" w:right="100" w:hanging="656"/>
        <w:spacing w:after="0" w:line="257" w:lineRule="auto"/>
        <w:tabs>
          <w:tab w:leader="none" w:pos="1136" w:val="left"/>
        </w:tabs>
        <w:numPr>
          <w:ilvl w:val="1"/>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PSU grants are within thirteen (13) to thirty-six (36) months from the Change of Control date (or Termination Date), then all outstanding related PSUs will be accelerated to the Change of Control date (or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0564"/>
          </w:cols>
          <w:pgMar w:left="976" w:top="1440" w:right="359" w:bottom="1440" w:gutter="0" w:footer="0" w:header="0"/>
        </w:sectPr>
      </w:pPr>
    </w:p>
    <w:bookmarkStart w:id="183" w:name="page184"/>
    <w:bookmarkEnd w:id="183"/>
    <w:p>
      <w:pPr>
        <w:spacing w:after="0" w:line="198" w:lineRule="exact"/>
        <w:rPr>
          <w:sz w:val="20"/>
          <w:szCs w:val="20"/>
          <w:color w:val="auto"/>
        </w:rPr>
      </w:pPr>
    </w:p>
    <w:p>
      <w:pPr>
        <w:ind w:left="1960" w:right="20"/>
        <w:spacing w:after="0" w:line="257" w:lineRule="auto"/>
        <w:rPr>
          <w:sz w:val="20"/>
          <w:szCs w:val="20"/>
          <w:color w:val="auto"/>
        </w:rPr>
      </w:pPr>
      <w:r>
        <w:rPr>
          <w:rFonts w:ascii="Times New Roman" w:cs="Times New Roman" w:eastAsia="Times New Roman" w:hAnsi="Times New Roman"/>
          <w:sz w:val="22"/>
          <w:szCs w:val="22"/>
          <w:color w:val="auto"/>
        </w:rPr>
        <w:t>Termination Date) and will vest based on a performance factor of at least target performance (i.e., 100%) or actual performance. Actual performance of the PSU will be defined by evaluating the metrics associated with the PSU grant; and</w:t>
      </w:r>
    </w:p>
    <w:p>
      <w:pPr>
        <w:spacing w:after="0" w:line="186" w:lineRule="exact"/>
        <w:rPr>
          <w:sz w:val="20"/>
          <w:szCs w:val="20"/>
          <w:color w:val="auto"/>
        </w:rPr>
      </w:pPr>
    </w:p>
    <w:p>
      <w:pPr>
        <w:ind w:left="1960" w:right="360" w:hanging="656"/>
        <w:spacing w:after="0" w:line="271" w:lineRule="auto"/>
        <w:tabs>
          <w:tab w:leader="none" w:pos="1848"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Board will approve the performance factor based on the above general framework and it shall retain unfettered discretion in consideration of other appropriate factors.</w:t>
      </w:r>
    </w:p>
    <w:p>
      <w:pPr>
        <w:spacing w:after="0" w:line="157" w:lineRule="exact"/>
        <w:rPr>
          <w:rFonts w:ascii="Times New Roman" w:cs="Times New Roman" w:eastAsia="Times New Roman" w:hAnsi="Times New Roman"/>
          <w:sz w:val="22"/>
          <w:szCs w:val="22"/>
          <w:color w:val="auto"/>
        </w:rPr>
      </w:pPr>
    </w:p>
    <w:p>
      <w:pPr>
        <w:ind w:left="1840" w:hanging="536"/>
        <w:spacing w:after="0"/>
        <w:tabs>
          <w:tab w:leader="none" w:pos="1840"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no time shall the Executive receive less than his statutory entitlements pursuant to the ESA.</w:t>
      </w:r>
    </w:p>
    <w:p>
      <w:pPr>
        <w:spacing w:after="0" w:line="219" w:lineRule="exact"/>
        <w:rPr>
          <w:rFonts w:ascii="Times New Roman" w:cs="Times New Roman" w:eastAsia="Times New Roman" w:hAnsi="Times New Roman"/>
          <w:sz w:val="22"/>
          <w:szCs w:val="22"/>
          <w:color w:val="auto"/>
        </w:rPr>
      </w:pPr>
    </w:p>
    <w:p>
      <w:pPr>
        <w:ind w:left="1960" w:right="460" w:hanging="656"/>
        <w:spacing w:after="0" w:line="271" w:lineRule="auto"/>
        <w:tabs>
          <w:tab w:leader="none" w:pos="1780"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the Executive's employment is terminated for Cause he shall receive his statutory minimum entitlements pursuant to the ESA only.</w:t>
      </w:r>
    </w:p>
    <w:p>
      <w:pPr>
        <w:spacing w:after="0" w:line="171" w:lineRule="exact"/>
        <w:rPr>
          <w:sz w:val="20"/>
          <w:szCs w:val="20"/>
          <w:color w:val="auto"/>
        </w:rPr>
      </w:pPr>
    </w:p>
    <w:p>
      <w:pPr>
        <w:ind w:left="600" w:hanging="647"/>
        <w:spacing w:after="0" w:line="249" w:lineRule="auto"/>
        <w:tabs>
          <w:tab w:leader="none" w:pos="580" w:val="left"/>
        </w:tabs>
        <w:rPr>
          <w:sz w:val="20"/>
          <w:szCs w:val="20"/>
          <w:color w:val="auto"/>
        </w:rPr>
      </w:pPr>
      <w:r>
        <w:rPr>
          <w:rFonts w:ascii="Times New Roman" w:cs="Times New Roman" w:eastAsia="Times New Roman" w:hAnsi="Times New Roman"/>
          <w:sz w:val="22"/>
          <w:szCs w:val="22"/>
          <w:color w:val="auto"/>
        </w:rPr>
        <w:t>6.03</w:t>
        <w:tab/>
        <w:t>The Executive acknowledges and agrees that the payments and benefits described in Section 6 herein constitute reasonable compensation in lieu of notice of the termination of his employment, and are inclusive and exhaustive of any vacation pay, termination pay, severance pay and entitlements that may be owing under the ESA, any other statute, or contract, including, but not limited to, the employment laws and statutes of Ontario and New Hampshire, U.S.A. Upon CLLC providing the Executive with such payments and benefits, and upon full compliance with the ESA, the Executive shall not be entitled to any further notice, payment in lieu of notice, termination pay, severance pay, damages, vacation pay, benefits, bonus, costs or compensation in respect of his employment or the termination thereof, whether under statute, common law or contract.</w:t>
      </w:r>
    </w:p>
    <w:p>
      <w:pPr>
        <w:spacing w:after="0" w:line="182" w:lineRule="exact"/>
        <w:rPr>
          <w:sz w:val="20"/>
          <w:szCs w:val="20"/>
          <w:color w:val="auto"/>
        </w:rPr>
      </w:pPr>
    </w:p>
    <w:p>
      <w:pPr>
        <w:ind w:left="600" w:right="140" w:hanging="647"/>
        <w:spacing w:after="0" w:line="256" w:lineRule="auto"/>
        <w:tabs>
          <w:tab w:leader="none" w:pos="580" w:val="left"/>
        </w:tabs>
        <w:rPr>
          <w:sz w:val="20"/>
          <w:szCs w:val="20"/>
          <w:color w:val="auto"/>
        </w:rPr>
      </w:pPr>
      <w:r>
        <w:rPr>
          <w:rFonts w:ascii="Times New Roman" w:cs="Times New Roman" w:eastAsia="Times New Roman" w:hAnsi="Times New Roman"/>
          <w:sz w:val="22"/>
          <w:szCs w:val="22"/>
          <w:color w:val="auto"/>
        </w:rPr>
        <w:t>6.04</w:t>
        <w:tab/>
        <w:t>All minimum statutory payments referenced under this Section 6 shall be paid within the time required under the ESA. Subject to Section 5.12 and 5.13, all remaining lump sum amounts payable to the Executive under this Section 6 shall be made in a cash payment, less all applicable statutory deductions and withholdings, within seventy-five (75) days following the Executive's Termination Date.</w:t>
      </w:r>
    </w:p>
    <w:p>
      <w:pPr>
        <w:spacing w:after="0" w:line="172"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22"/>
          <w:szCs w:val="22"/>
          <w:b w:val="1"/>
          <w:bCs w:val="1"/>
          <w:color w:val="auto"/>
        </w:rPr>
        <w:t>SECTION 7</w:t>
      </w:r>
      <w:r>
        <w:rPr>
          <w:sz w:val="20"/>
          <w:szCs w:val="20"/>
          <w:color w:val="auto"/>
        </w:rPr>
        <w:tab/>
      </w:r>
      <w:r>
        <w:rPr>
          <w:rFonts w:ascii="Times New Roman" w:cs="Times New Roman" w:eastAsia="Times New Roman" w:hAnsi="Times New Roman"/>
          <w:sz w:val="21"/>
          <w:szCs w:val="21"/>
          <w:b w:val="1"/>
          <w:bCs w:val="1"/>
          <w:color w:val="auto"/>
        </w:rPr>
        <w:t>TERMINATION OF EMPLOYMENT AND RESIGNATION</w:t>
      </w:r>
    </w:p>
    <w:p>
      <w:pPr>
        <w:spacing w:after="0" w:line="224" w:lineRule="exact"/>
        <w:rPr>
          <w:sz w:val="20"/>
          <w:szCs w:val="20"/>
          <w:color w:val="auto"/>
        </w:rPr>
      </w:pPr>
    </w:p>
    <w:p>
      <w:pPr>
        <w:ind w:left="600" w:right="360" w:hanging="647"/>
        <w:spacing w:after="0" w:line="271" w:lineRule="auto"/>
        <w:tabs>
          <w:tab w:leader="none" w:pos="580" w:val="left"/>
        </w:tabs>
        <w:rPr>
          <w:sz w:val="20"/>
          <w:szCs w:val="20"/>
          <w:color w:val="auto"/>
        </w:rPr>
      </w:pPr>
      <w:r>
        <w:rPr>
          <w:rFonts w:ascii="Times New Roman" w:cs="Times New Roman" w:eastAsia="Times New Roman" w:hAnsi="Times New Roman"/>
          <w:sz w:val="22"/>
          <w:szCs w:val="22"/>
          <w:color w:val="auto"/>
        </w:rPr>
        <w:t>7.01</w:t>
      </w:r>
      <w:r>
        <w:rPr>
          <w:sz w:val="20"/>
          <w:szCs w:val="20"/>
          <w:color w:val="auto"/>
        </w:rPr>
        <w:tab/>
      </w:r>
      <w:r>
        <w:rPr>
          <w:rFonts w:ascii="Times New Roman" w:cs="Times New Roman" w:eastAsia="Times New Roman" w:hAnsi="Times New Roman"/>
          <w:sz w:val="22"/>
          <w:szCs w:val="22"/>
          <w:u w:val="single" w:color="auto"/>
          <w:color w:val="auto"/>
        </w:rPr>
        <w:t>Termination of employment</w:t>
      </w:r>
      <w:r>
        <w:rPr>
          <w:rFonts w:ascii="Times New Roman" w:cs="Times New Roman" w:eastAsia="Times New Roman" w:hAnsi="Times New Roman"/>
          <w:sz w:val="22"/>
          <w:szCs w:val="22"/>
          <w:color w:val="auto"/>
        </w:rPr>
        <w:t>. This Agreement and the Executive's employment may be terminated by the way of notice</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issued by the Board any time:</w:t>
      </w:r>
    </w:p>
    <w:p>
      <w:pPr>
        <w:spacing w:after="0" w:line="158" w:lineRule="exact"/>
        <w:rPr>
          <w:sz w:val="20"/>
          <w:szCs w:val="20"/>
          <w:color w:val="auto"/>
        </w:rPr>
      </w:pPr>
    </w:p>
    <w:p>
      <w:pPr>
        <w:ind w:left="1120" w:hanging="464"/>
        <w:spacing w:after="0"/>
        <w:tabs>
          <w:tab w:leader="none" w:pos="1120"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Cause, as provided for in Section 7.02: and</w:t>
      </w:r>
    </w:p>
    <w:p>
      <w:pPr>
        <w:spacing w:after="0" w:line="233"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Cause, as provided for in Section 7.03.</w:t>
      </w:r>
    </w:p>
    <w:p>
      <w:pPr>
        <w:spacing w:after="0" w:line="220" w:lineRule="exact"/>
        <w:rPr>
          <w:sz w:val="20"/>
          <w:szCs w:val="20"/>
          <w:color w:val="auto"/>
        </w:rPr>
      </w:pPr>
    </w:p>
    <w:p>
      <w:pPr>
        <w:ind w:left="600" w:right="360" w:hanging="647"/>
        <w:spacing w:after="0" w:line="252" w:lineRule="auto"/>
        <w:tabs>
          <w:tab w:leader="none" w:pos="580" w:val="left"/>
        </w:tabs>
        <w:rPr>
          <w:sz w:val="20"/>
          <w:szCs w:val="20"/>
          <w:color w:val="auto"/>
        </w:rPr>
      </w:pPr>
      <w:r>
        <w:rPr>
          <w:rFonts w:ascii="Times New Roman" w:cs="Times New Roman" w:eastAsia="Times New Roman" w:hAnsi="Times New Roman"/>
          <w:sz w:val="22"/>
          <w:szCs w:val="22"/>
          <w:color w:val="auto"/>
        </w:rPr>
        <w:t>7.02</w:t>
      </w:r>
      <w:r>
        <w:rPr>
          <w:sz w:val="20"/>
          <w:szCs w:val="20"/>
          <w:color w:val="auto"/>
        </w:rPr>
        <w:tab/>
      </w:r>
      <w:r>
        <w:rPr>
          <w:rFonts w:ascii="Times New Roman" w:cs="Times New Roman" w:eastAsia="Times New Roman" w:hAnsi="Times New Roman"/>
          <w:sz w:val="22"/>
          <w:szCs w:val="22"/>
          <w:u w:val="single" w:color="auto"/>
          <w:color w:val="auto"/>
        </w:rPr>
        <w:t>Termination of Employment for Cause</w:t>
      </w:r>
      <w:r>
        <w:rPr>
          <w:rFonts w:ascii="Times New Roman" w:cs="Times New Roman" w:eastAsia="Times New Roman" w:hAnsi="Times New Roman"/>
          <w:sz w:val="22"/>
          <w:szCs w:val="22"/>
          <w:color w:val="auto"/>
        </w:rPr>
        <w:t>. In the event of the termination of the Executive's employment for Cause for</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reasons other than that the Executive is guilty of willful misconduct. disobedience or willful neglect of duty that is not trivial and that has not been condoned by the employer as set out in the ESA, the Executive shall receive the amounts owed to him up to and including the Termination Date and for the minimum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220"/>
          </w:cols>
          <w:pgMar w:left="320" w:top="1440" w:right="359" w:bottom="1440" w:gutter="0" w:footer="0" w:header="0"/>
        </w:sectPr>
      </w:pPr>
    </w:p>
    <w:bookmarkStart w:id="184" w:name="page185"/>
    <w:bookmarkEnd w:id="184"/>
    <w:p>
      <w:pPr>
        <w:ind w:left="660" w:right="40"/>
        <w:spacing w:after="0" w:line="256" w:lineRule="auto"/>
        <w:rPr>
          <w:sz w:val="20"/>
          <w:szCs w:val="20"/>
          <w:color w:val="auto"/>
        </w:rPr>
      </w:pPr>
      <w:r>
        <w:rPr>
          <w:rFonts w:ascii="Times New Roman" w:cs="Times New Roman" w:eastAsia="Times New Roman" w:hAnsi="Times New Roman"/>
          <w:sz w:val="22"/>
          <w:szCs w:val="22"/>
          <w:color w:val="auto"/>
        </w:rPr>
        <w:t>statutory notice period pursuant to the ESA, payable by CLLC and nothing further. For greater certainty, unless otherwise require by the ESA, there shall be no other obligations owed to the Executive, and, for clarity, without limiting the foregoing, the Executive shall not be entitled to any payment under the CTI Plan not already paid on or before the Termination Date, and in accordance with the LTIP and CSUP Plans. All unvested grants will be forfeited.</w:t>
      </w:r>
    </w:p>
    <w:p>
      <w:pPr>
        <w:spacing w:after="0" w:line="176"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2"/>
          <w:szCs w:val="22"/>
          <w:color w:val="auto"/>
        </w:rPr>
        <w:t>7.03</w:t>
      </w:r>
      <w:r>
        <w:rPr>
          <w:sz w:val="20"/>
          <w:szCs w:val="20"/>
          <w:color w:val="auto"/>
        </w:rPr>
        <w:tab/>
      </w:r>
      <w:r>
        <w:rPr>
          <w:rFonts w:ascii="Times New Roman" w:cs="Times New Roman" w:eastAsia="Times New Roman" w:hAnsi="Times New Roman"/>
          <w:sz w:val="21"/>
          <w:szCs w:val="21"/>
          <w:u w:val="single" w:color="auto"/>
          <w:color w:val="auto"/>
        </w:rPr>
        <w:t>Termination of Employment Without Cause</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left="1300" w:right="120" w:hanging="644"/>
        <w:spacing w:after="0" w:line="253" w:lineRule="auto"/>
        <w:tabs>
          <w:tab w:leader="none" w:pos="1104"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Executive's employment and this Agreement may be terminated Without Cause at any time. In such event, and at the discretion of the Board exercised in compliance with all statutes and laws, including, but not limited to, the ESA and the Ontario Human Rights Code, the Executive agrees and accepts that he shall not be provided with working notice and instead shall be provided with pay in lieu of notice and severance pay by CLLC and other amounts as outlined below:</w:t>
      </w:r>
    </w:p>
    <w:p>
      <w:pPr>
        <w:spacing w:after="0" w:line="178" w:lineRule="exact"/>
        <w:rPr>
          <w:rFonts w:ascii="Times New Roman" w:cs="Times New Roman" w:eastAsia="Times New Roman" w:hAnsi="Times New Roman"/>
          <w:sz w:val="22"/>
          <w:szCs w:val="22"/>
          <w:color w:val="auto"/>
        </w:rPr>
      </w:pPr>
    </w:p>
    <w:p>
      <w:pPr>
        <w:ind w:left="1720" w:hanging="416"/>
        <w:spacing w:after="0"/>
        <w:tabs>
          <w:tab w:leader="none" w:pos="1720" w:val="left"/>
        </w:tabs>
        <w:numPr>
          <w:ilvl w:val="1"/>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Executive's Base Salary up to and including the Termination Date;</w:t>
      </w:r>
    </w:p>
    <w:p>
      <w:pPr>
        <w:spacing w:after="0" w:line="219" w:lineRule="exact"/>
        <w:rPr>
          <w:rFonts w:ascii="Times New Roman" w:cs="Times New Roman" w:eastAsia="Times New Roman" w:hAnsi="Times New Roman"/>
          <w:sz w:val="22"/>
          <w:szCs w:val="22"/>
          <w:color w:val="auto"/>
        </w:rPr>
      </w:pPr>
    </w:p>
    <w:p>
      <w:pPr>
        <w:ind w:left="1960" w:right="80" w:hanging="656"/>
        <w:spacing w:after="0" w:line="295" w:lineRule="auto"/>
        <w:tabs>
          <w:tab w:leader="none" w:pos="1780" w:val="left"/>
        </w:tabs>
        <w:numPr>
          <w:ilvl w:val="1"/>
          <w:numId w:val="1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lump sum payment equal to any payments under the CTI Plan in respect of the fiscal year preceding the fiscal year in which the Termination Date falls, if such amount has not already been paid to the Executive;</w:t>
      </w:r>
    </w:p>
    <w:p>
      <w:pPr>
        <w:spacing w:after="0" w:line="135" w:lineRule="exact"/>
        <w:rPr>
          <w:rFonts w:ascii="Times New Roman" w:cs="Times New Roman" w:eastAsia="Times New Roman" w:hAnsi="Times New Roman"/>
          <w:sz w:val="21"/>
          <w:szCs w:val="21"/>
          <w:color w:val="auto"/>
        </w:rPr>
      </w:pPr>
    </w:p>
    <w:p>
      <w:pPr>
        <w:ind w:left="1960" w:right="580" w:hanging="656"/>
        <w:spacing w:after="0" w:line="309" w:lineRule="auto"/>
        <w:tabs>
          <w:tab w:leader="none" w:pos="1848" w:val="left"/>
        </w:tabs>
        <w:numPr>
          <w:ilvl w:val="1"/>
          <w:numId w:val="1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Executive shall receive, by way of lump sum payment, an amount equal to two (2) times Eligible Earnings which payment includes pay in lieu of notice and severance as required by the ESA;</w:t>
      </w:r>
    </w:p>
    <w:p>
      <w:pPr>
        <w:spacing w:after="0" w:line="120" w:lineRule="exact"/>
        <w:rPr>
          <w:rFonts w:ascii="Times New Roman" w:cs="Times New Roman" w:eastAsia="Times New Roman" w:hAnsi="Times New Roman"/>
          <w:sz w:val="21"/>
          <w:szCs w:val="21"/>
          <w:color w:val="auto"/>
        </w:rPr>
      </w:pPr>
    </w:p>
    <w:p>
      <w:pPr>
        <w:ind w:left="1960" w:right="240" w:hanging="656"/>
        <w:spacing w:after="0" w:line="271" w:lineRule="auto"/>
        <w:tabs>
          <w:tab w:leader="none" w:pos="1836" w:val="left"/>
        </w:tabs>
        <w:numPr>
          <w:ilvl w:val="1"/>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 shall receive vacation pay earned but unpaid up to and including the Termination Date and for the statutory notice period as required by the ESA, only.</w:t>
      </w:r>
    </w:p>
    <w:p>
      <w:pPr>
        <w:spacing w:after="0" w:line="157" w:lineRule="exact"/>
        <w:rPr>
          <w:rFonts w:ascii="Times New Roman" w:cs="Times New Roman" w:eastAsia="Times New Roman" w:hAnsi="Times New Roman"/>
          <w:sz w:val="22"/>
          <w:szCs w:val="22"/>
          <w:color w:val="auto"/>
        </w:rPr>
      </w:pPr>
    </w:p>
    <w:p>
      <w:pPr>
        <w:ind w:left="1960" w:right="80" w:hanging="656"/>
        <w:spacing w:after="0" w:line="256" w:lineRule="auto"/>
        <w:tabs>
          <w:tab w:leader="none" w:pos="1776" w:val="left"/>
        </w:tabs>
        <w:numPr>
          <w:ilvl w:val="1"/>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 shall be entitled to continued benefits coverage under the Benefit Plan and perquisites as set out in Section 5 for the statutory notice period pursuant to the ESA, only. Following the end of the statutory notice period, the Executive shall receive a onetime lump sum payment of USA $100,000 in lieu of all future benefits and perquisites.</w:t>
      </w:r>
    </w:p>
    <w:p>
      <w:pPr>
        <w:spacing w:after="0" w:line="176" w:lineRule="exact"/>
        <w:rPr>
          <w:rFonts w:ascii="Times New Roman" w:cs="Times New Roman" w:eastAsia="Times New Roman" w:hAnsi="Times New Roman"/>
          <w:sz w:val="22"/>
          <w:szCs w:val="22"/>
          <w:color w:val="auto"/>
        </w:rPr>
      </w:pPr>
    </w:p>
    <w:p>
      <w:pPr>
        <w:ind w:left="1960" w:right="400" w:hanging="656"/>
        <w:spacing w:after="0" w:line="271" w:lineRule="auto"/>
        <w:tabs>
          <w:tab w:leader="none" w:pos="1836" w:val="left"/>
        </w:tabs>
        <w:numPr>
          <w:ilvl w:val="1"/>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 shall participate in the Pension Plans for the statutory notice period as required under the ESA only.</w:t>
      </w:r>
    </w:p>
    <w:p>
      <w:pPr>
        <w:spacing w:after="0" w:line="157" w:lineRule="exact"/>
        <w:rPr>
          <w:rFonts w:ascii="Times New Roman" w:cs="Times New Roman" w:eastAsia="Times New Roman" w:hAnsi="Times New Roman"/>
          <w:sz w:val="22"/>
          <w:szCs w:val="22"/>
          <w:color w:val="auto"/>
        </w:rPr>
      </w:pPr>
    </w:p>
    <w:p>
      <w:pPr>
        <w:ind w:left="1960" w:hanging="656"/>
        <w:spacing w:after="0" w:line="263" w:lineRule="auto"/>
        <w:tabs>
          <w:tab w:leader="none" w:pos="1896" w:val="left"/>
        </w:tabs>
        <w:numPr>
          <w:ilvl w:val="1"/>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 shall be entitled to a lump sum amount equal to two (2) times the contributions/credits allocated to the Pension Plans on the Executive's behalf in the year preceding the Termination Date less the contributions CLLC is required to make to the Pension Plans pursuant to Section 7.03(a)(vi)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200"/>
          </w:cols>
          <w:pgMar w:left="320" w:top="1422" w:right="379" w:bottom="1440" w:gutter="0" w:footer="0" w:header="0"/>
        </w:sectPr>
      </w:pPr>
    </w:p>
    <w:bookmarkStart w:id="185" w:name="page186"/>
    <w:bookmarkEnd w:id="185"/>
    <w:p>
      <w:pPr>
        <w:spacing w:after="0" w:line="198" w:lineRule="exact"/>
        <w:rPr>
          <w:sz w:val="20"/>
          <w:szCs w:val="20"/>
          <w:color w:val="auto"/>
        </w:rPr>
      </w:pPr>
    </w:p>
    <w:p>
      <w:pPr>
        <w:ind w:left="1960" w:hanging="656"/>
        <w:spacing w:after="0" w:line="266" w:lineRule="auto"/>
        <w:tabs>
          <w:tab w:leader="none" w:pos="1960" w:val="left"/>
        </w:tabs>
        <w:numPr>
          <w:ilvl w:val="0"/>
          <w:numId w:val="1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as of the Termination Date or during the statutory notice period, the Executive is approved for short-term disability or long-term disability benefits, the lump sum payment amounts specified in Section 7.03(a)</w:t>
      </w:r>
    </w:p>
    <w:p>
      <w:pPr>
        <w:spacing w:after="0" w:line="1" w:lineRule="exact"/>
        <w:rPr>
          <w:rFonts w:ascii="Times New Roman" w:cs="Times New Roman" w:eastAsia="Times New Roman" w:hAnsi="Times New Roman"/>
          <w:sz w:val="21"/>
          <w:szCs w:val="21"/>
          <w:color w:val="auto"/>
        </w:rPr>
      </w:pPr>
    </w:p>
    <w:p>
      <w:pPr>
        <w:ind w:left="2280" w:hanging="328"/>
        <w:spacing w:after="0"/>
        <w:tabs>
          <w:tab w:leader="none" w:pos="2280" w:val="left"/>
        </w:tabs>
        <w:numPr>
          <w:ilvl w:val="1"/>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and (v) shall be reduced by all such disability payment(s) received by the Executive. The Executive</w:t>
      </w:r>
    </w:p>
    <w:p>
      <w:pPr>
        <w:spacing w:after="0" w:line="5" w:lineRule="exact"/>
        <w:rPr>
          <w:rFonts w:ascii="Times New Roman" w:cs="Times New Roman" w:eastAsia="Times New Roman" w:hAnsi="Times New Roman"/>
          <w:sz w:val="22"/>
          <w:szCs w:val="22"/>
          <w:color w:val="auto"/>
        </w:rPr>
      </w:pPr>
    </w:p>
    <w:p>
      <w:pPr>
        <w:ind w:left="1960" w:right="40"/>
        <w:spacing w:after="0" w:line="283"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agrees to reimburse CLLC for any overpayment under Section 7.03(a)(ii) and (v) resulting from his receipt of disability payment(s) after the payments in Section 7.03(a)(ii) and (v) are made to the Executive.</w:t>
      </w:r>
    </w:p>
    <w:p>
      <w:pPr>
        <w:spacing w:after="0" w:line="147" w:lineRule="exact"/>
        <w:rPr>
          <w:rFonts w:ascii="Times New Roman" w:cs="Times New Roman" w:eastAsia="Times New Roman" w:hAnsi="Times New Roman"/>
          <w:sz w:val="22"/>
          <w:szCs w:val="22"/>
          <w:color w:val="auto"/>
        </w:rPr>
      </w:pPr>
    </w:p>
    <w:p>
      <w:pPr>
        <w:ind w:left="1960" w:right="220" w:hanging="656"/>
        <w:spacing w:after="0" w:line="257" w:lineRule="auto"/>
        <w:tabs>
          <w:tab w:leader="none" w:pos="1836"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 shall not be entitled to any grants under the LTIP or CSUP following the Termination Date. The Executive shall be entitled to payments under the LTIP and CSUP in accordance with the terms thereof, as amended under this Agreement.</w:t>
      </w:r>
    </w:p>
    <w:p>
      <w:pPr>
        <w:spacing w:after="0" w:line="186" w:lineRule="exact"/>
        <w:rPr>
          <w:rFonts w:ascii="Times New Roman" w:cs="Times New Roman" w:eastAsia="Times New Roman" w:hAnsi="Times New Roman"/>
          <w:sz w:val="22"/>
          <w:szCs w:val="22"/>
          <w:color w:val="auto"/>
        </w:rPr>
      </w:pPr>
    </w:p>
    <w:p>
      <w:pPr>
        <w:ind w:left="1760" w:hanging="456"/>
        <w:spacing w:after="0"/>
        <w:tabs>
          <w:tab w:leader="none" w:pos="1760"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no time shall the Executive receive less than his statutory entitlements pursuant to the ESA.</w:t>
      </w:r>
    </w:p>
    <w:p>
      <w:pPr>
        <w:spacing w:after="0" w:line="220" w:lineRule="exact"/>
        <w:rPr>
          <w:sz w:val="20"/>
          <w:szCs w:val="20"/>
          <w:color w:val="auto"/>
        </w:rPr>
      </w:pPr>
    </w:p>
    <w:p>
      <w:pPr>
        <w:ind w:left="660" w:right="200"/>
        <w:spacing w:after="0" w:line="249" w:lineRule="auto"/>
        <w:rPr>
          <w:sz w:val="20"/>
          <w:szCs w:val="20"/>
          <w:color w:val="auto"/>
        </w:rPr>
      </w:pPr>
      <w:r>
        <w:rPr>
          <w:rFonts w:ascii="Times New Roman" w:cs="Times New Roman" w:eastAsia="Times New Roman" w:hAnsi="Times New Roman"/>
          <w:sz w:val="22"/>
          <w:szCs w:val="22"/>
          <w:color w:val="auto"/>
        </w:rPr>
        <w:t>The Executive acknowledges and agrees that the payments and benefits described in Section 7.03 herein constitute reasonable compensation in lieu of notice of the termination of his employment, and are inclusive and exhaustive of any vacation pay, termination pay, severance pay and entitlements that may be owing under the ESA, any other statute, or contract, including, but not limited to, the employment laws and statutes of Ontario and New Hampshire, U.S.A. Upon CLLC providing the Executive with such payments and benefits, and upon full compliance with the ESA, the Executive shall not be entitled to any further notice, payment in lieu of notice, termination pay, severance pay, damages, vacation pay, benefits, bonus, costs or compensation in respect of his employment or the termination thereof. whether under statute, common law or contract.</w:t>
      </w:r>
    </w:p>
    <w:p>
      <w:pPr>
        <w:spacing w:after="0" w:line="182" w:lineRule="exact"/>
        <w:rPr>
          <w:sz w:val="20"/>
          <w:szCs w:val="20"/>
          <w:color w:val="auto"/>
        </w:rPr>
      </w:pPr>
    </w:p>
    <w:p>
      <w:pPr>
        <w:ind w:left="600" w:right="20" w:hanging="647"/>
        <w:spacing w:after="0" w:line="251" w:lineRule="auto"/>
        <w:tabs>
          <w:tab w:leader="none" w:pos="580" w:val="left"/>
        </w:tabs>
        <w:rPr>
          <w:sz w:val="20"/>
          <w:szCs w:val="20"/>
          <w:color w:val="auto"/>
        </w:rPr>
      </w:pPr>
      <w:r>
        <w:rPr>
          <w:rFonts w:ascii="Times New Roman" w:cs="Times New Roman" w:eastAsia="Times New Roman" w:hAnsi="Times New Roman"/>
          <w:sz w:val="22"/>
          <w:szCs w:val="22"/>
          <w:color w:val="auto"/>
        </w:rPr>
        <w:t>7.04</w:t>
      </w:r>
      <w:r>
        <w:rPr>
          <w:sz w:val="20"/>
          <w:szCs w:val="20"/>
          <w:color w:val="auto"/>
        </w:rPr>
        <w:tab/>
      </w:r>
      <w:r>
        <w:rPr>
          <w:rFonts w:ascii="Times New Roman" w:cs="Times New Roman" w:eastAsia="Times New Roman" w:hAnsi="Times New Roman"/>
          <w:sz w:val="22"/>
          <w:szCs w:val="22"/>
          <w:u w:val="single" w:color="auto"/>
          <w:color w:val="auto"/>
        </w:rPr>
        <w:t>Death of Executive</w:t>
      </w:r>
      <w:r>
        <w:rPr>
          <w:rFonts w:ascii="Times New Roman" w:cs="Times New Roman" w:eastAsia="Times New Roman" w:hAnsi="Times New Roman"/>
          <w:sz w:val="22"/>
          <w:szCs w:val="22"/>
          <w:color w:val="auto"/>
        </w:rPr>
        <w:t>. This Agreement shall automatically terminate if the Executive dies during the term of this Agreement.</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In that event, no compensation shall be owed to the Executive or his estate other than amounts owed up to the date of death, if any, and any amounts that may be owing under the ESA. The Executive's spouse and/or beneficiaries will be entitled to amounts owing under the terms of the Pension Plans, LTIP, CSUP and Benefit Plan, as applicable. The Executive's estate shall also be entitled to any payments under the CTI Plan in respect of the fiscal year preceding the fiscal year in which the Executive died if such amount has not already been paid to the Executive.</w:t>
      </w:r>
    </w:p>
    <w:p>
      <w:pPr>
        <w:spacing w:after="0" w:line="181" w:lineRule="exact"/>
        <w:rPr>
          <w:sz w:val="20"/>
          <w:szCs w:val="20"/>
          <w:color w:val="auto"/>
        </w:rPr>
      </w:pPr>
    </w:p>
    <w:p>
      <w:pPr>
        <w:ind w:left="600" w:right="60" w:hanging="647"/>
        <w:spacing w:after="0" w:line="250" w:lineRule="auto"/>
        <w:tabs>
          <w:tab w:leader="none" w:pos="580" w:val="left"/>
        </w:tabs>
        <w:rPr>
          <w:sz w:val="20"/>
          <w:szCs w:val="20"/>
          <w:color w:val="auto"/>
        </w:rPr>
      </w:pPr>
      <w:r>
        <w:rPr>
          <w:rFonts w:ascii="Times New Roman" w:cs="Times New Roman" w:eastAsia="Times New Roman" w:hAnsi="Times New Roman"/>
          <w:sz w:val="22"/>
          <w:szCs w:val="22"/>
          <w:color w:val="auto"/>
        </w:rPr>
        <w:t>7.05</w:t>
      </w:r>
      <w:r>
        <w:rPr>
          <w:sz w:val="20"/>
          <w:szCs w:val="20"/>
          <w:color w:val="auto"/>
        </w:rPr>
        <w:tab/>
      </w:r>
      <w:r>
        <w:rPr>
          <w:rFonts w:ascii="Times New Roman" w:cs="Times New Roman" w:eastAsia="Times New Roman" w:hAnsi="Times New Roman"/>
          <w:sz w:val="22"/>
          <w:szCs w:val="22"/>
          <w:u w:val="single" w:color="auto"/>
          <w:color w:val="auto"/>
        </w:rPr>
        <w:t>Resignation by Executive</w:t>
      </w:r>
      <w:r>
        <w:rPr>
          <w:rFonts w:ascii="Times New Roman" w:cs="Times New Roman" w:eastAsia="Times New Roman" w:hAnsi="Times New Roman"/>
          <w:sz w:val="22"/>
          <w:szCs w:val="22"/>
          <w:color w:val="auto"/>
        </w:rPr>
        <w:t>. The Executive shall be entitled to terminate this Agreement and his employment with CLLC</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and CILP, at any time and for whatever reason, upon providing three (3) months' written notice to the Board. The Board shall be entitled, in its sole discretion, to accept such resignation effective immediately and elect to have CLLC pay to the Executive the applicable Base Salary during the three (3) month resignation notice period and such election shall not constitute a termination from employment for any reason. The Executive shall be entitled to payments under the Pension Plans and the LTIP and CSUP, if any, in accordance with the terms thereof, as amended under this Agreement. The Corporation shall have no other obligations to the Executive and,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1240"/>
          </w:cols>
          <w:pgMar w:left="320" w:top="1440" w:right="339" w:bottom="1440" w:gutter="0" w:footer="0" w:header="0"/>
        </w:sectPr>
      </w:pPr>
    </w:p>
    <w:bookmarkStart w:id="186" w:name="page187"/>
    <w:bookmarkEnd w:id="186"/>
    <w:p>
      <w:pPr>
        <w:ind w:left="640"/>
        <w:spacing w:after="0" w:line="256" w:lineRule="auto"/>
        <w:rPr>
          <w:sz w:val="20"/>
          <w:szCs w:val="20"/>
          <w:color w:val="auto"/>
        </w:rPr>
      </w:pPr>
      <w:r>
        <w:rPr>
          <w:rFonts w:ascii="Times New Roman" w:cs="Times New Roman" w:eastAsia="Times New Roman" w:hAnsi="Times New Roman"/>
          <w:sz w:val="22"/>
          <w:szCs w:val="22"/>
          <w:color w:val="auto"/>
        </w:rPr>
        <w:t>clarity, without limiting the foregoing, the Executive shall not be entitled to any payment under the CTI Plan not already paid on or before the Termination Date. The Executive shall also receive a lump sum amount equal to any payments under the CTI Plan in respect of the fiscal year preceding the fiscal year in which the Termination Date falls if such amount has not already been paid to the Executive.</w:t>
      </w:r>
    </w:p>
    <w:p>
      <w:pPr>
        <w:spacing w:after="0" w:line="176" w:lineRule="exact"/>
        <w:rPr>
          <w:sz w:val="20"/>
          <w:szCs w:val="20"/>
          <w:color w:val="auto"/>
        </w:rPr>
      </w:pPr>
    </w:p>
    <w:p>
      <w:pPr>
        <w:ind w:left="580" w:right="60" w:hanging="647"/>
        <w:spacing w:after="0" w:line="248" w:lineRule="auto"/>
        <w:tabs>
          <w:tab w:leader="none" w:pos="560" w:val="left"/>
        </w:tabs>
        <w:rPr>
          <w:sz w:val="20"/>
          <w:szCs w:val="20"/>
          <w:color w:val="auto"/>
        </w:rPr>
      </w:pPr>
      <w:r>
        <w:rPr>
          <w:rFonts w:ascii="Times New Roman" w:cs="Times New Roman" w:eastAsia="Times New Roman" w:hAnsi="Times New Roman"/>
          <w:sz w:val="22"/>
          <w:szCs w:val="22"/>
          <w:color w:val="auto"/>
        </w:rPr>
        <w:t>7.06</w:t>
      </w:r>
      <w:r>
        <w:rPr>
          <w:sz w:val="20"/>
          <w:szCs w:val="20"/>
          <w:color w:val="auto"/>
        </w:rPr>
        <w:tab/>
      </w:r>
      <w:r>
        <w:rPr>
          <w:rFonts w:ascii="Times New Roman" w:cs="Times New Roman" w:eastAsia="Times New Roman" w:hAnsi="Times New Roman"/>
          <w:sz w:val="22"/>
          <w:szCs w:val="22"/>
          <w:u w:val="single" w:color="auto"/>
          <w:color w:val="auto"/>
        </w:rPr>
        <w:t>Retirement by the Executive</w:t>
      </w:r>
      <w:r>
        <w:rPr>
          <w:rFonts w:ascii="Times New Roman" w:cs="Times New Roman" w:eastAsia="Times New Roman" w:hAnsi="Times New Roman"/>
          <w:sz w:val="22"/>
          <w:szCs w:val="22"/>
          <w:color w:val="auto"/>
        </w:rPr>
        <w:t>. In the event of the retirement of the Executive, the Executive shall provide written notice to</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the Board no less than six (6) months in advance of the retirement date ("</w:t>
      </w:r>
      <w:r>
        <w:rPr>
          <w:rFonts w:ascii="Times New Roman" w:cs="Times New Roman" w:eastAsia="Times New Roman" w:hAnsi="Times New Roman"/>
          <w:sz w:val="22"/>
          <w:szCs w:val="22"/>
          <w:u w:val="single" w:color="auto"/>
          <w:color w:val="auto"/>
        </w:rPr>
        <w:t>Retirement Date</w:t>
      </w:r>
      <w:r>
        <w:rPr>
          <w:rFonts w:ascii="Times New Roman" w:cs="Times New Roman" w:eastAsia="Times New Roman" w:hAnsi="Times New Roman"/>
          <w:sz w:val="22"/>
          <w:szCs w:val="22"/>
          <w:color w:val="auto"/>
        </w:rPr>
        <w:t>"). The Board shall be entitled, in its sole discretion, to accept such retirement effective immediately or at any date sooner than the end of the Retirement Date and elect to have CLLC pay to the Executive the applicable Base Salary during the remaining retirement notice period and such election shall not constitute a termination from employment for any reason. If the Executive retires from his employment with CLLC and CILP, the Executive shall be entitled to payments under the Pension Plans, the CTI Plan, the LTIP and CSUP, if any, in accordance with the terms thereof, as amended under this Agreement. The Executive shall also be entitled to any payments under the CTI Plan in respect of the fiscal year preceding the fiscal year in which the Termination Date falls if such amount has not already been paid to the Executive.</w:t>
      </w:r>
    </w:p>
    <w:p>
      <w:pPr>
        <w:spacing w:after="0" w:line="185" w:lineRule="exact"/>
        <w:rPr>
          <w:sz w:val="20"/>
          <w:szCs w:val="20"/>
          <w:color w:val="auto"/>
        </w:rPr>
      </w:pPr>
    </w:p>
    <w:p>
      <w:pPr>
        <w:ind w:left="580" w:right="400" w:hanging="647"/>
        <w:spacing w:after="0" w:line="251" w:lineRule="auto"/>
        <w:tabs>
          <w:tab w:leader="none" w:pos="560" w:val="left"/>
        </w:tabs>
        <w:rPr>
          <w:sz w:val="20"/>
          <w:szCs w:val="20"/>
          <w:color w:val="auto"/>
        </w:rPr>
      </w:pPr>
      <w:r>
        <w:rPr>
          <w:rFonts w:ascii="Times New Roman" w:cs="Times New Roman" w:eastAsia="Times New Roman" w:hAnsi="Times New Roman"/>
          <w:sz w:val="22"/>
          <w:szCs w:val="22"/>
          <w:color w:val="auto"/>
        </w:rPr>
        <w:t>7.07</w:t>
      </w:r>
      <w:r>
        <w:rPr>
          <w:sz w:val="20"/>
          <w:szCs w:val="20"/>
          <w:color w:val="auto"/>
        </w:rPr>
        <w:tab/>
      </w:r>
      <w:r>
        <w:rPr>
          <w:rFonts w:ascii="Times New Roman" w:cs="Times New Roman" w:eastAsia="Times New Roman" w:hAnsi="Times New Roman"/>
          <w:sz w:val="22"/>
          <w:szCs w:val="22"/>
          <w:u w:val="single" w:color="auto"/>
          <w:color w:val="auto"/>
        </w:rPr>
        <w:t>Disability</w:t>
      </w:r>
      <w:r>
        <w:rPr>
          <w:rFonts w:ascii="Times New Roman" w:cs="Times New Roman" w:eastAsia="Times New Roman" w:hAnsi="Times New Roman"/>
          <w:sz w:val="22"/>
          <w:szCs w:val="22"/>
          <w:color w:val="auto"/>
        </w:rPr>
        <w:t>. In any of the following circumstances, the Executive's employment shall be deemed to be frustrated at the</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discretion of Celestica, CILP or CLLC, and in such event the Corporation shall, notwithstanding any other provisions contained in this Agreement, have no obligation to make payments to the Executive for notice of termination or severance, or any other payment, whether under statute, or contract, or otherwise, other than the amounts accrued but unpaid up to the last day the Executive is actively at work, if any, and any amounts that may be owing for notice of termination or severance pay under the ESA:</w:t>
      </w:r>
    </w:p>
    <w:p>
      <w:pPr>
        <w:spacing w:after="0" w:line="195" w:lineRule="exact"/>
        <w:rPr>
          <w:sz w:val="20"/>
          <w:szCs w:val="20"/>
          <w:color w:val="auto"/>
        </w:rPr>
      </w:pPr>
    </w:p>
    <w:p>
      <w:pPr>
        <w:ind w:left="1280" w:right="60" w:hanging="644"/>
        <w:spacing w:after="0" w:line="295" w:lineRule="auto"/>
        <w:tabs>
          <w:tab w:leader="none" w:pos="1088" w:val="left"/>
        </w:tabs>
        <w:numPr>
          <w:ilvl w:val="0"/>
          <w:numId w:val="1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Executive becomes eligible for long-term disability benefits under the Corporation's disability policy provided the election to end the Executive's employment will not result in a discontinuance of long-term disability benefits;</w:t>
      </w:r>
    </w:p>
    <w:p>
      <w:pPr>
        <w:spacing w:after="0" w:line="135" w:lineRule="exact"/>
        <w:rPr>
          <w:rFonts w:ascii="Times New Roman" w:cs="Times New Roman" w:eastAsia="Times New Roman" w:hAnsi="Times New Roman"/>
          <w:sz w:val="21"/>
          <w:szCs w:val="21"/>
          <w:color w:val="auto"/>
        </w:rPr>
      </w:pPr>
    </w:p>
    <w:p>
      <w:pPr>
        <w:ind w:left="1280" w:right="400" w:hanging="644"/>
        <w:spacing w:after="0" w:line="256" w:lineRule="auto"/>
        <w:tabs>
          <w:tab w:leader="none" w:pos="1100"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majority of the Board determine that the Executive has been unable, due to illness, disease, mental or physical disability or similar cause. to fulfill his obligations as an executive or officer or director of Celestica, CILP or CLLC either and the Executive is not able to perform the essential functions of the job either with, or without, reasonable accommodation,:</w:t>
      </w:r>
    </w:p>
    <w:p>
      <w:pPr>
        <w:spacing w:after="0" w:line="176" w:lineRule="exact"/>
        <w:rPr>
          <w:rFonts w:ascii="Times New Roman" w:cs="Times New Roman" w:eastAsia="Times New Roman" w:hAnsi="Times New Roman"/>
          <w:sz w:val="22"/>
          <w:szCs w:val="22"/>
          <w:color w:val="auto"/>
        </w:rPr>
      </w:pPr>
    </w:p>
    <w:p>
      <w:pPr>
        <w:ind w:left="1700" w:hanging="416"/>
        <w:spacing w:after="0"/>
        <w:tabs>
          <w:tab w:leader="none" w:pos="1700" w:val="left"/>
        </w:tabs>
        <w:numPr>
          <w:ilvl w:val="1"/>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any consecutive twelve (12) month period; or</w:t>
      </w:r>
    </w:p>
    <w:p>
      <w:pPr>
        <w:spacing w:after="0" w:line="219" w:lineRule="exact"/>
        <w:rPr>
          <w:rFonts w:ascii="Times New Roman" w:cs="Times New Roman" w:eastAsia="Times New Roman" w:hAnsi="Times New Roman"/>
          <w:sz w:val="22"/>
          <w:szCs w:val="22"/>
          <w:color w:val="auto"/>
        </w:rPr>
      </w:pPr>
    </w:p>
    <w:p>
      <w:pPr>
        <w:ind w:left="1940" w:right="520" w:hanging="656"/>
        <w:spacing w:after="0" w:line="271" w:lineRule="auto"/>
        <w:tabs>
          <w:tab w:leader="none" w:pos="1772" w:val="left"/>
        </w:tabs>
        <w:numPr>
          <w:ilvl w:val="1"/>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any period of sixteen (16) months (whether or not consecutive) in any consecutive twenty-four (24) month period; or</w:t>
      </w:r>
    </w:p>
    <w:p>
      <w:pPr>
        <w:spacing w:after="0" w:line="157" w:lineRule="exact"/>
        <w:rPr>
          <w:rFonts w:ascii="Times New Roman" w:cs="Times New Roman" w:eastAsia="Times New Roman" w:hAnsi="Times New Roman"/>
          <w:sz w:val="22"/>
          <w:szCs w:val="22"/>
          <w:color w:val="auto"/>
        </w:rPr>
      </w:pPr>
    </w:p>
    <w:p>
      <w:pPr>
        <w:ind w:left="1940" w:right="760" w:hanging="656"/>
        <w:spacing w:after="0" w:line="271" w:lineRule="auto"/>
        <w:tabs>
          <w:tab w:leader="none" w:pos="1832" w:val="left"/>
        </w:tabs>
        <w:numPr>
          <w:ilvl w:val="1"/>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reasonable request by the Board, the Executive shall participate in an independent medical examination and in the event such independent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1200"/>
          </w:cols>
          <w:pgMar w:left="340" w:top="1422" w:right="359" w:bottom="1440" w:gutter="0" w:footer="0" w:header="0"/>
        </w:sectPr>
      </w:pPr>
    </w:p>
    <w:bookmarkStart w:id="187" w:name="page188"/>
    <w:bookmarkEnd w:id="187"/>
    <w:p>
      <w:pPr>
        <w:spacing w:after="0" w:line="198" w:lineRule="exact"/>
        <w:rPr>
          <w:sz w:val="20"/>
          <w:szCs w:val="20"/>
          <w:color w:val="auto"/>
        </w:rPr>
      </w:pPr>
    </w:p>
    <w:p>
      <w:pPr>
        <w:ind w:left="1900" w:right="520"/>
        <w:spacing w:after="0" w:line="271" w:lineRule="auto"/>
        <w:rPr>
          <w:sz w:val="20"/>
          <w:szCs w:val="20"/>
          <w:color w:val="auto"/>
        </w:rPr>
      </w:pPr>
      <w:r>
        <w:rPr>
          <w:rFonts w:ascii="Times New Roman" w:cs="Times New Roman" w:eastAsia="Times New Roman" w:hAnsi="Times New Roman"/>
          <w:sz w:val="22"/>
          <w:szCs w:val="22"/>
          <w:color w:val="auto"/>
        </w:rPr>
        <w:t>medical examination concludes that the Executive is unable to fulfill his obligations due to a medical reason for a period of six (6) months or more; or</w:t>
      </w:r>
    </w:p>
    <w:p>
      <w:pPr>
        <w:spacing w:after="0" w:line="158" w:lineRule="exact"/>
        <w:rPr>
          <w:sz w:val="20"/>
          <w:szCs w:val="20"/>
          <w:color w:val="auto"/>
        </w:rPr>
      </w:pPr>
    </w:p>
    <w:p>
      <w:pPr>
        <w:ind w:left="1900" w:right="420" w:hanging="656"/>
        <w:spacing w:after="0" w:line="284" w:lineRule="auto"/>
        <w:tabs>
          <w:tab w:leader="none" w:pos="1780"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court of competent jurisdiction has declared the Executive to be mentally incompetent or incapable of managing his affairs.</w:t>
      </w:r>
    </w:p>
    <w:p>
      <w:pPr>
        <w:spacing w:after="0" w:line="144" w:lineRule="exact"/>
        <w:rPr>
          <w:sz w:val="20"/>
          <w:szCs w:val="20"/>
          <w:color w:val="auto"/>
        </w:rPr>
      </w:pPr>
    </w:p>
    <w:p>
      <w:pPr>
        <w:ind w:left="600" w:right="220"/>
        <w:spacing w:after="0" w:line="252" w:lineRule="auto"/>
        <w:rPr>
          <w:sz w:val="20"/>
          <w:szCs w:val="20"/>
          <w:color w:val="auto"/>
        </w:rPr>
      </w:pPr>
      <w:r>
        <w:rPr>
          <w:rFonts w:ascii="Times New Roman" w:cs="Times New Roman" w:eastAsia="Times New Roman" w:hAnsi="Times New Roman"/>
          <w:sz w:val="22"/>
          <w:szCs w:val="22"/>
          <w:color w:val="auto"/>
        </w:rPr>
        <w:t>In such case, the Executive shall be entitled to payments under the Pension Plans and the LTIP and CSUP following his Termination Date in accordance with the terms thereof, as amended under this Agreement. The Executive shall also be entitled to any payments under the CTI Plan in respect of the fiscal year preceding the fiscal year in which the Termination Date falls if such amount has not already been paid to the Executive.</w:t>
      </w:r>
    </w:p>
    <w:p>
      <w:pPr>
        <w:spacing w:after="0" w:line="193" w:lineRule="exact"/>
        <w:rPr>
          <w:sz w:val="20"/>
          <w:szCs w:val="20"/>
          <w:color w:val="auto"/>
        </w:rPr>
      </w:pPr>
    </w:p>
    <w:p>
      <w:pPr>
        <w:ind w:left="600" w:right="20"/>
        <w:spacing w:after="0" w:line="271" w:lineRule="auto"/>
        <w:rPr>
          <w:sz w:val="20"/>
          <w:szCs w:val="20"/>
          <w:color w:val="auto"/>
        </w:rPr>
      </w:pPr>
      <w:r>
        <w:rPr>
          <w:rFonts w:ascii="Times New Roman" w:cs="Times New Roman" w:eastAsia="Times New Roman" w:hAnsi="Times New Roman"/>
          <w:sz w:val="22"/>
          <w:szCs w:val="22"/>
          <w:color w:val="auto"/>
        </w:rPr>
        <w:t>For the purpose of Section 7.07 of this Agreement, "</w:t>
      </w:r>
      <w:r>
        <w:rPr>
          <w:rFonts w:ascii="Times New Roman" w:cs="Times New Roman" w:eastAsia="Times New Roman" w:hAnsi="Times New Roman"/>
          <w:sz w:val="22"/>
          <w:szCs w:val="22"/>
          <w:u w:val="single" w:color="auto"/>
          <w:color w:val="auto"/>
        </w:rPr>
        <w:t>Termination Date</w:t>
      </w:r>
      <w:r>
        <w:rPr>
          <w:rFonts w:ascii="Times New Roman" w:cs="Times New Roman" w:eastAsia="Times New Roman" w:hAnsi="Times New Roman"/>
          <w:sz w:val="22"/>
          <w:szCs w:val="22"/>
          <w:color w:val="auto"/>
        </w:rPr>
        <w:t>" shall mean the earlier of any of the occurrences of the events in 7.07(a),(b) (i)-(iv).</w:t>
      </w:r>
    </w:p>
    <w:p>
      <w:pPr>
        <w:spacing w:after="0" w:line="158" w:lineRule="exact"/>
        <w:rPr>
          <w:sz w:val="20"/>
          <w:szCs w:val="20"/>
          <w:color w:val="auto"/>
        </w:rPr>
      </w:pPr>
    </w:p>
    <w:p>
      <w:pPr>
        <w:ind w:left="540" w:hanging="647"/>
        <w:spacing w:after="0" w:line="252" w:lineRule="auto"/>
        <w:tabs>
          <w:tab w:leader="none" w:pos="520" w:val="left"/>
        </w:tabs>
        <w:rPr>
          <w:sz w:val="20"/>
          <w:szCs w:val="20"/>
          <w:color w:val="auto"/>
        </w:rPr>
      </w:pPr>
      <w:r>
        <w:rPr>
          <w:rFonts w:ascii="Times New Roman" w:cs="Times New Roman" w:eastAsia="Times New Roman" w:hAnsi="Times New Roman"/>
          <w:sz w:val="22"/>
          <w:szCs w:val="22"/>
          <w:color w:val="auto"/>
        </w:rPr>
        <w:t>7.08</w:t>
        <w:tab/>
        <w:t>In the event of the occurrence of Section 7.07(b) (i), (ii), and (iv) and the Executive does not qualify for long-term disability benefits through no fault of the Executive and for reasons wholly unrelated to non-compliance with the terms of the applicable policy, CLLC shall pay to the Executive a one-time lump sum payment equivalent to twelve (12) months Base Salary in addition to the payments referred to in Section 7.07.</w:t>
      </w:r>
    </w:p>
    <w:p>
      <w:pPr>
        <w:spacing w:after="0" w:line="193" w:lineRule="exact"/>
        <w:rPr>
          <w:sz w:val="20"/>
          <w:szCs w:val="20"/>
          <w:color w:val="auto"/>
        </w:rPr>
      </w:pPr>
    </w:p>
    <w:p>
      <w:pPr>
        <w:ind w:left="540" w:right="160" w:hanging="647"/>
        <w:spacing w:after="0" w:line="268" w:lineRule="auto"/>
        <w:tabs>
          <w:tab w:leader="none" w:pos="520" w:val="left"/>
        </w:tabs>
        <w:rPr>
          <w:sz w:val="20"/>
          <w:szCs w:val="20"/>
          <w:color w:val="auto"/>
        </w:rPr>
      </w:pPr>
      <w:r>
        <w:rPr>
          <w:rFonts w:ascii="Times New Roman" w:cs="Times New Roman" w:eastAsia="Times New Roman" w:hAnsi="Times New Roman"/>
          <w:sz w:val="22"/>
          <w:szCs w:val="22"/>
          <w:color w:val="auto"/>
        </w:rPr>
        <w:t>7.09</w:t>
      </w:r>
      <w:r>
        <w:rPr>
          <w:sz w:val="20"/>
          <w:szCs w:val="20"/>
          <w:color w:val="auto"/>
        </w:rPr>
        <w:tab/>
      </w:r>
      <w:r>
        <w:rPr>
          <w:rFonts w:ascii="Times New Roman" w:cs="Times New Roman" w:eastAsia="Times New Roman" w:hAnsi="Times New Roman"/>
          <w:sz w:val="21"/>
          <w:szCs w:val="21"/>
          <w:u w:val="single" w:color="auto"/>
          <w:color w:val="auto"/>
        </w:rPr>
        <w:t>Return of Property</w:t>
      </w:r>
      <w:r>
        <w:rPr>
          <w:rFonts w:ascii="Times New Roman" w:cs="Times New Roman" w:eastAsia="Times New Roman" w:hAnsi="Times New Roman"/>
          <w:sz w:val="21"/>
          <w:szCs w:val="21"/>
          <w:color w:val="auto"/>
        </w:rPr>
        <w:t>. Upon any termination of this Agreement, the Executive must at once deliver or cause to be delivered</w:t>
      </w:r>
      <w:r>
        <w:rPr>
          <w:rFonts w:ascii="Times New Roman" w:cs="Times New Roman" w:eastAsia="Times New Roman" w:hAnsi="Times New Roman"/>
          <w:sz w:val="21"/>
          <w:szCs w:val="21"/>
          <w:u w:val="single" w:color="auto"/>
          <w:color w:val="auto"/>
        </w:rPr>
        <w:t xml:space="preserve"> </w:t>
      </w:r>
      <w:r>
        <w:rPr>
          <w:rFonts w:ascii="Times New Roman" w:cs="Times New Roman" w:eastAsia="Times New Roman" w:hAnsi="Times New Roman"/>
          <w:sz w:val="21"/>
          <w:szCs w:val="21"/>
          <w:color w:val="auto"/>
        </w:rPr>
        <w:t>to the Corporation. all data, equipment (including computer, telephone and mobile/smartphone/tablet computer), books, documents, effects, money, security or other properties belonging to the Corporation or Corporation or for which the Corporation is liable to others, which are in the possession, charge, control or custody of the Executive.</w:t>
      </w:r>
    </w:p>
    <w:p>
      <w:pPr>
        <w:spacing w:after="0" w:line="163" w:lineRule="exact"/>
        <w:rPr>
          <w:sz w:val="20"/>
          <w:szCs w:val="20"/>
          <w:color w:val="auto"/>
        </w:rPr>
      </w:pPr>
    </w:p>
    <w:p>
      <w:pPr>
        <w:ind w:left="540" w:right="340" w:hanging="647"/>
        <w:spacing w:after="0" w:line="256" w:lineRule="auto"/>
        <w:tabs>
          <w:tab w:leader="none" w:pos="520" w:val="left"/>
        </w:tabs>
        <w:rPr>
          <w:sz w:val="20"/>
          <w:szCs w:val="20"/>
          <w:color w:val="auto"/>
        </w:rPr>
      </w:pPr>
      <w:r>
        <w:rPr>
          <w:rFonts w:ascii="Times New Roman" w:cs="Times New Roman" w:eastAsia="Times New Roman" w:hAnsi="Times New Roman"/>
          <w:sz w:val="22"/>
          <w:szCs w:val="22"/>
          <w:color w:val="auto"/>
        </w:rPr>
        <w:t>7.10</w:t>
        <w:tab/>
        <w:t>All minimum statutory payments referenced under this Section 7 shall be paid within the time required under the ESA. Subject to Section 5.12 and 5.13, all remaining lump sum amounts payable to the Executive shall be made by a cash payment, less all applicable statutory deductions and withholdings, within seventy-five (75) days following the Executive's Termination Date unless otherwise require by the ESA.</w:t>
      </w:r>
    </w:p>
    <w:p>
      <w:pPr>
        <w:spacing w:after="0" w:line="176" w:lineRule="exact"/>
        <w:rPr>
          <w:sz w:val="20"/>
          <w:szCs w:val="20"/>
          <w:color w:val="auto"/>
        </w:rPr>
      </w:pPr>
    </w:p>
    <w:p>
      <w:pPr>
        <w:ind w:left="540" w:right="80" w:hanging="647"/>
        <w:spacing w:after="0" w:line="264" w:lineRule="auto"/>
        <w:tabs>
          <w:tab w:leader="none" w:pos="520" w:val="left"/>
        </w:tabs>
        <w:rPr>
          <w:sz w:val="20"/>
          <w:szCs w:val="20"/>
          <w:color w:val="auto"/>
        </w:rPr>
      </w:pPr>
      <w:r>
        <w:rPr>
          <w:rFonts w:ascii="Times New Roman" w:cs="Times New Roman" w:eastAsia="Times New Roman" w:hAnsi="Times New Roman"/>
          <w:sz w:val="22"/>
          <w:szCs w:val="22"/>
          <w:color w:val="auto"/>
        </w:rPr>
        <w:t>7.11</w:t>
      </w:r>
      <w:r>
        <w:rPr>
          <w:sz w:val="20"/>
          <w:szCs w:val="20"/>
          <w:color w:val="auto"/>
        </w:rPr>
        <w:tab/>
      </w:r>
      <w:r>
        <w:rPr>
          <w:rFonts w:ascii="Times New Roman" w:cs="Times New Roman" w:eastAsia="Times New Roman" w:hAnsi="Times New Roman"/>
          <w:sz w:val="21"/>
          <w:szCs w:val="21"/>
          <w:color w:val="auto"/>
        </w:rPr>
        <w:t>This provision is to be construed in accordance with Sections 280G and 4999 of the Code. If any portion of the payment which the Executive is entitled to receive under the terms of this Amended Agreement constitutes a "parachute payment" as defined by Section 280G and/or Section 4999 of the Code, then such payment(s) will be subject to reduction such that the Executive receives the greater of (a) the full amount of the payment which constitutes a "parachute payment" or</w:t>
      </w:r>
    </w:p>
    <w:p>
      <w:pPr>
        <w:spacing w:after="0" w:line="1" w:lineRule="exact"/>
        <w:rPr>
          <w:sz w:val="20"/>
          <w:szCs w:val="20"/>
          <w:color w:val="auto"/>
        </w:rPr>
      </w:pPr>
    </w:p>
    <w:p>
      <w:pPr>
        <w:ind w:left="600" w:right="700" w:hanging="4"/>
        <w:spacing w:after="0" w:line="248" w:lineRule="auto"/>
        <w:tabs>
          <w:tab w:leader="none" w:pos="906"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amount which yields to the Executive the greatest after-tax benefit, after taking into account any excise tax imposed on the payment under the provisions of the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1">
            <w:col w:w="11140"/>
          </w:cols>
          <w:pgMar w:left="380" w:top="1440" w:right="379" w:bottom="1440" w:gutter="0" w:footer="0" w:header="0"/>
        </w:sectPr>
      </w:pPr>
    </w:p>
    <w:bookmarkStart w:id="188" w:name="page189"/>
    <w:bookmarkEnd w:id="188"/>
    <w:p>
      <w:pPr>
        <w:spacing w:after="0" w:line="194"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22"/>
          <w:szCs w:val="22"/>
          <w:b w:val="1"/>
          <w:bCs w:val="1"/>
          <w:color w:val="auto"/>
        </w:rPr>
        <w:t>SECTION 8</w:t>
      </w:r>
      <w:r>
        <w:rPr>
          <w:sz w:val="20"/>
          <w:szCs w:val="20"/>
          <w:color w:val="auto"/>
        </w:rPr>
        <w:tab/>
      </w:r>
      <w:r>
        <w:rPr>
          <w:rFonts w:ascii="Times New Roman" w:cs="Times New Roman" w:eastAsia="Times New Roman" w:hAnsi="Times New Roman"/>
          <w:sz w:val="21"/>
          <w:szCs w:val="21"/>
          <w:b w:val="1"/>
          <w:bCs w:val="1"/>
          <w:color w:val="auto"/>
        </w:rPr>
        <w:t>TERMINATION BY THE EXECUTIVE FOR GOOD REASON</w:t>
      </w:r>
    </w:p>
    <w:p>
      <w:pPr>
        <w:spacing w:after="0" w:line="224" w:lineRule="exact"/>
        <w:rPr>
          <w:sz w:val="20"/>
          <w:szCs w:val="20"/>
          <w:color w:val="auto"/>
        </w:rPr>
      </w:pPr>
    </w:p>
    <w:p>
      <w:pPr>
        <w:ind w:left="600" w:right="160" w:hanging="647"/>
        <w:spacing w:after="0" w:line="271" w:lineRule="auto"/>
        <w:tabs>
          <w:tab w:leader="none" w:pos="580" w:val="left"/>
        </w:tabs>
        <w:rPr>
          <w:sz w:val="20"/>
          <w:szCs w:val="20"/>
          <w:color w:val="auto"/>
        </w:rPr>
      </w:pPr>
      <w:r>
        <w:rPr>
          <w:rFonts w:ascii="Times New Roman" w:cs="Times New Roman" w:eastAsia="Times New Roman" w:hAnsi="Times New Roman"/>
          <w:sz w:val="22"/>
          <w:szCs w:val="22"/>
          <w:color w:val="auto"/>
        </w:rPr>
        <w:t>8.01</w:t>
        <w:tab/>
        <w:t>Upon termination of this Agreement by the Executive for Good Reason during the Change of Control Period or Potential Change of Control Period, the Executive shall be entitled to the payments set out Section 6.</w:t>
      </w:r>
    </w:p>
    <w:p>
      <w:pPr>
        <w:spacing w:after="0" w:line="171" w:lineRule="exact"/>
        <w:rPr>
          <w:sz w:val="20"/>
          <w:szCs w:val="20"/>
          <w:color w:val="auto"/>
        </w:rPr>
      </w:pPr>
    </w:p>
    <w:p>
      <w:pPr>
        <w:ind w:left="660" w:right="240"/>
        <w:spacing w:after="0" w:line="295" w:lineRule="auto"/>
        <w:rPr>
          <w:sz w:val="20"/>
          <w:szCs w:val="20"/>
          <w:color w:val="auto"/>
        </w:rPr>
      </w:pPr>
      <w:r>
        <w:rPr>
          <w:rFonts w:ascii="Times New Roman" w:cs="Times New Roman" w:eastAsia="Times New Roman" w:hAnsi="Times New Roman"/>
          <w:sz w:val="21"/>
          <w:szCs w:val="21"/>
          <w:color w:val="auto"/>
        </w:rPr>
        <w:t>Upon termination of this Agreement by the Executive for Good Reason at a time other than during a Change of Control Period or Potential Change of Control Period, the Executive shall be entitled to the payments set out Section 7.03.</w:t>
      </w:r>
    </w:p>
    <w:p>
      <w:pPr>
        <w:spacing w:after="0" w:line="135"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2"/>
          <w:szCs w:val="22"/>
          <w:color w:val="auto"/>
        </w:rPr>
        <w:t>8.02</w:t>
      </w:r>
      <w:r>
        <w:rPr>
          <w:sz w:val="20"/>
          <w:szCs w:val="20"/>
          <w:color w:val="auto"/>
        </w:rPr>
        <w:tab/>
      </w:r>
      <w:r>
        <w:rPr>
          <w:rFonts w:ascii="Times New Roman" w:cs="Times New Roman" w:eastAsia="Times New Roman" w:hAnsi="Times New Roman"/>
          <w:sz w:val="21"/>
          <w:szCs w:val="21"/>
          <w:color w:val="auto"/>
        </w:rPr>
        <w:t>Any termination of employment by the Executive for Good Reason shall:</w:t>
      </w:r>
    </w:p>
    <w:p>
      <w:pPr>
        <w:spacing w:after="0" w:line="220" w:lineRule="exact"/>
        <w:rPr>
          <w:sz w:val="20"/>
          <w:szCs w:val="20"/>
          <w:color w:val="auto"/>
        </w:rPr>
      </w:pPr>
    </w:p>
    <w:p>
      <w:pPr>
        <w:ind w:left="1120" w:hanging="464"/>
        <w:spacing w:after="0"/>
        <w:tabs>
          <w:tab w:leader="none" w:pos="1120"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 communicated in writing by the Executive;</w:t>
      </w:r>
    </w:p>
    <w:p>
      <w:pPr>
        <w:spacing w:after="0" w:line="219" w:lineRule="exact"/>
        <w:rPr>
          <w:rFonts w:ascii="Times New Roman" w:cs="Times New Roman" w:eastAsia="Times New Roman" w:hAnsi="Times New Roman"/>
          <w:sz w:val="22"/>
          <w:szCs w:val="22"/>
          <w:color w:val="auto"/>
        </w:rPr>
      </w:pPr>
    </w:p>
    <w:p>
      <w:pPr>
        <w:ind w:left="1300" w:right="120" w:hanging="644"/>
        <w:spacing w:after="0" w:line="263" w:lineRule="auto"/>
        <w:tabs>
          <w:tab w:leader="none" w:pos="1120"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indicate the specific termination provision in this Agreement relied upon and shall set forth in reasonable detail any facts and circumstances claimed to provide a basis for the termination of the Executive's employment under the provision so indicated; and</w:t>
      </w:r>
    </w:p>
    <w:p>
      <w:pPr>
        <w:spacing w:after="0" w:line="167" w:lineRule="exact"/>
        <w:rPr>
          <w:rFonts w:ascii="Times New Roman" w:cs="Times New Roman" w:eastAsia="Times New Roman" w:hAnsi="Times New Roman"/>
          <w:sz w:val="22"/>
          <w:szCs w:val="22"/>
          <w:color w:val="auto"/>
        </w:rPr>
      </w:pPr>
    </w:p>
    <w:p>
      <w:pPr>
        <w:ind w:left="1300" w:right="160" w:hanging="644"/>
        <w:spacing w:after="0" w:line="257" w:lineRule="auto"/>
        <w:tabs>
          <w:tab w:leader="none" w:pos="1108"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 delivered to the Chairperson of the Board within ninety (90) days of the Executive becoming aware of the act or failure to act giving rise to the Good Reason. The Executive shall not be required to report to work or perform services for the Corporation subsequent to the receipt of the Executive's notice of termination.</w:t>
      </w:r>
    </w:p>
    <w:p>
      <w:pPr>
        <w:spacing w:after="0" w:line="173" w:lineRule="exact"/>
        <w:rPr>
          <w:sz w:val="20"/>
          <w:szCs w:val="20"/>
          <w:color w:val="auto"/>
        </w:rPr>
      </w:pPr>
    </w:p>
    <w:p>
      <w:pPr>
        <w:ind w:left="660" w:right="460"/>
        <w:spacing w:after="0" w:line="309" w:lineRule="auto"/>
        <w:rPr>
          <w:sz w:val="20"/>
          <w:szCs w:val="20"/>
          <w:color w:val="auto"/>
        </w:rPr>
      </w:pPr>
      <w:r>
        <w:rPr>
          <w:rFonts w:ascii="Times New Roman" w:cs="Times New Roman" w:eastAsia="Times New Roman" w:hAnsi="Times New Roman"/>
          <w:sz w:val="21"/>
          <w:szCs w:val="21"/>
          <w:color w:val="auto"/>
        </w:rPr>
        <w:t>The Corporation shall have sixty (60) days to correct the facts and circumstances claimed to provide the basis for the Executive's termination under this Section 8, in which case the Good Reason shall be deemed to have not occurred.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9 CONFIDENTIALITY</w:t>
      </w:r>
    </w:p>
    <w:p>
      <w:pPr>
        <w:spacing w:after="0" w:line="224" w:lineRule="exact"/>
        <w:rPr>
          <w:sz w:val="20"/>
          <w:szCs w:val="20"/>
          <w:color w:val="auto"/>
        </w:rPr>
      </w:pPr>
    </w:p>
    <w:p>
      <w:pPr>
        <w:ind w:left="600" w:hanging="647"/>
        <w:spacing w:after="0" w:line="257" w:lineRule="auto"/>
        <w:tabs>
          <w:tab w:leader="none" w:pos="580" w:val="left"/>
        </w:tabs>
        <w:rPr>
          <w:sz w:val="20"/>
          <w:szCs w:val="20"/>
          <w:color w:val="auto"/>
        </w:rPr>
      </w:pPr>
      <w:r>
        <w:rPr>
          <w:rFonts w:ascii="Times New Roman" w:cs="Times New Roman" w:eastAsia="Times New Roman" w:hAnsi="Times New Roman"/>
          <w:sz w:val="22"/>
          <w:szCs w:val="22"/>
          <w:color w:val="auto"/>
        </w:rPr>
        <w:t>9.01</w:t>
        <w:tab/>
        <w:t>The Executive acknowledges and agrees that in the performance of his duties, the Executive will be acting in a fiduciary capacity and will acquire detailed and Confidential information regarding the Corporation's customers, vendors, suppliers, operations, products, and the Corporation's current and anticipated business activity.</w:t>
      </w:r>
    </w:p>
    <w:p>
      <w:pPr>
        <w:spacing w:after="0" w:line="186" w:lineRule="exact"/>
        <w:rPr>
          <w:sz w:val="20"/>
          <w:szCs w:val="20"/>
          <w:color w:val="auto"/>
        </w:rPr>
      </w:pPr>
    </w:p>
    <w:p>
      <w:pPr>
        <w:ind w:left="600" w:right="180" w:hanging="647"/>
        <w:spacing w:after="0" w:line="250" w:lineRule="auto"/>
        <w:tabs>
          <w:tab w:leader="none" w:pos="580" w:val="left"/>
        </w:tabs>
        <w:rPr>
          <w:sz w:val="20"/>
          <w:szCs w:val="20"/>
          <w:color w:val="auto"/>
        </w:rPr>
      </w:pPr>
      <w:r>
        <w:rPr>
          <w:rFonts w:ascii="Times New Roman" w:cs="Times New Roman" w:eastAsia="Times New Roman" w:hAnsi="Times New Roman"/>
          <w:sz w:val="22"/>
          <w:szCs w:val="22"/>
          <w:color w:val="auto"/>
        </w:rPr>
        <w:t>9.02</w:t>
        <w:tab/>
        <w:t>The Executive acknowledges and agrees that "</w:t>
      </w:r>
      <w:r>
        <w:rPr>
          <w:rFonts w:ascii="Times New Roman" w:cs="Times New Roman" w:eastAsia="Times New Roman" w:hAnsi="Times New Roman"/>
          <w:sz w:val="22"/>
          <w:szCs w:val="22"/>
          <w:u w:val="single" w:color="auto"/>
          <w:color w:val="auto"/>
        </w:rPr>
        <w:t>Confidential Information</w:t>
      </w:r>
      <w:r>
        <w:rPr>
          <w:rFonts w:ascii="Times New Roman" w:cs="Times New Roman" w:eastAsia="Times New Roman" w:hAnsi="Times New Roman"/>
          <w:sz w:val="22"/>
          <w:szCs w:val="22"/>
          <w:color w:val="auto"/>
        </w:rPr>
        <w:t>" means information in recorded or unrecorded form that is not generally available to the public and is generated, collected, or used in the course of the Corporation's current and anticipated business activity and information provided to the Corporation by third parties, which the Corporation is obligated to keep confidential. The Executive understands that Confidential Information does not need to be expressly marked as confidential to be protected under this Agreement.</w:t>
      </w:r>
    </w:p>
    <w:p>
      <w:pPr>
        <w:spacing w:after="0" w:line="194" w:lineRule="exact"/>
        <w:rPr>
          <w:sz w:val="20"/>
          <w:szCs w:val="20"/>
          <w:color w:val="auto"/>
        </w:rPr>
      </w:pPr>
    </w:p>
    <w:p>
      <w:pPr>
        <w:ind w:left="600" w:right="160" w:hanging="647"/>
        <w:spacing w:after="0" w:line="257" w:lineRule="auto"/>
        <w:tabs>
          <w:tab w:leader="none" w:pos="580" w:val="left"/>
        </w:tabs>
        <w:rPr>
          <w:sz w:val="20"/>
          <w:szCs w:val="20"/>
          <w:color w:val="auto"/>
        </w:rPr>
      </w:pPr>
      <w:r>
        <w:rPr>
          <w:rFonts w:ascii="Times New Roman" w:cs="Times New Roman" w:eastAsia="Times New Roman" w:hAnsi="Times New Roman"/>
          <w:sz w:val="22"/>
          <w:szCs w:val="22"/>
          <w:color w:val="auto"/>
        </w:rPr>
        <w:t>9.03</w:t>
        <w:tab/>
        <w:t>The Executive further understands and agrees that Confidential Information includes, but is not limited to, Trade Secrets, business and marketing plans or strategies and methods of obtaining business, methods of operation, software and computer programs developed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20</w:t>
      </w:r>
    </w:p>
    <w:p>
      <w:pPr>
        <w:sectPr>
          <w:pgSz w:w="11900" w:h="16838" w:orient="portrait"/>
          <w:cols w:equalWidth="0" w:num="1">
            <w:col w:w="11220"/>
          </w:cols>
          <w:pgMar w:left="320" w:top="1440" w:right="359" w:bottom="1440" w:gutter="0" w:footer="0" w:header="0"/>
        </w:sectPr>
      </w:pPr>
    </w:p>
    <w:bookmarkStart w:id="189" w:name="page190"/>
    <w:bookmarkEnd w:id="189"/>
    <w:p>
      <w:pPr>
        <w:spacing w:after="0" w:line="198" w:lineRule="exact"/>
        <w:rPr>
          <w:sz w:val="20"/>
          <w:szCs w:val="20"/>
          <w:color w:val="auto"/>
        </w:rPr>
      </w:pPr>
    </w:p>
    <w:p>
      <w:pPr>
        <w:ind w:left="660" w:right="200"/>
        <w:spacing w:after="0" w:line="253" w:lineRule="auto"/>
        <w:rPr>
          <w:sz w:val="20"/>
          <w:szCs w:val="20"/>
          <w:color w:val="auto"/>
        </w:rPr>
      </w:pPr>
      <w:r>
        <w:rPr>
          <w:rFonts w:ascii="Times New Roman" w:cs="Times New Roman" w:eastAsia="Times New Roman" w:hAnsi="Times New Roman"/>
          <w:sz w:val="22"/>
          <w:szCs w:val="22"/>
          <w:color w:val="auto"/>
        </w:rPr>
        <w:t>by the Corporation for use in its business, bids and proposals, client lists, lists of suppliers, lists of vendors, plans and specifications, personal information of employees, purchasing and internal cost information, operating manuals, fee amounts, pricing and billing policies, quoting procedures, financial information, forecasts and forecast assumptions and volumes, contracts, client information, quantity and specifications of services purchased, leased, licensed or received by clients.</w:t>
      </w:r>
    </w:p>
    <w:p>
      <w:pPr>
        <w:spacing w:after="0" w:line="179" w:lineRule="exact"/>
        <w:rPr>
          <w:sz w:val="20"/>
          <w:szCs w:val="20"/>
          <w:color w:val="auto"/>
        </w:rPr>
      </w:pPr>
    </w:p>
    <w:p>
      <w:pPr>
        <w:ind w:left="600" w:right="180" w:hanging="647"/>
        <w:spacing w:after="0" w:line="257" w:lineRule="auto"/>
        <w:tabs>
          <w:tab w:leader="none" w:pos="580" w:val="left"/>
        </w:tabs>
        <w:rPr>
          <w:sz w:val="20"/>
          <w:szCs w:val="20"/>
          <w:color w:val="auto"/>
        </w:rPr>
      </w:pPr>
      <w:r>
        <w:rPr>
          <w:rFonts w:ascii="Times New Roman" w:cs="Times New Roman" w:eastAsia="Times New Roman" w:hAnsi="Times New Roman"/>
          <w:sz w:val="22"/>
          <w:szCs w:val="22"/>
          <w:color w:val="auto"/>
        </w:rPr>
        <w:t>9.04</w:t>
        <w:tab/>
        <w:t>Confidential Information does not include "Trade Knowledge" which for the purposes of this Agreement means information about processes, techniques and ideas which are commonly known by professionals in the Executive's trade or occupation.</w:t>
      </w:r>
    </w:p>
    <w:p>
      <w:pPr>
        <w:spacing w:after="0" w:line="186" w:lineRule="exact"/>
        <w:rPr>
          <w:sz w:val="20"/>
          <w:szCs w:val="20"/>
          <w:color w:val="auto"/>
        </w:rPr>
      </w:pPr>
    </w:p>
    <w:p>
      <w:pPr>
        <w:jc w:val="center"/>
        <w:ind w:right="140"/>
        <w:spacing w:after="0"/>
        <w:tabs>
          <w:tab w:leader="none" w:pos="200" w:val="left"/>
        </w:tabs>
        <w:rPr>
          <w:sz w:val="20"/>
          <w:szCs w:val="20"/>
          <w:color w:val="auto"/>
        </w:rPr>
      </w:pPr>
      <w:r>
        <w:rPr>
          <w:rFonts w:ascii="Times New Roman" w:cs="Times New Roman" w:eastAsia="Times New Roman" w:hAnsi="Times New Roman"/>
          <w:sz w:val="22"/>
          <w:szCs w:val="22"/>
          <w:color w:val="auto"/>
        </w:rPr>
        <w:t>9.05</w:t>
      </w:r>
      <w:r>
        <w:rPr>
          <w:sz w:val="20"/>
          <w:szCs w:val="20"/>
          <w:color w:val="auto"/>
        </w:rPr>
        <w:tab/>
      </w:r>
      <w:r>
        <w:rPr>
          <w:rFonts w:ascii="Times New Roman" w:cs="Times New Roman" w:eastAsia="Times New Roman" w:hAnsi="Times New Roman"/>
          <w:sz w:val="21"/>
          <w:szCs w:val="21"/>
          <w:color w:val="auto"/>
        </w:rPr>
        <w:t>The Executive shall not, directly, or indirectly, disclose, use, copy, communicate or transfer any Confidential Information</w:t>
      </w:r>
    </w:p>
    <w:p>
      <w:pPr>
        <w:spacing w:after="0" w:line="28" w:lineRule="exact"/>
        <w:rPr>
          <w:sz w:val="20"/>
          <w:szCs w:val="20"/>
          <w:color w:val="auto"/>
        </w:rPr>
      </w:pPr>
    </w:p>
    <w:p>
      <w:pPr>
        <w:ind w:left="660" w:right="260"/>
        <w:spacing w:after="0" w:line="245" w:lineRule="auto"/>
        <w:rPr>
          <w:sz w:val="20"/>
          <w:szCs w:val="20"/>
          <w:color w:val="auto"/>
        </w:rPr>
      </w:pPr>
      <w:r>
        <w:rPr>
          <w:rFonts w:ascii="Times New Roman" w:cs="Times New Roman" w:eastAsia="Times New Roman" w:hAnsi="Times New Roman"/>
          <w:sz w:val="22"/>
          <w:szCs w:val="22"/>
          <w:color w:val="auto"/>
        </w:rPr>
        <w:t>to any third party without the Corporation's prior written permission, or except as may be necessary in the proper discharge of his duties. The Executive shall not transfer Confidential Information through an electronic mail account or other similar means that are not administered by the Corporation.</w:t>
      </w:r>
    </w:p>
    <w:p>
      <w:pPr>
        <w:spacing w:after="0" w:line="187" w:lineRule="exact"/>
        <w:rPr>
          <w:sz w:val="20"/>
          <w:szCs w:val="20"/>
          <w:color w:val="auto"/>
        </w:rPr>
      </w:pPr>
    </w:p>
    <w:p>
      <w:pPr>
        <w:ind w:left="600" w:right="40" w:hanging="647"/>
        <w:spacing w:after="0" w:line="263" w:lineRule="auto"/>
        <w:tabs>
          <w:tab w:leader="none" w:pos="580" w:val="left"/>
        </w:tabs>
        <w:rPr>
          <w:sz w:val="20"/>
          <w:szCs w:val="20"/>
          <w:color w:val="auto"/>
        </w:rPr>
      </w:pPr>
      <w:r>
        <w:rPr>
          <w:rFonts w:ascii="Times New Roman" w:cs="Times New Roman" w:eastAsia="Times New Roman" w:hAnsi="Times New Roman"/>
          <w:sz w:val="22"/>
          <w:szCs w:val="22"/>
          <w:color w:val="auto"/>
        </w:rPr>
        <w:t>9.06</w:t>
        <w:tab/>
        <w:t>The Executive will take all reasonable precautions that the Corporation currently requires or may in the future require. and take reasonable steps to protect Confidential Information from unauthorized use, transfer and disclosure by other employees and individuals.</w:t>
      </w:r>
    </w:p>
    <w:p>
      <w:pPr>
        <w:spacing w:after="0" w:line="167" w:lineRule="exact"/>
        <w:rPr>
          <w:sz w:val="20"/>
          <w:szCs w:val="20"/>
          <w:color w:val="auto"/>
        </w:rPr>
      </w:pPr>
    </w:p>
    <w:p>
      <w:pPr>
        <w:ind w:left="600" w:right="120" w:hanging="647"/>
        <w:spacing w:after="0" w:line="295" w:lineRule="auto"/>
        <w:tabs>
          <w:tab w:leader="none" w:pos="580" w:val="left"/>
        </w:tabs>
        <w:rPr>
          <w:sz w:val="20"/>
          <w:szCs w:val="20"/>
          <w:color w:val="auto"/>
        </w:rPr>
      </w:pPr>
      <w:r>
        <w:rPr>
          <w:rFonts w:ascii="Times New Roman" w:cs="Times New Roman" w:eastAsia="Times New Roman" w:hAnsi="Times New Roman"/>
          <w:sz w:val="22"/>
          <w:szCs w:val="22"/>
          <w:color w:val="auto"/>
        </w:rPr>
        <w:t>9.07</w:t>
      </w:r>
      <w:r>
        <w:rPr>
          <w:sz w:val="20"/>
          <w:szCs w:val="20"/>
          <w:color w:val="auto"/>
        </w:rPr>
        <w:tab/>
      </w:r>
      <w:r>
        <w:rPr>
          <w:rFonts w:ascii="Times New Roman" w:cs="Times New Roman" w:eastAsia="Times New Roman" w:hAnsi="Times New Roman"/>
          <w:sz w:val="21"/>
          <w:szCs w:val="21"/>
          <w:color w:val="auto"/>
        </w:rPr>
        <w:t>After the cessation of the Executive's employment, for any reason, the Executive shall not use, copy, transfer, communicate or disclose Confidential Information for any reason except with the Corporation's prior written permission.</w:t>
      </w:r>
    </w:p>
    <w:p>
      <w:pPr>
        <w:spacing w:after="0" w:line="135" w:lineRule="exact"/>
        <w:rPr>
          <w:sz w:val="20"/>
          <w:szCs w:val="20"/>
          <w:color w:val="auto"/>
        </w:rPr>
      </w:pPr>
    </w:p>
    <w:p>
      <w:pPr>
        <w:ind w:left="600" w:right="60" w:hanging="647"/>
        <w:spacing w:after="0" w:line="253" w:lineRule="auto"/>
        <w:tabs>
          <w:tab w:leader="none" w:pos="580" w:val="left"/>
        </w:tabs>
        <w:rPr>
          <w:sz w:val="20"/>
          <w:szCs w:val="20"/>
          <w:color w:val="auto"/>
        </w:rPr>
      </w:pPr>
      <w:r>
        <w:rPr>
          <w:rFonts w:ascii="Times New Roman" w:cs="Times New Roman" w:eastAsia="Times New Roman" w:hAnsi="Times New Roman"/>
          <w:sz w:val="22"/>
          <w:szCs w:val="22"/>
          <w:color w:val="auto"/>
        </w:rPr>
        <w:t>9.08</w:t>
        <w:tab/>
        <w:t>The Executive acknowledges and agrees that all Confidential Information, whether in electronic or physical from, shall be the exclusive property of the Corporation or the owner thereof and constitutes valuable Trade Secrets of its owner which the owner is entitled to protect. The Executive agrees to immediately deliver all Confidential Information, whether in electronic or physical form, and all Corporation property to the Corporation upon request at any time during his employment, or at the time of the Executive's cessation of employment for any reason.</w:t>
      </w:r>
    </w:p>
    <w:p>
      <w:pPr>
        <w:spacing w:after="0" w:line="179" w:lineRule="exact"/>
        <w:rPr>
          <w:sz w:val="20"/>
          <w:szCs w:val="20"/>
          <w:color w:val="auto"/>
        </w:rPr>
      </w:pPr>
    </w:p>
    <w:p>
      <w:pPr>
        <w:ind w:left="600" w:hanging="647"/>
        <w:spacing w:after="0" w:line="295" w:lineRule="auto"/>
        <w:tabs>
          <w:tab w:leader="none" w:pos="580" w:val="left"/>
        </w:tabs>
        <w:rPr>
          <w:sz w:val="20"/>
          <w:szCs w:val="20"/>
          <w:color w:val="auto"/>
        </w:rPr>
      </w:pPr>
      <w:r>
        <w:rPr>
          <w:rFonts w:ascii="Times New Roman" w:cs="Times New Roman" w:eastAsia="Times New Roman" w:hAnsi="Times New Roman"/>
          <w:sz w:val="22"/>
          <w:szCs w:val="22"/>
          <w:color w:val="auto"/>
        </w:rPr>
        <w:t>9.09</w:t>
      </w:r>
      <w:r>
        <w:rPr>
          <w:sz w:val="20"/>
          <w:szCs w:val="20"/>
          <w:color w:val="auto"/>
        </w:rPr>
        <w:tab/>
      </w:r>
      <w:r>
        <w:rPr>
          <w:rFonts w:ascii="Times New Roman" w:cs="Times New Roman" w:eastAsia="Times New Roman" w:hAnsi="Times New Roman"/>
          <w:sz w:val="21"/>
          <w:szCs w:val="21"/>
          <w:u w:val="single" w:color="auto"/>
          <w:color w:val="auto"/>
        </w:rPr>
        <w:t>Survival</w:t>
      </w:r>
      <w:r>
        <w:rPr>
          <w:rFonts w:ascii="Times New Roman" w:cs="Times New Roman" w:eastAsia="Times New Roman" w:hAnsi="Times New Roman"/>
          <w:sz w:val="21"/>
          <w:szCs w:val="21"/>
          <w:color w:val="auto"/>
        </w:rPr>
        <w:t>. The Executive acknowledges and agrees that the provisions of this Section 9 shall continue in force and survive</w:t>
      </w:r>
      <w:r>
        <w:rPr>
          <w:rFonts w:ascii="Times New Roman" w:cs="Times New Roman" w:eastAsia="Times New Roman" w:hAnsi="Times New Roman"/>
          <w:sz w:val="21"/>
          <w:szCs w:val="21"/>
          <w:u w:val="single" w:color="auto"/>
          <w:color w:val="auto"/>
        </w:rPr>
        <w:t xml:space="preserve"> </w:t>
      </w:r>
      <w:r>
        <w:rPr>
          <w:rFonts w:ascii="Times New Roman" w:cs="Times New Roman" w:eastAsia="Times New Roman" w:hAnsi="Times New Roman"/>
          <w:sz w:val="21"/>
          <w:szCs w:val="21"/>
          <w:color w:val="auto"/>
        </w:rPr>
        <w:t>the cessation of the Executive's employment whether occasioned by resignation, retirement, or termination for any reason.</w:t>
      </w:r>
    </w:p>
    <w:p>
      <w:pPr>
        <w:spacing w:after="0" w:line="145" w:lineRule="exact"/>
        <w:rPr>
          <w:sz w:val="20"/>
          <w:szCs w:val="20"/>
          <w:color w:val="auto"/>
        </w:rPr>
      </w:pPr>
    </w:p>
    <w:p>
      <w:pPr>
        <w:ind w:right="4860"/>
        <w:spacing w:after="0" w:line="450" w:lineRule="auto"/>
        <w:rPr>
          <w:sz w:val="20"/>
          <w:szCs w:val="20"/>
          <w:color w:val="auto"/>
        </w:rPr>
      </w:pPr>
      <w:r>
        <w:rPr>
          <w:rFonts w:ascii="Times New Roman" w:cs="Times New Roman" w:eastAsia="Times New Roman" w:hAnsi="Times New Roman"/>
          <w:sz w:val="22"/>
          <w:szCs w:val="22"/>
          <w:b w:val="1"/>
          <w:bCs w:val="1"/>
          <w:color w:val="auto"/>
        </w:rPr>
        <w:t xml:space="preserve">SECTION 10 NON-SOLICITATION AND NON-COMPETITION </w:t>
      </w:r>
      <w:r>
        <w:rPr>
          <w:rFonts w:ascii="Times New Roman" w:cs="Times New Roman" w:eastAsia="Times New Roman" w:hAnsi="Times New Roman"/>
          <w:sz w:val="22"/>
          <w:szCs w:val="22"/>
          <w:color w:val="auto"/>
        </w:rPr>
        <w:t xml:space="preserve">10.01 </w:t>
      </w:r>
      <w:r>
        <w:rPr>
          <w:rFonts w:ascii="Times New Roman" w:cs="Times New Roman" w:eastAsia="Times New Roman" w:hAnsi="Times New Roman"/>
          <w:sz w:val="22"/>
          <w:szCs w:val="22"/>
          <w:u w:val="single" w:color="auto"/>
          <w:color w:val="auto"/>
        </w:rPr>
        <w:t>Non-Solicitation of Customers/Vendors/Suppliers</w:t>
      </w:r>
    </w:p>
    <w:p>
      <w:pPr>
        <w:jc w:val="both"/>
        <w:ind w:left="1300" w:right="160" w:hanging="644"/>
        <w:spacing w:after="0" w:line="252" w:lineRule="auto"/>
        <w:tabs>
          <w:tab w:leader="none" w:pos="1104"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 acknowledges and agrees that during his employment and for a twenty-four (24) month period following the cessation of the Executive's employment under this Agreement for any reason. the Executive shall not without the prior written consent of the Corporation. individually or in conjunction with any person or entity, directly or indirectly, solicit, induce, interfere with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21</w:t>
      </w:r>
    </w:p>
    <w:p>
      <w:pPr>
        <w:sectPr>
          <w:pgSz w:w="11900" w:h="16838" w:orient="portrait"/>
          <w:cols w:equalWidth="0" w:num="1">
            <w:col w:w="11220"/>
          </w:cols>
          <w:pgMar w:left="320" w:top="1440" w:right="359" w:bottom="1440" w:gutter="0" w:footer="0" w:header="0"/>
        </w:sectPr>
      </w:pPr>
    </w:p>
    <w:bookmarkStart w:id="190" w:name="page191"/>
    <w:bookmarkEnd w:id="190"/>
    <w:p>
      <w:pPr>
        <w:spacing w:after="0" w:line="198" w:lineRule="exact"/>
        <w:rPr>
          <w:sz w:val="20"/>
          <w:szCs w:val="20"/>
          <w:color w:val="auto"/>
        </w:rPr>
      </w:pPr>
    </w:p>
    <w:p>
      <w:pPr>
        <w:ind w:left="1300" w:right="320"/>
        <w:spacing w:after="0" w:line="257" w:lineRule="auto"/>
        <w:rPr>
          <w:sz w:val="20"/>
          <w:szCs w:val="20"/>
          <w:color w:val="auto"/>
        </w:rPr>
      </w:pPr>
      <w:r>
        <w:rPr>
          <w:rFonts w:ascii="Times New Roman" w:cs="Times New Roman" w:eastAsia="Times New Roman" w:hAnsi="Times New Roman"/>
          <w:sz w:val="22"/>
          <w:szCs w:val="22"/>
          <w:color w:val="auto"/>
        </w:rPr>
        <w:t>endeavour to entice away from the Corporation any customer of the Corporation with whom the Executive had business or professional dealings on behalf of the Corporation in the twenty-four (24) months preceding the cessation of the Executive's employment.</w:t>
      </w:r>
    </w:p>
    <w:p>
      <w:pPr>
        <w:spacing w:after="0" w:line="186" w:lineRule="exact"/>
        <w:rPr>
          <w:sz w:val="20"/>
          <w:szCs w:val="20"/>
          <w:color w:val="auto"/>
        </w:rPr>
      </w:pPr>
    </w:p>
    <w:p>
      <w:pPr>
        <w:ind w:left="1300" w:hanging="644"/>
        <w:spacing w:after="0" w:line="249" w:lineRule="auto"/>
        <w:tabs>
          <w:tab w:leader="none" w:pos="1116"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 acknowledges and agrees that during his employment and for a twenty-four (24) month period following the cessation of the Executive's employment under this Agreement, for any reason, the Executive shall not without the prior written consent of the Corporation, individually or in conjunction with any person or entity, directly or indirectly, solicit, induce, interfere with or endeavour to entice away from the Corporation any vendor or supplier of the Corporation with whom the Executive had business or professional dealings on behalf of the Corporation in the twenty-four (24) months preceding the cessation of the Executive's employment for the purpose of having such individual, entity or organization cease providing services or products to the Corporation or to redirect business or opportunities to the Executive or a Competitive Business.</w:t>
      </w:r>
    </w:p>
    <w:p>
      <w:pPr>
        <w:spacing w:after="0" w:line="18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22"/>
          <w:szCs w:val="22"/>
          <w:color w:val="auto"/>
        </w:rPr>
        <w:t>10.02</w:t>
      </w:r>
      <w:r>
        <w:rPr>
          <w:sz w:val="20"/>
          <w:szCs w:val="20"/>
          <w:color w:val="auto"/>
        </w:rPr>
        <w:tab/>
      </w:r>
      <w:r>
        <w:rPr>
          <w:rFonts w:ascii="Times New Roman" w:cs="Times New Roman" w:eastAsia="Times New Roman" w:hAnsi="Times New Roman"/>
          <w:sz w:val="21"/>
          <w:szCs w:val="21"/>
          <w:u w:val="single" w:color="auto"/>
          <w:color w:val="auto"/>
        </w:rPr>
        <w:t>Non-Solicitation of Employees</w:t>
      </w:r>
    </w:p>
    <w:p>
      <w:pPr>
        <w:spacing w:after="0" w:line="220" w:lineRule="exact"/>
        <w:rPr>
          <w:sz w:val="20"/>
          <w:szCs w:val="20"/>
          <w:color w:val="auto"/>
        </w:rPr>
      </w:pPr>
    </w:p>
    <w:p>
      <w:pPr>
        <w:ind w:left="1300" w:right="20" w:hanging="644"/>
        <w:spacing w:after="0" w:line="250" w:lineRule="auto"/>
        <w:tabs>
          <w:tab w:leader="none" w:pos="1104"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 further acknowledges and agrees that, during the course of his employment with the Corporation and for a twenty-four (24) month period following the cessation of his employment under this Agreement for any reason, the Executive shall not, individually or in conjunction with any person or entity, directly or indirectly, solicit or induce any person who is employed by or is under contract with the Corporation at the time of the cessation of his employment with the Corporation, and who directly or indirectly reported to the Executive or with whom the Executive worked directly in the twenty- four (24) months preceding the cessation of the Executive employment, to cease employment with, or providing services to, the Corporation.</w:t>
      </w:r>
    </w:p>
    <w:p>
      <w:pPr>
        <w:spacing w:after="0" w:line="19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22"/>
          <w:szCs w:val="22"/>
          <w:color w:val="auto"/>
        </w:rPr>
        <w:t>10.03</w:t>
      </w:r>
      <w:r>
        <w:rPr>
          <w:sz w:val="20"/>
          <w:szCs w:val="20"/>
          <w:color w:val="auto"/>
        </w:rPr>
        <w:tab/>
      </w:r>
      <w:r>
        <w:rPr>
          <w:rFonts w:ascii="Times New Roman" w:cs="Times New Roman" w:eastAsia="Times New Roman" w:hAnsi="Times New Roman"/>
          <w:sz w:val="21"/>
          <w:szCs w:val="21"/>
          <w:u w:val="single" w:color="auto"/>
          <w:color w:val="auto"/>
        </w:rPr>
        <w:t>Non-competition</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left="660" w:right="40"/>
        <w:spacing w:after="0" w:line="247" w:lineRule="auto"/>
        <w:rPr>
          <w:sz w:val="20"/>
          <w:szCs w:val="20"/>
          <w:color w:val="auto"/>
        </w:rPr>
      </w:pPr>
      <w:r>
        <w:rPr>
          <w:rFonts w:ascii="Times New Roman" w:cs="Times New Roman" w:eastAsia="Times New Roman" w:hAnsi="Times New Roman"/>
          <w:sz w:val="22"/>
          <w:szCs w:val="22"/>
          <w:color w:val="auto"/>
        </w:rPr>
        <w:t>The Executive acknowledges and agrees that the Corporation operates on a worldwide basis. The Executive further acknowledges and agrees that the Corporation's business is built upon the confidence of and relationships with its customers, suppliers and/or vendors and that all of the goodwill arising out of the Executive's acquaintances with customers, vendors and/or suppliers shall be the sole and exclusive property of the Corporation. The Executive further recognizes and acknowledges that, as the President and Chief Executive Officer of the Corporation he will have extensive knowledge of and contact with the Corporation's customers, suppliers, vendors, agents, and employees. The Executive further acknowledges that the Corporation has a material interest in preserving the relationship it has developed with its customers, vendors, suppliers, agents, and employees against impairment by the competitive activities of a former employee, both during the employment relationship and for a reasonable period of time after the cessation of employment.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22</w:t>
      </w:r>
    </w:p>
    <w:p>
      <w:pPr>
        <w:sectPr>
          <w:pgSz w:w="11900" w:h="16838" w:orient="portrait"/>
          <w:cols w:equalWidth="0" w:num="1">
            <w:col w:w="11220"/>
          </w:cols>
          <w:pgMar w:left="320" w:top="1440" w:right="359" w:bottom="1440" w:gutter="0" w:footer="0" w:header="0"/>
        </w:sectPr>
      </w:pPr>
    </w:p>
    <w:bookmarkStart w:id="191" w:name="page192"/>
    <w:bookmarkEnd w:id="191"/>
    <w:p>
      <w:pPr>
        <w:spacing w:after="0" w:line="198" w:lineRule="exact"/>
        <w:rPr>
          <w:sz w:val="20"/>
          <w:szCs w:val="20"/>
          <w:color w:val="auto"/>
        </w:rPr>
      </w:pPr>
    </w:p>
    <w:p>
      <w:pPr>
        <w:ind w:left="1280" w:right="140" w:hanging="644"/>
        <w:spacing w:after="0" w:line="250" w:lineRule="auto"/>
        <w:tabs>
          <w:tab w:leader="none" w:pos="1084"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 therefore acknowledges and agrees that during the course of his employment with the Corporation and for a twenty-four (24) month period following the cessation of his employment under this Agreement for any reason, the Executive shall not without the prior written consent of the Corporation, directly or indirectly, including, without limitation, either individually or in partnership or jointly, or in conjunction with any other person or persons, firm, association, syndicate or corporation, or as principal, employee, agent, consultant, contractor, officer, director, shareholder, partner, investor, lender, or in any other capacity, engage in or have any financial interest in any Competitive Business.</w:t>
      </w:r>
    </w:p>
    <w:p>
      <w:pPr>
        <w:spacing w:after="0" w:line="180" w:lineRule="exact"/>
        <w:rPr>
          <w:rFonts w:ascii="Times New Roman" w:cs="Times New Roman" w:eastAsia="Times New Roman" w:hAnsi="Times New Roman"/>
          <w:sz w:val="22"/>
          <w:szCs w:val="22"/>
          <w:color w:val="auto"/>
        </w:rPr>
      </w:pPr>
    </w:p>
    <w:p>
      <w:pPr>
        <w:ind w:left="1280" w:right="260" w:hanging="644"/>
        <w:spacing w:after="0" w:line="253" w:lineRule="auto"/>
        <w:tabs>
          <w:tab w:leader="none" w:pos="1096"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 further agrees that during the course of his employment with the Corporation and for a twenty-four (24) month period following the cessation of his employment under this Agreement for any reason, he shall not, either individually or in partnership or jointly or in conjunction with any person or persons, firm, association, syndicate, company or corporation, as principal, agent, shareholder (unless passive investor) or in any other manner whatsoever, be involved with operations of a Competitive Business.</w:t>
      </w:r>
    </w:p>
    <w:p>
      <w:pPr>
        <w:spacing w:after="0" w:line="178" w:lineRule="exact"/>
        <w:rPr>
          <w:rFonts w:ascii="Times New Roman" w:cs="Times New Roman" w:eastAsia="Times New Roman" w:hAnsi="Times New Roman"/>
          <w:sz w:val="22"/>
          <w:szCs w:val="22"/>
          <w:color w:val="auto"/>
        </w:rPr>
      </w:pPr>
    </w:p>
    <w:p>
      <w:pPr>
        <w:ind w:left="1280" w:hanging="644"/>
        <w:spacing w:after="0" w:line="250" w:lineRule="auto"/>
        <w:tabs>
          <w:tab w:leader="none" w:pos="1088"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Competitive Business</w:t>
      </w:r>
      <w:r>
        <w:rPr>
          <w:rFonts w:ascii="Times New Roman" w:cs="Times New Roman" w:eastAsia="Times New Roman" w:hAnsi="Times New Roman"/>
          <w:sz w:val="22"/>
          <w:szCs w:val="22"/>
          <w:color w:val="auto"/>
        </w:rPr>
        <w:t>" for the purposes of this Agreement means any part of any corporation, business or enterprise engaged in any business competitive with the business in which the Corporation is then involved and was involved during the course of the Executive's employment, and any corporation, business or enterprise deemed by the Corporation, acting reasonably, to be a competitor and currently includes, but is not limited to, the following corporations or their subsidiaries and affiliates, or, in the event of any merger, acquisition, divestiture or corporate reorganization of the following corporations, any successor in interest or surviving corporation: Flextronics International Ltd, Sanmina-SCI Corp., Jabil Circuit, Inc., Hon Hai Precision Industry Co., Ltd., Benchmark Electronics, Inc. and Plexus Corp.</w:t>
      </w:r>
    </w:p>
    <w:p>
      <w:pPr>
        <w:spacing w:after="0" w:line="186" w:lineRule="exact"/>
        <w:rPr>
          <w:rFonts w:ascii="Times New Roman" w:cs="Times New Roman" w:eastAsia="Times New Roman" w:hAnsi="Times New Roman"/>
          <w:sz w:val="22"/>
          <w:szCs w:val="22"/>
          <w:color w:val="auto"/>
        </w:rPr>
      </w:pPr>
    </w:p>
    <w:p>
      <w:pPr>
        <w:ind w:left="1280" w:right="260" w:hanging="644"/>
        <w:spacing w:after="0" w:line="275" w:lineRule="auto"/>
        <w:tabs>
          <w:tab w:leader="none" w:pos="1100" w:val="left"/>
        </w:tabs>
        <w:numPr>
          <w:ilvl w:val="0"/>
          <w:numId w:val="1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greater clarity, nothing in Section 10.03(b) or (d) shall be construed to prevent the Executive from owning not more than five percent (5%) of the issued shares of a corporation, the shares of which are listed on a recognized stock exchange or trade in the over-the-counter market in Canada or the United States of America.</w:t>
      </w:r>
    </w:p>
    <w:p>
      <w:pPr>
        <w:spacing w:after="0" w:line="155" w:lineRule="exact"/>
        <w:rPr>
          <w:rFonts w:ascii="Times New Roman" w:cs="Times New Roman" w:eastAsia="Times New Roman" w:hAnsi="Times New Roman"/>
          <w:sz w:val="21"/>
          <w:szCs w:val="21"/>
          <w:color w:val="auto"/>
        </w:rPr>
      </w:pPr>
    </w:p>
    <w:p>
      <w:pPr>
        <w:ind w:left="1280" w:right="140" w:hanging="644"/>
        <w:spacing w:after="0" w:line="263" w:lineRule="auto"/>
        <w:tabs>
          <w:tab w:leader="none" w:pos="1084"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acknowledge and agree that the Executive was properly presented with and agreed to this non-competition provision at the time of his initial hire with the Corporation, and that as such, the continuation of this non-competition provision as part of this Agreement complies with the requirements of NH RSA 275:70.</w:t>
      </w:r>
    </w:p>
    <w:p>
      <w:pPr>
        <w:spacing w:after="0" w:line="167" w:lineRule="exact"/>
        <w:rPr>
          <w:sz w:val="20"/>
          <w:szCs w:val="20"/>
          <w:color w:val="auto"/>
        </w:rPr>
      </w:pPr>
    </w:p>
    <w:p>
      <w:pPr>
        <w:ind w:left="640" w:right="420" w:hanging="647"/>
        <w:spacing w:after="0" w:line="252" w:lineRule="auto"/>
        <w:tabs>
          <w:tab w:leader="none" w:pos="620" w:val="left"/>
        </w:tabs>
        <w:rPr>
          <w:sz w:val="20"/>
          <w:szCs w:val="20"/>
          <w:color w:val="auto"/>
        </w:rPr>
      </w:pPr>
      <w:r>
        <w:rPr>
          <w:rFonts w:ascii="Times New Roman" w:cs="Times New Roman" w:eastAsia="Times New Roman" w:hAnsi="Times New Roman"/>
          <w:sz w:val="22"/>
          <w:szCs w:val="22"/>
          <w:color w:val="auto"/>
        </w:rPr>
        <w:t>10.04</w:t>
      </w:r>
      <w:r>
        <w:rPr>
          <w:sz w:val="20"/>
          <w:szCs w:val="20"/>
          <w:color w:val="auto"/>
        </w:rPr>
        <w:tab/>
      </w:r>
      <w:r>
        <w:rPr>
          <w:rFonts w:ascii="Times New Roman" w:cs="Times New Roman" w:eastAsia="Times New Roman" w:hAnsi="Times New Roman"/>
          <w:sz w:val="22"/>
          <w:szCs w:val="22"/>
          <w:u w:val="single" w:color="auto"/>
          <w:color w:val="auto"/>
        </w:rPr>
        <w:t>Non-Disparagement</w:t>
      </w:r>
      <w:r>
        <w:rPr>
          <w:rFonts w:ascii="Times New Roman" w:cs="Times New Roman" w:eastAsia="Times New Roman" w:hAnsi="Times New Roman"/>
          <w:sz w:val="22"/>
          <w:szCs w:val="22"/>
          <w:color w:val="auto"/>
        </w:rPr>
        <w:t>. The Executive and the Corporation agree that during the term of this Agreement and after its</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termination, neither shall make, nor cause to be made, directly or indirectly, any disparaging or derogatory statements about the other, and the Executive shall not make, or cause to be made, directly or indirectly, any disparaging or derogatory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ectPr>
          <w:pgSz w:w="11900" w:h="16838" w:orient="portrait"/>
          <w:cols w:equalWidth="0" w:num="1">
            <w:col w:w="11220"/>
          </w:cols>
          <w:pgMar w:left="340" w:top="1440" w:right="339" w:bottom="1440" w:gutter="0" w:footer="0" w:header="0"/>
        </w:sectPr>
      </w:pPr>
    </w:p>
    <w:bookmarkStart w:id="192" w:name="page193"/>
    <w:bookmarkEnd w:id="192"/>
    <w:p>
      <w:pPr>
        <w:ind w:left="660"/>
        <w:spacing w:after="0"/>
        <w:rPr>
          <w:sz w:val="20"/>
          <w:szCs w:val="20"/>
          <w:color w:val="auto"/>
        </w:rPr>
      </w:pPr>
      <w:r>
        <w:rPr>
          <w:rFonts w:ascii="Times New Roman" w:cs="Times New Roman" w:eastAsia="Times New Roman" w:hAnsi="Times New Roman"/>
          <w:sz w:val="22"/>
          <w:szCs w:val="22"/>
          <w:color w:val="auto"/>
        </w:rPr>
        <w:t>statements about the directors, officers, employees, shareholders or agents of the Corporation or its affiliates.</w:t>
      </w:r>
    </w:p>
    <w:p>
      <w:pPr>
        <w:spacing w:after="0" w:line="220" w:lineRule="exact"/>
        <w:rPr>
          <w:sz w:val="20"/>
          <w:szCs w:val="20"/>
          <w:color w:val="auto"/>
        </w:rPr>
      </w:pPr>
    </w:p>
    <w:p>
      <w:pPr>
        <w:ind w:left="660" w:right="80" w:hanging="647"/>
        <w:spacing w:after="0" w:line="271" w:lineRule="auto"/>
        <w:tabs>
          <w:tab w:leader="none" w:pos="640" w:val="left"/>
        </w:tabs>
        <w:rPr>
          <w:sz w:val="20"/>
          <w:szCs w:val="20"/>
          <w:color w:val="auto"/>
        </w:rPr>
      </w:pPr>
      <w:r>
        <w:rPr>
          <w:rFonts w:ascii="Times New Roman" w:cs="Times New Roman" w:eastAsia="Times New Roman" w:hAnsi="Times New Roman"/>
          <w:sz w:val="22"/>
          <w:szCs w:val="22"/>
          <w:color w:val="auto"/>
        </w:rPr>
        <w:t>10.05</w:t>
      </w:r>
      <w:r>
        <w:rPr>
          <w:sz w:val="20"/>
          <w:szCs w:val="20"/>
          <w:color w:val="auto"/>
        </w:rPr>
        <w:tab/>
      </w:r>
      <w:r>
        <w:rPr>
          <w:rFonts w:ascii="Times New Roman" w:cs="Times New Roman" w:eastAsia="Times New Roman" w:hAnsi="Times New Roman"/>
          <w:sz w:val="22"/>
          <w:szCs w:val="22"/>
          <w:u w:val="single" w:color="auto"/>
          <w:color w:val="auto"/>
        </w:rPr>
        <w:t>Notification to Prospective Employer</w:t>
      </w:r>
      <w:r>
        <w:rPr>
          <w:rFonts w:ascii="Times New Roman" w:cs="Times New Roman" w:eastAsia="Times New Roman" w:hAnsi="Times New Roman"/>
          <w:sz w:val="22"/>
          <w:szCs w:val="22"/>
          <w:color w:val="auto"/>
        </w:rPr>
        <w:t>. The Executive agrees to provide written notice to any prospective employer of the</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existence and terms of this section in writing.</w:t>
      </w:r>
    </w:p>
    <w:p>
      <w:pPr>
        <w:spacing w:after="0" w:line="171" w:lineRule="exact"/>
        <w:rPr>
          <w:sz w:val="20"/>
          <w:szCs w:val="20"/>
          <w:color w:val="auto"/>
        </w:rPr>
      </w:pPr>
    </w:p>
    <w:p>
      <w:pPr>
        <w:ind w:left="660" w:right="60" w:hanging="647"/>
        <w:spacing w:after="0" w:line="250" w:lineRule="auto"/>
        <w:tabs>
          <w:tab w:leader="none" w:pos="640" w:val="left"/>
        </w:tabs>
        <w:rPr>
          <w:sz w:val="20"/>
          <w:szCs w:val="20"/>
          <w:color w:val="auto"/>
        </w:rPr>
      </w:pPr>
      <w:r>
        <w:rPr>
          <w:rFonts w:ascii="Times New Roman" w:cs="Times New Roman" w:eastAsia="Times New Roman" w:hAnsi="Times New Roman"/>
          <w:sz w:val="22"/>
          <w:szCs w:val="22"/>
          <w:color w:val="auto"/>
        </w:rPr>
        <w:t>10.06</w:t>
      </w:r>
      <w:r>
        <w:rPr>
          <w:sz w:val="20"/>
          <w:szCs w:val="20"/>
          <w:color w:val="auto"/>
        </w:rPr>
        <w:tab/>
      </w:r>
      <w:r>
        <w:rPr>
          <w:rFonts w:ascii="Times New Roman" w:cs="Times New Roman" w:eastAsia="Times New Roman" w:hAnsi="Times New Roman"/>
          <w:sz w:val="22"/>
          <w:szCs w:val="22"/>
          <w:u w:val="single" w:color="auto"/>
          <w:color w:val="auto"/>
        </w:rPr>
        <w:t>Injunctive Relief and Specific Performance</w:t>
      </w:r>
      <w:r>
        <w:rPr>
          <w:rFonts w:ascii="Times New Roman" w:cs="Times New Roman" w:eastAsia="Times New Roman" w:hAnsi="Times New Roman"/>
          <w:sz w:val="22"/>
          <w:szCs w:val="22"/>
          <w:color w:val="auto"/>
        </w:rPr>
        <w:t>. The Executive acknowledges and agrees that any breach by the Executive of</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Sections 9, 10.01, 10.02, 10.03, 10.04, 10.05, 10.08, or 11 of this Agreement shall cause the Corporation irreparable harm which would not be adequately compensable in damages. Therefore, in addition to any other rights or remedies available to the Corporation at law or otherwise, the Corporation shall be entitled to apply to a court of competent jurisdiction for relief. Such relief may include but is not limited to an injunction, restraining order or otherwise as may be appropriate to ensure compliance by the Executive with the provisions contained in this Agreement, and is without prejudice to any other remedy that the Corporation may have in law, in equity, by statute or otherwise.</w:t>
      </w:r>
    </w:p>
    <w:p>
      <w:pPr>
        <w:spacing w:after="0" w:line="180" w:lineRule="exact"/>
        <w:rPr>
          <w:sz w:val="20"/>
          <w:szCs w:val="20"/>
          <w:color w:val="auto"/>
        </w:rPr>
      </w:pPr>
    </w:p>
    <w:p>
      <w:pPr>
        <w:ind w:left="660" w:right="120" w:hanging="647"/>
        <w:spacing w:after="0" w:line="253" w:lineRule="auto"/>
        <w:tabs>
          <w:tab w:leader="none" w:pos="640" w:val="left"/>
        </w:tabs>
        <w:rPr>
          <w:sz w:val="20"/>
          <w:szCs w:val="20"/>
          <w:color w:val="auto"/>
        </w:rPr>
      </w:pPr>
      <w:r>
        <w:rPr>
          <w:rFonts w:ascii="Times New Roman" w:cs="Times New Roman" w:eastAsia="Times New Roman" w:hAnsi="Times New Roman"/>
          <w:sz w:val="22"/>
          <w:szCs w:val="22"/>
          <w:color w:val="auto"/>
        </w:rPr>
        <w:t>10.07</w:t>
      </w:r>
      <w:r>
        <w:rPr>
          <w:sz w:val="20"/>
          <w:szCs w:val="20"/>
          <w:color w:val="auto"/>
        </w:rPr>
        <w:tab/>
      </w:r>
      <w:r>
        <w:rPr>
          <w:rFonts w:ascii="Times New Roman" w:cs="Times New Roman" w:eastAsia="Times New Roman" w:hAnsi="Times New Roman"/>
          <w:sz w:val="22"/>
          <w:szCs w:val="22"/>
          <w:u w:val="single" w:color="auto"/>
          <w:color w:val="auto"/>
        </w:rPr>
        <w:t>Reasonableness of Restrictions</w:t>
      </w:r>
      <w:r>
        <w:rPr>
          <w:rFonts w:ascii="Times New Roman" w:cs="Times New Roman" w:eastAsia="Times New Roman" w:hAnsi="Times New Roman"/>
          <w:sz w:val="22"/>
          <w:szCs w:val="22"/>
          <w:color w:val="auto"/>
        </w:rPr>
        <w:t>. The Executive agrees that all of the restrictions contained in this Section 10 herein are</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necessary and fundamental to the protection of the business as carried on by the Corporation and that all such restrictions are fair, reasonable and valid given the nature of the Corporation's business and the Executive's position within that business. The Executive further confirms that these obligations will not unduly preclude the Executive from becoming gainfully employed or from otherwise working following the termination of this Agreement.</w:t>
      </w:r>
    </w:p>
    <w:p>
      <w:pPr>
        <w:spacing w:after="0" w:line="179" w:lineRule="exact"/>
        <w:rPr>
          <w:sz w:val="20"/>
          <w:szCs w:val="20"/>
          <w:color w:val="auto"/>
        </w:rPr>
      </w:pPr>
    </w:p>
    <w:p>
      <w:pPr>
        <w:ind w:left="660" w:hanging="647"/>
        <w:spacing w:after="0" w:line="257" w:lineRule="auto"/>
        <w:tabs>
          <w:tab w:leader="none" w:pos="640" w:val="left"/>
        </w:tabs>
        <w:rPr>
          <w:sz w:val="20"/>
          <w:szCs w:val="20"/>
          <w:color w:val="auto"/>
        </w:rPr>
      </w:pPr>
      <w:r>
        <w:rPr>
          <w:rFonts w:ascii="Times New Roman" w:cs="Times New Roman" w:eastAsia="Times New Roman" w:hAnsi="Times New Roman"/>
          <w:sz w:val="22"/>
          <w:szCs w:val="22"/>
          <w:color w:val="auto"/>
        </w:rPr>
        <w:t>10.08</w:t>
      </w:r>
      <w:r>
        <w:rPr>
          <w:sz w:val="20"/>
          <w:szCs w:val="20"/>
          <w:color w:val="auto"/>
        </w:rPr>
        <w:tab/>
      </w:r>
      <w:r>
        <w:rPr>
          <w:rFonts w:ascii="Times New Roman" w:cs="Times New Roman" w:eastAsia="Times New Roman" w:hAnsi="Times New Roman"/>
          <w:sz w:val="22"/>
          <w:szCs w:val="22"/>
          <w:u w:val="single" w:color="auto"/>
          <w:color w:val="auto"/>
        </w:rPr>
        <w:t>Survival</w:t>
      </w:r>
      <w:r>
        <w:rPr>
          <w:rFonts w:ascii="Times New Roman" w:cs="Times New Roman" w:eastAsia="Times New Roman" w:hAnsi="Times New Roman"/>
          <w:sz w:val="22"/>
          <w:szCs w:val="22"/>
          <w:color w:val="auto"/>
        </w:rPr>
        <w:t>. The Executive acknowledges and agrees that the provisions of this Section 10 shall continue in force and</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survive the cessation of the Executive's employment whether occasioned by resignation, retirement, or termination for any reason.</w:t>
      </w:r>
    </w:p>
    <w:p>
      <w:pPr>
        <w:spacing w:after="0" w:line="169" w:lineRule="exact"/>
        <w:rPr>
          <w:sz w:val="20"/>
          <w:szCs w:val="20"/>
          <w:color w:val="auto"/>
        </w:rPr>
      </w:pPr>
    </w:p>
    <w:p>
      <w:pPr>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SECTION 11</w:t>
      </w:r>
      <w:r>
        <w:rPr>
          <w:sz w:val="20"/>
          <w:szCs w:val="20"/>
          <w:color w:val="auto"/>
        </w:rPr>
        <w:tab/>
      </w:r>
      <w:r>
        <w:rPr>
          <w:rFonts w:ascii="Times New Roman" w:cs="Times New Roman" w:eastAsia="Times New Roman" w:hAnsi="Times New Roman"/>
          <w:sz w:val="21"/>
          <w:szCs w:val="21"/>
          <w:b w:val="1"/>
          <w:bCs w:val="1"/>
          <w:color w:val="auto"/>
        </w:rPr>
        <w:t>INTELLECTUAL PROPERTY</w:t>
      </w:r>
    </w:p>
    <w:p>
      <w:pPr>
        <w:spacing w:after="0" w:line="237" w:lineRule="exact"/>
        <w:rPr>
          <w:sz w:val="20"/>
          <w:szCs w:val="20"/>
          <w:color w:val="auto"/>
        </w:rPr>
      </w:pPr>
    </w:p>
    <w:p>
      <w:pPr>
        <w:ind w:left="660" w:right="240" w:hanging="647"/>
        <w:spacing w:after="0" w:line="250" w:lineRule="auto"/>
        <w:tabs>
          <w:tab w:leader="none" w:pos="640" w:val="left"/>
        </w:tabs>
        <w:rPr>
          <w:sz w:val="20"/>
          <w:szCs w:val="20"/>
          <w:color w:val="auto"/>
        </w:rPr>
      </w:pPr>
      <w:r>
        <w:rPr>
          <w:rFonts w:ascii="Times New Roman" w:cs="Times New Roman" w:eastAsia="Times New Roman" w:hAnsi="Times New Roman"/>
          <w:sz w:val="22"/>
          <w:szCs w:val="22"/>
          <w:color w:val="auto"/>
        </w:rPr>
        <w:t>11.01</w:t>
        <w:tab/>
        <w:t>The Corporation shall own the entire right, title and interest in all Intellectual Property created by the Executive during his employment, or otherwise arising from his employment with the Corporation. The Executive agrees to execute all documents necessary for the filing of applications for trademarks, patents, or any other registrations, both Canadian and foreign, which protects the Corporation's rights to the Intellectual Property, including, without limitation, any necessary assignments.</w:t>
      </w:r>
    </w:p>
    <w:p>
      <w:pPr>
        <w:spacing w:after="0" w:line="194" w:lineRule="exact"/>
        <w:rPr>
          <w:sz w:val="20"/>
          <w:szCs w:val="20"/>
          <w:color w:val="auto"/>
        </w:rPr>
      </w:pPr>
    </w:p>
    <w:p>
      <w:pPr>
        <w:ind w:left="660" w:right="160" w:hanging="647"/>
        <w:spacing w:after="0" w:line="252" w:lineRule="auto"/>
        <w:tabs>
          <w:tab w:leader="none" w:pos="640" w:val="left"/>
        </w:tabs>
        <w:rPr>
          <w:sz w:val="20"/>
          <w:szCs w:val="20"/>
          <w:color w:val="auto"/>
        </w:rPr>
      </w:pPr>
      <w:r>
        <w:rPr>
          <w:rFonts w:ascii="Times New Roman" w:cs="Times New Roman" w:eastAsia="Times New Roman" w:hAnsi="Times New Roman"/>
          <w:sz w:val="22"/>
          <w:szCs w:val="22"/>
          <w:color w:val="auto"/>
        </w:rPr>
        <w:t>11.02</w:t>
        <w:tab/>
        <w:t>"Intellectual Property" includes all original works of authorship, trademarks, logos, designs, inventions, discoveries, developments, innovations, ideas, business improvements, processes, and compilations of data, whether or not subject to registration or capable of registration, which the Executive may solely or jointly create or conceive of as part of, or in conjunction with, his employment with the Corporation.</w:t>
      </w:r>
    </w:p>
    <w:p>
      <w:pPr>
        <w:spacing w:after="0" w:line="179" w:lineRule="exact"/>
        <w:rPr>
          <w:sz w:val="20"/>
          <w:szCs w:val="20"/>
          <w:color w:val="auto"/>
        </w:rPr>
      </w:pPr>
    </w:p>
    <w:p>
      <w:pPr>
        <w:ind w:left="660" w:right="20" w:hanging="647"/>
        <w:spacing w:after="0" w:line="271" w:lineRule="auto"/>
        <w:tabs>
          <w:tab w:leader="none" w:pos="640" w:val="left"/>
        </w:tabs>
        <w:rPr>
          <w:sz w:val="20"/>
          <w:szCs w:val="20"/>
          <w:color w:val="auto"/>
        </w:rPr>
      </w:pPr>
      <w:r>
        <w:rPr>
          <w:rFonts w:ascii="Times New Roman" w:cs="Times New Roman" w:eastAsia="Times New Roman" w:hAnsi="Times New Roman"/>
          <w:sz w:val="22"/>
          <w:szCs w:val="22"/>
          <w:color w:val="auto"/>
        </w:rPr>
        <w:t>11.03</w:t>
        <w:tab/>
        <w:t>The Executive agrees to irrevocably waive his Moral Rights in the Intellectual Property, where "</w:t>
      </w:r>
      <w:r>
        <w:rPr>
          <w:rFonts w:ascii="Times New Roman" w:cs="Times New Roman" w:eastAsia="Times New Roman" w:hAnsi="Times New Roman"/>
          <w:sz w:val="22"/>
          <w:szCs w:val="22"/>
          <w:u w:val="single" w:color="auto"/>
          <w:color w:val="auto"/>
        </w:rPr>
        <w:t>Moral Rights</w:t>
      </w:r>
      <w:r>
        <w:rPr>
          <w:rFonts w:ascii="Times New Roman" w:cs="Times New Roman" w:eastAsia="Times New Roman" w:hAnsi="Times New Roman"/>
          <w:sz w:val="22"/>
          <w:szCs w:val="22"/>
          <w:color w:val="auto"/>
        </w:rPr>
        <w:t>" means any rights to claim authorship of Intellectual Property,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24</w:t>
      </w:r>
    </w:p>
    <w:p>
      <w:pPr>
        <w:sectPr>
          <w:pgSz w:w="11900" w:h="16838" w:orient="portrait"/>
          <w:cols w:equalWidth="0" w:num="1">
            <w:col w:w="11240"/>
          </w:cols>
          <w:pgMar w:left="320" w:top="1422" w:right="339" w:bottom="1440" w:gutter="0" w:footer="0" w:header="0"/>
        </w:sectPr>
      </w:pPr>
    </w:p>
    <w:bookmarkStart w:id="193" w:name="page194"/>
    <w:bookmarkEnd w:id="193"/>
    <w:p>
      <w:pPr>
        <w:spacing w:after="0" w:line="198" w:lineRule="exact"/>
        <w:rPr>
          <w:sz w:val="20"/>
          <w:szCs w:val="20"/>
          <w:color w:val="auto"/>
        </w:rPr>
      </w:pPr>
    </w:p>
    <w:p>
      <w:pPr>
        <w:ind w:left="660" w:right="60"/>
        <w:spacing w:after="0" w:line="257" w:lineRule="auto"/>
        <w:rPr>
          <w:sz w:val="20"/>
          <w:szCs w:val="20"/>
          <w:color w:val="auto"/>
        </w:rPr>
      </w:pPr>
      <w:r>
        <w:rPr>
          <w:rFonts w:ascii="Times New Roman" w:cs="Times New Roman" w:eastAsia="Times New Roman" w:hAnsi="Times New Roman"/>
          <w:sz w:val="22"/>
          <w:szCs w:val="22"/>
          <w:color w:val="auto"/>
        </w:rPr>
        <w:t>object to any modification of Intellectual Property, and any similar right that exists under judicial or statutory law of any country in the world or under any treaty. regardless of whether or not such right is called or generally referred to as a "moral right."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12 ARBITRATION</w:t>
      </w:r>
    </w:p>
    <w:p>
      <w:pPr>
        <w:spacing w:after="0" w:line="224" w:lineRule="exact"/>
        <w:rPr>
          <w:sz w:val="20"/>
          <w:szCs w:val="20"/>
          <w:color w:val="auto"/>
        </w:rPr>
      </w:pPr>
    </w:p>
    <w:p>
      <w:pPr>
        <w:ind w:left="660" w:right="40" w:hanging="647"/>
        <w:spacing w:after="0" w:line="251" w:lineRule="auto"/>
        <w:tabs>
          <w:tab w:leader="none" w:pos="640" w:val="left"/>
        </w:tabs>
        <w:rPr>
          <w:sz w:val="20"/>
          <w:szCs w:val="20"/>
          <w:color w:val="auto"/>
        </w:rPr>
      </w:pPr>
      <w:r>
        <w:rPr>
          <w:rFonts w:ascii="Times New Roman" w:cs="Times New Roman" w:eastAsia="Times New Roman" w:hAnsi="Times New Roman"/>
          <w:sz w:val="22"/>
          <w:szCs w:val="22"/>
          <w:color w:val="auto"/>
        </w:rPr>
        <w:t>12.01</w:t>
        <w:tab/>
        <w:t>With the exception of disputes governed by Section 10.06 of this Agreement, and Section 10.07 and 10.08 of this Agreement (which shall be governed by recourse to a Court of law), all questions, disputes or differences of opinion involving the interpretation, application, administration, or alleged violation of this Agreement including a question of whether a matter is arbitrable, shall be settled by arbitration under the Arbitration Rules of the ADR Institute of Canada, Inc. in accordance with the Arbitrations Act, R.S.O. 1990, c. A.24, as amended from time to time, except as modified by the terms of this Agreement.</w:t>
      </w:r>
    </w:p>
    <w:p>
      <w:pPr>
        <w:spacing w:after="0" w:line="181" w:lineRule="exact"/>
        <w:rPr>
          <w:sz w:val="20"/>
          <w:szCs w:val="20"/>
          <w:color w:val="auto"/>
        </w:rPr>
      </w:pPr>
    </w:p>
    <w:p>
      <w:pPr>
        <w:ind w:left="660" w:right="820" w:hanging="647"/>
        <w:spacing w:after="0" w:line="271" w:lineRule="auto"/>
        <w:tabs>
          <w:tab w:leader="none" w:pos="640" w:val="left"/>
        </w:tabs>
        <w:rPr>
          <w:sz w:val="20"/>
          <w:szCs w:val="20"/>
          <w:color w:val="auto"/>
        </w:rPr>
      </w:pPr>
      <w:r>
        <w:rPr>
          <w:rFonts w:ascii="Times New Roman" w:cs="Times New Roman" w:eastAsia="Times New Roman" w:hAnsi="Times New Roman"/>
          <w:sz w:val="22"/>
          <w:szCs w:val="22"/>
          <w:color w:val="auto"/>
        </w:rPr>
        <w:t>12.02</w:t>
        <w:tab/>
        <w:t>The arbitration will take place in the City of Toronto unless otherwise agreed by the parties. Each party may be represented by counsel at the arbitration.</w:t>
      </w:r>
    </w:p>
    <w:p>
      <w:pPr>
        <w:spacing w:after="0" w:line="158" w:lineRule="exact"/>
        <w:rPr>
          <w:sz w:val="20"/>
          <w:szCs w:val="20"/>
          <w:color w:val="auto"/>
        </w:rPr>
      </w:pPr>
    </w:p>
    <w:p>
      <w:pPr>
        <w:ind w:left="660" w:hanging="647"/>
        <w:spacing w:after="0" w:line="263" w:lineRule="auto"/>
        <w:tabs>
          <w:tab w:leader="none" w:pos="640" w:val="left"/>
        </w:tabs>
        <w:rPr>
          <w:sz w:val="20"/>
          <w:szCs w:val="20"/>
          <w:color w:val="auto"/>
        </w:rPr>
      </w:pPr>
      <w:r>
        <w:rPr>
          <w:rFonts w:ascii="Times New Roman" w:cs="Times New Roman" w:eastAsia="Times New Roman" w:hAnsi="Times New Roman"/>
          <w:sz w:val="22"/>
          <w:szCs w:val="22"/>
          <w:color w:val="auto"/>
        </w:rPr>
        <w:t>12.03</w:t>
        <w:tab/>
        <w:t>The Arbitrator has the right to grant legal and equitable relief including injunctive relief and the right to grant permanent and interim injunctive relief. The Arbitrator shall not make any decision which is inconsistent with the terms and conditions of this Agreement, or which serves to alter, modify, or amend any part of this Agreement.</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Arbitrator shall render a decision within ninety (90) calendar days after his or her hearing of the matter.</w:t>
      </w:r>
    </w:p>
    <w:p>
      <w:pPr>
        <w:spacing w:after="0" w:line="220" w:lineRule="exact"/>
        <w:rPr>
          <w:sz w:val="20"/>
          <w:szCs w:val="20"/>
          <w:color w:val="auto"/>
        </w:rPr>
      </w:pPr>
    </w:p>
    <w:p>
      <w:pPr>
        <w:ind w:left="660" w:hanging="647"/>
        <w:spacing w:after="0" w:line="249" w:lineRule="auto"/>
        <w:tabs>
          <w:tab w:leader="none" w:pos="640" w:val="left"/>
        </w:tabs>
        <w:rPr>
          <w:sz w:val="20"/>
          <w:szCs w:val="20"/>
          <w:color w:val="auto"/>
        </w:rPr>
      </w:pPr>
      <w:r>
        <w:rPr>
          <w:rFonts w:ascii="Times New Roman" w:cs="Times New Roman" w:eastAsia="Times New Roman" w:hAnsi="Times New Roman"/>
          <w:sz w:val="22"/>
          <w:szCs w:val="22"/>
          <w:color w:val="auto"/>
        </w:rPr>
        <w:t>12.04</w:t>
        <w:tab/>
        <w:t xml:space="preserve">A party hereto (the </w:t>
      </w:r>
      <w:r>
        <w:rPr>
          <w:rFonts w:ascii="Times New Roman" w:cs="Times New Roman" w:eastAsia="Times New Roman" w:hAnsi="Times New Roman"/>
          <w:sz w:val="22"/>
          <w:szCs w:val="22"/>
          <w:u w:val="single" w:color="auto"/>
          <w:color w:val="auto"/>
        </w:rPr>
        <w:t>"Submitting Party</w:t>
      </w:r>
      <w:r>
        <w:rPr>
          <w:rFonts w:ascii="Times New Roman" w:cs="Times New Roman" w:eastAsia="Times New Roman" w:hAnsi="Times New Roman"/>
          <w:sz w:val="22"/>
          <w:szCs w:val="22"/>
          <w:color w:val="auto"/>
        </w:rPr>
        <w:t xml:space="preserve">") that wishes to submit a question, dispute or difference of opinion involving the interpretation, application, administration or alleged violation of this Agreement to arbitration, shall set out in writing the facts, the provisions of this Agreement that require interpretation or that allegedly have been violated and the Submitting Party's position (the </w:t>
      </w:r>
      <w:r>
        <w:rPr>
          <w:rFonts w:ascii="Times New Roman" w:cs="Times New Roman" w:eastAsia="Times New Roman" w:hAnsi="Times New Roman"/>
          <w:sz w:val="22"/>
          <w:szCs w:val="22"/>
          <w:u w:val="single" w:color="auto"/>
          <w:color w:val="auto"/>
        </w:rPr>
        <w:t>"Arbitration Submission</w:t>
      </w:r>
      <w:r>
        <w:rPr>
          <w:rFonts w:ascii="Times New Roman" w:cs="Times New Roman" w:eastAsia="Times New Roman" w:hAnsi="Times New Roman"/>
          <w:sz w:val="22"/>
          <w:szCs w:val="22"/>
          <w:color w:val="auto"/>
        </w:rPr>
        <w:t xml:space="preserve">") and shall deliver personally the Arbitration Submission to the other party hereto. Upon receipt of an Arbitration Submission, a party hereto shall set out in writing his or its position in relation to the Arbitration Submission (the </w:t>
      </w:r>
      <w:r>
        <w:rPr>
          <w:rFonts w:ascii="Times New Roman" w:cs="Times New Roman" w:eastAsia="Times New Roman" w:hAnsi="Times New Roman"/>
          <w:sz w:val="22"/>
          <w:szCs w:val="22"/>
          <w:u w:val="single" w:color="auto"/>
          <w:color w:val="auto"/>
        </w:rPr>
        <w:t>"Response</w:t>
      </w:r>
      <w:r>
        <w:rPr>
          <w:rFonts w:ascii="Times New Roman" w:cs="Times New Roman" w:eastAsia="Times New Roman" w:hAnsi="Times New Roman"/>
          <w:sz w:val="22"/>
          <w:szCs w:val="22"/>
          <w:color w:val="auto"/>
        </w:rPr>
        <w:t>") and shall deliver personally the Response to the party who delivered the Arbitration Submission within 15 days of the receipt of the Arbitration Submission. The Arbitration Submission and the Response shall be provided to the Arbitrator.</w:t>
      </w:r>
    </w:p>
    <w:p>
      <w:pPr>
        <w:spacing w:after="0" w:line="195" w:lineRule="exact"/>
        <w:rPr>
          <w:sz w:val="20"/>
          <w:szCs w:val="20"/>
          <w:color w:val="auto"/>
        </w:rPr>
      </w:pPr>
    </w:p>
    <w:p>
      <w:pPr>
        <w:ind w:left="660" w:right="120" w:hanging="647"/>
        <w:spacing w:after="0" w:line="250" w:lineRule="auto"/>
        <w:tabs>
          <w:tab w:leader="none" w:pos="640" w:val="left"/>
        </w:tabs>
        <w:rPr>
          <w:sz w:val="20"/>
          <w:szCs w:val="20"/>
          <w:color w:val="auto"/>
        </w:rPr>
      </w:pPr>
      <w:r>
        <w:rPr>
          <w:rFonts w:ascii="Times New Roman" w:cs="Times New Roman" w:eastAsia="Times New Roman" w:hAnsi="Times New Roman"/>
          <w:sz w:val="22"/>
          <w:szCs w:val="22"/>
          <w:color w:val="auto"/>
        </w:rPr>
        <w:t>12.05</w:t>
        <w:tab/>
        <w:t>An Arbitration Submission must be delivered within six (6) months of the event which gave rise to the Arbitration Submission or within six (6) months of the date the Submitting Party should have been aware of the event or relevant facts giving rise to the Arbitration Submission otherwise the Arbitration Submission is deemed to have been abandoned and shall be absolutely barred, unless the parties agree in writing to extend the time for delivery of the Arbitration Submission.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25</w:t>
      </w:r>
    </w:p>
    <w:p>
      <w:pPr>
        <w:sectPr>
          <w:pgSz w:w="11900" w:h="16838" w:orient="portrait"/>
          <w:cols w:equalWidth="0" w:num="1">
            <w:col w:w="11120"/>
          </w:cols>
          <w:pgMar w:left="320" w:top="1440" w:right="459" w:bottom="1440" w:gutter="0" w:footer="0" w:header="0"/>
        </w:sectPr>
      </w:pPr>
    </w:p>
    <w:bookmarkStart w:id="194" w:name="page195"/>
    <w:bookmarkEnd w:id="194"/>
    <w:p>
      <w:pPr>
        <w:spacing w:after="0" w:line="198" w:lineRule="exact"/>
        <w:rPr>
          <w:sz w:val="20"/>
          <w:szCs w:val="20"/>
          <w:color w:val="auto"/>
        </w:rPr>
      </w:pPr>
    </w:p>
    <w:p>
      <w:pPr>
        <w:ind w:left="660" w:hanging="647"/>
        <w:spacing w:after="0" w:line="256" w:lineRule="auto"/>
        <w:tabs>
          <w:tab w:leader="none" w:pos="640" w:val="left"/>
        </w:tabs>
        <w:rPr>
          <w:sz w:val="20"/>
          <w:szCs w:val="20"/>
          <w:color w:val="auto"/>
        </w:rPr>
      </w:pPr>
      <w:r>
        <w:rPr>
          <w:rFonts w:ascii="Times New Roman" w:cs="Times New Roman" w:eastAsia="Times New Roman" w:hAnsi="Times New Roman"/>
          <w:sz w:val="22"/>
          <w:szCs w:val="22"/>
          <w:color w:val="auto"/>
        </w:rPr>
        <w:t>12.06</w:t>
        <w:tab/>
        <w:t xml:space="preserve">The Arbitration Submission shall be heard, determined, and settled by one (1) arbitrator (the </w:t>
      </w:r>
      <w:r>
        <w:rPr>
          <w:rFonts w:ascii="Times New Roman" w:cs="Times New Roman" w:eastAsia="Times New Roman" w:hAnsi="Times New Roman"/>
          <w:sz w:val="22"/>
          <w:szCs w:val="22"/>
          <w:u w:val="single" w:color="auto"/>
          <w:color w:val="auto"/>
        </w:rPr>
        <w:t>"Arbitrator</w:t>
      </w:r>
      <w:r>
        <w:rPr>
          <w:rFonts w:ascii="Times New Roman" w:cs="Times New Roman" w:eastAsia="Times New Roman" w:hAnsi="Times New Roman"/>
          <w:sz w:val="22"/>
          <w:szCs w:val="22"/>
          <w:color w:val="auto"/>
        </w:rPr>
        <w:t>"). The Arbitrator shall be appointed by the mutual written consent of the parties hereto within thirty (30) days of the delivery of the Arbitration Submission and failing such mutual written consent either party may apply to a judge of the Superior Court of Justice (Ontario) for an order appointing an Arbitrator.</w:t>
      </w:r>
    </w:p>
    <w:p>
      <w:pPr>
        <w:spacing w:after="0" w:line="176" w:lineRule="exact"/>
        <w:rPr>
          <w:sz w:val="20"/>
          <w:szCs w:val="20"/>
          <w:color w:val="auto"/>
        </w:rPr>
      </w:pPr>
    </w:p>
    <w:p>
      <w:pPr>
        <w:jc w:val="both"/>
        <w:ind w:left="660" w:right="160" w:hanging="647"/>
        <w:spacing w:after="0" w:line="257" w:lineRule="auto"/>
        <w:tabs>
          <w:tab w:leader="none" w:pos="640" w:val="left"/>
        </w:tabs>
        <w:rPr>
          <w:sz w:val="20"/>
          <w:szCs w:val="20"/>
          <w:color w:val="auto"/>
        </w:rPr>
      </w:pPr>
      <w:r>
        <w:rPr>
          <w:rFonts w:ascii="Times New Roman" w:cs="Times New Roman" w:eastAsia="Times New Roman" w:hAnsi="Times New Roman"/>
          <w:sz w:val="22"/>
          <w:szCs w:val="22"/>
          <w:color w:val="auto"/>
        </w:rPr>
        <w:t>12.07</w:t>
        <w:tab/>
        <w:t>The final award of the Arbitrator shall be a condition precedent to an action in any court, and such award shall be final and binding on the parties with no appeal to any court. The parties hereby agree to carry out any decision or order of the Arbitrator in good faith.</w:t>
      </w:r>
    </w:p>
    <w:p>
      <w:pPr>
        <w:spacing w:after="0" w:line="173"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22"/>
          <w:szCs w:val="22"/>
          <w:color w:val="auto"/>
        </w:rPr>
        <w:t>12.08</w:t>
      </w:r>
      <w:r>
        <w:rPr>
          <w:sz w:val="20"/>
          <w:szCs w:val="20"/>
          <w:color w:val="auto"/>
        </w:rPr>
        <w:tab/>
      </w:r>
      <w:r>
        <w:rPr>
          <w:rFonts w:ascii="Times New Roman" w:cs="Times New Roman" w:eastAsia="Times New Roman" w:hAnsi="Times New Roman"/>
          <w:sz w:val="21"/>
          <w:szCs w:val="21"/>
          <w:color w:val="auto"/>
        </w:rPr>
        <w:t>The Arbitrator shall award costs, if appropriate, in accordance with the provisions of the Rules of Civil Procedure R.R.O.</w:t>
      </w:r>
    </w:p>
    <w:p>
      <w:pPr>
        <w:spacing w:after="0" w:line="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1990 Regulation 194 and the tariff thereunder. Such costs may include the fee of the Arbitrator.</w:t>
      </w:r>
    </w:p>
    <w:p>
      <w:pPr>
        <w:spacing w:after="0" w:line="203" w:lineRule="exact"/>
        <w:rPr>
          <w:sz w:val="20"/>
          <w:szCs w:val="20"/>
          <w:color w:val="auto"/>
        </w:rPr>
      </w:pPr>
    </w:p>
    <w:p>
      <w:pPr>
        <w:spacing w:after="0"/>
        <w:tabs>
          <w:tab w:leader="none" w:pos="1500" w:val="left"/>
        </w:tabs>
        <w:rPr>
          <w:sz w:val="20"/>
          <w:szCs w:val="20"/>
          <w:color w:val="auto"/>
        </w:rPr>
      </w:pPr>
      <w:r>
        <w:rPr>
          <w:rFonts w:ascii="Times New Roman" w:cs="Times New Roman" w:eastAsia="Times New Roman" w:hAnsi="Times New Roman"/>
          <w:sz w:val="22"/>
          <w:szCs w:val="22"/>
          <w:b w:val="1"/>
          <w:bCs w:val="1"/>
          <w:color w:val="auto"/>
        </w:rPr>
        <w:t>SECTION 13</w:t>
      </w:r>
      <w:r>
        <w:rPr>
          <w:sz w:val="20"/>
          <w:szCs w:val="20"/>
          <w:color w:val="auto"/>
        </w:rPr>
        <w:tab/>
      </w:r>
      <w:r>
        <w:rPr>
          <w:rFonts w:ascii="Times New Roman" w:cs="Times New Roman" w:eastAsia="Times New Roman" w:hAnsi="Times New Roman"/>
          <w:sz w:val="21"/>
          <w:szCs w:val="21"/>
          <w:b w:val="1"/>
          <w:bCs w:val="1"/>
          <w:color w:val="auto"/>
        </w:rPr>
        <w:t>GENERAL</w:t>
      </w:r>
    </w:p>
    <w:p>
      <w:pPr>
        <w:spacing w:after="0" w:line="224" w:lineRule="exact"/>
        <w:rPr>
          <w:sz w:val="20"/>
          <w:szCs w:val="20"/>
          <w:color w:val="auto"/>
        </w:rPr>
      </w:pPr>
    </w:p>
    <w:p>
      <w:pPr>
        <w:ind w:left="660" w:right="420" w:hanging="647"/>
        <w:spacing w:after="0" w:line="271" w:lineRule="auto"/>
        <w:tabs>
          <w:tab w:leader="none" w:pos="640" w:val="left"/>
        </w:tabs>
        <w:rPr>
          <w:sz w:val="20"/>
          <w:szCs w:val="20"/>
          <w:color w:val="auto"/>
        </w:rPr>
      </w:pPr>
      <w:r>
        <w:rPr>
          <w:rFonts w:ascii="Times New Roman" w:cs="Times New Roman" w:eastAsia="Times New Roman" w:hAnsi="Times New Roman"/>
          <w:sz w:val="22"/>
          <w:szCs w:val="22"/>
          <w:color w:val="auto"/>
        </w:rPr>
        <w:t>13.01</w:t>
      </w:r>
      <w:r>
        <w:rPr>
          <w:sz w:val="20"/>
          <w:szCs w:val="20"/>
          <w:color w:val="auto"/>
        </w:rPr>
        <w:tab/>
      </w:r>
      <w:r>
        <w:rPr>
          <w:rFonts w:ascii="Times New Roman" w:cs="Times New Roman" w:eastAsia="Times New Roman" w:hAnsi="Times New Roman"/>
          <w:sz w:val="22"/>
          <w:szCs w:val="22"/>
          <w:u w:val="single" w:color="auto"/>
          <w:color w:val="auto"/>
        </w:rPr>
        <w:t>Deductions Required By Law</w:t>
      </w:r>
      <w:r>
        <w:rPr>
          <w:rFonts w:ascii="Times New Roman" w:cs="Times New Roman" w:eastAsia="Times New Roman" w:hAnsi="Times New Roman"/>
          <w:sz w:val="22"/>
          <w:szCs w:val="22"/>
          <w:color w:val="auto"/>
        </w:rPr>
        <w:t>. All amounts paid under this Agreement shall be paid in USA currency less applicable</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deductions and withholdings unless otherwise specified.</w:t>
      </w:r>
    </w:p>
    <w:p>
      <w:pPr>
        <w:spacing w:after="0" w:line="15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22"/>
          <w:szCs w:val="22"/>
          <w:color w:val="auto"/>
        </w:rPr>
        <w:t>13.02</w:t>
      </w:r>
      <w:r>
        <w:rPr>
          <w:sz w:val="20"/>
          <w:szCs w:val="20"/>
          <w:color w:val="auto"/>
        </w:rPr>
        <w:tab/>
      </w:r>
      <w:r>
        <w:rPr>
          <w:rFonts w:ascii="Times New Roman" w:cs="Times New Roman" w:eastAsia="Times New Roman" w:hAnsi="Times New Roman"/>
          <w:sz w:val="21"/>
          <w:szCs w:val="21"/>
          <w:u w:val="single" w:color="auto"/>
          <w:color w:val="auto"/>
        </w:rPr>
        <w:t>Payment of Taxes</w:t>
      </w:r>
      <w:r>
        <w:rPr>
          <w:rFonts w:ascii="Times New Roman" w:cs="Times New Roman" w:eastAsia="Times New Roman" w:hAnsi="Times New Roman"/>
          <w:sz w:val="21"/>
          <w:szCs w:val="21"/>
          <w:color w:val="auto"/>
        </w:rPr>
        <w:t>. The Executive is responsible for payment of all taxes in any jurisdiction.</w:t>
      </w:r>
    </w:p>
    <w:p>
      <w:pPr>
        <w:spacing w:after="0" w:line="220" w:lineRule="exact"/>
        <w:rPr>
          <w:sz w:val="20"/>
          <w:szCs w:val="20"/>
          <w:color w:val="auto"/>
        </w:rPr>
      </w:pPr>
    </w:p>
    <w:p>
      <w:pPr>
        <w:ind w:left="660" w:right="200" w:hanging="647"/>
        <w:spacing w:after="0" w:line="253" w:lineRule="auto"/>
        <w:tabs>
          <w:tab w:leader="none" w:pos="640" w:val="left"/>
        </w:tabs>
        <w:rPr>
          <w:sz w:val="20"/>
          <w:szCs w:val="20"/>
          <w:color w:val="auto"/>
        </w:rPr>
      </w:pPr>
      <w:r>
        <w:rPr>
          <w:rFonts w:ascii="Times New Roman" w:cs="Times New Roman" w:eastAsia="Times New Roman" w:hAnsi="Times New Roman"/>
          <w:sz w:val="22"/>
          <w:szCs w:val="22"/>
          <w:color w:val="auto"/>
        </w:rPr>
        <w:t>13.03</w:t>
      </w:r>
      <w:r>
        <w:rPr>
          <w:sz w:val="20"/>
          <w:szCs w:val="20"/>
          <w:color w:val="auto"/>
        </w:rPr>
        <w:tab/>
      </w:r>
      <w:r>
        <w:rPr>
          <w:rFonts w:ascii="Times New Roman" w:cs="Times New Roman" w:eastAsia="Times New Roman" w:hAnsi="Times New Roman"/>
          <w:sz w:val="22"/>
          <w:szCs w:val="22"/>
          <w:u w:val="single" w:color="auto"/>
          <w:color w:val="auto"/>
        </w:rPr>
        <w:t>Gross up for Taxation</w:t>
      </w:r>
      <w:r>
        <w:rPr>
          <w:rFonts w:ascii="Times New Roman" w:cs="Times New Roman" w:eastAsia="Times New Roman" w:hAnsi="Times New Roman"/>
          <w:sz w:val="22"/>
          <w:szCs w:val="22"/>
          <w:color w:val="auto"/>
        </w:rPr>
        <w:t>. To the extent that benefits provided to the Executive under Sections 5.09, 5.10, and 5.11 of this</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Agreement are considered to be taxable benefits, CLLC shall gross up such payment to account for the applicable taxation. Notwithstanding anything herein to the contrary, any tax gross-up payment that is payable by CLLC to the Executive pursuant to this Section 13.03 shall be made no later than the end of the calendar year immediately following the calendar year in which Executive remits the related taxes.</w:t>
      </w:r>
    </w:p>
    <w:p>
      <w:pPr>
        <w:spacing w:after="0" w:line="179" w:lineRule="exact"/>
        <w:rPr>
          <w:sz w:val="20"/>
          <w:szCs w:val="20"/>
          <w:color w:val="auto"/>
        </w:rPr>
      </w:pPr>
    </w:p>
    <w:p>
      <w:pPr>
        <w:jc w:val="center"/>
        <w:ind w:right="120"/>
        <w:spacing w:after="0"/>
        <w:tabs>
          <w:tab w:leader="none" w:pos="200" w:val="left"/>
        </w:tabs>
        <w:rPr>
          <w:sz w:val="20"/>
          <w:szCs w:val="20"/>
          <w:color w:val="auto"/>
        </w:rPr>
      </w:pPr>
      <w:r>
        <w:rPr>
          <w:rFonts w:ascii="Times New Roman" w:cs="Times New Roman" w:eastAsia="Times New Roman" w:hAnsi="Times New Roman"/>
          <w:sz w:val="22"/>
          <w:szCs w:val="22"/>
          <w:color w:val="auto"/>
        </w:rPr>
        <w:t>13.04</w:t>
      </w:r>
      <w:r>
        <w:rPr>
          <w:sz w:val="20"/>
          <w:szCs w:val="20"/>
          <w:color w:val="auto"/>
        </w:rPr>
        <w:tab/>
      </w:r>
      <w:r>
        <w:rPr>
          <w:rFonts w:ascii="Times New Roman" w:cs="Times New Roman" w:eastAsia="Times New Roman" w:hAnsi="Times New Roman"/>
          <w:sz w:val="21"/>
          <w:szCs w:val="21"/>
          <w:u w:val="single" w:color="auto"/>
          <w:color w:val="auto"/>
        </w:rPr>
        <w:t>Payment in Respect of Tax Equalization</w:t>
      </w:r>
      <w:r>
        <w:rPr>
          <w:rFonts w:ascii="Times New Roman" w:cs="Times New Roman" w:eastAsia="Times New Roman" w:hAnsi="Times New Roman"/>
          <w:sz w:val="21"/>
          <w:szCs w:val="21"/>
          <w:color w:val="auto"/>
        </w:rPr>
        <w:t>. The Executive will be subject to the applicable income tax law in both Canada</w:t>
      </w:r>
    </w:p>
    <w:p>
      <w:pPr>
        <w:spacing w:after="0" w:line="29" w:lineRule="exact"/>
        <w:rPr>
          <w:sz w:val="20"/>
          <w:szCs w:val="20"/>
          <w:color w:val="auto"/>
        </w:rPr>
      </w:pPr>
    </w:p>
    <w:p>
      <w:pPr>
        <w:ind w:left="660" w:right="180"/>
        <w:spacing w:after="0" w:line="248" w:lineRule="auto"/>
        <w:rPr>
          <w:sz w:val="20"/>
          <w:szCs w:val="20"/>
          <w:color w:val="auto"/>
        </w:rPr>
      </w:pPr>
      <w:r>
        <w:rPr>
          <w:rFonts w:ascii="Times New Roman" w:cs="Times New Roman" w:eastAsia="Times New Roman" w:hAnsi="Times New Roman"/>
          <w:sz w:val="22"/>
          <w:szCs w:val="22"/>
          <w:color w:val="auto"/>
        </w:rPr>
        <w:t>and the United States. As of the effective date of this Agreement and for subsequent years while the Executive is employed by CLLC or is no longer employed but continues to receive or realize income pursuant to the terms of this Agreement, the Executive's tax burden will be equalized, as set forth below, so that he will not pay any more or any less tax on the payments made pursuant to the terms of this Agreement than if he had not worked in Canada.</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CLLC shall pay the Executive an after tax amount equal to </w:t>
      </w:r>
      <w:r>
        <w:rPr>
          <w:rFonts w:ascii="Times New Roman" w:cs="Times New Roman" w:eastAsia="Times New Roman" w:hAnsi="Times New Roman"/>
          <w:sz w:val="22"/>
          <w:szCs w:val="22"/>
          <w:b w:val="1"/>
          <w:bCs w:val="1"/>
          <w:color w:val="auto"/>
        </w:rPr>
        <w:t>A - B</w:t>
      </w:r>
      <w:r>
        <w:rPr>
          <w:rFonts w:ascii="Times New Roman" w:cs="Times New Roman" w:eastAsia="Times New Roman" w:hAnsi="Times New Roman"/>
          <w:sz w:val="22"/>
          <w:szCs w:val="22"/>
          <w:color w:val="auto"/>
        </w:rPr>
        <w:t>, where:</w:t>
      </w:r>
    </w:p>
    <w:p>
      <w:pPr>
        <w:spacing w:after="0" w:line="233" w:lineRule="exact"/>
        <w:rPr>
          <w:sz w:val="20"/>
          <w:szCs w:val="20"/>
          <w:color w:val="auto"/>
        </w:rPr>
      </w:pPr>
    </w:p>
    <w:p>
      <w:pPr>
        <w:ind w:left="660" w:right="500"/>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An </w:t>
      </w:r>
      <w:r>
        <w:rPr>
          <w:rFonts w:ascii="Times New Roman" w:cs="Times New Roman" w:eastAsia="Times New Roman" w:hAnsi="Times New Roman"/>
          <w:sz w:val="22"/>
          <w:szCs w:val="22"/>
          <w:color w:val="auto"/>
        </w:rPr>
        <w:t>is the actual amount of taxes payable (including applicable social taxes) by the Executive in respect of payments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received under the terms of this Agreement; and</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B </w:t>
      </w:r>
      <w:r>
        <w:rPr>
          <w:rFonts w:ascii="Times New Roman" w:cs="Times New Roman" w:eastAsia="Times New Roman" w:hAnsi="Times New Roman"/>
          <w:sz w:val="22"/>
          <w:szCs w:val="22"/>
          <w:color w:val="auto"/>
        </w:rPr>
        <w:t>is the tax (including applicable social taxes) that the Executive would have</w:t>
      </w:r>
    </w:p>
    <w:p>
      <w:pPr>
        <w:spacing w:after="0" w:line="2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been required to pay had payments received pursuant to the terms of this Agreement not been taxable in Canada.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26</w:t>
      </w:r>
    </w:p>
    <w:p>
      <w:pPr>
        <w:sectPr>
          <w:pgSz w:w="11900" w:h="16838" w:orient="portrait"/>
          <w:cols w:equalWidth="0" w:num="1">
            <w:col w:w="11200"/>
          </w:cols>
          <w:pgMar w:left="320" w:top="1440" w:right="379" w:bottom="1440" w:gutter="0" w:footer="0" w:header="0"/>
        </w:sectPr>
      </w:pPr>
    </w:p>
    <w:bookmarkStart w:id="195" w:name="page196"/>
    <w:bookmarkEnd w:id="195"/>
    <w:p>
      <w:pPr>
        <w:spacing w:after="0" w:line="198" w:lineRule="exact"/>
        <w:rPr>
          <w:sz w:val="20"/>
          <w:szCs w:val="20"/>
          <w:color w:val="auto"/>
        </w:rPr>
      </w:pPr>
    </w:p>
    <w:p>
      <w:pPr>
        <w:ind w:left="600" w:right="160"/>
        <w:spacing w:after="0" w:line="257" w:lineRule="auto"/>
        <w:rPr>
          <w:sz w:val="20"/>
          <w:szCs w:val="20"/>
          <w:color w:val="auto"/>
        </w:rPr>
      </w:pPr>
      <w:r>
        <w:rPr>
          <w:rFonts w:ascii="Times New Roman" w:cs="Times New Roman" w:eastAsia="Times New Roman" w:hAnsi="Times New Roman"/>
          <w:sz w:val="22"/>
          <w:szCs w:val="22"/>
          <w:color w:val="auto"/>
        </w:rPr>
        <w:t>To the extent that the Executive recovers tax or pays less US tax as a consequence of working in Canada (a "</w:t>
      </w:r>
      <w:r>
        <w:rPr>
          <w:rFonts w:ascii="Times New Roman" w:cs="Times New Roman" w:eastAsia="Times New Roman" w:hAnsi="Times New Roman"/>
          <w:sz w:val="22"/>
          <w:szCs w:val="22"/>
          <w:u w:val="single" w:color="auto"/>
          <w:color w:val="auto"/>
        </w:rPr>
        <w:t>Tax</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Benefit</w:t>
      </w:r>
      <w:r>
        <w:rPr>
          <w:rFonts w:ascii="Times New Roman" w:cs="Times New Roman" w:eastAsia="Times New Roman" w:hAnsi="Times New Roman"/>
          <w:sz w:val="22"/>
          <w:szCs w:val="22"/>
          <w:color w:val="auto"/>
        </w:rPr>
        <w:t>"), as a result of a foreign tax credit or other deduction, and whether received while employed or while no longer employed, the amount of such Tax Benefit shall be paid to CLLC.</w:t>
      </w:r>
    </w:p>
    <w:p>
      <w:pPr>
        <w:spacing w:after="0" w:line="186" w:lineRule="exact"/>
        <w:rPr>
          <w:sz w:val="20"/>
          <w:szCs w:val="20"/>
          <w:color w:val="auto"/>
        </w:rPr>
      </w:pPr>
    </w:p>
    <w:p>
      <w:pPr>
        <w:ind w:left="600" w:right="180"/>
        <w:spacing w:after="0" w:line="257" w:lineRule="auto"/>
        <w:rPr>
          <w:sz w:val="20"/>
          <w:szCs w:val="20"/>
          <w:color w:val="auto"/>
        </w:rPr>
      </w:pPr>
      <w:r>
        <w:rPr>
          <w:rFonts w:ascii="Times New Roman" w:cs="Times New Roman" w:eastAsia="Times New Roman" w:hAnsi="Times New Roman"/>
          <w:sz w:val="22"/>
          <w:szCs w:val="22"/>
          <w:color w:val="auto"/>
        </w:rPr>
        <w:t>The maximum payment in respect of tax equalization under this Section 13.04 shall be $1,500,000 per year inclusive of all tax gross up payments including payments pursuant to 13.03 of this Agreement. The maximum payment will be prorated for the 2024 calendar year based upon the effective date of this Agreement.</w:t>
      </w:r>
    </w:p>
    <w:p>
      <w:pPr>
        <w:spacing w:after="0" w:line="173" w:lineRule="exact"/>
        <w:rPr>
          <w:sz w:val="20"/>
          <w:szCs w:val="20"/>
          <w:color w:val="auto"/>
        </w:rPr>
      </w:pPr>
    </w:p>
    <w:p>
      <w:pPr>
        <w:ind w:left="600" w:right="720"/>
        <w:spacing w:after="0" w:line="271" w:lineRule="auto"/>
        <w:rPr>
          <w:sz w:val="20"/>
          <w:szCs w:val="20"/>
          <w:color w:val="auto"/>
        </w:rPr>
      </w:pPr>
      <w:r>
        <w:rPr>
          <w:rFonts w:ascii="Times New Roman" w:cs="Times New Roman" w:eastAsia="Times New Roman" w:hAnsi="Times New Roman"/>
          <w:sz w:val="22"/>
          <w:szCs w:val="22"/>
          <w:color w:val="auto"/>
        </w:rPr>
        <w:t>Celestica's advisors will provide tax services to perform the calculations of A and B above and will also assist the Executive in the preparation and filing of his Canadian and US tax returns.</w:t>
      </w:r>
    </w:p>
    <w:p>
      <w:pPr>
        <w:spacing w:after="0" w:line="171" w:lineRule="exact"/>
        <w:rPr>
          <w:sz w:val="20"/>
          <w:szCs w:val="20"/>
          <w:color w:val="auto"/>
        </w:rPr>
      </w:pPr>
    </w:p>
    <w:p>
      <w:pPr>
        <w:ind w:left="600"/>
        <w:spacing w:after="0" w:line="257" w:lineRule="auto"/>
        <w:rPr>
          <w:sz w:val="20"/>
          <w:szCs w:val="20"/>
          <w:color w:val="auto"/>
        </w:rPr>
      </w:pPr>
      <w:r>
        <w:rPr>
          <w:rFonts w:ascii="Times New Roman" w:cs="Times New Roman" w:eastAsia="Times New Roman" w:hAnsi="Times New Roman"/>
          <w:sz w:val="22"/>
          <w:szCs w:val="22"/>
          <w:color w:val="auto"/>
        </w:rPr>
        <w:t>Notwithstanding anything herein to the contrary, any tax gross-up payment that is payable by CLLC to the Executive pursuant to this Section 13.04 shall be made no later than the end of the calendar year immediately following the calendar year in which the Executive remits the related tax.</w:t>
      </w:r>
    </w:p>
    <w:p>
      <w:pPr>
        <w:spacing w:after="0" w:line="173" w:lineRule="exact"/>
        <w:rPr>
          <w:sz w:val="20"/>
          <w:szCs w:val="20"/>
          <w:color w:val="auto"/>
        </w:rPr>
      </w:pPr>
    </w:p>
    <w:p>
      <w:pPr>
        <w:ind w:left="600" w:right="780" w:hanging="647"/>
        <w:spacing w:after="0" w:line="271" w:lineRule="auto"/>
        <w:tabs>
          <w:tab w:leader="none" w:pos="580" w:val="left"/>
        </w:tabs>
        <w:rPr>
          <w:sz w:val="20"/>
          <w:szCs w:val="20"/>
          <w:color w:val="auto"/>
        </w:rPr>
      </w:pPr>
      <w:r>
        <w:rPr>
          <w:rFonts w:ascii="Times New Roman" w:cs="Times New Roman" w:eastAsia="Times New Roman" w:hAnsi="Times New Roman"/>
          <w:sz w:val="22"/>
          <w:szCs w:val="22"/>
          <w:color w:val="auto"/>
        </w:rPr>
        <w:t>13.05</w:t>
      </w:r>
      <w:r>
        <w:rPr>
          <w:sz w:val="20"/>
          <w:szCs w:val="20"/>
          <w:color w:val="auto"/>
        </w:rPr>
        <w:tab/>
      </w:r>
      <w:r>
        <w:rPr>
          <w:rFonts w:ascii="Times New Roman" w:cs="Times New Roman" w:eastAsia="Times New Roman" w:hAnsi="Times New Roman"/>
          <w:sz w:val="22"/>
          <w:szCs w:val="22"/>
          <w:u w:val="single" w:color="auto"/>
          <w:color w:val="auto"/>
        </w:rPr>
        <w:t>Currency</w:t>
      </w:r>
      <w:r>
        <w:rPr>
          <w:rFonts w:ascii="Times New Roman" w:cs="Times New Roman" w:eastAsia="Times New Roman" w:hAnsi="Times New Roman"/>
          <w:sz w:val="22"/>
          <w:szCs w:val="22"/>
          <w:color w:val="auto"/>
        </w:rPr>
        <w:t>. Unless otherwise provided for in this Agreement, reference made to payments shall be issued in USA</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currency.</w:t>
      </w:r>
    </w:p>
    <w:p>
      <w:pPr>
        <w:spacing w:after="0" w:line="158" w:lineRule="exact"/>
        <w:rPr>
          <w:sz w:val="20"/>
          <w:szCs w:val="20"/>
          <w:color w:val="auto"/>
        </w:rPr>
      </w:pPr>
    </w:p>
    <w:p>
      <w:pPr>
        <w:ind w:left="600" w:right="180" w:hanging="647"/>
        <w:spacing w:after="0" w:line="284" w:lineRule="auto"/>
        <w:tabs>
          <w:tab w:leader="none" w:pos="580" w:val="left"/>
        </w:tabs>
        <w:rPr>
          <w:sz w:val="20"/>
          <w:szCs w:val="20"/>
          <w:color w:val="auto"/>
        </w:rPr>
      </w:pPr>
      <w:r>
        <w:rPr>
          <w:rFonts w:ascii="Times New Roman" w:cs="Times New Roman" w:eastAsia="Times New Roman" w:hAnsi="Times New Roman"/>
          <w:sz w:val="22"/>
          <w:szCs w:val="22"/>
          <w:color w:val="auto"/>
        </w:rPr>
        <w:t>13.06</w:t>
      </w:r>
      <w:r>
        <w:rPr>
          <w:sz w:val="20"/>
          <w:szCs w:val="20"/>
          <w:color w:val="auto"/>
        </w:rPr>
        <w:tab/>
      </w:r>
      <w:r>
        <w:rPr>
          <w:rFonts w:ascii="Times New Roman" w:cs="Times New Roman" w:eastAsia="Times New Roman" w:hAnsi="Times New Roman"/>
          <w:sz w:val="22"/>
          <w:szCs w:val="22"/>
          <w:u w:val="single" w:color="auto"/>
          <w:color w:val="auto"/>
        </w:rPr>
        <w:t>Joint and Several Liability</w:t>
      </w:r>
      <w:r>
        <w:rPr>
          <w:rFonts w:ascii="Times New Roman" w:cs="Times New Roman" w:eastAsia="Times New Roman" w:hAnsi="Times New Roman"/>
          <w:sz w:val="22"/>
          <w:szCs w:val="22"/>
          <w:color w:val="auto"/>
        </w:rPr>
        <w:t>. CLLC and CILP shall be joint and severally liable for all amounts owing and obligations to</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the Executive hereunder.</w:t>
      </w:r>
    </w:p>
    <w:p>
      <w:pPr>
        <w:spacing w:after="0" w:line="144" w:lineRule="exact"/>
        <w:rPr>
          <w:sz w:val="20"/>
          <w:szCs w:val="20"/>
          <w:color w:val="auto"/>
        </w:rPr>
      </w:pPr>
    </w:p>
    <w:p>
      <w:pPr>
        <w:ind w:left="600" w:right="500" w:hanging="647"/>
        <w:spacing w:after="0" w:line="252" w:lineRule="auto"/>
        <w:tabs>
          <w:tab w:leader="none" w:pos="580" w:val="left"/>
        </w:tabs>
        <w:rPr>
          <w:sz w:val="20"/>
          <w:szCs w:val="20"/>
          <w:color w:val="auto"/>
        </w:rPr>
      </w:pPr>
      <w:r>
        <w:rPr>
          <w:rFonts w:ascii="Times New Roman" w:cs="Times New Roman" w:eastAsia="Times New Roman" w:hAnsi="Times New Roman"/>
          <w:sz w:val="22"/>
          <w:szCs w:val="22"/>
          <w:color w:val="auto"/>
        </w:rPr>
        <w:t>13.07</w:t>
      </w:r>
      <w:r>
        <w:rPr>
          <w:sz w:val="20"/>
          <w:szCs w:val="20"/>
          <w:color w:val="auto"/>
        </w:rPr>
        <w:tab/>
      </w: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This Agreement is the entire agreement between the parties and replaces all prior agreements or</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understandings. There is no term, condition, warranty or representation, collateral or otherwise, that may govern the employment relationship, other than those contained in this Agreement. Any modifications or amendments to this Agreement shall be made in writing and signed by both parties.</w:t>
      </w:r>
    </w:p>
    <w:p>
      <w:pPr>
        <w:spacing w:after="0" w:line="193" w:lineRule="exact"/>
        <w:rPr>
          <w:sz w:val="20"/>
          <w:szCs w:val="20"/>
          <w:color w:val="auto"/>
        </w:rPr>
      </w:pPr>
    </w:p>
    <w:p>
      <w:pPr>
        <w:ind w:left="600" w:right="160" w:hanging="647"/>
        <w:spacing w:after="0" w:line="271" w:lineRule="auto"/>
        <w:tabs>
          <w:tab w:leader="none" w:pos="580" w:val="left"/>
        </w:tabs>
        <w:rPr>
          <w:sz w:val="20"/>
          <w:szCs w:val="20"/>
          <w:color w:val="auto"/>
        </w:rPr>
      </w:pPr>
      <w:r>
        <w:rPr>
          <w:rFonts w:ascii="Times New Roman" w:cs="Times New Roman" w:eastAsia="Times New Roman" w:hAnsi="Times New Roman"/>
          <w:sz w:val="22"/>
          <w:szCs w:val="22"/>
          <w:color w:val="auto"/>
        </w:rPr>
        <w:t>13.08</w:t>
      </w:r>
      <w:r>
        <w:rPr>
          <w:sz w:val="20"/>
          <w:szCs w:val="20"/>
          <w:color w:val="auto"/>
        </w:rPr>
        <w:tab/>
      </w:r>
      <w:r>
        <w:rPr>
          <w:rFonts w:ascii="Times New Roman" w:cs="Times New Roman" w:eastAsia="Times New Roman" w:hAnsi="Times New Roman"/>
          <w:sz w:val="22"/>
          <w:szCs w:val="22"/>
          <w:u w:val="single" w:color="auto"/>
          <w:color w:val="auto"/>
        </w:rPr>
        <w:t>Independent Legal Advice</w:t>
      </w:r>
      <w:r>
        <w:rPr>
          <w:rFonts w:ascii="Times New Roman" w:cs="Times New Roman" w:eastAsia="Times New Roman" w:hAnsi="Times New Roman"/>
          <w:sz w:val="22"/>
          <w:szCs w:val="22"/>
          <w:color w:val="auto"/>
        </w:rPr>
        <w:t>. The Executive acknowledges that he has read and understood this Agreement, and has been</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given an opportunity to seek independent legal advice with respect to its terms.</w:t>
      </w:r>
    </w:p>
    <w:p>
      <w:pPr>
        <w:spacing w:after="0" w:line="158" w:lineRule="exact"/>
        <w:rPr>
          <w:sz w:val="20"/>
          <w:szCs w:val="20"/>
          <w:color w:val="auto"/>
        </w:rPr>
      </w:pPr>
    </w:p>
    <w:p>
      <w:pPr>
        <w:ind w:left="600" w:right="460" w:hanging="647"/>
        <w:spacing w:after="0" w:line="257" w:lineRule="auto"/>
        <w:tabs>
          <w:tab w:leader="none" w:pos="580" w:val="left"/>
        </w:tabs>
        <w:rPr>
          <w:sz w:val="20"/>
          <w:szCs w:val="20"/>
          <w:color w:val="auto"/>
        </w:rPr>
      </w:pPr>
      <w:r>
        <w:rPr>
          <w:rFonts w:ascii="Times New Roman" w:cs="Times New Roman" w:eastAsia="Times New Roman" w:hAnsi="Times New Roman"/>
          <w:sz w:val="22"/>
          <w:szCs w:val="22"/>
          <w:color w:val="auto"/>
        </w:rPr>
        <w:t>13.09</w:t>
      </w:r>
      <w:r>
        <w:rPr>
          <w:sz w:val="20"/>
          <w:szCs w:val="20"/>
          <w:color w:val="auto"/>
        </w:rPr>
        <w:tab/>
      </w:r>
      <w:r>
        <w:rPr>
          <w:rFonts w:ascii="Times New Roman" w:cs="Times New Roman" w:eastAsia="Times New Roman" w:hAnsi="Times New Roman"/>
          <w:sz w:val="22"/>
          <w:szCs w:val="22"/>
          <w:u w:val="single" w:color="auto"/>
          <w:color w:val="auto"/>
        </w:rPr>
        <w:t>No Inducement</w:t>
      </w:r>
      <w:r>
        <w:rPr>
          <w:rFonts w:ascii="Times New Roman" w:cs="Times New Roman" w:eastAsia="Times New Roman" w:hAnsi="Times New Roman"/>
          <w:sz w:val="22"/>
          <w:szCs w:val="22"/>
          <w:color w:val="auto"/>
        </w:rPr>
        <w:t>. The Executive represents and warrants to the Corporation that he has not been enticed or otherwise</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induced by the Corporation to leave otherwise secure employment elsewhere to accept employment under this Agreement.</w:t>
      </w:r>
    </w:p>
    <w:p>
      <w:pPr>
        <w:spacing w:after="0" w:line="186" w:lineRule="exact"/>
        <w:rPr>
          <w:sz w:val="20"/>
          <w:szCs w:val="20"/>
          <w:color w:val="auto"/>
        </w:rPr>
      </w:pPr>
    </w:p>
    <w:p>
      <w:pPr>
        <w:ind w:left="600" w:right="540" w:hanging="647"/>
        <w:spacing w:after="0" w:line="271" w:lineRule="auto"/>
        <w:tabs>
          <w:tab w:leader="none" w:pos="580" w:val="left"/>
        </w:tabs>
        <w:rPr>
          <w:sz w:val="20"/>
          <w:szCs w:val="20"/>
          <w:color w:val="auto"/>
        </w:rPr>
      </w:pPr>
      <w:r>
        <w:rPr>
          <w:rFonts w:ascii="Times New Roman" w:cs="Times New Roman" w:eastAsia="Times New Roman" w:hAnsi="Times New Roman"/>
          <w:sz w:val="22"/>
          <w:szCs w:val="22"/>
          <w:color w:val="auto"/>
        </w:rPr>
        <w:t>13.10</w:t>
      </w:r>
      <w:r>
        <w:rPr>
          <w:sz w:val="20"/>
          <w:szCs w:val="20"/>
          <w:color w:val="auto"/>
        </w:rPr>
        <w:tab/>
      </w:r>
      <w:r>
        <w:rPr>
          <w:rFonts w:ascii="Times New Roman" w:cs="Times New Roman" w:eastAsia="Times New Roman" w:hAnsi="Times New Roman"/>
          <w:sz w:val="22"/>
          <w:szCs w:val="22"/>
          <w:u w:val="single" w:color="auto"/>
          <w:color w:val="auto"/>
        </w:rPr>
        <w:t>Prior Employment</w:t>
      </w:r>
      <w:r>
        <w:rPr>
          <w:rFonts w:ascii="Times New Roman" w:cs="Times New Roman" w:eastAsia="Times New Roman" w:hAnsi="Times New Roman"/>
          <w:sz w:val="22"/>
          <w:szCs w:val="22"/>
          <w:color w:val="auto"/>
        </w:rPr>
        <w:t>. The Executive agrees that the Corporation shall not give the Executive any recognition of prior</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service with any prior employer.</w:t>
      </w:r>
    </w:p>
    <w:p>
      <w:pPr>
        <w:spacing w:after="0" w:line="158" w:lineRule="exact"/>
        <w:rPr>
          <w:sz w:val="20"/>
          <w:szCs w:val="20"/>
          <w:color w:val="auto"/>
        </w:rPr>
      </w:pPr>
    </w:p>
    <w:p>
      <w:pPr>
        <w:ind w:left="600" w:right="120" w:hanging="647"/>
        <w:spacing w:after="0" w:line="257" w:lineRule="auto"/>
        <w:tabs>
          <w:tab w:leader="none" w:pos="580" w:val="left"/>
        </w:tabs>
        <w:rPr>
          <w:sz w:val="20"/>
          <w:szCs w:val="20"/>
          <w:color w:val="auto"/>
        </w:rPr>
      </w:pPr>
      <w:r>
        <w:rPr>
          <w:rFonts w:ascii="Times New Roman" w:cs="Times New Roman" w:eastAsia="Times New Roman" w:hAnsi="Times New Roman"/>
          <w:sz w:val="22"/>
          <w:szCs w:val="22"/>
          <w:color w:val="auto"/>
        </w:rPr>
        <w:t>13.11</w:t>
      </w:r>
      <w:r>
        <w:rPr>
          <w:sz w:val="20"/>
          <w:szCs w:val="20"/>
          <w:color w:val="auto"/>
        </w:rPr>
        <w:tab/>
      </w: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If any section, subsection, paragraph, or sub-paragraph of this Agreement is found to be void or</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unenforceable, said provision shall be deemed to be severed from the remainder of this Agreement for the purposes only of the particular proceedings. The Agreement shall, in all other respects, continue in full force and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27</w:t>
      </w:r>
    </w:p>
    <w:p>
      <w:pPr>
        <w:sectPr>
          <w:pgSz w:w="11900" w:h="16838" w:orient="portrait"/>
          <w:cols w:equalWidth="0" w:num="1">
            <w:col w:w="11120"/>
          </w:cols>
          <w:pgMar w:left="380" w:top="1440" w:right="399" w:bottom="1440" w:gutter="0" w:footer="0" w:header="0"/>
        </w:sectPr>
      </w:pPr>
    </w:p>
    <w:bookmarkStart w:id="196" w:name="page197"/>
    <w:bookmarkEnd w:id="196"/>
    <w:p>
      <w:pPr>
        <w:ind w:left="660" w:right="160" w:hanging="647"/>
        <w:spacing w:after="0" w:line="256" w:lineRule="auto"/>
        <w:tabs>
          <w:tab w:leader="none" w:pos="640" w:val="left"/>
        </w:tabs>
        <w:rPr>
          <w:sz w:val="20"/>
          <w:szCs w:val="20"/>
          <w:color w:val="auto"/>
        </w:rPr>
      </w:pPr>
      <w:r>
        <w:rPr>
          <w:rFonts w:ascii="Times New Roman" w:cs="Times New Roman" w:eastAsia="Times New Roman" w:hAnsi="Times New Roman"/>
          <w:sz w:val="22"/>
          <w:szCs w:val="22"/>
          <w:color w:val="auto"/>
        </w:rPr>
        <w:t>13.12</w:t>
      </w:r>
      <w:r>
        <w:rPr>
          <w:sz w:val="20"/>
          <w:szCs w:val="20"/>
          <w:color w:val="auto"/>
        </w:rPr>
        <w:tab/>
      </w:r>
      <w:r>
        <w:rPr>
          <w:rFonts w:ascii="Times New Roman" w:cs="Times New Roman" w:eastAsia="Times New Roman" w:hAnsi="Times New Roman"/>
          <w:sz w:val="22"/>
          <w:szCs w:val="22"/>
          <w:u w:val="single" w:color="auto"/>
          <w:color w:val="auto"/>
        </w:rPr>
        <w:t>No Waiver</w:t>
      </w:r>
      <w:r>
        <w:rPr>
          <w:rFonts w:ascii="Times New Roman" w:cs="Times New Roman" w:eastAsia="Times New Roman" w:hAnsi="Times New Roman"/>
          <w:sz w:val="22"/>
          <w:szCs w:val="22"/>
          <w:color w:val="auto"/>
        </w:rPr>
        <w:t>. No failure to exercise and no delay in exercising any right or remedy under this Agreement shall be deemed</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to be a waiver of that right or remedy. No waiver of any right or remedy under this Agreement or any breach of any provision of this Agreement shall be deemed to be a waiver of any subsequent reliance upon such right or remedy or a waiver of any subsequent breach of that provision or of any similar provision.</w:t>
      </w:r>
    </w:p>
    <w:p>
      <w:pPr>
        <w:spacing w:after="0" w:line="17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22"/>
          <w:szCs w:val="22"/>
          <w:color w:val="auto"/>
        </w:rPr>
        <w:t>13.13</w:t>
      </w:r>
      <w:r>
        <w:rPr>
          <w:sz w:val="20"/>
          <w:szCs w:val="20"/>
          <w:color w:val="auto"/>
        </w:rPr>
        <w:tab/>
      </w:r>
      <w:r>
        <w:rPr>
          <w:rFonts w:ascii="Times New Roman" w:cs="Times New Roman" w:eastAsia="Times New Roman" w:hAnsi="Times New Roman"/>
          <w:sz w:val="21"/>
          <w:szCs w:val="21"/>
          <w:u w:val="single" w:color="auto"/>
          <w:color w:val="auto"/>
        </w:rPr>
        <w:t>Time is of the Essence</w:t>
      </w:r>
      <w:r>
        <w:rPr>
          <w:rFonts w:ascii="Times New Roman" w:cs="Times New Roman" w:eastAsia="Times New Roman" w:hAnsi="Times New Roman"/>
          <w:sz w:val="21"/>
          <w:szCs w:val="21"/>
          <w:color w:val="auto"/>
        </w:rPr>
        <w:t>. Time shall be of the essence of this Agreement in all respects.</w:t>
      </w:r>
    </w:p>
    <w:p>
      <w:pPr>
        <w:spacing w:after="0" w:line="220" w:lineRule="exact"/>
        <w:rPr>
          <w:sz w:val="20"/>
          <w:szCs w:val="20"/>
          <w:color w:val="auto"/>
        </w:rPr>
      </w:pPr>
    </w:p>
    <w:p>
      <w:pPr>
        <w:ind w:left="660" w:hanging="647"/>
        <w:spacing w:after="0" w:line="248" w:lineRule="auto"/>
        <w:tabs>
          <w:tab w:leader="none" w:pos="640" w:val="left"/>
        </w:tabs>
        <w:rPr>
          <w:sz w:val="20"/>
          <w:szCs w:val="20"/>
          <w:color w:val="auto"/>
        </w:rPr>
      </w:pPr>
      <w:r>
        <w:rPr>
          <w:rFonts w:ascii="Times New Roman" w:cs="Times New Roman" w:eastAsia="Times New Roman" w:hAnsi="Times New Roman"/>
          <w:sz w:val="22"/>
          <w:szCs w:val="22"/>
          <w:color w:val="auto"/>
        </w:rPr>
        <w:t>13.14</w:t>
      </w:r>
      <w:r>
        <w:rPr>
          <w:sz w:val="20"/>
          <w:szCs w:val="20"/>
          <w:color w:val="auto"/>
        </w:rPr>
        <w:tab/>
      </w:r>
      <w:r>
        <w:rPr>
          <w:rFonts w:ascii="Times New Roman" w:cs="Times New Roman" w:eastAsia="Times New Roman" w:hAnsi="Times New Roman"/>
          <w:sz w:val="22"/>
          <w:szCs w:val="22"/>
          <w:u w:val="single" w:color="auto"/>
          <w:color w:val="auto"/>
        </w:rPr>
        <w:t>Full Satisfaction</w:t>
      </w:r>
      <w:r>
        <w:rPr>
          <w:rFonts w:ascii="Times New Roman" w:cs="Times New Roman" w:eastAsia="Times New Roman" w:hAnsi="Times New Roman"/>
          <w:sz w:val="22"/>
          <w:szCs w:val="22"/>
          <w:color w:val="auto"/>
        </w:rPr>
        <w:t>. The terms set out in this Agreement; provided that such terms are satisfied by CILP or CLLC, as</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applicable, are in lieu of (and not in addition to) and in full satisfaction of any and all other claims or entitlements which the Executive has or may have upon the termination of the Executive's employment and the compliance by CILP or CLLC, as applicable, with these terms will effect a full and complete release of the Corporation and its affiliates, from any and all claims which the Executive may have for whatever reason or cause in connection with the Executive's employment and the termination of it, other than those obligations specifically set out in this Agreement and other than the Executive's right to claim indemnification under corporate law and any agreement of CLLC or CILP to provide indemnification to the Executive. In agreeing to the terms set out in this Agreement, the Executive specifically agrees to execute a formal release document to that effect upon termination of employment as. and when, requested by CLLC or CILP and will deliver upon request appropriate resignations from all offices and positions with the Corporation and its affiliates, if, as and when requested by CLLC or CILP, as applicable upon termination of the Executive's employment within the circumstances contemplated by this Agreement.</w:t>
      </w:r>
    </w:p>
    <w:p>
      <w:pPr>
        <w:spacing w:after="0" w:line="184" w:lineRule="exact"/>
        <w:rPr>
          <w:sz w:val="20"/>
          <w:szCs w:val="20"/>
          <w:color w:val="auto"/>
        </w:rPr>
      </w:pPr>
    </w:p>
    <w:p>
      <w:pPr>
        <w:ind w:left="660" w:right="300" w:hanging="647"/>
        <w:spacing w:after="0" w:line="271" w:lineRule="auto"/>
        <w:tabs>
          <w:tab w:leader="none" w:pos="640" w:val="left"/>
        </w:tabs>
        <w:rPr>
          <w:sz w:val="20"/>
          <w:szCs w:val="20"/>
          <w:color w:val="auto"/>
        </w:rPr>
      </w:pPr>
      <w:r>
        <w:rPr>
          <w:rFonts w:ascii="Times New Roman" w:cs="Times New Roman" w:eastAsia="Times New Roman" w:hAnsi="Times New Roman"/>
          <w:sz w:val="22"/>
          <w:szCs w:val="22"/>
          <w:color w:val="auto"/>
        </w:rPr>
        <w:t>13.15</w:t>
      </w:r>
      <w:r>
        <w:rPr>
          <w:sz w:val="20"/>
          <w:szCs w:val="20"/>
          <w:color w:val="auto"/>
        </w:rPr>
        <w:tab/>
      </w:r>
      <w:r>
        <w:rPr>
          <w:rFonts w:ascii="Times New Roman" w:cs="Times New Roman" w:eastAsia="Times New Roman" w:hAnsi="Times New Roman"/>
          <w:sz w:val="22"/>
          <w:szCs w:val="22"/>
          <w:u w:val="single" w:color="auto"/>
          <w:color w:val="auto"/>
        </w:rPr>
        <w:t>Minimum Standards Legislation</w:t>
      </w:r>
      <w:r>
        <w:rPr>
          <w:rFonts w:ascii="Times New Roman" w:cs="Times New Roman" w:eastAsia="Times New Roman" w:hAnsi="Times New Roman"/>
          <w:sz w:val="22"/>
          <w:szCs w:val="22"/>
          <w:color w:val="auto"/>
        </w:rPr>
        <w:t>. For greater certainty, should any provision of this Agreement provide entitlements to</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the Executive that are less than his entitlements under the ESA, the entitlements under the ESA shall prevail.</w:t>
      </w:r>
    </w:p>
    <w:p>
      <w:pPr>
        <w:spacing w:after="0" w:line="171" w:lineRule="exact"/>
        <w:rPr>
          <w:sz w:val="20"/>
          <w:szCs w:val="20"/>
          <w:color w:val="auto"/>
        </w:rPr>
      </w:pPr>
    </w:p>
    <w:p>
      <w:pPr>
        <w:jc w:val="both"/>
        <w:ind w:left="660" w:right="80" w:hanging="647"/>
        <w:spacing w:after="0" w:line="257" w:lineRule="auto"/>
        <w:tabs>
          <w:tab w:leader="none" w:pos="640" w:val="left"/>
        </w:tabs>
        <w:rPr>
          <w:sz w:val="20"/>
          <w:szCs w:val="20"/>
          <w:color w:val="auto"/>
        </w:rPr>
      </w:pPr>
      <w:r>
        <w:rPr>
          <w:rFonts w:ascii="Times New Roman" w:cs="Times New Roman" w:eastAsia="Times New Roman" w:hAnsi="Times New Roman"/>
          <w:sz w:val="22"/>
          <w:szCs w:val="22"/>
          <w:color w:val="auto"/>
        </w:rPr>
        <w:t>13.16</w:t>
      </w:r>
      <w:r>
        <w:rPr>
          <w:sz w:val="20"/>
          <w:szCs w:val="20"/>
          <w:color w:val="auto"/>
        </w:rPr>
        <w:tab/>
      </w:r>
      <w:r>
        <w:rPr>
          <w:rFonts w:ascii="Times New Roman" w:cs="Times New Roman" w:eastAsia="Times New Roman" w:hAnsi="Times New Roman"/>
          <w:sz w:val="22"/>
          <w:szCs w:val="22"/>
          <w:u w:val="single" w:color="auto"/>
          <w:color w:val="auto"/>
        </w:rPr>
        <w:t>Survival</w:t>
      </w:r>
      <w:r>
        <w:rPr>
          <w:rFonts w:ascii="Times New Roman" w:cs="Times New Roman" w:eastAsia="Times New Roman" w:hAnsi="Times New Roman"/>
          <w:sz w:val="22"/>
          <w:szCs w:val="22"/>
          <w:color w:val="auto"/>
        </w:rPr>
        <w:t>. Upon the termination of this Agreement, the respective rights and obligations of the parties hereto shall survive</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such termination to the extent necessary to carry out the intentions of the parties under this Agreement including, without limitation, Section 4, 9, 10 and 11.</w:t>
      </w:r>
    </w:p>
    <w:p>
      <w:pPr>
        <w:spacing w:after="0" w:line="173" w:lineRule="exact"/>
        <w:rPr>
          <w:sz w:val="20"/>
          <w:szCs w:val="20"/>
          <w:color w:val="auto"/>
        </w:rPr>
      </w:pPr>
    </w:p>
    <w:p>
      <w:pPr>
        <w:ind w:left="660" w:right="160" w:hanging="647"/>
        <w:spacing w:after="0" w:line="263" w:lineRule="auto"/>
        <w:tabs>
          <w:tab w:leader="none" w:pos="640" w:val="left"/>
        </w:tabs>
        <w:rPr>
          <w:sz w:val="20"/>
          <w:szCs w:val="20"/>
          <w:color w:val="auto"/>
        </w:rPr>
      </w:pPr>
      <w:r>
        <w:rPr>
          <w:rFonts w:ascii="Times New Roman" w:cs="Times New Roman" w:eastAsia="Times New Roman" w:hAnsi="Times New Roman"/>
          <w:sz w:val="22"/>
          <w:szCs w:val="22"/>
          <w:color w:val="auto"/>
        </w:rPr>
        <w:t>13.17</w:t>
      </w:r>
      <w:r>
        <w:rPr>
          <w:sz w:val="20"/>
          <w:szCs w:val="20"/>
          <w:color w:val="auto"/>
        </w:rPr>
        <w:tab/>
      </w:r>
      <w:r>
        <w:rPr>
          <w:rFonts w:ascii="Times New Roman" w:cs="Times New Roman" w:eastAsia="Times New Roman" w:hAnsi="Times New Roman"/>
          <w:sz w:val="22"/>
          <w:szCs w:val="22"/>
          <w:u w:val="single" w:color="auto"/>
          <w:color w:val="auto"/>
        </w:rPr>
        <w:t>Interpretation</w:t>
      </w:r>
      <w:r>
        <w:rPr>
          <w:rFonts w:ascii="Times New Roman" w:cs="Times New Roman" w:eastAsia="Times New Roman" w:hAnsi="Times New Roman"/>
          <w:sz w:val="22"/>
          <w:szCs w:val="22"/>
          <w:color w:val="auto"/>
        </w:rPr>
        <w:t>. The language used in this Agreement shall be deemed to be the language chosen by the parties to express</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their mutual intent, and the Agreement shall be interpreted without regard to any presumption or other rule requiring interpretation of the Agreement more strongly against the party causing it to be drafted.</w:t>
      </w:r>
    </w:p>
    <w:p>
      <w:pPr>
        <w:spacing w:after="0" w:line="167" w:lineRule="exact"/>
        <w:rPr>
          <w:sz w:val="20"/>
          <w:szCs w:val="20"/>
          <w:color w:val="auto"/>
        </w:rPr>
      </w:pPr>
    </w:p>
    <w:p>
      <w:pPr>
        <w:ind w:left="660" w:right="240" w:hanging="647"/>
        <w:spacing w:after="0" w:line="271" w:lineRule="auto"/>
        <w:tabs>
          <w:tab w:leader="none" w:pos="640" w:val="left"/>
        </w:tabs>
        <w:rPr>
          <w:sz w:val="20"/>
          <w:szCs w:val="20"/>
          <w:color w:val="auto"/>
        </w:rPr>
      </w:pPr>
      <w:r>
        <w:rPr>
          <w:rFonts w:ascii="Times New Roman" w:cs="Times New Roman" w:eastAsia="Times New Roman" w:hAnsi="Times New Roman"/>
          <w:sz w:val="22"/>
          <w:szCs w:val="22"/>
          <w:color w:val="auto"/>
        </w:rPr>
        <w:t>13.18</w:t>
      </w:r>
      <w:r>
        <w:rPr>
          <w:sz w:val="20"/>
          <w:szCs w:val="20"/>
          <w:color w:val="auto"/>
        </w:rPr>
        <w:tab/>
      </w:r>
      <w:r>
        <w:rPr>
          <w:rFonts w:ascii="Times New Roman" w:cs="Times New Roman" w:eastAsia="Times New Roman" w:hAnsi="Times New Roman"/>
          <w:sz w:val="22"/>
          <w:szCs w:val="22"/>
          <w:u w:val="single" w:color="auto"/>
          <w:color w:val="auto"/>
        </w:rPr>
        <w:t>Headings in Agreement</w:t>
      </w:r>
      <w:r>
        <w:rPr>
          <w:rFonts w:ascii="Times New Roman" w:cs="Times New Roman" w:eastAsia="Times New Roman" w:hAnsi="Times New Roman"/>
          <w:sz w:val="22"/>
          <w:szCs w:val="22"/>
          <w:color w:val="auto"/>
        </w:rPr>
        <w:t>. The headings in this Agreement are solely for convenience of reference and shall not affect its</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interpretation.</w:t>
      </w:r>
    </w:p>
    <w:p>
      <w:pPr>
        <w:spacing w:after="0" w:line="158" w:lineRule="exact"/>
        <w:rPr>
          <w:sz w:val="20"/>
          <w:szCs w:val="20"/>
          <w:color w:val="auto"/>
        </w:rPr>
      </w:pPr>
    </w:p>
    <w:p>
      <w:pPr>
        <w:ind w:left="660" w:right="420" w:hanging="647"/>
        <w:spacing w:after="0" w:line="271" w:lineRule="auto"/>
        <w:tabs>
          <w:tab w:leader="none" w:pos="640" w:val="left"/>
        </w:tabs>
        <w:rPr>
          <w:sz w:val="20"/>
          <w:szCs w:val="20"/>
          <w:color w:val="auto"/>
        </w:rPr>
      </w:pPr>
      <w:r>
        <w:rPr>
          <w:rFonts w:ascii="Times New Roman" w:cs="Times New Roman" w:eastAsia="Times New Roman" w:hAnsi="Times New Roman"/>
          <w:sz w:val="22"/>
          <w:szCs w:val="22"/>
          <w:color w:val="auto"/>
        </w:rPr>
        <w:t>13.19</w:t>
      </w:r>
      <w:r>
        <w:rPr>
          <w:sz w:val="20"/>
          <w:szCs w:val="20"/>
          <w:color w:val="auto"/>
        </w:rPr>
        <w:tab/>
      </w: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Agreement shall be governed by and interpreted in accordance with the laws of the province of</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Ontario and the federal laws of Canada applicable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28</w:t>
      </w:r>
    </w:p>
    <w:p>
      <w:pPr>
        <w:sectPr>
          <w:pgSz w:w="11900" w:h="16838" w:orient="portrait"/>
          <w:cols w:equalWidth="0" w:num="1">
            <w:col w:w="11240"/>
          </w:cols>
          <w:pgMar w:left="320" w:top="1422" w:right="339" w:bottom="1440" w:gutter="0" w:footer="0" w:header="0"/>
        </w:sectPr>
      </w:pPr>
    </w:p>
    <w:bookmarkStart w:id="197" w:name="page198"/>
    <w:bookmarkEnd w:id="197"/>
    <w:p>
      <w:pPr>
        <w:ind w:left="620" w:right="120" w:hanging="647"/>
        <w:spacing w:after="0" w:line="257" w:lineRule="auto"/>
        <w:tabs>
          <w:tab w:leader="none" w:pos="600" w:val="left"/>
        </w:tabs>
        <w:rPr>
          <w:sz w:val="20"/>
          <w:szCs w:val="20"/>
          <w:color w:val="auto"/>
        </w:rPr>
      </w:pPr>
      <w:r>
        <w:rPr>
          <w:rFonts w:ascii="Times New Roman" w:cs="Times New Roman" w:eastAsia="Times New Roman" w:hAnsi="Times New Roman"/>
          <w:sz w:val="22"/>
          <w:szCs w:val="22"/>
          <w:color w:val="auto"/>
        </w:rPr>
        <w:t>13.20</w:t>
      </w:r>
      <w:r>
        <w:rPr>
          <w:sz w:val="20"/>
          <w:szCs w:val="20"/>
          <w:color w:val="auto"/>
        </w:rPr>
        <w:tab/>
      </w:r>
      <w:r>
        <w:rPr>
          <w:rFonts w:ascii="Times New Roman" w:cs="Times New Roman" w:eastAsia="Times New Roman" w:hAnsi="Times New Roman"/>
          <w:sz w:val="22"/>
          <w:szCs w:val="22"/>
          <w:u w:val="single" w:color="auto"/>
          <w:color w:val="auto"/>
        </w:rPr>
        <w:t>Jurisdiction</w:t>
      </w:r>
      <w:r>
        <w:rPr>
          <w:rFonts w:ascii="Times New Roman" w:cs="Times New Roman" w:eastAsia="Times New Roman" w:hAnsi="Times New Roman"/>
          <w:sz w:val="22"/>
          <w:szCs w:val="22"/>
          <w:color w:val="auto"/>
        </w:rPr>
        <w:t>. The parties submit all of their disputes arising out of or in connection with this Agreement to Arbitration as</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governed by Article 12 of this Agreement, failing which to the exclusive jurisdiction of the Courts of the Province of Ontario, Canada.</w:t>
      </w:r>
    </w:p>
    <w:p>
      <w:pPr>
        <w:spacing w:after="0" w:line="186" w:lineRule="exact"/>
        <w:rPr>
          <w:sz w:val="20"/>
          <w:szCs w:val="20"/>
          <w:color w:val="auto"/>
        </w:rPr>
      </w:pPr>
    </w:p>
    <w:p>
      <w:pPr>
        <w:ind w:left="620" w:hanging="647"/>
        <w:spacing w:after="0" w:line="257" w:lineRule="auto"/>
        <w:tabs>
          <w:tab w:leader="none" w:pos="600" w:val="left"/>
        </w:tabs>
        <w:rPr>
          <w:sz w:val="20"/>
          <w:szCs w:val="20"/>
          <w:color w:val="auto"/>
        </w:rPr>
      </w:pPr>
      <w:r>
        <w:rPr>
          <w:rFonts w:ascii="Times New Roman" w:cs="Times New Roman" w:eastAsia="Times New Roman" w:hAnsi="Times New Roman"/>
          <w:sz w:val="22"/>
          <w:szCs w:val="22"/>
          <w:color w:val="auto"/>
        </w:rPr>
        <w:t>13.21</w:t>
      </w:r>
      <w:r>
        <w:rPr>
          <w:sz w:val="20"/>
          <w:szCs w:val="20"/>
          <w:color w:val="auto"/>
        </w:rPr>
        <w:tab/>
      </w: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Any demand, notice or other communication to be given in connection with this Agreement shall be given in</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writing and may be given by delivery, email, facsimile, or registered mail to the recipient as follows (or such other contact information provided by the Executive or the Corporation from time to time):</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2"/>
          <w:szCs w:val="22"/>
          <w:color w:val="auto"/>
        </w:rPr>
        <w:t>To the Executive:</w:t>
      </w:r>
    </w:p>
    <w:p>
      <w:pPr>
        <w:spacing w:after="0" w:line="220"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2"/>
          <w:szCs w:val="22"/>
          <w:color w:val="auto"/>
        </w:rPr>
        <w:t>Robert A. Mionis</w:t>
      </w:r>
    </w:p>
    <w:p>
      <w:pPr>
        <w:spacing w:after="0" w:line="29"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[***REDACTED***]</w:t>
      </w:r>
    </w:p>
    <w:p>
      <w:pPr>
        <w:spacing w:after="0" w:line="20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2"/>
          <w:szCs w:val="22"/>
          <w:color w:val="auto"/>
        </w:rPr>
        <w:t>To the Corporation:</w:t>
      </w:r>
    </w:p>
    <w:p>
      <w:pPr>
        <w:spacing w:after="0" w:line="220"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2"/>
          <w:szCs w:val="22"/>
          <w:color w:val="auto"/>
        </w:rPr>
        <w:t>c/o Douglas Parker</w:t>
      </w:r>
    </w:p>
    <w:p>
      <w:pPr>
        <w:spacing w:after="0" w:line="28"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2"/>
          <w:szCs w:val="22"/>
          <w:color w:val="auto"/>
        </w:rPr>
        <w:t>Chief Legal Officer and Corporate Secretary</w:t>
      </w:r>
    </w:p>
    <w:p>
      <w:pPr>
        <w:spacing w:after="0" w:line="4"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2"/>
          <w:szCs w:val="22"/>
          <w:color w:val="auto"/>
        </w:rPr>
        <w:t>5140 Yonge Street, Suite 1900</w:t>
      </w:r>
    </w:p>
    <w:p>
      <w:pPr>
        <w:spacing w:after="0" w:line="4"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2"/>
          <w:szCs w:val="22"/>
          <w:color w:val="auto"/>
        </w:rPr>
        <w:t>Toronto ON, M2N 6L7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29</w:t>
      </w:r>
    </w:p>
    <w:p>
      <w:pPr>
        <w:sectPr>
          <w:pgSz w:w="11900" w:h="16838" w:orient="portrait"/>
          <w:cols w:equalWidth="0" w:num="1">
            <w:col w:w="11180"/>
          </w:cols>
          <w:pgMar w:left="360" w:top="1422" w:right="359" w:bottom="1440" w:gutter="0" w:footer="0" w:header="0"/>
        </w:sectPr>
      </w:pPr>
    </w:p>
    <w:bookmarkStart w:id="198" w:name="page199"/>
    <w:bookmarkEnd w:id="198"/>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IN WITNESS WHEREOF </w:t>
      </w:r>
      <w:r>
        <w:rPr>
          <w:rFonts w:ascii="Times New Roman" w:cs="Times New Roman" w:eastAsia="Times New Roman" w:hAnsi="Times New Roman"/>
          <w:sz w:val="22"/>
          <w:szCs w:val="22"/>
          <w:color w:val="auto"/>
        </w:rPr>
        <w:t>the parties hereto have executed this Amending Agreement as of the dates set out below:</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Dated this </w:t>
      </w:r>
      <w:r>
        <w:rPr>
          <w:rFonts w:ascii="Times New Roman" w:cs="Times New Roman" w:eastAsia="Times New Roman" w:hAnsi="Times New Roman"/>
          <w:sz w:val="22"/>
          <w:szCs w:val="22"/>
          <w:b w:val="1"/>
          <w:bCs w:val="1"/>
          <w:color w:val="auto"/>
        </w:rPr>
        <w:t>25th day of July, 2024.</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Celestica International LP,</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by its general partner,</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Celestica International GP Inc.</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Michael Wilson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131254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4">
                      <a:extLst>
                        <a:ext uri="{28A0092B-C50C-407E-A947-70E740481C1C}"/>
                      </a:extLst>
                    </a:blip>
                    <a:srcRect/>
                    <a:stretch>
                      <a:fillRect/>
                    </a:stretch>
                  </pic:blipFill>
                  <pic:spPr bwMode="auto">
                    <a:xfrm>
                      <a:off x="0" y="0"/>
                      <a:ext cx="1312545" cy="825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 Michael Wilson. Chair of Celestica Board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Celestica Inc.</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Robert Cascella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131064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5">
                      <a:extLst>
                        <a:ext uri="{28A0092B-C50C-407E-A947-70E740481C1C}"/>
                      </a:extLst>
                    </a:blip>
                    <a:srcRect/>
                    <a:stretch>
                      <a:fillRect/>
                    </a:stretch>
                  </pic:blipFill>
                  <pic:spPr bwMode="auto">
                    <a:xfrm>
                      <a:off x="0" y="0"/>
                      <a:ext cx="1310640" cy="825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 Robert Cascella, Chair of Human Resources &amp; Compensation Committee Celestica Inc.</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Douglas Parker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12877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6">
                      <a:extLst>
                        <a:ext uri="{28A0092B-C50C-407E-A947-70E740481C1C}"/>
                      </a:extLst>
                    </a:blip>
                    <a:srcRect/>
                    <a:stretch>
                      <a:fillRect/>
                    </a:stretch>
                  </pic:blipFill>
                  <pic:spPr bwMode="auto">
                    <a:xfrm>
                      <a:off x="0" y="0"/>
                      <a:ext cx="1287780" cy="825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 Douglas Parker, Chief Legal Officer &amp; Corporate Secretary</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Celestica International LP</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45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Executive:</w:t>
            </w:r>
          </w:p>
        </w:tc>
        <w:tc>
          <w:tcPr>
            <w:tcW w:w="6700" w:type="dxa"/>
            <w:vAlign w:val="bottom"/>
          </w:tcPr>
          <w:p>
            <w:pPr>
              <w:spacing w:after="0"/>
              <w:rPr>
                <w:sz w:val="24"/>
                <w:szCs w:val="24"/>
                <w:color w:val="auto"/>
              </w:rPr>
            </w:pPr>
          </w:p>
        </w:tc>
      </w:tr>
      <w:tr>
        <w:trPr>
          <w:trHeight w:val="514"/>
        </w:trPr>
        <w:tc>
          <w:tcPr>
            <w:tcW w:w="45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/s/ Robert A. Mionis</w:t>
            </w:r>
          </w:p>
        </w:tc>
        <w:tc>
          <w:tcPr>
            <w:tcW w:w="6700" w:type="dxa"/>
            <w:vAlign w:val="bottom"/>
            <w:tcBorders>
              <w:bottom w:val="single" w:sz="8" w:color="auto"/>
            </w:tcBorders>
          </w:tcPr>
          <w:p>
            <w:pPr>
              <w:ind w:left="1160"/>
              <w:spacing w:after="0"/>
              <w:rPr>
                <w:sz w:val="20"/>
                <w:szCs w:val="20"/>
                <w:color w:val="auto"/>
              </w:rPr>
            </w:pPr>
            <w:r>
              <w:rPr>
                <w:rFonts w:ascii="Times New Roman" w:cs="Times New Roman" w:eastAsia="Times New Roman" w:hAnsi="Times New Roman"/>
                <w:sz w:val="22"/>
                <w:szCs w:val="22"/>
                <w:b w:val="1"/>
                <w:bCs w:val="1"/>
                <w:color w:val="auto"/>
              </w:rPr>
              <w:t>[***REDACTED***]</w:t>
            </w:r>
          </w:p>
        </w:tc>
      </w:tr>
      <w:tr>
        <w:trPr>
          <w:trHeight w:val="250"/>
        </w:trPr>
        <w:tc>
          <w:tcPr>
            <w:tcW w:w="4540" w:type="dxa"/>
            <w:vAlign w:val="bottom"/>
          </w:tcPr>
          <w:p>
            <w:pPr>
              <w:ind w:left="80"/>
              <w:spacing w:after="0" w:line="250" w:lineRule="exact"/>
              <w:rPr>
                <w:sz w:val="20"/>
                <w:szCs w:val="20"/>
                <w:color w:val="auto"/>
              </w:rPr>
            </w:pPr>
            <w:r>
              <w:rPr>
                <w:rFonts w:ascii="Times New Roman" w:cs="Times New Roman" w:eastAsia="Times New Roman" w:hAnsi="Times New Roman"/>
                <w:sz w:val="22"/>
                <w:szCs w:val="22"/>
                <w:color w:val="auto"/>
              </w:rPr>
              <w:t>Robert Mionis</w:t>
            </w:r>
          </w:p>
        </w:tc>
        <w:tc>
          <w:tcPr>
            <w:tcW w:w="6700" w:type="dxa"/>
            <w:vAlign w:val="bottom"/>
          </w:tcPr>
          <w:p>
            <w:pPr>
              <w:ind w:left="1160"/>
              <w:spacing w:after="0" w:line="250" w:lineRule="exact"/>
              <w:rPr>
                <w:sz w:val="20"/>
                <w:szCs w:val="20"/>
                <w:color w:val="auto"/>
              </w:rPr>
            </w:pPr>
            <w:r>
              <w:rPr>
                <w:rFonts w:ascii="Times New Roman" w:cs="Times New Roman" w:eastAsia="Times New Roman" w:hAnsi="Times New Roman"/>
                <w:sz w:val="22"/>
                <w:szCs w:val="22"/>
                <w:color w:val="auto"/>
              </w:rPr>
              <w:t>Witness (Sign &amp; Print Name)</w:t>
            </w:r>
          </w:p>
        </w:tc>
      </w:tr>
      <w:tr>
        <w:trPr>
          <w:trHeight w:val="282"/>
        </w:trPr>
        <w:tc>
          <w:tcPr>
            <w:tcW w:w="45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President and Chief Executive Officer</w:t>
            </w:r>
          </w:p>
        </w:tc>
        <w:tc>
          <w:tcPr>
            <w:tcW w:w="670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30</w:t>
      </w:r>
    </w:p>
    <w:p>
      <w:pPr>
        <w:sectPr>
          <w:pgSz w:w="11900" w:h="16838" w:orient="portrait"/>
          <w:cols w:equalWidth="0" w:num="1">
            <w:col w:w="11240"/>
          </w:cols>
          <w:pgMar w:left="320" w:top="1440" w:right="339" w:bottom="1440" w:gutter="0" w:footer="0" w:header="0"/>
        </w:sectPr>
      </w:pPr>
    </w:p>
    <w:bookmarkStart w:id="199" w:name="page200"/>
    <w:bookmarkEnd w:id="199"/>
    <w:p>
      <w:pPr>
        <w:jc w:val="right"/>
        <w:spacing w:after="0"/>
        <w:rPr>
          <w:sz w:val="20"/>
          <w:szCs w:val="20"/>
          <w:color w:val="auto"/>
        </w:rPr>
      </w:pPr>
      <w:r>
        <w:rPr>
          <w:rFonts w:ascii="Arial" w:cs="Arial" w:eastAsia="Arial" w:hAnsi="Arial"/>
          <w:sz w:val="20"/>
          <w:szCs w:val="20"/>
          <w:color w:val="auto"/>
        </w:rPr>
        <w:t>FORM OF U.S. OFFER LETTER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1234440" cy="95123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7">
                      <a:extLst>
                        <a:ext uri="{28A0092B-C50C-407E-A947-70E740481C1C}"/>
                      </a:extLst>
                    </a:blip>
                    <a:srcRect/>
                    <a:stretch>
                      <a:fillRect/>
                    </a:stretch>
                  </pic:blipFill>
                  <pic:spPr bwMode="auto">
                    <a:xfrm>
                      <a:off x="0" y="0"/>
                      <a:ext cx="1234440" cy="951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20"/>
          <w:szCs w:val="20"/>
          <w:color w:val="auto"/>
        </w:rPr>
        <w:t>[Date]</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[Name]</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[Address]</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20"/>
          <w:szCs w:val="20"/>
          <w:color w:val="auto"/>
        </w:rPr>
        <w:t>Dear [Name]:</w:t>
      </w:r>
    </w:p>
    <w:p>
      <w:pPr>
        <w:spacing w:after="0" w:line="270" w:lineRule="exact"/>
        <w:rPr>
          <w:sz w:val="20"/>
          <w:szCs w:val="20"/>
          <w:color w:val="auto"/>
        </w:rPr>
      </w:pPr>
    </w:p>
    <w:p>
      <w:pPr>
        <w:jc w:val="both"/>
        <w:spacing w:after="0" w:line="287" w:lineRule="auto"/>
        <w:rPr>
          <w:sz w:val="20"/>
          <w:szCs w:val="20"/>
          <w:color w:val="auto"/>
        </w:rPr>
      </w:pPr>
      <w:r>
        <w:rPr>
          <w:rFonts w:ascii="Arial" w:cs="Arial" w:eastAsia="Arial" w:hAnsi="Arial"/>
          <w:sz w:val="20"/>
          <w:szCs w:val="20"/>
          <w:color w:val="auto"/>
        </w:rPr>
        <w:t>I am very pleased to offer you this opportunity to join Celestica LLC (“Celestica”) in the position of Vice-President, [position title], reporting directly to me. I anticipate that your first day will be [] (“Start Date”). Although your work location will be [Insert], you will be required to travel for business purposes as needed to Celestica’s global sites, customer locations as well as our head office in Toronto, Canada.</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color w:val="auto"/>
        </w:rPr>
        <w:t>All amounts in this letter are stated in U.S. dollars and subject to withholdings for tax and other payroll deductions.</w:t>
      </w:r>
    </w:p>
    <w:p>
      <w:pPr>
        <w:spacing w:after="0" w:line="28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20"/>
          <w:szCs w:val="20"/>
          <w:color w:val="auto"/>
        </w:rPr>
        <w:t>●</w:t>
      </w:r>
      <w:r>
        <w:rPr>
          <w:sz w:val="20"/>
          <w:szCs w:val="20"/>
          <w:color w:val="auto"/>
        </w:rPr>
        <w:tab/>
      </w:r>
      <w:r>
        <w:rPr>
          <w:rFonts w:ascii="Arial" w:cs="Arial" w:eastAsia="Arial" w:hAnsi="Arial"/>
          <w:sz w:val="20"/>
          <w:szCs w:val="20"/>
          <w:color w:val="auto"/>
        </w:rPr>
        <w:t>Your annual base salary will be [$] effective on your Start Date.</w:t>
      </w:r>
    </w:p>
    <w:p>
      <w:pPr>
        <w:spacing w:after="0" w:line="255" w:lineRule="exact"/>
        <w:rPr>
          <w:sz w:val="20"/>
          <w:szCs w:val="20"/>
          <w:color w:val="auto"/>
        </w:rPr>
      </w:pPr>
    </w:p>
    <w:p>
      <w:pPr>
        <w:jc w:val="both"/>
        <w:ind w:left="320" w:hanging="320"/>
        <w:spacing w:after="0" w:line="282" w:lineRule="auto"/>
        <w:tabs>
          <w:tab w:leader="none" w:pos="300" w:val="left"/>
        </w:tabs>
        <w:rPr>
          <w:sz w:val="20"/>
          <w:szCs w:val="20"/>
          <w:color w:val="auto"/>
        </w:rPr>
      </w:pPr>
      <w:r>
        <w:rPr>
          <w:rFonts w:ascii="Times New Roman" w:cs="Times New Roman" w:eastAsia="Times New Roman" w:hAnsi="Times New Roman"/>
          <w:sz w:val="20"/>
          <w:szCs w:val="20"/>
          <w:color w:val="auto"/>
        </w:rPr>
        <w:t>●</w:t>
      </w:r>
      <w:r>
        <w:rPr>
          <w:sz w:val="20"/>
          <w:szCs w:val="20"/>
          <w:color w:val="auto"/>
        </w:rPr>
        <w:tab/>
      </w:r>
      <w:r>
        <w:rPr>
          <w:rFonts w:ascii="Arial" w:cs="Arial" w:eastAsia="Arial" w:hAnsi="Arial"/>
          <w:sz w:val="20"/>
          <w:szCs w:val="20"/>
          <w:color w:val="auto"/>
        </w:rPr>
        <w:t>You will be eligible for Celestica’s Team Incentive (“CTI”) plan, which pays 35% of annualized base salary at target (i.e., $). Payment is conditional on the achievement of corporate financial results. Personal achievements as reflected in your Individual Performance Factor (“IPF”) will also influence the overall payment determination. CTI payments are subject to an annual maximum of two times target (i.e., $). For your first year of employment with Celestica, your CTI payment will be prorated from your Start Date. CTI is paid annually in the February time frame based on the previous year’s business results. i.e., the [Insert] CTI payment will be paid to you in February [Insert].</w:t>
      </w:r>
    </w:p>
    <w:p>
      <w:pPr>
        <w:spacing w:after="0" w:line="201" w:lineRule="exact"/>
        <w:rPr>
          <w:sz w:val="20"/>
          <w:szCs w:val="20"/>
          <w:color w:val="auto"/>
        </w:rPr>
      </w:pPr>
    </w:p>
    <w:p>
      <w:pPr>
        <w:jc w:val="both"/>
        <w:ind w:left="340" w:hanging="323"/>
        <w:spacing w:after="0" w:line="280" w:lineRule="auto"/>
        <w:tabs>
          <w:tab w:leader="none" w:pos="320" w:val="left"/>
        </w:tabs>
        <w:rPr>
          <w:sz w:val="20"/>
          <w:szCs w:val="20"/>
          <w:color w:val="auto"/>
        </w:rPr>
      </w:pPr>
      <w:r>
        <w:rPr>
          <w:rFonts w:ascii="Times New Roman" w:cs="Times New Roman" w:eastAsia="Times New Roman" w:hAnsi="Times New Roman"/>
          <w:sz w:val="20"/>
          <w:szCs w:val="20"/>
          <w:color w:val="auto"/>
        </w:rPr>
        <w:t>●</w:t>
      </w:r>
      <w:r>
        <w:rPr>
          <w:sz w:val="20"/>
          <w:szCs w:val="20"/>
          <w:color w:val="auto"/>
        </w:rPr>
        <w:tab/>
      </w:r>
      <w:r>
        <w:rPr>
          <w:rFonts w:ascii="Arial" w:cs="Arial" w:eastAsia="Arial" w:hAnsi="Arial"/>
          <w:sz w:val="20"/>
          <w:szCs w:val="20"/>
          <w:color w:val="auto"/>
        </w:rPr>
        <w:t>You will also be eligible for annual Long Term Incentive (“LTI”) grants based on a Board approved mix of Restricted Stock Units (“RSUs”) and Performance Share Units (“PSUs”). Your [Insert] LTI grant (“[Insert] LTI”) will be [$] and will be granted to you in the first quarter of the year. The [Insert] LTI will be issued from, and subject to the terms and conditions of the Long Term Incentive Plan (“LTIP”) and/or Celestica Share Unit Plan (CSUP) and is comprised of 40% Restricted Stock Units (“RSUs”) (i.e., $) and 60% Performance Share Units (“PSUs”) (i.e., $). The amount of the LTI you will be awarded in subsequent years, as well as the mix of RSUs and PSUs, may vary and will be subject to approval by Celestica’s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356235</wp:posOffset>
            </wp:positionV>
            <wp:extent cx="713232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67" w:lineRule="exact"/>
        <w:rPr>
          <w:sz w:val="20"/>
          <w:szCs w:val="20"/>
          <w:color w:val="auto"/>
        </w:rPr>
      </w:pPr>
    </w:p>
    <w:p>
      <w:pPr>
        <w:ind w:left="80"/>
        <w:spacing w:after="0"/>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b w:val="1"/>
          <w:bCs w:val="1"/>
          <w:color w:val="auto"/>
        </w:rPr>
        <w:t>|</w:t>
      </w:r>
      <w:r>
        <w:rPr>
          <w:rFonts w:ascii="Arial" w:cs="Arial" w:eastAsia="Arial" w:hAnsi="Arial"/>
          <w:sz w:val="13"/>
          <w:szCs w:val="13"/>
          <w:color w:val="auto"/>
        </w:rPr>
        <w:t xml:space="preserve"> </w:t>
      </w:r>
      <w:r>
        <w:rPr>
          <w:rFonts w:ascii="Arial" w:cs="Arial" w:eastAsia="Arial" w:hAnsi="Arial"/>
          <w:sz w:val="13"/>
          <w:szCs w:val="13"/>
          <w:color w:val="808080"/>
        </w:rPr>
        <w:t>Page</w:t>
      </w:r>
    </w:p>
    <w:p>
      <w:pPr>
        <w:spacing w:after="0" w:line="366" w:lineRule="exact"/>
        <w:rPr>
          <w:sz w:val="20"/>
          <w:szCs w:val="20"/>
          <w:color w:val="auto"/>
        </w:rPr>
      </w:pPr>
    </w:p>
    <w:p>
      <w:pPr>
        <w:ind w:left="500"/>
        <w:spacing w:after="0"/>
        <w:rPr>
          <w:sz w:val="20"/>
          <w:szCs w:val="20"/>
          <w:color w:val="auto"/>
        </w:rPr>
      </w:pPr>
      <w:r>
        <w:rPr>
          <w:rFonts w:ascii="Arial" w:cs="Arial" w:eastAsia="Arial" w:hAnsi="Arial"/>
          <w:sz w:val="13"/>
          <w:szCs w:val="13"/>
          <w:color w:val="auto"/>
        </w:rPr>
        <w:t>______</w:t>
      </w:r>
    </w:p>
    <w:p>
      <w:pPr>
        <w:spacing w:after="0" w:line="25" w:lineRule="exact"/>
        <w:rPr>
          <w:sz w:val="20"/>
          <w:szCs w:val="20"/>
          <w:color w:val="auto"/>
        </w:rPr>
      </w:pPr>
    </w:p>
    <w:p>
      <w:pPr>
        <w:ind w:left="540"/>
        <w:spacing w:after="0"/>
        <w:rPr>
          <w:sz w:val="20"/>
          <w:szCs w:val="20"/>
          <w:color w:val="auto"/>
        </w:rPr>
      </w:pPr>
      <w:r>
        <w:rPr>
          <w:rFonts w:ascii="Arial" w:cs="Arial" w:eastAsia="Arial" w:hAnsi="Arial"/>
          <w:sz w:val="13"/>
          <w:szCs w:val="13"/>
          <w:color w:val="auto"/>
        </w:rPr>
        <w:t>Initial</w:t>
      </w:r>
    </w:p>
    <w:p>
      <w:pPr>
        <w:sectPr>
          <w:pgSz w:w="11900" w:h="16838" w:orient="portrait"/>
          <w:cols w:equalWidth="0" w:num="1">
            <w:col w:w="11240"/>
          </w:cols>
          <w:pgMar w:left="320" w:top="118" w:right="339" w:bottom="1440" w:gutter="0" w:footer="0" w:header="0"/>
        </w:sectPr>
      </w:pPr>
    </w:p>
    <w:bookmarkStart w:id="200" w:name="page201"/>
    <w:bookmarkEnd w:id="200"/>
    <w:p>
      <w:pPr>
        <w:ind w:left="8332"/>
        <w:spacing w:after="0"/>
        <w:rPr>
          <w:sz w:val="20"/>
          <w:szCs w:val="20"/>
          <w:color w:val="auto"/>
        </w:rPr>
      </w:pPr>
      <w:r>
        <w:rPr>
          <w:rFonts w:ascii="Arial" w:cs="Arial" w:eastAsia="Arial" w:hAnsi="Arial"/>
          <w:sz w:val="19"/>
          <w:szCs w:val="19"/>
          <w:color w:val="auto"/>
        </w:rPr>
        <w:t>FORM OF U.S. OFFER LETTER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312" w:hanging="312"/>
        <w:spacing w:after="0"/>
        <w:tabs>
          <w:tab w:leader="none" w:pos="312" w:val="left"/>
        </w:tabs>
        <w:numPr>
          <w:ilvl w:val="0"/>
          <w:numId w:val="122"/>
        </w:numPr>
        <w:rPr>
          <w:rFonts w:ascii="Times New Roman" w:cs="Times New Roman" w:eastAsia="Times New Roman" w:hAnsi="Times New Roman"/>
          <w:sz w:val="20"/>
          <w:szCs w:val="20"/>
          <w:color w:val="auto"/>
        </w:rPr>
      </w:pPr>
      <w:r>
        <w:rPr>
          <w:rFonts w:ascii="Arial" w:cs="Arial" w:eastAsia="Arial" w:hAnsi="Arial"/>
          <w:sz w:val="20"/>
          <w:szCs w:val="20"/>
          <w:color w:val="auto"/>
        </w:rPr>
        <w:t>A brief description of the LTI vehicles is summarized below:</w:t>
      </w:r>
    </w:p>
    <w:p>
      <w:pPr>
        <w:spacing w:after="0" w:line="145" w:lineRule="exact"/>
        <w:rPr>
          <w:rFonts w:ascii="Times New Roman" w:cs="Times New Roman" w:eastAsia="Times New Roman" w:hAnsi="Times New Roman"/>
          <w:sz w:val="20"/>
          <w:szCs w:val="20"/>
          <w:color w:val="auto"/>
        </w:rPr>
      </w:pPr>
    </w:p>
    <w:p>
      <w:pPr>
        <w:ind w:left="712" w:hanging="307"/>
        <w:spacing w:after="0"/>
        <w:tabs>
          <w:tab w:leader="none" w:pos="712" w:val="left"/>
        </w:tabs>
        <w:numPr>
          <w:ilvl w:val="1"/>
          <w:numId w:val="122"/>
        </w:numPr>
        <w:rPr>
          <w:rFonts w:ascii="Arial" w:cs="Arial" w:eastAsia="Arial" w:hAnsi="Arial"/>
          <w:sz w:val="20"/>
          <w:szCs w:val="20"/>
          <w:b w:val="1"/>
          <w:bCs w:val="1"/>
          <w:color w:val="auto"/>
        </w:rPr>
      </w:pPr>
      <w:r>
        <w:rPr>
          <w:rFonts w:ascii="Arial" w:cs="Arial" w:eastAsia="Arial" w:hAnsi="Arial"/>
          <w:sz w:val="20"/>
          <w:szCs w:val="20"/>
          <w:b w:val="1"/>
          <w:bCs w:val="1"/>
          <w:color w:val="auto"/>
        </w:rPr>
        <w:t>RSUs:</w:t>
      </w:r>
    </w:p>
    <w:p>
      <w:pPr>
        <w:spacing w:after="0" w:line="43" w:lineRule="exact"/>
        <w:rPr>
          <w:rFonts w:ascii="Arial" w:cs="Arial" w:eastAsia="Arial" w:hAnsi="Arial"/>
          <w:sz w:val="20"/>
          <w:szCs w:val="20"/>
          <w:b w:val="1"/>
          <w:bCs w:val="1"/>
          <w:color w:val="auto"/>
        </w:rPr>
      </w:pPr>
    </w:p>
    <w:p>
      <w:pPr>
        <w:ind w:left="732" w:right="20"/>
        <w:spacing w:after="0" w:line="308" w:lineRule="auto"/>
        <w:rPr>
          <w:rFonts w:ascii="Arial" w:cs="Arial" w:eastAsia="Arial" w:hAnsi="Arial"/>
          <w:sz w:val="20"/>
          <w:szCs w:val="20"/>
          <w:b w:val="1"/>
          <w:bCs w:val="1"/>
          <w:color w:val="auto"/>
        </w:rPr>
      </w:pPr>
      <w:r>
        <w:rPr>
          <w:rFonts w:ascii="Arial" w:cs="Arial" w:eastAsia="Arial" w:hAnsi="Arial"/>
          <w:sz w:val="20"/>
          <w:szCs w:val="20"/>
          <w:color w:val="auto"/>
        </w:rPr>
        <w:t>RSUs have a three-year term and are 100% time-based with one third vesting on each of the first two anniversaries of the grant and December 1</w:t>
      </w:r>
      <w:r>
        <w:rPr>
          <w:rFonts w:ascii="Arial" w:cs="Arial" w:eastAsia="Arial" w:hAnsi="Arial"/>
          <w:sz w:val="25"/>
          <w:szCs w:val="25"/>
          <w:color w:val="auto"/>
          <w:vertAlign w:val="superscript"/>
        </w:rPr>
        <w:t>st</w:t>
      </w:r>
      <w:r>
        <w:rPr>
          <w:rFonts w:ascii="Arial" w:cs="Arial" w:eastAsia="Arial" w:hAnsi="Arial"/>
          <w:sz w:val="20"/>
          <w:szCs w:val="20"/>
          <w:color w:val="auto"/>
        </w:rPr>
        <w:t xml:space="preserve"> following the second anniversary.</w:t>
      </w:r>
    </w:p>
    <w:p>
      <w:pPr>
        <w:spacing w:after="0" w:line="88" w:lineRule="exact"/>
        <w:rPr>
          <w:rFonts w:ascii="Arial" w:cs="Arial" w:eastAsia="Arial" w:hAnsi="Arial"/>
          <w:sz w:val="20"/>
          <w:szCs w:val="20"/>
          <w:b w:val="1"/>
          <w:bCs w:val="1"/>
          <w:color w:val="auto"/>
        </w:rPr>
      </w:pPr>
    </w:p>
    <w:p>
      <w:pPr>
        <w:ind w:left="732" w:hanging="327"/>
        <w:spacing w:after="0"/>
        <w:tabs>
          <w:tab w:leader="none" w:pos="732" w:val="left"/>
        </w:tabs>
        <w:numPr>
          <w:ilvl w:val="1"/>
          <w:numId w:val="122"/>
        </w:numPr>
        <w:rPr>
          <w:rFonts w:ascii="Arial" w:cs="Arial" w:eastAsia="Arial" w:hAnsi="Arial"/>
          <w:sz w:val="20"/>
          <w:szCs w:val="20"/>
          <w:b w:val="1"/>
          <w:bCs w:val="1"/>
          <w:color w:val="auto"/>
        </w:rPr>
      </w:pPr>
      <w:r>
        <w:rPr>
          <w:rFonts w:ascii="Arial" w:cs="Arial" w:eastAsia="Arial" w:hAnsi="Arial"/>
          <w:sz w:val="20"/>
          <w:szCs w:val="20"/>
          <w:b w:val="1"/>
          <w:bCs w:val="1"/>
          <w:color w:val="auto"/>
        </w:rPr>
        <w:t>PSUs:</w:t>
      </w:r>
    </w:p>
    <w:p>
      <w:pPr>
        <w:spacing w:after="0" w:line="43" w:lineRule="exact"/>
        <w:rPr>
          <w:rFonts w:ascii="Arial" w:cs="Arial" w:eastAsia="Arial" w:hAnsi="Arial"/>
          <w:sz w:val="20"/>
          <w:szCs w:val="20"/>
          <w:b w:val="1"/>
          <w:bCs w:val="1"/>
          <w:color w:val="auto"/>
        </w:rPr>
      </w:pPr>
    </w:p>
    <w:p>
      <w:pPr>
        <w:jc w:val="both"/>
        <w:ind w:left="732"/>
        <w:spacing w:after="0" w:line="290" w:lineRule="auto"/>
        <w:rPr>
          <w:rFonts w:ascii="Arial" w:cs="Arial" w:eastAsia="Arial" w:hAnsi="Arial"/>
          <w:sz w:val="20"/>
          <w:szCs w:val="20"/>
          <w:b w:val="1"/>
          <w:bCs w:val="1"/>
          <w:color w:val="auto"/>
        </w:rPr>
      </w:pPr>
      <w:r>
        <w:rPr>
          <w:rFonts w:ascii="Arial" w:cs="Arial" w:eastAsia="Arial" w:hAnsi="Arial"/>
          <w:sz w:val="20"/>
          <w:szCs w:val="20"/>
          <w:color w:val="auto"/>
        </w:rPr>
        <w:t>PSUs have a three-year performance period beginning January 1 (year one) ending on December 31 (year three). Between 0% and 200% of the target award will vest on the third anniversary of the grant based on Celestica’s performance.</w:t>
      </w:r>
    </w:p>
    <w:p>
      <w:pPr>
        <w:spacing w:after="0" w:line="191" w:lineRule="exact"/>
        <w:rPr>
          <w:rFonts w:ascii="Arial" w:cs="Arial" w:eastAsia="Arial" w:hAnsi="Arial"/>
          <w:sz w:val="20"/>
          <w:szCs w:val="20"/>
          <w:b w:val="1"/>
          <w:bCs w:val="1"/>
          <w:color w:val="auto"/>
        </w:rPr>
      </w:pPr>
    </w:p>
    <w:p>
      <w:pPr>
        <w:ind w:left="332" w:hanging="332"/>
        <w:spacing w:after="0" w:line="313" w:lineRule="auto"/>
        <w:tabs>
          <w:tab w:leader="none" w:pos="370" w:val="left"/>
        </w:tabs>
        <w:numPr>
          <w:ilvl w:val="0"/>
          <w:numId w:val="122"/>
        </w:numPr>
        <w:rPr>
          <w:rFonts w:ascii="Times New Roman" w:cs="Times New Roman" w:eastAsia="Times New Roman" w:hAnsi="Times New Roman"/>
          <w:sz w:val="20"/>
          <w:szCs w:val="20"/>
          <w:color w:val="auto"/>
        </w:rPr>
      </w:pPr>
      <w:r>
        <w:rPr>
          <w:rFonts w:ascii="Arial" w:cs="Arial" w:eastAsia="Arial" w:hAnsi="Arial"/>
          <w:sz w:val="20"/>
          <w:szCs w:val="20"/>
          <w:color w:val="auto"/>
        </w:rPr>
        <w:t>Following your LTI grant, you will receive additional details in a grant agreement letter as well as instructions from Shareworks, our equity administrator.</w:t>
      </w:r>
    </w:p>
    <w:p>
      <w:pPr>
        <w:spacing w:after="0" w:line="168" w:lineRule="exact"/>
        <w:rPr>
          <w:rFonts w:ascii="Times New Roman" w:cs="Times New Roman" w:eastAsia="Times New Roman" w:hAnsi="Times New Roman"/>
          <w:sz w:val="20"/>
          <w:szCs w:val="20"/>
          <w:color w:val="auto"/>
        </w:rPr>
      </w:pPr>
    </w:p>
    <w:p>
      <w:pPr>
        <w:jc w:val="both"/>
        <w:ind w:left="332" w:hanging="332"/>
        <w:spacing w:after="0" w:line="279" w:lineRule="auto"/>
        <w:tabs>
          <w:tab w:leader="none" w:pos="330" w:val="left"/>
        </w:tabs>
        <w:numPr>
          <w:ilvl w:val="0"/>
          <w:numId w:val="122"/>
        </w:numPr>
        <w:rPr>
          <w:rFonts w:ascii="Times New Roman" w:cs="Times New Roman" w:eastAsia="Times New Roman" w:hAnsi="Times New Roman"/>
          <w:sz w:val="20"/>
          <w:szCs w:val="20"/>
          <w:color w:val="auto"/>
        </w:rPr>
      </w:pPr>
      <w:r>
        <w:rPr>
          <w:rFonts w:ascii="Arial" w:cs="Arial" w:eastAsia="Arial" w:hAnsi="Arial"/>
          <w:sz w:val="20"/>
          <w:szCs w:val="20"/>
          <w:color w:val="auto"/>
        </w:rPr>
        <w:t>In recognition of the key role that you will be playing at Celestica and to acknowledge the importance of your immediate and future contributions to Celestica, you will receive a one-time special RSU Award with a grant value of [$] at target (“Special RSU Award”). This will be awarded to you on the first available grant date after your Start Date and the actual number of units that will be granted will be determined using the closing price of Celestica’s Common Shares on the day prior to the Special RSU Award grant date. The Special RSU Award will be issued from, and subject to the terms and conditions of the CSUP, except that it will vest [Insert]. You will receive additional details in a grant agreement letter as well as instructions from Shareworks.</w:t>
      </w:r>
    </w:p>
    <w:p>
      <w:pPr>
        <w:spacing w:after="0" w:line="193" w:lineRule="exact"/>
        <w:rPr>
          <w:rFonts w:ascii="Times New Roman" w:cs="Times New Roman" w:eastAsia="Times New Roman" w:hAnsi="Times New Roman"/>
          <w:sz w:val="20"/>
          <w:szCs w:val="20"/>
          <w:color w:val="auto"/>
        </w:rPr>
      </w:pPr>
    </w:p>
    <w:p>
      <w:pPr>
        <w:jc w:val="both"/>
        <w:ind w:left="332" w:hanging="332"/>
        <w:spacing w:after="0" w:line="287" w:lineRule="auto"/>
        <w:tabs>
          <w:tab w:leader="none" w:pos="357" w:val="left"/>
        </w:tabs>
        <w:numPr>
          <w:ilvl w:val="0"/>
          <w:numId w:val="122"/>
        </w:numPr>
        <w:rPr>
          <w:rFonts w:ascii="Times New Roman" w:cs="Times New Roman" w:eastAsia="Times New Roman" w:hAnsi="Times New Roman"/>
          <w:sz w:val="20"/>
          <w:szCs w:val="20"/>
          <w:color w:val="auto"/>
        </w:rPr>
      </w:pPr>
      <w:r>
        <w:rPr>
          <w:rFonts w:ascii="Arial" w:cs="Arial" w:eastAsia="Arial" w:hAnsi="Arial"/>
          <w:sz w:val="20"/>
          <w:szCs w:val="20"/>
          <w:color w:val="auto"/>
        </w:rPr>
        <w:t>Celestica provides for paid-time away from work through a combined bank of Paid Time-off (PTO), which includes your vacation, personal choice days and sick/personal time. You will begin to earn PTO in your first pay check, based on your scheduled hours for each pay period. You will earn [Insert] weeks per year. In addition, the Company provides up to 10 paid statutory holidays each calendar year.</w:t>
      </w:r>
    </w:p>
    <w:p>
      <w:pPr>
        <w:spacing w:after="0" w:line="194" w:lineRule="exact"/>
        <w:rPr>
          <w:rFonts w:ascii="Times New Roman" w:cs="Times New Roman" w:eastAsia="Times New Roman" w:hAnsi="Times New Roman"/>
          <w:sz w:val="20"/>
          <w:szCs w:val="20"/>
          <w:color w:val="auto"/>
        </w:rPr>
      </w:pPr>
    </w:p>
    <w:p>
      <w:pPr>
        <w:jc w:val="both"/>
        <w:ind w:left="332" w:hanging="332"/>
        <w:spacing w:after="0" w:line="290" w:lineRule="auto"/>
        <w:tabs>
          <w:tab w:leader="none" w:pos="330" w:val="left"/>
        </w:tabs>
        <w:numPr>
          <w:ilvl w:val="0"/>
          <w:numId w:val="122"/>
        </w:numPr>
        <w:rPr>
          <w:rFonts w:ascii="Times New Roman" w:cs="Times New Roman" w:eastAsia="Times New Roman" w:hAnsi="Times New Roman"/>
          <w:sz w:val="20"/>
          <w:szCs w:val="20"/>
          <w:color w:val="auto"/>
        </w:rPr>
      </w:pPr>
      <w:r>
        <w:rPr>
          <w:rFonts w:ascii="Arial" w:cs="Arial" w:eastAsia="Arial" w:hAnsi="Arial"/>
          <w:sz w:val="20"/>
          <w:szCs w:val="20"/>
          <w:color w:val="auto"/>
        </w:rPr>
        <w:t>Benefits will be provided in the same manner as for other U.S employees. Exclusive to our executives, you will receive the following enhanced benefits: (i) life insurance of three times your base salary to a maximum of $1.5 million and (ii) long term disability of 60% of your base salary to a maximum of $25,000 per month.</w:t>
      </w:r>
    </w:p>
    <w:p>
      <w:pPr>
        <w:spacing w:after="0" w:line="191" w:lineRule="exact"/>
        <w:rPr>
          <w:rFonts w:ascii="Times New Roman" w:cs="Times New Roman" w:eastAsia="Times New Roman" w:hAnsi="Times New Roman"/>
          <w:sz w:val="20"/>
          <w:szCs w:val="20"/>
          <w:color w:val="auto"/>
        </w:rPr>
      </w:pPr>
    </w:p>
    <w:p>
      <w:pPr>
        <w:jc w:val="both"/>
        <w:ind w:left="332" w:hanging="332"/>
        <w:spacing w:after="0" w:line="282" w:lineRule="auto"/>
        <w:tabs>
          <w:tab w:leader="none" w:pos="330" w:val="left"/>
        </w:tabs>
        <w:numPr>
          <w:ilvl w:val="0"/>
          <w:numId w:val="122"/>
        </w:numPr>
        <w:rPr>
          <w:rFonts w:ascii="Times New Roman" w:cs="Times New Roman" w:eastAsia="Times New Roman" w:hAnsi="Times New Roman"/>
          <w:sz w:val="20"/>
          <w:szCs w:val="20"/>
          <w:color w:val="auto"/>
        </w:rPr>
      </w:pPr>
      <w:r>
        <w:rPr>
          <w:rFonts w:ascii="Arial" w:cs="Arial" w:eastAsia="Arial" w:hAnsi="Arial"/>
          <w:sz w:val="20"/>
          <w:szCs w:val="20"/>
          <w:color w:val="auto"/>
        </w:rPr>
        <w:t>As an executive, you will be entitled to participate in the Celestica 401(k) Plan and a Supplementary Executive Retirement Account (“SERP”). You will be entitled to a Celestica contribution to your retirement account of up to 8% of your total cash compensation (base salary plus actual CTI) depending on the level and timing of your contributions to the 401K Plan. Details will be made available to you following your Start Date.</w:t>
      </w:r>
    </w:p>
    <w:p>
      <w:pPr>
        <w:spacing w:after="0" w:line="200" w:lineRule="exact"/>
        <w:rPr>
          <w:rFonts w:ascii="Times New Roman" w:cs="Times New Roman" w:eastAsia="Times New Roman" w:hAnsi="Times New Roman"/>
          <w:sz w:val="20"/>
          <w:szCs w:val="20"/>
          <w:color w:val="auto"/>
        </w:rPr>
      </w:pPr>
    </w:p>
    <w:p>
      <w:pPr>
        <w:ind w:left="332" w:hanging="332"/>
        <w:spacing w:after="0" w:line="299" w:lineRule="auto"/>
        <w:tabs>
          <w:tab w:leader="none" w:pos="357" w:val="left"/>
        </w:tabs>
        <w:numPr>
          <w:ilvl w:val="0"/>
          <w:numId w:val="122"/>
        </w:numPr>
        <w:rPr>
          <w:rFonts w:ascii="Times New Roman" w:cs="Times New Roman" w:eastAsia="Times New Roman" w:hAnsi="Times New Roman"/>
          <w:sz w:val="20"/>
          <w:szCs w:val="20"/>
          <w:color w:val="auto"/>
        </w:rPr>
      </w:pPr>
      <w:r>
        <w:rPr>
          <w:rFonts w:ascii="Arial" w:cs="Arial" w:eastAsia="Arial" w:hAnsi="Arial"/>
          <w:sz w:val="20"/>
          <w:szCs w:val="20"/>
          <w:color w:val="auto"/>
        </w:rPr>
        <w:t>Also exclusive to our executives, you will be entitled to an annual executive medical examination through the Cleveland Clinic.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652145</wp:posOffset>
            </wp:positionV>
            <wp:extent cx="713232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72"/>
        <w:spacing w:after="0"/>
        <w:rPr>
          <w:sz w:val="20"/>
          <w:szCs w:val="20"/>
          <w:color w:val="auto"/>
        </w:rPr>
      </w:pPr>
      <w:r>
        <w:rPr>
          <w:rFonts w:ascii="Arial" w:cs="Arial" w:eastAsia="Arial" w:hAnsi="Arial"/>
          <w:sz w:val="13"/>
          <w:szCs w:val="13"/>
          <w:color w:val="auto"/>
        </w:rPr>
        <w:t xml:space="preserve">2 </w:t>
      </w:r>
      <w:r>
        <w:rPr>
          <w:rFonts w:ascii="Arial" w:cs="Arial" w:eastAsia="Arial" w:hAnsi="Arial"/>
          <w:sz w:val="13"/>
          <w:szCs w:val="13"/>
          <w:b w:val="1"/>
          <w:bCs w:val="1"/>
          <w:color w:val="auto"/>
        </w:rPr>
        <w:t>|</w:t>
      </w:r>
      <w:r>
        <w:rPr>
          <w:rFonts w:ascii="Arial" w:cs="Arial" w:eastAsia="Arial" w:hAnsi="Arial"/>
          <w:sz w:val="13"/>
          <w:szCs w:val="13"/>
          <w:color w:val="auto"/>
        </w:rPr>
        <w:t xml:space="preserve"> </w:t>
      </w:r>
      <w:r>
        <w:rPr>
          <w:rFonts w:ascii="Arial" w:cs="Arial" w:eastAsia="Arial" w:hAnsi="Arial"/>
          <w:sz w:val="13"/>
          <w:szCs w:val="13"/>
          <w:color w:val="808080"/>
        </w:rPr>
        <w:t>Page</w:t>
      </w:r>
    </w:p>
    <w:p>
      <w:pPr>
        <w:spacing w:after="0" w:line="366" w:lineRule="exact"/>
        <w:rPr>
          <w:sz w:val="20"/>
          <w:szCs w:val="20"/>
          <w:color w:val="auto"/>
        </w:rPr>
      </w:pPr>
    </w:p>
    <w:p>
      <w:pPr>
        <w:ind w:left="492"/>
        <w:spacing w:after="0"/>
        <w:rPr>
          <w:sz w:val="20"/>
          <w:szCs w:val="20"/>
          <w:color w:val="auto"/>
        </w:rPr>
      </w:pPr>
      <w:r>
        <w:rPr>
          <w:rFonts w:ascii="Arial" w:cs="Arial" w:eastAsia="Arial" w:hAnsi="Arial"/>
          <w:sz w:val="13"/>
          <w:szCs w:val="13"/>
          <w:color w:val="auto"/>
        </w:rPr>
        <w:t>______</w:t>
      </w:r>
    </w:p>
    <w:p>
      <w:pPr>
        <w:spacing w:after="0" w:line="25" w:lineRule="exact"/>
        <w:rPr>
          <w:sz w:val="20"/>
          <w:szCs w:val="20"/>
          <w:color w:val="auto"/>
        </w:rPr>
      </w:pPr>
    </w:p>
    <w:p>
      <w:pPr>
        <w:ind w:left="532"/>
        <w:spacing w:after="0"/>
        <w:rPr>
          <w:sz w:val="20"/>
          <w:szCs w:val="20"/>
          <w:color w:val="auto"/>
        </w:rPr>
      </w:pPr>
      <w:r>
        <w:rPr>
          <w:rFonts w:ascii="Arial" w:cs="Arial" w:eastAsia="Arial" w:hAnsi="Arial"/>
          <w:sz w:val="13"/>
          <w:szCs w:val="13"/>
          <w:color w:val="auto"/>
        </w:rPr>
        <w:t>Initial</w:t>
      </w:r>
    </w:p>
    <w:p>
      <w:pPr>
        <w:sectPr>
          <w:pgSz w:w="11900" w:h="16838" w:orient="portrait"/>
          <w:cols w:equalWidth="0" w:num="1">
            <w:col w:w="11232"/>
          </w:cols>
          <w:pgMar w:left="328" w:top="118" w:right="339" w:bottom="1440" w:gutter="0" w:footer="0" w:header="0"/>
        </w:sectPr>
      </w:pPr>
    </w:p>
    <w:bookmarkStart w:id="201" w:name="page202"/>
    <w:bookmarkEnd w:id="201"/>
    <w:p>
      <w:pPr>
        <w:jc w:val="right"/>
        <w:spacing w:after="0"/>
        <w:rPr>
          <w:sz w:val="20"/>
          <w:szCs w:val="20"/>
          <w:color w:val="auto"/>
        </w:rPr>
      </w:pPr>
      <w:r>
        <w:rPr>
          <w:rFonts w:ascii="Arial" w:cs="Arial" w:eastAsia="Arial" w:hAnsi="Arial"/>
          <w:sz w:val="20"/>
          <w:szCs w:val="20"/>
          <w:color w:val="auto"/>
        </w:rPr>
        <w:t>FORM OF U.S. OFFER LETTER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340" w:hanging="332"/>
        <w:spacing w:after="0" w:line="313" w:lineRule="auto"/>
        <w:tabs>
          <w:tab w:leader="none" w:pos="351" w:val="left"/>
        </w:tabs>
        <w:numPr>
          <w:ilvl w:val="0"/>
          <w:numId w:val="123"/>
        </w:numPr>
        <w:rPr>
          <w:rFonts w:ascii="Times New Roman" w:cs="Times New Roman" w:eastAsia="Times New Roman" w:hAnsi="Times New Roman"/>
          <w:sz w:val="20"/>
          <w:szCs w:val="20"/>
          <w:color w:val="auto"/>
        </w:rPr>
      </w:pPr>
      <w:r>
        <w:rPr>
          <w:rFonts w:ascii="Arial" w:cs="Arial" w:eastAsia="Arial" w:hAnsi="Arial"/>
          <w:sz w:val="20"/>
          <w:szCs w:val="20"/>
          <w:color w:val="auto"/>
        </w:rPr>
        <w:t>Celestica provides general guidelines related to the separation of our Vice President leaders. These guidelines apply to all Vice Presidents and you will be eligible under such guidelines in the event of your separation.</w:t>
      </w:r>
    </w:p>
    <w:p>
      <w:pPr>
        <w:spacing w:after="0" w:line="154" w:lineRule="exact"/>
        <w:rPr>
          <w:rFonts w:ascii="Times New Roman" w:cs="Times New Roman" w:eastAsia="Times New Roman" w:hAnsi="Times New Roman"/>
          <w:sz w:val="20"/>
          <w:szCs w:val="20"/>
          <w:color w:val="auto"/>
        </w:rPr>
      </w:pPr>
    </w:p>
    <w:p>
      <w:pPr>
        <w:jc w:val="both"/>
        <w:ind w:left="340" w:hanging="332"/>
        <w:spacing w:after="0" w:line="287" w:lineRule="auto"/>
        <w:tabs>
          <w:tab w:leader="none" w:pos="351" w:val="left"/>
        </w:tabs>
        <w:numPr>
          <w:ilvl w:val="0"/>
          <w:numId w:val="123"/>
        </w:numPr>
        <w:rPr>
          <w:rFonts w:ascii="Times New Roman" w:cs="Times New Roman" w:eastAsia="Times New Roman" w:hAnsi="Times New Roman"/>
          <w:sz w:val="20"/>
          <w:szCs w:val="20"/>
          <w:color w:val="auto"/>
        </w:rPr>
      </w:pPr>
      <w:r>
        <w:rPr>
          <w:rFonts w:ascii="Arial" w:cs="Arial" w:eastAsia="Arial" w:hAnsi="Arial"/>
          <w:sz w:val="20"/>
          <w:szCs w:val="20"/>
          <w:color w:val="auto"/>
        </w:rPr>
        <w:t>Under Celestica’s Short Term Business Travel (STBT) Program, should your travel to Canada or to other certain countries that exceed the threshold for tax filings in those jurisdictions, Celestica will provide you with tax filing services. Additional details related to the STBT Program will be made available to you after your Start Date. As your travel is being conducted on behalf of the company, Celestica will bear the expense of any immigration and tax obligations arising from such travel.</w:t>
      </w:r>
    </w:p>
    <w:p>
      <w:pPr>
        <w:spacing w:after="0" w:line="194" w:lineRule="exact"/>
        <w:rPr>
          <w:rFonts w:ascii="Times New Roman" w:cs="Times New Roman" w:eastAsia="Times New Roman" w:hAnsi="Times New Roman"/>
          <w:sz w:val="20"/>
          <w:szCs w:val="20"/>
          <w:color w:val="auto"/>
        </w:rPr>
      </w:pPr>
    </w:p>
    <w:p>
      <w:pPr>
        <w:jc w:val="both"/>
        <w:ind w:left="340" w:hanging="332"/>
        <w:spacing w:after="0" w:line="279" w:lineRule="auto"/>
        <w:tabs>
          <w:tab w:leader="none" w:pos="338" w:val="left"/>
        </w:tabs>
        <w:numPr>
          <w:ilvl w:val="0"/>
          <w:numId w:val="123"/>
        </w:numPr>
        <w:rPr>
          <w:rFonts w:ascii="Times New Roman" w:cs="Times New Roman" w:eastAsia="Times New Roman" w:hAnsi="Times New Roman"/>
          <w:sz w:val="20"/>
          <w:szCs w:val="20"/>
          <w:color w:val="auto"/>
        </w:rPr>
      </w:pPr>
      <w:r>
        <w:rPr>
          <w:rFonts w:ascii="Arial" w:cs="Arial" w:eastAsia="Arial" w:hAnsi="Arial"/>
          <w:sz w:val="20"/>
          <w:szCs w:val="20"/>
          <w:color w:val="auto"/>
        </w:rPr>
        <w:t>The Immigration Reform and Control Act of 1986 requires that employers verify identity and employment eligibility for each person that is hired. On your first day of work, you will be required to complete a U.S. Government Employee Eligibility Verification Form (I-9) and provide documentation that will verify your identity and your employment eligibility. Your employment with Celestica is contingent upon this compliance. You will not be able to start work if you do not produce the acceptable document(s) on this day. In addition, in order to establish your correct date of birth for benefits purposes, you will need to bring formal evidence of your birth date. This is only the case if the document(s) you provide for the IRCA does not show your date of birth.</w:t>
      </w:r>
    </w:p>
    <w:p>
      <w:pPr>
        <w:spacing w:after="0" w:line="193" w:lineRule="exact"/>
        <w:rPr>
          <w:rFonts w:ascii="Times New Roman" w:cs="Times New Roman" w:eastAsia="Times New Roman" w:hAnsi="Times New Roman"/>
          <w:sz w:val="20"/>
          <w:szCs w:val="20"/>
          <w:color w:val="auto"/>
        </w:rPr>
      </w:pPr>
    </w:p>
    <w:p>
      <w:pPr>
        <w:jc w:val="both"/>
        <w:ind w:left="340"/>
        <w:spacing w:after="0" w:line="290" w:lineRule="auto"/>
        <w:rPr>
          <w:rFonts w:ascii="Times New Roman" w:cs="Times New Roman" w:eastAsia="Times New Roman" w:hAnsi="Times New Roman"/>
          <w:sz w:val="20"/>
          <w:szCs w:val="20"/>
          <w:color w:val="auto"/>
        </w:rPr>
      </w:pPr>
      <w:r>
        <w:rPr>
          <w:rFonts w:ascii="Arial" w:cs="Arial" w:eastAsia="Arial" w:hAnsi="Arial"/>
          <w:sz w:val="20"/>
          <w:szCs w:val="20"/>
          <w:color w:val="auto"/>
        </w:rPr>
        <w:t>Celestica is committed to providing a safe and productive working environment. Therefore, this offer is contingent upon successful completion of a drug screen and the required background verification as outlined in your Conditions of Employment. Upon acceptance of this offer, you will receive an email notification to go for your drug screening.</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Confidentiality, Non-Competition and Non Solicitation</w:t>
      </w:r>
    </w:p>
    <w:p>
      <w:pPr>
        <w:spacing w:after="0" w:line="258" w:lineRule="exact"/>
        <w:rPr>
          <w:sz w:val="20"/>
          <w:szCs w:val="20"/>
          <w:color w:val="auto"/>
        </w:rPr>
      </w:pPr>
    </w:p>
    <w:p>
      <w:pPr>
        <w:spacing w:after="0"/>
        <w:rPr>
          <w:sz w:val="20"/>
          <w:szCs w:val="20"/>
          <w:color w:val="auto"/>
        </w:rPr>
      </w:pPr>
      <w:r>
        <w:rPr>
          <w:rFonts w:ascii="Arial" w:cs="Arial" w:eastAsia="Arial" w:hAnsi="Arial"/>
          <w:sz w:val="20"/>
          <w:szCs w:val="20"/>
          <w:color w:val="auto"/>
        </w:rPr>
        <w:t>In light of your position, Celestica also requires the following acknowledgements and agreements:</w:t>
      </w:r>
    </w:p>
    <w:p>
      <w:pPr>
        <w:spacing w:after="0" w:line="270" w:lineRule="exact"/>
        <w:rPr>
          <w:sz w:val="20"/>
          <w:szCs w:val="20"/>
          <w:color w:val="auto"/>
        </w:rPr>
      </w:pPr>
    </w:p>
    <w:p>
      <w:pPr>
        <w:jc w:val="both"/>
        <w:ind w:firstLine="8"/>
        <w:spacing w:after="0" w:line="278" w:lineRule="auto"/>
        <w:tabs>
          <w:tab w:leader="none" w:pos="546" w:val="left"/>
        </w:tabs>
        <w:numPr>
          <w:ilvl w:val="0"/>
          <w:numId w:val="124"/>
        </w:numPr>
        <w:rPr>
          <w:rFonts w:ascii="Arial" w:cs="Arial" w:eastAsia="Arial" w:hAnsi="Arial"/>
          <w:sz w:val="20"/>
          <w:szCs w:val="20"/>
          <w:color w:val="auto"/>
        </w:rPr>
      </w:pPr>
      <w:r>
        <w:rPr>
          <w:rFonts w:ascii="Arial" w:cs="Arial" w:eastAsia="Arial" w:hAnsi="Arial"/>
          <w:sz w:val="20"/>
          <w:szCs w:val="20"/>
          <w:color w:val="auto"/>
        </w:rPr>
        <w:t>(i) that in the course of performing your duties and responsibilities with Celestica, you will be entrusted with detailed confidential information and trade secrets (printed or otherwise) concerning past, present, future, and contemplated products, services, operations and marketing techniques and procedures of Celestica and its subsidiaries and affiliates, including, without limitation, business plans, inventions, pending and undisclosed patents and patent applications, proprietary business methods and proprietary manufacturing operations, proprietary product and proprietary manufacturing information, know how, and information relating to addresses, preferences, needs and requirements of past, present and prospective clients, customers, suppliers and employees of Celestica and its subsidiaries and affiliates (collectively, "Confidential Information"), the disclosure of any of which to competitors of Celestica or to the general public, or the use of same by you or any competitor of Celestica or any of its subsidiaries, would be highly detrimental to the interests of Celestica;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668655</wp:posOffset>
            </wp:positionV>
            <wp:extent cx="713232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80"/>
        <w:spacing w:after="0"/>
        <w:rPr>
          <w:sz w:val="20"/>
          <w:szCs w:val="20"/>
          <w:color w:val="auto"/>
        </w:rPr>
      </w:pPr>
      <w:r>
        <w:rPr>
          <w:rFonts w:ascii="Arial" w:cs="Arial" w:eastAsia="Arial" w:hAnsi="Arial"/>
          <w:sz w:val="13"/>
          <w:szCs w:val="13"/>
          <w:color w:val="auto"/>
        </w:rPr>
        <w:t xml:space="preserve">3 </w:t>
      </w:r>
      <w:r>
        <w:rPr>
          <w:rFonts w:ascii="Arial" w:cs="Arial" w:eastAsia="Arial" w:hAnsi="Arial"/>
          <w:sz w:val="13"/>
          <w:szCs w:val="13"/>
          <w:b w:val="1"/>
          <w:bCs w:val="1"/>
          <w:color w:val="auto"/>
        </w:rPr>
        <w:t>|</w:t>
      </w:r>
      <w:r>
        <w:rPr>
          <w:rFonts w:ascii="Arial" w:cs="Arial" w:eastAsia="Arial" w:hAnsi="Arial"/>
          <w:sz w:val="13"/>
          <w:szCs w:val="13"/>
          <w:color w:val="auto"/>
        </w:rPr>
        <w:t xml:space="preserve"> </w:t>
      </w:r>
      <w:r>
        <w:rPr>
          <w:rFonts w:ascii="Arial" w:cs="Arial" w:eastAsia="Arial" w:hAnsi="Arial"/>
          <w:sz w:val="13"/>
          <w:szCs w:val="13"/>
          <w:color w:val="808080"/>
        </w:rPr>
        <w:t>Page</w:t>
      </w:r>
    </w:p>
    <w:p>
      <w:pPr>
        <w:spacing w:after="0" w:line="366" w:lineRule="exact"/>
        <w:rPr>
          <w:sz w:val="20"/>
          <w:szCs w:val="20"/>
          <w:color w:val="auto"/>
        </w:rPr>
      </w:pPr>
    </w:p>
    <w:p>
      <w:pPr>
        <w:ind w:left="500"/>
        <w:spacing w:after="0"/>
        <w:rPr>
          <w:sz w:val="20"/>
          <w:szCs w:val="20"/>
          <w:color w:val="auto"/>
        </w:rPr>
      </w:pPr>
      <w:r>
        <w:rPr>
          <w:rFonts w:ascii="Arial" w:cs="Arial" w:eastAsia="Arial" w:hAnsi="Arial"/>
          <w:sz w:val="13"/>
          <w:szCs w:val="13"/>
          <w:color w:val="auto"/>
        </w:rPr>
        <w:t>______</w:t>
      </w:r>
    </w:p>
    <w:p>
      <w:pPr>
        <w:spacing w:after="0" w:line="25" w:lineRule="exact"/>
        <w:rPr>
          <w:sz w:val="20"/>
          <w:szCs w:val="20"/>
          <w:color w:val="auto"/>
        </w:rPr>
      </w:pPr>
    </w:p>
    <w:p>
      <w:pPr>
        <w:ind w:left="540"/>
        <w:spacing w:after="0"/>
        <w:rPr>
          <w:sz w:val="20"/>
          <w:szCs w:val="20"/>
          <w:color w:val="auto"/>
        </w:rPr>
      </w:pPr>
      <w:r>
        <w:rPr>
          <w:rFonts w:ascii="Arial" w:cs="Arial" w:eastAsia="Arial" w:hAnsi="Arial"/>
          <w:sz w:val="13"/>
          <w:szCs w:val="13"/>
          <w:color w:val="auto"/>
        </w:rPr>
        <w:t>Initial</w:t>
      </w:r>
    </w:p>
    <w:p>
      <w:pPr>
        <w:sectPr>
          <w:pgSz w:w="11900" w:h="16838" w:orient="portrait"/>
          <w:cols w:equalWidth="0" w:num="1">
            <w:col w:w="11240"/>
          </w:cols>
          <w:pgMar w:left="320" w:top="118" w:right="339" w:bottom="1440" w:gutter="0" w:footer="0" w:header="0"/>
        </w:sectPr>
      </w:pPr>
    </w:p>
    <w:bookmarkStart w:id="202" w:name="page203"/>
    <w:bookmarkEnd w:id="202"/>
    <w:p>
      <w:pPr>
        <w:jc w:val="right"/>
        <w:spacing w:after="0"/>
        <w:rPr>
          <w:sz w:val="20"/>
          <w:szCs w:val="20"/>
          <w:color w:val="auto"/>
        </w:rPr>
      </w:pPr>
      <w:r>
        <w:rPr>
          <w:rFonts w:ascii="Arial" w:cs="Arial" w:eastAsia="Arial" w:hAnsi="Arial"/>
          <w:sz w:val="20"/>
          <w:szCs w:val="20"/>
          <w:color w:val="auto"/>
        </w:rPr>
        <w:t>FORM OF U.S. OFFER LETTER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ind w:firstLine="8"/>
        <w:spacing w:after="0" w:line="287" w:lineRule="auto"/>
        <w:tabs>
          <w:tab w:leader="none" w:pos="451" w:val="left"/>
        </w:tabs>
        <w:numPr>
          <w:ilvl w:val="0"/>
          <w:numId w:val="125"/>
        </w:numPr>
        <w:rPr>
          <w:rFonts w:ascii="Arial" w:cs="Arial" w:eastAsia="Arial" w:hAnsi="Arial"/>
          <w:sz w:val="20"/>
          <w:szCs w:val="20"/>
          <w:color w:val="auto"/>
        </w:rPr>
      </w:pPr>
      <w:r>
        <w:rPr>
          <w:rFonts w:ascii="Arial" w:cs="Arial" w:eastAsia="Arial" w:hAnsi="Arial"/>
          <w:sz w:val="20"/>
          <w:szCs w:val="20"/>
          <w:color w:val="auto"/>
        </w:rPr>
        <w:t>that in the course of performing your duties and responsibilities for Celestica, you will be a representative of Celestica to its customers, clients and suppliers and as such will have significant responsibility for maintaining and enhancing the goodwill of Celestica with such customers, clients and suppliers and would not, except by virtue of your employment with Celestica, develop a close and direct relationship with the customers, clients and suppliers of Celestica;</w:t>
      </w:r>
    </w:p>
    <w:p>
      <w:pPr>
        <w:spacing w:after="0" w:line="182" w:lineRule="exact"/>
        <w:rPr>
          <w:rFonts w:ascii="Arial" w:cs="Arial" w:eastAsia="Arial" w:hAnsi="Arial"/>
          <w:sz w:val="20"/>
          <w:szCs w:val="20"/>
          <w:color w:val="auto"/>
        </w:rPr>
      </w:pPr>
    </w:p>
    <w:p>
      <w:pPr>
        <w:ind w:left="500" w:hanging="492"/>
        <w:spacing w:after="0"/>
        <w:tabs>
          <w:tab w:leader="none" w:pos="500" w:val="left"/>
        </w:tabs>
        <w:numPr>
          <w:ilvl w:val="0"/>
          <w:numId w:val="125"/>
        </w:numPr>
        <w:rPr>
          <w:rFonts w:ascii="Arial" w:cs="Arial" w:eastAsia="Arial" w:hAnsi="Arial"/>
          <w:sz w:val="20"/>
          <w:szCs w:val="20"/>
          <w:color w:val="auto"/>
        </w:rPr>
      </w:pPr>
      <w:r>
        <w:rPr>
          <w:rFonts w:ascii="Arial" w:cs="Arial" w:eastAsia="Arial" w:hAnsi="Arial"/>
          <w:sz w:val="20"/>
          <w:szCs w:val="20"/>
          <w:color w:val="auto"/>
        </w:rPr>
        <w:t>that your services are extraordinary and unique;</w:t>
      </w:r>
    </w:p>
    <w:p>
      <w:pPr>
        <w:spacing w:after="0" w:line="269" w:lineRule="exact"/>
        <w:rPr>
          <w:rFonts w:ascii="Arial" w:cs="Arial" w:eastAsia="Arial" w:hAnsi="Arial"/>
          <w:sz w:val="20"/>
          <w:szCs w:val="20"/>
          <w:color w:val="auto"/>
        </w:rPr>
      </w:pPr>
    </w:p>
    <w:p>
      <w:pPr>
        <w:ind w:left="500" w:hanging="492"/>
        <w:spacing w:after="0"/>
        <w:tabs>
          <w:tab w:leader="none" w:pos="500" w:val="left"/>
        </w:tabs>
        <w:numPr>
          <w:ilvl w:val="0"/>
          <w:numId w:val="125"/>
        </w:numPr>
        <w:rPr>
          <w:rFonts w:ascii="Arial" w:cs="Arial" w:eastAsia="Arial" w:hAnsi="Arial"/>
          <w:sz w:val="20"/>
          <w:szCs w:val="20"/>
          <w:color w:val="auto"/>
        </w:rPr>
      </w:pPr>
      <w:r>
        <w:rPr>
          <w:rFonts w:ascii="Arial" w:cs="Arial" w:eastAsia="Arial" w:hAnsi="Arial"/>
          <w:sz w:val="20"/>
          <w:szCs w:val="20"/>
          <w:color w:val="auto"/>
        </w:rPr>
        <w:t>that Celestica has a proprietary interest in its customers and clients;</w:t>
      </w:r>
    </w:p>
    <w:p>
      <w:pPr>
        <w:spacing w:after="0" w:line="269" w:lineRule="exact"/>
        <w:rPr>
          <w:rFonts w:ascii="Arial" w:cs="Arial" w:eastAsia="Arial" w:hAnsi="Arial"/>
          <w:sz w:val="20"/>
          <w:szCs w:val="20"/>
          <w:color w:val="auto"/>
        </w:rPr>
      </w:pPr>
    </w:p>
    <w:p>
      <w:pPr>
        <w:ind w:firstLine="8"/>
        <w:spacing w:after="0" w:line="300" w:lineRule="auto"/>
        <w:tabs>
          <w:tab w:leader="none" w:pos="511" w:val="left"/>
        </w:tabs>
        <w:numPr>
          <w:ilvl w:val="0"/>
          <w:numId w:val="125"/>
        </w:numPr>
        <w:rPr>
          <w:rFonts w:ascii="Arial" w:cs="Arial" w:eastAsia="Arial" w:hAnsi="Arial"/>
          <w:sz w:val="20"/>
          <w:szCs w:val="20"/>
          <w:color w:val="auto"/>
        </w:rPr>
      </w:pPr>
      <w:r>
        <w:rPr>
          <w:rFonts w:ascii="Arial" w:cs="Arial" w:eastAsia="Arial" w:hAnsi="Arial"/>
          <w:sz w:val="20"/>
          <w:szCs w:val="20"/>
          <w:color w:val="auto"/>
        </w:rPr>
        <w:t>that you, as an executive of Celestica, owe fiduciary duties to Celestica, including the duty to act in the best interests of Celestica and to devote your full time and attention to Celestica business; and</w:t>
      </w:r>
    </w:p>
    <w:p>
      <w:pPr>
        <w:spacing w:after="0" w:line="181" w:lineRule="exact"/>
        <w:rPr>
          <w:rFonts w:ascii="Arial" w:cs="Arial" w:eastAsia="Arial" w:hAnsi="Arial"/>
          <w:sz w:val="20"/>
          <w:szCs w:val="20"/>
          <w:color w:val="auto"/>
        </w:rPr>
      </w:pPr>
    </w:p>
    <w:p>
      <w:pPr>
        <w:jc w:val="both"/>
        <w:ind w:firstLine="8"/>
        <w:spacing w:after="0" w:line="287" w:lineRule="auto"/>
        <w:tabs>
          <w:tab w:leader="none" w:pos="517" w:val="left"/>
        </w:tabs>
        <w:numPr>
          <w:ilvl w:val="0"/>
          <w:numId w:val="125"/>
        </w:numPr>
        <w:rPr>
          <w:rFonts w:ascii="Arial" w:cs="Arial" w:eastAsia="Arial" w:hAnsi="Arial"/>
          <w:sz w:val="20"/>
          <w:szCs w:val="20"/>
          <w:color w:val="auto"/>
        </w:rPr>
      </w:pPr>
      <w:r>
        <w:rPr>
          <w:rFonts w:ascii="Arial" w:cs="Arial" w:eastAsia="Arial" w:hAnsi="Arial"/>
          <w:sz w:val="20"/>
          <w:szCs w:val="20"/>
          <w:color w:val="auto"/>
        </w:rPr>
        <w:t>that Celestica has the right to maintain the confidentiality of the Confidential Information, the right to preserve the goodwill of Celestica and the right to the benefit of any relationships that develop between you and the customers, clients and suppliers of Celestica by virtue of your employment with Celestica and that these constitute proprietary rights of Celestica, that Celestica is entitled to protect.</w:t>
      </w:r>
    </w:p>
    <w:p>
      <w:pPr>
        <w:spacing w:after="0" w:line="196" w:lineRule="exact"/>
        <w:rPr>
          <w:sz w:val="20"/>
          <w:szCs w:val="20"/>
          <w:color w:val="auto"/>
        </w:rPr>
      </w:pPr>
    </w:p>
    <w:p>
      <w:pPr>
        <w:jc w:val="both"/>
        <w:ind w:firstLine="8"/>
        <w:spacing w:after="0" w:line="283" w:lineRule="auto"/>
        <w:tabs>
          <w:tab w:leader="none" w:pos="558" w:val="left"/>
        </w:tabs>
        <w:numPr>
          <w:ilvl w:val="0"/>
          <w:numId w:val="126"/>
        </w:numPr>
        <w:rPr>
          <w:rFonts w:ascii="Arial" w:cs="Arial" w:eastAsia="Arial" w:hAnsi="Arial"/>
          <w:sz w:val="20"/>
          <w:szCs w:val="20"/>
          <w:color w:val="auto"/>
        </w:rPr>
      </w:pPr>
      <w:r>
        <w:rPr>
          <w:rFonts w:ascii="Arial" w:cs="Arial" w:eastAsia="Arial" w:hAnsi="Arial"/>
          <w:sz w:val="20"/>
          <w:szCs w:val="20"/>
          <w:color w:val="auto"/>
        </w:rPr>
        <w:t>In acknowledgement of the matters set out in (a) above from Celestica, you hereby agree that you will not, directly or indirectly, disclose to any person, or in any way make use of (other than for the benefit of Celestica) in any manner, any of the Confidential Information, provided that such Confidential Information shall be deemed not to include information that is or becomes generally available to the public other than as a result of disclosure by you.</w:t>
      </w:r>
    </w:p>
    <w:p>
      <w:pPr>
        <w:spacing w:after="0" w:line="197" w:lineRule="exact"/>
        <w:rPr>
          <w:rFonts w:ascii="Arial" w:cs="Arial" w:eastAsia="Arial" w:hAnsi="Arial"/>
          <w:sz w:val="20"/>
          <w:szCs w:val="20"/>
          <w:color w:val="auto"/>
        </w:rPr>
      </w:pPr>
    </w:p>
    <w:p>
      <w:pPr>
        <w:jc w:val="both"/>
        <w:ind w:firstLine="8"/>
        <w:spacing w:after="0" w:line="283" w:lineRule="auto"/>
        <w:tabs>
          <w:tab w:leader="none" w:pos="470" w:val="left"/>
        </w:tabs>
        <w:numPr>
          <w:ilvl w:val="0"/>
          <w:numId w:val="126"/>
        </w:numPr>
        <w:rPr>
          <w:rFonts w:ascii="Arial" w:cs="Arial" w:eastAsia="Arial" w:hAnsi="Arial"/>
          <w:sz w:val="20"/>
          <w:szCs w:val="20"/>
          <w:color w:val="auto"/>
        </w:rPr>
      </w:pPr>
      <w:r>
        <w:rPr>
          <w:rFonts w:ascii="Arial" w:cs="Arial" w:eastAsia="Arial" w:hAnsi="Arial"/>
          <w:sz w:val="20"/>
          <w:szCs w:val="20"/>
          <w:color w:val="auto"/>
        </w:rPr>
        <w:t>In acknowledgement of the matters set out in (a) above from Celestica, you hereby agree that you will not, during the term of your employment with Celestica and commencing on the date of termination of your employment with Celestica for a period equal to the lesser of twelve months, or the number of months equivalent to the number of months constituting your severance period if Celestica had terminated your employment without cause:</w:t>
      </w:r>
    </w:p>
    <w:p>
      <w:pPr>
        <w:spacing w:after="0" w:line="198" w:lineRule="exact"/>
        <w:rPr>
          <w:sz w:val="20"/>
          <w:szCs w:val="20"/>
          <w:color w:val="auto"/>
        </w:rPr>
      </w:pPr>
    </w:p>
    <w:p>
      <w:pPr>
        <w:jc w:val="both"/>
        <w:ind w:firstLine="8"/>
        <w:spacing w:after="0" w:line="280" w:lineRule="auto"/>
        <w:tabs>
          <w:tab w:leader="none" w:pos="501" w:val="left"/>
        </w:tabs>
        <w:numPr>
          <w:ilvl w:val="0"/>
          <w:numId w:val="127"/>
        </w:numPr>
        <w:rPr>
          <w:rFonts w:ascii="Arial" w:cs="Arial" w:eastAsia="Arial" w:hAnsi="Arial"/>
          <w:sz w:val="20"/>
          <w:szCs w:val="20"/>
          <w:color w:val="auto"/>
        </w:rPr>
      </w:pPr>
      <w:r>
        <w:rPr>
          <w:rFonts w:ascii="Arial" w:cs="Arial" w:eastAsia="Arial" w:hAnsi="Arial"/>
          <w:sz w:val="20"/>
          <w:szCs w:val="20"/>
          <w:color w:val="auto"/>
        </w:rPr>
        <w:t>Either individually or in partnership or jointly or in conjunction with any person or persons, firm, association, syndicate, company or corporation, as principal, agent, shareholder (unless passive investor) or in any other manner whatsoever, be involved with any company that Celestica deems to be a competitor at the time of your termination of employment, including but not limited to Flex Ltd., Benchmark Electronics, Plexus, Sanmina-SCI, Fabrinet and Jabil Circuits. During the same time period, you will not, within North America, carry on or be engaged in or concerned with or interested in, or advise, lend money to, guarantee the debts or obligations of, or permit your name or any part thereof to be used or employed by or associated with, Flex Ltd., Benchmark Electronics, Plexus, Sanmina-SCI, Fabrinet and Jabil Circuits or other company that Celestica deems to be a competitor at the time of your termination of employment.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656590</wp:posOffset>
            </wp:positionV>
            <wp:extent cx="713232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80"/>
        <w:spacing w:after="0"/>
        <w:rPr>
          <w:sz w:val="20"/>
          <w:szCs w:val="20"/>
          <w:color w:val="auto"/>
        </w:rPr>
      </w:pPr>
      <w:r>
        <w:rPr>
          <w:rFonts w:ascii="Arial" w:cs="Arial" w:eastAsia="Arial" w:hAnsi="Arial"/>
          <w:sz w:val="13"/>
          <w:szCs w:val="13"/>
          <w:color w:val="auto"/>
        </w:rPr>
        <w:t xml:space="preserve">4 </w:t>
      </w:r>
      <w:r>
        <w:rPr>
          <w:rFonts w:ascii="Arial" w:cs="Arial" w:eastAsia="Arial" w:hAnsi="Arial"/>
          <w:sz w:val="13"/>
          <w:szCs w:val="13"/>
          <w:b w:val="1"/>
          <w:bCs w:val="1"/>
          <w:color w:val="auto"/>
        </w:rPr>
        <w:t>|</w:t>
      </w:r>
      <w:r>
        <w:rPr>
          <w:rFonts w:ascii="Arial" w:cs="Arial" w:eastAsia="Arial" w:hAnsi="Arial"/>
          <w:sz w:val="13"/>
          <w:szCs w:val="13"/>
          <w:color w:val="auto"/>
        </w:rPr>
        <w:t xml:space="preserve"> </w:t>
      </w:r>
      <w:r>
        <w:rPr>
          <w:rFonts w:ascii="Arial" w:cs="Arial" w:eastAsia="Arial" w:hAnsi="Arial"/>
          <w:sz w:val="13"/>
          <w:szCs w:val="13"/>
          <w:color w:val="808080"/>
        </w:rPr>
        <w:t>Page</w:t>
      </w:r>
    </w:p>
    <w:p>
      <w:pPr>
        <w:spacing w:after="0" w:line="366" w:lineRule="exact"/>
        <w:rPr>
          <w:sz w:val="20"/>
          <w:szCs w:val="20"/>
          <w:color w:val="auto"/>
        </w:rPr>
      </w:pPr>
    </w:p>
    <w:p>
      <w:pPr>
        <w:ind w:left="500"/>
        <w:spacing w:after="0"/>
        <w:rPr>
          <w:sz w:val="20"/>
          <w:szCs w:val="20"/>
          <w:color w:val="auto"/>
        </w:rPr>
      </w:pPr>
      <w:r>
        <w:rPr>
          <w:rFonts w:ascii="Arial" w:cs="Arial" w:eastAsia="Arial" w:hAnsi="Arial"/>
          <w:sz w:val="13"/>
          <w:szCs w:val="13"/>
          <w:color w:val="auto"/>
        </w:rPr>
        <w:t>______</w:t>
      </w:r>
    </w:p>
    <w:p>
      <w:pPr>
        <w:spacing w:after="0" w:line="25" w:lineRule="exact"/>
        <w:rPr>
          <w:sz w:val="20"/>
          <w:szCs w:val="20"/>
          <w:color w:val="auto"/>
        </w:rPr>
      </w:pPr>
    </w:p>
    <w:p>
      <w:pPr>
        <w:ind w:left="540"/>
        <w:spacing w:after="0"/>
        <w:rPr>
          <w:sz w:val="20"/>
          <w:szCs w:val="20"/>
          <w:color w:val="auto"/>
        </w:rPr>
      </w:pPr>
      <w:r>
        <w:rPr>
          <w:rFonts w:ascii="Arial" w:cs="Arial" w:eastAsia="Arial" w:hAnsi="Arial"/>
          <w:sz w:val="13"/>
          <w:szCs w:val="13"/>
          <w:color w:val="auto"/>
        </w:rPr>
        <w:t>Initial</w:t>
      </w:r>
    </w:p>
    <w:p>
      <w:pPr>
        <w:sectPr>
          <w:pgSz w:w="11900" w:h="16838" w:orient="portrait"/>
          <w:cols w:equalWidth="0" w:num="1">
            <w:col w:w="11240"/>
          </w:cols>
          <w:pgMar w:left="320" w:top="118" w:right="339" w:bottom="1440" w:gutter="0" w:footer="0" w:header="0"/>
        </w:sectPr>
      </w:pPr>
    </w:p>
    <w:bookmarkStart w:id="203" w:name="page204"/>
    <w:bookmarkEnd w:id="203"/>
    <w:p>
      <w:pPr>
        <w:jc w:val="right"/>
        <w:spacing w:after="0"/>
        <w:rPr>
          <w:sz w:val="20"/>
          <w:szCs w:val="20"/>
          <w:color w:val="auto"/>
        </w:rPr>
      </w:pPr>
      <w:r>
        <w:rPr>
          <w:rFonts w:ascii="Arial" w:cs="Arial" w:eastAsia="Arial" w:hAnsi="Arial"/>
          <w:sz w:val="20"/>
          <w:szCs w:val="20"/>
          <w:color w:val="auto"/>
        </w:rPr>
        <w:t>FORM OF U.S. OFFER LETTER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ind w:firstLine="8"/>
        <w:spacing w:after="0" w:line="287" w:lineRule="auto"/>
        <w:tabs>
          <w:tab w:leader="none" w:pos="457" w:val="left"/>
        </w:tabs>
        <w:numPr>
          <w:ilvl w:val="0"/>
          <w:numId w:val="128"/>
        </w:numPr>
        <w:rPr>
          <w:rFonts w:ascii="Arial" w:cs="Arial" w:eastAsia="Arial" w:hAnsi="Arial"/>
          <w:sz w:val="20"/>
          <w:szCs w:val="20"/>
          <w:color w:val="auto"/>
        </w:rPr>
      </w:pPr>
      <w:r>
        <w:rPr>
          <w:rFonts w:ascii="Arial" w:cs="Arial" w:eastAsia="Arial" w:hAnsi="Arial"/>
          <w:sz w:val="20"/>
          <w:szCs w:val="20"/>
          <w:color w:val="auto"/>
        </w:rPr>
        <w:t>Be a party to or abet any solicitation of customers, clients, or suppliers of Celestica or any of its subsidiaries or associates, to transfer business from Celestica or any of its subsidiaries or associates to any other person, or seek in any way to persuade or entice any employee of Celestica or any of its subsidiaries or associates to leave that employment or to be a party to or abet any such action.</w:t>
      </w:r>
    </w:p>
    <w:p>
      <w:pPr>
        <w:spacing w:after="0" w:line="182" w:lineRule="exact"/>
        <w:rPr>
          <w:rFonts w:ascii="Arial" w:cs="Arial" w:eastAsia="Arial" w:hAnsi="Arial"/>
          <w:sz w:val="20"/>
          <w:szCs w:val="20"/>
          <w:color w:val="auto"/>
        </w:rPr>
      </w:pPr>
    </w:p>
    <w:p>
      <w:pPr>
        <w:ind w:right="620" w:firstLine="8"/>
        <w:spacing w:after="0" w:line="314" w:lineRule="auto"/>
        <w:tabs>
          <w:tab w:leader="none" w:pos="484" w:val="left"/>
        </w:tabs>
        <w:numPr>
          <w:ilvl w:val="0"/>
          <w:numId w:val="128"/>
        </w:numPr>
        <w:rPr>
          <w:rFonts w:ascii="Arial" w:cs="Arial" w:eastAsia="Arial" w:hAnsi="Arial"/>
          <w:sz w:val="20"/>
          <w:szCs w:val="20"/>
          <w:color w:val="auto"/>
        </w:rPr>
      </w:pPr>
      <w:r>
        <w:rPr>
          <w:rFonts w:ascii="Arial" w:cs="Arial" w:eastAsia="Arial" w:hAnsi="Arial"/>
          <w:sz w:val="20"/>
          <w:szCs w:val="20"/>
          <w:color w:val="auto"/>
        </w:rPr>
        <w:t>Seek in any way to persuade or entice any employee of Celestica, its affiliates or any of its subsidiaries to leave that employment or to be a party to or abet any such action.</w:t>
      </w:r>
    </w:p>
    <w:p>
      <w:pPr>
        <w:spacing w:after="0" w:line="154" w:lineRule="exact"/>
        <w:rPr>
          <w:sz w:val="20"/>
          <w:szCs w:val="20"/>
          <w:color w:val="auto"/>
        </w:rPr>
      </w:pPr>
    </w:p>
    <w:p>
      <w:pPr>
        <w:jc w:val="both"/>
        <w:ind w:firstLine="8"/>
        <w:spacing w:after="0" w:line="287" w:lineRule="auto"/>
        <w:tabs>
          <w:tab w:leader="none" w:pos="508" w:val="left"/>
        </w:tabs>
        <w:numPr>
          <w:ilvl w:val="0"/>
          <w:numId w:val="129"/>
        </w:numPr>
        <w:rPr>
          <w:rFonts w:ascii="Arial" w:cs="Arial" w:eastAsia="Arial" w:hAnsi="Arial"/>
          <w:sz w:val="20"/>
          <w:szCs w:val="20"/>
          <w:color w:val="auto"/>
        </w:rPr>
      </w:pPr>
      <w:r>
        <w:rPr>
          <w:rFonts w:ascii="Arial" w:cs="Arial" w:eastAsia="Arial" w:hAnsi="Arial"/>
          <w:sz w:val="20"/>
          <w:szCs w:val="20"/>
          <w:color w:val="auto"/>
        </w:rPr>
        <w:t>If any court determines that any provision contained herein including, without limitation, a restrictive covenant or any part thereof is unenforceable because of the duration or geographical scope of the provision or for any other reason, the duration or scope of the provision, as the case may be, shall be reduced so that the provision becomes enforceable and, in its reduced form, the provision shall then be enforceable and shall be enforced.</w:t>
      </w:r>
    </w:p>
    <w:p>
      <w:pPr>
        <w:spacing w:after="0" w:line="182" w:lineRule="exact"/>
        <w:rPr>
          <w:rFonts w:ascii="Arial" w:cs="Arial" w:eastAsia="Arial" w:hAnsi="Arial"/>
          <w:sz w:val="20"/>
          <w:szCs w:val="20"/>
          <w:color w:val="auto"/>
        </w:rPr>
      </w:pPr>
    </w:p>
    <w:p>
      <w:pPr>
        <w:jc w:val="both"/>
        <w:ind w:firstLine="8"/>
        <w:spacing w:after="0" w:line="277" w:lineRule="auto"/>
        <w:tabs>
          <w:tab w:leader="none" w:pos="504" w:val="left"/>
        </w:tabs>
        <w:numPr>
          <w:ilvl w:val="0"/>
          <w:numId w:val="129"/>
        </w:numPr>
        <w:rPr>
          <w:rFonts w:ascii="Arial" w:cs="Arial" w:eastAsia="Arial" w:hAnsi="Arial"/>
          <w:sz w:val="20"/>
          <w:szCs w:val="20"/>
          <w:color w:val="auto"/>
        </w:rPr>
      </w:pPr>
      <w:r>
        <w:rPr>
          <w:rFonts w:ascii="Arial" w:cs="Arial" w:eastAsia="Arial" w:hAnsi="Arial"/>
          <w:sz w:val="20"/>
          <w:szCs w:val="20"/>
          <w:color w:val="auto"/>
        </w:rPr>
        <w:t>You acknowledge that your employment by Celestica and all compensation and benefits and potential compensation and benefits to you from such employment are and will be conferred by Celestica upon you in part because and on condition of your willingness to devote your full time and attention to Celestica business and to commit your best efforts and loyalty to Celestica, including protecting Celestica’s right to have its Confidential Information protected from non-disclosure by you and abiding by the confidentiality, non-competition and other provisions herein. You understand your duties and obligations as set forth herein and agree that such duties and obligations would not unduly restrict or curtail your legitimate efforts to earn a livelihood following any termination of your employment with Celestica. You agree that the restrictions contained herein are reasonable and valid and all defences to the strict enforcement thereof by Celestica are waived by you. You further acknowledge that irreparable damage would result to Celestica if the provisions of sections (b) and (c) are not specifically enforced, and agree that Celestica shall be entitled to any appropriate legal, equitable, or other remedy, including injunctive relief, in respect of any failure or continuing failure to comply with the provisions of sections (b) and (c).</w:t>
      </w:r>
    </w:p>
    <w:p>
      <w:pPr>
        <w:spacing w:after="0" w:line="212" w:lineRule="exact"/>
        <w:rPr>
          <w:rFonts w:ascii="Arial" w:cs="Arial" w:eastAsia="Arial" w:hAnsi="Arial"/>
          <w:sz w:val="20"/>
          <w:szCs w:val="20"/>
          <w:color w:val="auto"/>
        </w:rPr>
      </w:pPr>
    </w:p>
    <w:p>
      <w:pPr>
        <w:jc w:val="both"/>
        <w:ind w:firstLine="8"/>
        <w:spacing w:after="0" w:line="290" w:lineRule="auto"/>
        <w:tabs>
          <w:tab w:leader="none" w:pos="432" w:val="left"/>
        </w:tabs>
        <w:numPr>
          <w:ilvl w:val="0"/>
          <w:numId w:val="129"/>
        </w:numPr>
        <w:rPr>
          <w:rFonts w:ascii="Arial" w:cs="Arial" w:eastAsia="Arial" w:hAnsi="Arial"/>
          <w:sz w:val="20"/>
          <w:szCs w:val="20"/>
          <w:color w:val="auto"/>
        </w:rPr>
      </w:pPr>
      <w:r>
        <w:rPr>
          <w:rFonts w:ascii="Arial" w:cs="Arial" w:eastAsia="Arial" w:hAnsi="Arial"/>
          <w:sz w:val="20"/>
          <w:szCs w:val="20"/>
          <w:color w:val="auto"/>
        </w:rPr>
        <w:t>The preceding covenants do not prohibit investment, up to a maximum of five percent (5%) of the outstanding shares, in a corporation whose shares are listed on a recognized stock exchange and which carries on a business similar to the business of Celestica.</w:t>
      </w:r>
    </w:p>
    <w:p>
      <w:pPr>
        <w:spacing w:after="0" w:line="192" w:lineRule="exact"/>
        <w:rPr>
          <w:sz w:val="20"/>
          <w:szCs w:val="20"/>
          <w:color w:val="auto"/>
        </w:rPr>
      </w:pPr>
    </w:p>
    <w:p>
      <w:pPr>
        <w:spacing w:after="0" w:line="314" w:lineRule="auto"/>
        <w:rPr>
          <w:sz w:val="20"/>
          <w:szCs w:val="20"/>
          <w:color w:val="auto"/>
        </w:rPr>
      </w:pPr>
      <w:r>
        <w:rPr>
          <w:rFonts w:ascii="Arial" w:cs="Arial" w:eastAsia="Arial" w:hAnsi="Arial"/>
          <w:sz w:val="20"/>
          <w:szCs w:val="20"/>
          <w:color w:val="auto"/>
        </w:rPr>
        <w:t>Any employee who discloses the Company’s confidential information and documents without authorization, will render himself/herself liable to instant dismissal and/or legal 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634365</wp:posOffset>
            </wp:positionV>
            <wp:extent cx="713232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80"/>
        <w:spacing w:after="0"/>
        <w:rPr>
          <w:sz w:val="20"/>
          <w:szCs w:val="20"/>
          <w:color w:val="auto"/>
        </w:rPr>
      </w:pPr>
      <w:r>
        <w:rPr>
          <w:rFonts w:ascii="Arial" w:cs="Arial" w:eastAsia="Arial" w:hAnsi="Arial"/>
          <w:sz w:val="13"/>
          <w:szCs w:val="13"/>
          <w:color w:val="auto"/>
        </w:rPr>
        <w:t xml:space="preserve">5 </w:t>
      </w:r>
      <w:r>
        <w:rPr>
          <w:rFonts w:ascii="Arial" w:cs="Arial" w:eastAsia="Arial" w:hAnsi="Arial"/>
          <w:sz w:val="13"/>
          <w:szCs w:val="13"/>
          <w:b w:val="1"/>
          <w:bCs w:val="1"/>
          <w:color w:val="auto"/>
        </w:rPr>
        <w:t>|</w:t>
      </w:r>
      <w:r>
        <w:rPr>
          <w:rFonts w:ascii="Arial" w:cs="Arial" w:eastAsia="Arial" w:hAnsi="Arial"/>
          <w:sz w:val="13"/>
          <w:szCs w:val="13"/>
          <w:color w:val="auto"/>
        </w:rPr>
        <w:t xml:space="preserve"> </w:t>
      </w:r>
      <w:r>
        <w:rPr>
          <w:rFonts w:ascii="Arial" w:cs="Arial" w:eastAsia="Arial" w:hAnsi="Arial"/>
          <w:sz w:val="13"/>
          <w:szCs w:val="13"/>
          <w:color w:val="808080"/>
        </w:rPr>
        <w:t>Page</w:t>
      </w:r>
    </w:p>
    <w:p>
      <w:pPr>
        <w:spacing w:after="0" w:line="366" w:lineRule="exact"/>
        <w:rPr>
          <w:sz w:val="20"/>
          <w:szCs w:val="20"/>
          <w:color w:val="auto"/>
        </w:rPr>
      </w:pPr>
    </w:p>
    <w:p>
      <w:pPr>
        <w:ind w:left="500"/>
        <w:spacing w:after="0"/>
        <w:rPr>
          <w:sz w:val="20"/>
          <w:szCs w:val="20"/>
          <w:color w:val="auto"/>
        </w:rPr>
      </w:pPr>
      <w:r>
        <w:rPr>
          <w:rFonts w:ascii="Arial" w:cs="Arial" w:eastAsia="Arial" w:hAnsi="Arial"/>
          <w:sz w:val="13"/>
          <w:szCs w:val="13"/>
          <w:color w:val="auto"/>
        </w:rPr>
        <w:t>______</w:t>
      </w:r>
    </w:p>
    <w:p>
      <w:pPr>
        <w:spacing w:after="0" w:line="25" w:lineRule="exact"/>
        <w:rPr>
          <w:sz w:val="20"/>
          <w:szCs w:val="20"/>
          <w:color w:val="auto"/>
        </w:rPr>
      </w:pPr>
    </w:p>
    <w:p>
      <w:pPr>
        <w:ind w:left="540"/>
        <w:spacing w:after="0"/>
        <w:rPr>
          <w:sz w:val="20"/>
          <w:szCs w:val="20"/>
          <w:color w:val="auto"/>
        </w:rPr>
      </w:pPr>
      <w:r>
        <w:rPr>
          <w:rFonts w:ascii="Arial" w:cs="Arial" w:eastAsia="Arial" w:hAnsi="Arial"/>
          <w:sz w:val="13"/>
          <w:szCs w:val="13"/>
          <w:color w:val="auto"/>
        </w:rPr>
        <w:t>Initial</w:t>
      </w:r>
    </w:p>
    <w:p>
      <w:pPr>
        <w:sectPr>
          <w:pgSz w:w="11900" w:h="16838" w:orient="portrait"/>
          <w:cols w:equalWidth="0" w:num="1">
            <w:col w:w="11240"/>
          </w:cols>
          <w:pgMar w:left="320" w:top="118" w:right="339" w:bottom="1440" w:gutter="0" w:footer="0" w:header="0"/>
        </w:sectPr>
      </w:pPr>
    </w:p>
    <w:bookmarkStart w:id="204" w:name="page205"/>
    <w:bookmarkEnd w:id="204"/>
    <w:p>
      <w:pPr>
        <w:jc w:val="right"/>
        <w:spacing w:after="0"/>
        <w:rPr>
          <w:sz w:val="20"/>
          <w:szCs w:val="20"/>
          <w:color w:val="auto"/>
        </w:rPr>
      </w:pPr>
      <w:r>
        <w:rPr>
          <w:rFonts w:ascii="Arial" w:cs="Arial" w:eastAsia="Arial" w:hAnsi="Arial"/>
          <w:sz w:val="20"/>
          <w:szCs w:val="20"/>
          <w:color w:val="auto"/>
        </w:rPr>
        <w:t>FORM OF U.S. OFFER LETTER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Acceptance of Offer</w:t>
      </w:r>
    </w:p>
    <w:p>
      <w:pPr>
        <w:spacing w:after="0" w:line="258" w:lineRule="exact"/>
        <w:rPr>
          <w:sz w:val="20"/>
          <w:szCs w:val="20"/>
          <w:color w:val="auto"/>
        </w:rPr>
      </w:pPr>
    </w:p>
    <w:p>
      <w:pPr>
        <w:spacing w:after="0" w:line="300" w:lineRule="auto"/>
        <w:rPr>
          <w:sz w:val="20"/>
          <w:szCs w:val="20"/>
          <w:color w:val="auto"/>
        </w:rPr>
      </w:pPr>
      <w:r>
        <w:rPr>
          <w:rFonts w:ascii="Arial" w:cs="Arial" w:eastAsia="Arial" w:hAnsi="Arial"/>
          <w:sz w:val="20"/>
          <w:szCs w:val="20"/>
          <w:color w:val="auto"/>
        </w:rPr>
        <w:t>By accepting this offer, you will be joining an expanding global business which needs the leadership and expertise that you possess. I believe that you will play an important role in the future growth and success of Celestica.</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color w:val="auto"/>
        </w:rPr>
        <w:t>Feel free to contact me directly or [Insert] if you have any questions related to this offer.</w:t>
      </w:r>
    </w:p>
    <w:p>
      <w:pPr>
        <w:spacing w:after="0" w:line="243" w:lineRule="exact"/>
        <w:rPr>
          <w:sz w:val="20"/>
          <w:szCs w:val="20"/>
          <w:color w:val="auto"/>
        </w:rPr>
      </w:pPr>
    </w:p>
    <w:p>
      <w:pPr>
        <w:spacing w:after="0" w:line="314" w:lineRule="auto"/>
        <w:rPr>
          <w:sz w:val="20"/>
          <w:szCs w:val="20"/>
          <w:color w:val="auto"/>
        </w:rPr>
      </w:pPr>
      <w:r>
        <w:rPr>
          <w:rFonts w:ascii="Arial" w:cs="Arial" w:eastAsia="Arial" w:hAnsi="Arial"/>
          <w:sz w:val="20"/>
          <w:szCs w:val="20"/>
          <w:color w:val="auto"/>
        </w:rPr>
        <w:t>I am extremely pleased to extend this offer to you for an important leadership role at Celestica and hope your decision is a positive one. This offer is valid until the end of business on [date].</w:t>
      </w:r>
    </w:p>
    <w:p>
      <w:pPr>
        <w:spacing w:after="0" w:line="141" w:lineRule="exact"/>
        <w:rPr>
          <w:sz w:val="20"/>
          <w:szCs w:val="20"/>
          <w:color w:val="auto"/>
        </w:rPr>
      </w:pPr>
    </w:p>
    <w:p>
      <w:pPr>
        <w:spacing w:after="0"/>
        <w:rPr>
          <w:sz w:val="20"/>
          <w:szCs w:val="20"/>
          <w:color w:val="auto"/>
        </w:rPr>
      </w:pPr>
      <w:r>
        <w:rPr>
          <w:rFonts w:ascii="Arial" w:cs="Arial" w:eastAsia="Arial" w:hAnsi="Arial"/>
          <w:sz w:val="20"/>
          <w:szCs w:val="20"/>
          <w:color w:val="auto"/>
        </w:rPr>
        <w:t>Sincerely,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color w:val="auto"/>
        </w:rPr>
        <w:t>[Hiring Manager]</w:t>
      </w:r>
    </w:p>
    <w:p>
      <w:pPr>
        <w:spacing w:after="0" w:line="200" w:lineRule="exact"/>
        <w:rPr>
          <w:sz w:val="20"/>
          <w:szCs w:val="20"/>
          <w:color w:val="auto"/>
        </w:rPr>
      </w:pPr>
    </w:p>
    <w:p>
      <w:pPr>
        <w:spacing w:after="0" w:line="313" w:lineRule="exact"/>
        <w:rPr>
          <w:sz w:val="20"/>
          <w:szCs w:val="20"/>
          <w:color w:val="auto"/>
        </w:rPr>
      </w:pPr>
    </w:p>
    <w:p>
      <w:pPr>
        <w:spacing w:after="0"/>
        <w:tabs>
          <w:tab w:leader="none" w:pos="940" w:val="left"/>
        </w:tabs>
        <w:rPr>
          <w:sz w:val="20"/>
          <w:szCs w:val="20"/>
          <w:color w:val="auto"/>
        </w:rPr>
      </w:pPr>
      <w:r>
        <w:rPr>
          <w:rFonts w:ascii="Arial" w:cs="Arial" w:eastAsia="Arial" w:hAnsi="Arial"/>
          <w:sz w:val="20"/>
          <w:szCs w:val="20"/>
          <w:color w:val="auto"/>
        </w:rPr>
        <w:t>Copy:</w:t>
      </w:r>
      <w:r>
        <w:rPr>
          <w:sz w:val="20"/>
          <w:szCs w:val="20"/>
          <w:color w:val="auto"/>
        </w:rPr>
        <w:tab/>
      </w:r>
      <w:r>
        <w:rPr>
          <w:rFonts w:ascii="Arial" w:cs="Arial" w:eastAsia="Arial" w:hAnsi="Arial"/>
          <w:sz w:val="20"/>
          <w:szCs w:val="20"/>
          <w:color w:val="auto"/>
        </w:rPr>
        <w:t>[Insert]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210820</wp:posOffset>
            </wp:positionV>
            <wp:extent cx="713232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227965</wp:posOffset>
            </wp:positionV>
            <wp:extent cx="713232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20"/>
          <w:szCs w:val="20"/>
          <w:color w:val="auto"/>
        </w:rPr>
        <w:t>I, [Name], accept this offer of employment on the terms and conditions set out in this offer letter.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tabs>
          <w:tab w:leader="none" w:pos="3680" w:val="left"/>
        </w:tabs>
        <w:rPr>
          <w:sz w:val="20"/>
          <w:szCs w:val="20"/>
          <w:color w:val="auto"/>
        </w:rPr>
      </w:pPr>
      <w:r>
        <w:rPr>
          <w:rFonts w:ascii="Arial" w:cs="Arial" w:eastAsia="Arial" w:hAnsi="Arial"/>
          <w:sz w:val="20"/>
          <w:szCs w:val="20"/>
          <w:color w:val="auto"/>
        </w:rPr>
        <w:t>_______________________________</w:t>
        <w:tab/>
        <w:t>_________________</w:t>
      </w:r>
    </w:p>
    <w:p>
      <w:pPr>
        <w:spacing w:after="0" w:line="31" w:lineRule="exact"/>
        <w:rPr>
          <w:sz w:val="20"/>
          <w:szCs w:val="20"/>
          <w:color w:val="auto"/>
        </w:rPr>
      </w:pPr>
    </w:p>
    <w:p>
      <w:pPr>
        <w:spacing w:after="0"/>
        <w:tabs>
          <w:tab w:leader="none" w:pos="1560" w:val="left"/>
          <w:tab w:leader="none" w:pos="230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20"/>
          <w:szCs w:val="20"/>
          <w:color w:val="auto"/>
        </w:rPr>
        <w:t>(date)</w:t>
      </w:r>
      <w:r>
        <w:rPr>
          <w:sz w:val="20"/>
          <w:szCs w:val="20"/>
          <w:color w:val="auto"/>
        </w:rPr>
        <w:tab/>
      </w:r>
      <w:r>
        <w:rPr>
          <w:rFonts w:ascii="Arial" w:cs="Arial" w:eastAsia="Arial" w:hAnsi="Arial"/>
          <w:sz w:val="19"/>
          <w:szCs w:val="19"/>
          <w:color w:val="auto"/>
        </w:rPr>
        <w:t>Confirmed Start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405130</wp:posOffset>
            </wp:positionV>
            <wp:extent cx="713232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80"/>
        <w:spacing w:after="0"/>
        <w:rPr>
          <w:sz w:val="20"/>
          <w:szCs w:val="20"/>
          <w:color w:val="auto"/>
        </w:rPr>
      </w:pPr>
      <w:r>
        <w:rPr>
          <w:rFonts w:ascii="Arial" w:cs="Arial" w:eastAsia="Arial" w:hAnsi="Arial"/>
          <w:sz w:val="13"/>
          <w:szCs w:val="13"/>
          <w:color w:val="auto"/>
        </w:rPr>
        <w:t xml:space="preserve">6 </w:t>
      </w:r>
      <w:r>
        <w:rPr>
          <w:rFonts w:ascii="Arial" w:cs="Arial" w:eastAsia="Arial" w:hAnsi="Arial"/>
          <w:sz w:val="13"/>
          <w:szCs w:val="13"/>
          <w:b w:val="1"/>
          <w:bCs w:val="1"/>
          <w:color w:val="auto"/>
        </w:rPr>
        <w:t>|</w:t>
      </w:r>
      <w:r>
        <w:rPr>
          <w:rFonts w:ascii="Arial" w:cs="Arial" w:eastAsia="Arial" w:hAnsi="Arial"/>
          <w:sz w:val="13"/>
          <w:szCs w:val="13"/>
          <w:color w:val="auto"/>
        </w:rPr>
        <w:t xml:space="preserve"> </w:t>
      </w:r>
      <w:r>
        <w:rPr>
          <w:rFonts w:ascii="Arial" w:cs="Arial" w:eastAsia="Arial" w:hAnsi="Arial"/>
          <w:sz w:val="13"/>
          <w:szCs w:val="13"/>
          <w:color w:val="808080"/>
        </w:rPr>
        <w:t>Page</w:t>
      </w:r>
    </w:p>
    <w:p>
      <w:pPr>
        <w:spacing w:after="0" w:line="366" w:lineRule="exact"/>
        <w:rPr>
          <w:sz w:val="20"/>
          <w:szCs w:val="20"/>
          <w:color w:val="auto"/>
        </w:rPr>
      </w:pPr>
    </w:p>
    <w:p>
      <w:pPr>
        <w:ind w:left="500"/>
        <w:spacing w:after="0"/>
        <w:rPr>
          <w:sz w:val="20"/>
          <w:szCs w:val="20"/>
          <w:color w:val="auto"/>
        </w:rPr>
      </w:pPr>
      <w:r>
        <w:rPr>
          <w:rFonts w:ascii="Arial" w:cs="Arial" w:eastAsia="Arial" w:hAnsi="Arial"/>
          <w:sz w:val="13"/>
          <w:szCs w:val="13"/>
          <w:color w:val="auto"/>
        </w:rPr>
        <w:t>______</w:t>
      </w:r>
    </w:p>
    <w:p>
      <w:pPr>
        <w:spacing w:after="0" w:line="25" w:lineRule="exact"/>
        <w:rPr>
          <w:sz w:val="20"/>
          <w:szCs w:val="20"/>
          <w:color w:val="auto"/>
        </w:rPr>
      </w:pPr>
    </w:p>
    <w:p>
      <w:pPr>
        <w:ind w:left="540"/>
        <w:spacing w:after="0"/>
        <w:rPr>
          <w:sz w:val="20"/>
          <w:szCs w:val="20"/>
          <w:color w:val="auto"/>
        </w:rPr>
      </w:pPr>
      <w:r>
        <w:rPr>
          <w:rFonts w:ascii="Arial" w:cs="Arial" w:eastAsia="Arial" w:hAnsi="Arial"/>
          <w:sz w:val="13"/>
          <w:szCs w:val="13"/>
          <w:color w:val="auto"/>
        </w:rPr>
        <w:t>Initial</w:t>
      </w:r>
    </w:p>
    <w:p>
      <w:pPr>
        <w:sectPr>
          <w:pgSz w:w="11900" w:h="16838" w:orient="portrait"/>
          <w:cols w:equalWidth="0" w:num="1">
            <w:col w:w="11240"/>
          </w:cols>
          <w:pgMar w:left="320" w:top="118" w:right="339" w:bottom="1440" w:gutter="0" w:footer="0" w:header="0"/>
        </w:sectPr>
      </w:pPr>
    </w:p>
    <w:bookmarkStart w:id="205" w:name="page206"/>
    <w:bookmarkEnd w:id="205"/>
    <w:p>
      <w:pPr>
        <w:spacing w:after="0" w:line="14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00" w:lineRule="exact"/>
        <w:rPr>
          <w:sz w:val="20"/>
          <w:szCs w:val="20"/>
          <w:color w:val="auto"/>
        </w:rPr>
      </w:pPr>
    </w:p>
    <w:p>
      <w:pPr>
        <w:spacing w:after="0" w:line="240"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6"/>
          <w:szCs w:val="26"/>
          <w:b w:val="1"/>
          <w:bCs w:val="1"/>
          <w:color w:val="auto"/>
        </w:rPr>
        <w:t>CELESTICA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2473960</wp:posOffset>
            </wp:positionV>
            <wp:extent cx="13716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6">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22"/>
          <w:szCs w:val="22"/>
          <w:b w:val="1"/>
          <w:bCs w:val="1"/>
          <w:color w:val="auto"/>
        </w:rPr>
        <w:t>LONG TERM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287655</wp:posOffset>
            </wp:positionV>
            <wp:extent cx="13716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7">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2"/>
          <w:szCs w:val="22"/>
          <w:b w:val="1"/>
          <w:bCs w:val="1"/>
          <w:color w:val="auto"/>
        </w:rPr>
        <w:t>June 28, 1998</w:t>
      </w:r>
    </w:p>
    <w:p>
      <w:pPr>
        <w:spacing w:after="0" w:line="200" w:lineRule="exact"/>
        <w:rPr>
          <w:sz w:val="20"/>
          <w:szCs w:val="20"/>
          <w:color w:val="auto"/>
        </w:rPr>
      </w:pPr>
    </w:p>
    <w:p>
      <w:pPr>
        <w:spacing w:after="0" w:line="280" w:lineRule="exact"/>
        <w:rPr>
          <w:sz w:val="20"/>
          <w:szCs w:val="20"/>
          <w:color w:val="auto"/>
        </w:rPr>
      </w:pPr>
    </w:p>
    <w:p>
      <w:pPr>
        <w:jc w:val="center"/>
        <w:ind w:left="740" w:right="1900"/>
        <w:spacing w:after="0" w:line="257" w:lineRule="auto"/>
        <w:rPr>
          <w:sz w:val="20"/>
          <w:szCs w:val="20"/>
          <w:color w:val="auto"/>
        </w:rPr>
      </w:pPr>
      <w:r>
        <w:rPr>
          <w:rFonts w:ascii="Times New Roman" w:cs="Times New Roman" w:eastAsia="Times New Roman" w:hAnsi="Times New Roman"/>
          <w:sz w:val="22"/>
          <w:szCs w:val="22"/>
          <w:color w:val="auto"/>
        </w:rPr>
        <w:t>As amended and restated as of December 9, 2004, April 21, 2005, July 26, 2006, December 13, 2006, March 12, 2007, April 19, 2011, January 29, 2014, July 22, 2015, October 19, 2015, October 19, 2016 and July 25, 2024</w:t>
      </w:r>
    </w:p>
    <w:p>
      <w:pPr>
        <w:sectPr>
          <w:pgSz w:w="11900" w:h="16838" w:orient="portrait"/>
          <w:cols w:equalWidth="0" w:num="1">
            <w:col w:w="10120"/>
          </w:cols>
          <w:pgMar w:left="1440" w:top="1440" w:right="339" w:bottom="1440" w:gutter="0" w:footer="0" w:header="0"/>
        </w:sectPr>
      </w:pPr>
    </w:p>
    <w:bookmarkStart w:id="206" w:name="page207"/>
    <w:bookmarkEnd w:id="206"/>
    <w:p>
      <w:pPr>
        <w:jc w:val="center"/>
        <w:spacing w:after="0"/>
        <w:rPr>
          <w:sz w:val="20"/>
          <w:szCs w:val="20"/>
          <w:color w:val="auto"/>
        </w:rPr>
      </w:pPr>
      <w:r>
        <w:rPr>
          <w:rFonts w:ascii="Times New Roman" w:cs="Times New Roman" w:eastAsia="Times New Roman" w:hAnsi="Times New Roman"/>
          <w:sz w:val="22"/>
          <w:szCs w:val="22"/>
          <w:color w:val="auto"/>
        </w:rPr>
        <w:t>- 1 -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CELESTICA INC.</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LONG TERM INCENTIVE PLAN</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PART I</w:t>
      </w:r>
    </w:p>
    <w:p>
      <w:pPr>
        <w:spacing w:after="0" w:line="197" w:lineRule="exact"/>
        <w:rPr>
          <w:sz w:val="20"/>
          <w:szCs w:val="20"/>
          <w:color w:val="auto"/>
        </w:rPr>
      </w:pPr>
    </w:p>
    <w:p>
      <w:pPr>
        <w:ind w:left="1300" w:hanging="1292"/>
        <w:spacing w:after="0"/>
        <w:tabs>
          <w:tab w:leader="none" w:pos="1300"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PURPOSE</w:t>
      </w:r>
    </w:p>
    <w:p>
      <w:pPr>
        <w:spacing w:after="0" w:line="179"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1.1 This Long Term Incentive Plan has been established by the Company to provide incentives to certain of its employees and consultants and its directors, to foster a responsible balance between short term and long term results, and to build and maintain a strong spirit of performance and entrepreneurship.</w:t>
      </w:r>
    </w:p>
    <w:p>
      <w:pPr>
        <w:spacing w:after="0" w:line="152" w:lineRule="exact"/>
        <w:rPr>
          <w:sz w:val="20"/>
          <w:szCs w:val="20"/>
          <w:color w:val="auto"/>
        </w:rPr>
      </w:pPr>
    </w:p>
    <w:p>
      <w:pPr>
        <w:ind w:left="1300" w:hanging="1292"/>
        <w:spacing w:after="0"/>
        <w:tabs>
          <w:tab w:leader="none" w:pos="1300"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PLAN DEFINITIONS AND INTERPRETATION</w:t>
      </w:r>
    </w:p>
    <w:p>
      <w:pPr>
        <w:spacing w:after="0" w:line="17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2.1</w:t>
      </w:r>
      <w:r>
        <w:rPr>
          <w:sz w:val="20"/>
          <w:szCs w:val="20"/>
          <w:color w:val="auto"/>
        </w:rPr>
        <w:tab/>
      </w:r>
      <w:r>
        <w:rPr>
          <w:rFonts w:ascii="Times New Roman" w:cs="Times New Roman" w:eastAsia="Times New Roman" w:hAnsi="Times New Roman"/>
          <w:sz w:val="21"/>
          <w:szCs w:val="21"/>
          <w:color w:val="auto"/>
        </w:rPr>
        <w:t>In this Long Term Incentive Plan, the following terms have the following meanings:</w:t>
      </w:r>
    </w:p>
    <w:p>
      <w:pPr>
        <w:spacing w:after="0" w:line="179" w:lineRule="exact"/>
        <w:rPr>
          <w:sz w:val="20"/>
          <w:szCs w:val="20"/>
          <w:color w:val="auto"/>
        </w:rPr>
      </w:pPr>
    </w:p>
    <w:p>
      <w:pPr>
        <w:jc w:val="both"/>
        <w:ind w:left="1300" w:hanging="644"/>
        <w:spacing w:after="0" w:line="220" w:lineRule="auto"/>
        <w:tabs>
          <w:tab w:leader="none" w:pos="1297"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“Applicable Law” means any applicable provision of law, domestic or foreign, including, without limitation, the </w:t>
      </w:r>
      <w:r>
        <w:rPr>
          <w:rFonts w:ascii="Times New Roman" w:cs="Times New Roman" w:eastAsia="Times New Roman" w:hAnsi="Times New Roman"/>
          <w:sz w:val="22"/>
          <w:szCs w:val="22"/>
          <w:i w:val="1"/>
          <w:iCs w:val="1"/>
          <w:color w:val="auto"/>
        </w:rPr>
        <w:t xml:space="preserve">Securities Act </w:t>
      </w:r>
      <w:r>
        <w:rPr>
          <w:rFonts w:ascii="Times New Roman" w:cs="Times New Roman" w:eastAsia="Times New Roman" w:hAnsi="Times New Roman"/>
          <w:sz w:val="22"/>
          <w:szCs w:val="22"/>
          <w:color w:val="auto"/>
        </w:rPr>
        <w:t>(Ontario), the U.S.</w:t>
      </w:r>
      <w:r>
        <w:rPr>
          <w:rFonts w:ascii="Times New Roman" w:cs="Times New Roman" w:eastAsia="Times New Roman" w:hAnsi="Times New Roman"/>
          <w:sz w:val="22"/>
          <w:szCs w:val="22"/>
          <w:i w:val="1"/>
          <w:iCs w:val="1"/>
          <w:color w:val="auto"/>
        </w:rPr>
        <w:t xml:space="preserve"> Securities Act of 1933</w:t>
      </w:r>
      <w:r>
        <w:rPr>
          <w:rFonts w:ascii="Times New Roman" w:cs="Times New Roman" w:eastAsia="Times New Roman" w:hAnsi="Times New Roman"/>
          <w:sz w:val="22"/>
          <w:szCs w:val="22"/>
          <w:color w:val="auto"/>
        </w:rPr>
        <w:t>, as amended, and the U.S.</w:t>
      </w:r>
      <w:r>
        <w:rPr>
          <w:rFonts w:ascii="Times New Roman" w:cs="Times New Roman" w:eastAsia="Times New Roman" w:hAnsi="Times New Roman"/>
          <w:sz w:val="22"/>
          <w:szCs w:val="22"/>
          <w:i w:val="1"/>
          <w:iCs w:val="1"/>
          <w:color w:val="auto"/>
        </w:rPr>
        <w:t xml:space="preserve"> Securities Exchange Act 1934</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as amended, together with all regulations, rules, policy statements, rulings, notices, orders or other instruments promulgated thereunder and Stock Exchange Rules;</w:t>
      </w:r>
    </w:p>
    <w:p>
      <w:pPr>
        <w:spacing w:after="0" w:line="152" w:lineRule="exact"/>
        <w:rPr>
          <w:rFonts w:ascii="Times New Roman" w:cs="Times New Roman" w:eastAsia="Times New Roman" w:hAnsi="Times New Roman"/>
          <w:sz w:val="22"/>
          <w:szCs w:val="22"/>
          <w:color w:val="auto"/>
        </w:rPr>
      </w:pPr>
    </w:p>
    <w:p>
      <w:pPr>
        <w:jc w:val="both"/>
        <w:ind w:left="1300" w:hanging="644"/>
        <w:spacing w:after="0" w:line="225" w:lineRule="auto"/>
        <w:tabs>
          <w:tab w:leader="none" w:pos="1295"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“Beneficiary” means any person designated by the Participant by written instrument filed with the Company to receive any amount, securities or property payable under the Plan in the event of a Participant’s death or, failing any such effective designation, the Participant’s estate;</w:t>
      </w:r>
    </w:p>
    <w:p>
      <w:pPr>
        <w:spacing w:after="0" w:line="152" w:lineRule="exact"/>
        <w:rPr>
          <w:rFonts w:ascii="Times New Roman" w:cs="Times New Roman" w:eastAsia="Times New Roman" w:hAnsi="Times New Roman"/>
          <w:sz w:val="22"/>
          <w:szCs w:val="22"/>
          <w:color w:val="auto"/>
        </w:rPr>
      </w:pPr>
    </w:p>
    <w:p>
      <w:pPr>
        <w:ind w:left="1300" w:hanging="644"/>
        <w:spacing w:after="0" w:line="236" w:lineRule="auto"/>
        <w:tabs>
          <w:tab w:leader="none" w:pos="1297"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“Blackout Period” means a period of time during which the Participant cannot exercise an Option, or sell Shares, due to applicable law or policies of the Company in respect of insider trading;</w:t>
      </w:r>
    </w:p>
    <w:p>
      <w:pPr>
        <w:spacing w:after="0" w:line="150"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“Board” means the Board of Directors of the Company;</w:t>
      </w:r>
    </w:p>
    <w:p>
      <w:pPr>
        <w:spacing w:after="0" w:line="17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 of Control” means the occurrence of any of the following after the date hereof:</w:t>
      </w:r>
    </w:p>
    <w:p>
      <w:pPr>
        <w:spacing w:after="0" w:line="179" w:lineRule="exact"/>
        <w:rPr>
          <w:rFonts w:ascii="Times New Roman" w:cs="Times New Roman" w:eastAsia="Times New Roman" w:hAnsi="Times New Roman"/>
          <w:sz w:val="22"/>
          <w:szCs w:val="22"/>
          <w:color w:val="auto"/>
        </w:rPr>
      </w:pPr>
    </w:p>
    <w:p>
      <w:pPr>
        <w:jc w:val="both"/>
        <w:ind w:left="2080" w:hanging="387"/>
        <w:spacing w:after="0" w:line="217" w:lineRule="auto"/>
        <w:tabs>
          <w:tab w:leader="none" w:pos="2070" w:val="left"/>
        </w:tabs>
        <w:numPr>
          <w:ilvl w:val="1"/>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acquisition by any person (or more than one person acting as a group) of beneficial ownership of securities of the Company which, directly or following conversion or exercise thereof, would entitle the holder thereof to cast more than 50% of the votes attaching to all securities of the Company which may be cast to elect directors of the Company, other than the additional acquisition of securities by a person beneficially owning such number of securities on the date hereof;</w:t>
      </w:r>
    </w:p>
    <w:p>
      <w:pPr>
        <w:spacing w:after="0" w:line="152" w:lineRule="exact"/>
        <w:rPr>
          <w:rFonts w:ascii="Times New Roman" w:cs="Times New Roman" w:eastAsia="Times New Roman" w:hAnsi="Times New Roman"/>
          <w:sz w:val="22"/>
          <w:szCs w:val="22"/>
          <w:color w:val="auto"/>
        </w:rPr>
      </w:pPr>
    </w:p>
    <w:p>
      <w:pPr>
        <w:jc w:val="both"/>
        <w:ind w:left="2080" w:hanging="387"/>
        <w:spacing w:after="0" w:line="220" w:lineRule="auto"/>
        <w:tabs>
          <w:tab w:leader="none" w:pos="2077" w:val="left"/>
        </w:tabs>
        <w:numPr>
          <w:ilvl w:val="1"/>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majority of the Directors are replaced during any twelve-month period by Directors whose appointment or election was not endorsed by a majority of the Directors before the date of the appointment or election, including, without limitation, as a consequence of the solicitation of proxies through a proxy circular by persons other than management;</w:t>
      </w:r>
    </w:p>
    <w:p>
      <w:pPr>
        <w:sectPr>
          <w:pgSz w:w="11900" w:h="16838" w:orient="portrait"/>
          <w:cols w:equalWidth="0" w:num="1">
            <w:col w:w="11240"/>
          </w:cols>
          <w:pgMar w:left="320" w:top="126" w:right="339" w:bottom="1440" w:gutter="0" w:footer="0" w:header="0"/>
        </w:sectPr>
      </w:pPr>
    </w:p>
    <w:bookmarkStart w:id="207" w:name="page208"/>
    <w:bookmarkEnd w:id="207"/>
    <w:p>
      <w:pPr>
        <w:ind w:left="4784"/>
        <w:spacing w:after="0"/>
        <w:rPr>
          <w:sz w:val="20"/>
          <w:szCs w:val="20"/>
          <w:color w:val="auto"/>
        </w:rPr>
      </w:pPr>
      <w:r>
        <w:rPr>
          <w:rFonts w:ascii="Times New Roman" w:cs="Times New Roman" w:eastAsia="Times New Roman" w:hAnsi="Times New Roman"/>
          <w:sz w:val="22"/>
          <w:szCs w:val="22"/>
          <w:color w:val="auto"/>
        </w:rPr>
        <w:t>- 2 -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ind w:left="1424" w:hanging="387"/>
        <w:spacing w:after="0" w:line="212" w:lineRule="auto"/>
        <w:tabs>
          <w:tab w:leader="none" w:pos="1413" w:val="left"/>
        </w:tabs>
        <w:numPr>
          <w:ilvl w:val="1"/>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consummation of an amalgamation, arrangement, merger or other consolidation of the Company with another company or a sale of all or substantially all of the assets of the Company to another company pursuant to which, and such that, all the persons who, immediately prior to such consummation, beneficially owned all of the securities of the Company which could be cast to elect directors of the Company, immediately thereafter do not beneficially own securities of the successor or continuing company or company acquiring the assets which would entitle such persons, directly or following conversion or exercise thereof, to cast more than 50% of the votes attaching to all securities of such company which may be cast to elect directors of that company;</w:t>
      </w:r>
    </w:p>
    <w:p>
      <w:pPr>
        <w:spacing w:after="0" w:line="156" w:lineRule="exact"/>
        <w:rPr>
          <w:rFonts w:ascii="Times New Roman" w:cs="Times New Roman" w:eastAsia="Times New Roman" w:hAnsi="Times New Roman"/>
          <w:sz w:val="22"/>
          <w:szCs w:val="22"/>
          <w:color w:val="auto"/>
        </w:rPr>
      </w:pPr>
    </w:p>
    <w:p>
      <w:pPr>
        <w:ind w:left="644" w:hanging="644"/>
        <w:spacing w:after="0"/>
        <w:tabs>
          <w:tab w:leader="none" w:pos="644"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“Code” means the United States Internal Revenue Code of 1986;</w:t>
      </w:r>
    </w:p>
    <w:p>
      <w:pPr>
        <w:spacing w:after="0" w:line="179" w:lineRule="exact"/>
        <w:rPr>
          <w:rFonts w:ascii="Times New Roman" w:cs="Times New Roman" w:eastAsia="Times New Roman" w:hAnsi="Times New Roman"/>
          <w:sz w:val="22"/>
          <w:szCs w:val="22"/>
          <w:color w:val="auto"/>
        </w:rPr>
      </w:pPr>
    </w:p>
    <w:p>
      <w:pPr>
        <w:jc w:val="both"/>
        <w:ind w:left="644" w:hanging="644"/>
        <w:spacing w:after="0" w:line="225" w:lineRule="auto"/>
        <w:tabs>
          <w:tab w:leader="none" w:pos="639"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“Committee” means the committee of the Board, as constituted from time to time, which may be appointed by the Board to, </w:t>
      </w:r>
      <w:r>
        <w:rPr>
          <w:rFonts w:ascii="Times New Roman" w:cs="Times New Roman" w:eastAsia="Times New Roman" w:hAnsi="Times New Roman"/>
          <w:sz w:val="22"/>
          <w:szCs w:val="22"/>
          <w:i w:val="1"/>
          <w:iCs w:val="1"/>
          <w:color w:val="auto"/>
        </w:rPr>
        <w:t>inter alia</w:t>
      </w:r>
      <w:r>
        <w:rPr>
          <w:rFonts w:ascii="Times New Roman" w:cs="Times New Roman" w:eastAsia="Times New Roman" w:hAnsi="Times New Roman"/>
          <w:sz w:val="22"/>
          <w:szCs w:val="22"/>
          <w:color w:val="auto"/>
        </w:rPr>
        <w:t>, interpret, administer and implement the Plan, and includes any successor committee appointed by the Board for such purposes;</w:t>
      </w:r>
    </w:p>
    <w:p>
      <w:pPr>
        <w:spacing w:after="0" w:line="152" w:lineRule="exact"/>
        <w:rPr>
          <w:rFonts w:ascii="Times New Roman" w:cs="Times New Roman" w:eastAsia="Times New Roman" w:hAnsi="Times New Roman"/>
          <w:sz w:val="22"/>
          <w:szCs w:val="22"/>
          <w:color w:val="auto"/>
        </w:rPr>
      </w:pPr>
    </w:p>
    <w:p>
      <w:pPr>
        <w:jc w:val="both"/>
        <w:ind w:left="644" w:hanging="644"/>
        <w:spacing w:after="0" w:line="225" w:lineRule="auto"/>
        <w:tabs>
          <w:tab w:leader="none" w:pos="639"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“Company” means Celestica Inc. and its respective successors and assigns, and any reference in the Plan to action by the Company means action by or under the authority of the Board or any person or committee that has been designated for the purpose by the Company including, without limitation, the Committee;</w:t>
      </w:r>
    </w:p>
    <w:p>
      <w:pPr>
        <w:spacing w:after="0" w:line="152" w:lineRule="exact"/>
        <w:rPr>
          <w:rFonts w:ascii="Times New Roman" w:cs="Times New Roman" w:eastAsia="Times New Roman" w:hAnsi="Times New Roman"/>
          <w:sz w:val="22"/>
          <w:szCs w:val="22"/>
          <w:color w:val="auto"/>
        </w:rPr>
      </w:pPr>
    </w:p>
    <w:p>
      <w:pPr>
        <w:ind w:left="644" w:hanging="644"/>
        <w:spacing w:after="0" w:line="236" w:lineRule="auto"/>
        <w:tabs>
          <w:tab w:leader="none" w:pos="632"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“Consultant” means a consultant as defined in the Rule excluding investor relations persons and associated consultants as defined in the Rule;</w:t>
      </w:r>
    </w:p>
    <w:p>
      <w:pPr>
        <w:spacing w:after="0" w:line="150" w:lineRule="exact"/>
        <w:rPr>
          <w:rFonts w:ascii="Times New Roman" w:cs="Times New Roman" w:eastAsia="Times New Roman" w:hAnsi="Times New Roman"/>
          <w:sz w:val="22"/>
          <w:szCs w:val="22"/>
          <w:color w:val="auto"/>
        </w:rPr>
      </w:pPr>
    </w:p>
    <w:p>
      <w:pPr>
        <w:ind w:left="644" w:right="20" w:hanging="644"/>
        <w:spacing w:after="0" w:line="236" w:lineRule="auto"/>
        <w:tabs>
          <w:tab w:leader="none" w:pos="632"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“Date of Grant” of an Option, a Right or a Share Unit, as the case may be, means the date the Option, Right or Share Unit is granted to a Participant under the Plan;</w:t>
      </w:r>
    </w:p>
    <w:p>
      <w:pPr>
        <w:spacing w:after="0" w:line="150" w:lineRule="exact"/>
        <w:rPr>
          <w:rFonts w:ascii="Times New Roman" w:cs="Times New Roman" w:eastAsia="Times New Roman" w:hAnsi="Times New Roman"/>
          <w:sz w:val="22"/>
          <w:szCs w:val="22"/>
          <w:color w:val="auto"/>
        </w:rPr>
      </w:pPr>
    </w:p>
    <w:p>
      <w:pPr>
        <w:ind w:left="644" w:hanging="644"/>
        <w:spacing w:after="0" w:line="236" w:lineRule="auto"/>
        <w:tabs>
          <w:tab w:leader="none" w:pos="639"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“Designated Affiliated Entity” means a person (including a trust or a partnership) or company in which the Company has a significant investment and which the Company designates as such for the purposes of this Plan;</w:t>
      </w:r>
    </w:p>
    <w:p>
      <w:pPr>
        <w:spacing w:after="0" w:line="150" w:lineRule="exact"/>
        <w:rPr>
          <w:rFonts w:ascii="Times New Roman" w:cs="Times New Roman" w:eastAsia="Times New Roman" w:hAnsi="Times New Roman"/>
          <w:sz w:val="22"/>
          <w:szCs w:val="22"/>
          <w:color w:val="auto"/>
        </w:rPr>
      </w:pPr>
    </w:p>
    <w:p>
      <w:pPr>
        <w:ind w:left="644" w:hanging="644"/>
        <w:spacing w:after="0"/>
        <w:tabs>
          <w:tab w:leader="none" w:pos="644"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“Director” means a member of the Board;</w:t>
      </w:r>
    </w:p>
    <w:p>
      <w:pPr>
        <w:spacing w:after="0" w:line="179" w:lineRule="exact"/>
        <w:rPr>
          <w:rFonts w:ascii="Times New Roman" w:cs="Times New Roman" w:eastAsia="Times New Roman" w:hAnsi="Times New Roman"/>
          <w:sz w:val="22"/>
          <w:szCs w:val="22"/>
          <w:color w:val="auto"/>
        </w:rPr>
      </w:pPr>
    </w:p>
    <w:p>
      <w:pPr>
        <w:ind w:left="644" w:hanging="644"/>
        <w:spacing w:after="0" w:line="236" w:lineRule="auto"/>
        <w:tabs>
          <w:tab w:leader="none" w:pos="632"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“Earliest Exercise Date” in respect of an Option or Right as the case may be, means the earliest date on which the Option or Right may be exercised, as designated by the Company at the time the Option or Right is granted;</w:t>
      </w:r>
    </w:p>
    <w:p>
      <w:pPr>
        <w:spacing w:after="0" w:line="150" w:lineRule="exact"/>
        <w:rPr>
          <w:rFonts w:ascii="Times New Roman" w:cs="Times New Roman" w:eastAsia="Times New Roman" w:hAnsi="Times New Roman"/>
          <w:sz w:val="22"/>
          <w:szCs w:val="22"/>
          <w:color w:val="auto"/>
        </w:rPr>
      </w:pPr>
    </w:p>
    <w:p>
      <w:pPr>
        <w:ind w:left="644" w:hanging="644"/>
        <w:spacing w:after="0"/>
        <w:tabs>
          <w:tab w:leader="none" w:pos="644"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“Fiscal Year” means the financial year of the Company;</w:t>
      </w:r>
    </w:p>
    <w:p>
      <w:pPr>
        <w:spacing w:after="0" w:line="179" w:lineRule="exact"/>
        <w:rPr>
          <w:rFonts w:ascii="Times New Roman" w:cs="Times New Roman" w:eastAsia="Times New Roman" w:hAnsi="Times New Roman"/>
          <w:sz w:val="22"/>
          <w:szCs w:val="22"/>
          <w:color w:val="auto"/>
        </w:rPr>
      </w:pPr>
    </w:p>
    <w:p>
      <w:pPr>
        <w:ind w:left="644" w:hanging="644"/>
        <w:spacing w:after="0"/>
        <w:tabs>
          <w:tab w:leader="none" w:pos="644"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Good Reason</w:t>
      </w:r>
      <w:r>
        <w:rPr>
          <w:rFonts w:ascii="Times New Roman" w:cs="Times New Roman" w:eastAsia="Times New Roman" w:hAnsi="Times New Roman"/>
          <w:sz w:val="22"/>
          <w:szCs w:val="22"/>
          <w:color w:val="auto"/>
        </w:rPr>
        <w:t>” means any of the following:</w:t>
      </w:r>
    </w:p>
    <w:p>
      <w:pPr>
        <w:spacing w:after="0" w:line="179" w:lineRule="exact"/>
        <w:rPr>
          <w:rFonts w:ascii="Times New Roman" w:cs="Times New Roman" w:eastAsia="Times New Roman" w:hAnsi="Times New Roman"/>
          <w:sz w:val="22"/>
          <w:szCs w:val="22"/>
          <w:color w:val="auto"/>
        </w:rPr>
      </w:pPr>
    </w:p>
    <w:p>
      <w:pPr>
        <w:jc w:val="both"/>
        <w:ind w:left="1424" w:hanging="387"/>
        <w:spacing w:after="0" w:line="213" w:lineRule="auto"/>
        <w:tabs>
          <w:tab w:leader="none" w:pos="1414" w:val="left"/>
        </w:tabs>
        <w:numPr>
          <w:ilvl w:val="1"/>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the express written consent of the Participant, any change or series of changes in the responsibilities, authority, status or reporting relationship of the Participant with the Company such that immediately after such change or series of changes, the responsibilities, authority, status or reporting relationship of the Participant, taken as a whole, are not at least substantially equivalent to those assigned to the Participant immediately prior to such change or series of changes, excluding for this purpose an isolated and inadvertent action not taken in bad faith and which is remedied by the Company promptly after receipt of notice thereof given by the Participant; or</w:t>
      </w:r>
    </w:p>
    <w:p>
      <w:pPr>
        <w:sectPr>
          <w:pgSz w:w="11900" w:h="16838" w:orient="portrait"/>
          <w:cols w:equalWidth="0" w:num="1">
            <w:col w:w="10584"/>
          </w:cols>
          <w:pgMar w:left="976" w:top="126" w:right="339" w:bottom="1440" w:gutter="0" w:footer="0" w:header="0"/>
        </w:sectPr>
      </w:pPr>
    </w:p>
    <w:bookmarkStart w:id="208" w:name="page209"/>
    <w:bookmarkEnd w:id="208"/>
    <w:p>
      <w:pPr>
        <w:ind w:left="4784"/>
        <w:spacing w:after="0"/>
        <w:rPr>
          <w:sz w:val="20"/>
          <w:szCs w:val="20"/>
          <w:color w:val="auto"/>
        </w:rPr>
      </w:pPr>
      <w:r>
        <w:rPr>
          <w:rFonts w:ascii="Times New Roman" w:cs="Times New Roman" w:eastAsia="Times New Roman" w:hAnsi="Times New Roman"/>
          <w:sz w:val="22"/>
          <w:szCs w:val="22"/>
          <w:color w:val="auto"/>
        </w:rPr>
        <w:t>- 3 -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424" w:hanging="387"/>
        <w:spacing w:after="0"/>
        <w:tabs>
          <w:tab w:leader="none" w:pos="1424" w:val="left"/>
        </w:tabs>
        <w:numPr>
          <w:ilvl w:val="1"/>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reduction by the Company in the Participant’s annual base salary except:</w:t>
      </w:r>
    </w:p>
    <w:p>
      <w:pPr>
        <w:spacing w:after="0" w:line="206" w:lineRule="exact"/>
        <w:rPr>
          <w:rFonts w:ascii="Times New Roman" w:cs="Times New Roman" w:eastAsia="Times New Roman" w:hAnsi="Times New Roman"/>
          <w:sz w:val="22"/>
          <w:szCs w:val="22"/>
          <w:color w:val="auto"/>
        </w:rPr>
      </w:pPr>
    </w:p>
    <w:p>
      <w:pPr>
        <w:ind w:left="1744" w:hanging="324"/>
        <w:spacing w:after="0" w:line="25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(A)as part of a general reduction in the base salary of all or substantially all of the employees of the Company which affects the Participant in substantially the same manner as the other employees who are also affected by such general reduction; or</w:t>
      </w:r>
    </w:p>
    <w:p>
      <w:pPr>
        <w:spacing w:after="0" w:line="186" w:lineRule="exact"/>
        <w:rPr>
          <w:rFonts w:ascii="Times New Roman" w:cs="Times New Roman" w:eastAsia="Times New Roman" w:hAnsi="Times New Roman"/>
          <w:sz w:val="22"/>
          <w:szCs w:val="22"/>
          <w:color w:val="auto"/>
        </w:rPr>
      </w:pPr>
    </w:p>
    <w:p>
      <w:pPr>
        <w:ind w:left="1424"/>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(B)which does not constitute more than ten percent (10%) of his or her base salary; or</w:t>
      </w:r>
    </w:p>
    <w:p>
      <w:pPr>
        <w:spacing w:after="0" w:line="192" w:lineRule="exact"/>
        <w:rPr>
          <w:rFonts w:ascii="Times New Roman" w:cs="Times New Roman" w:eastAsia="Times New Roman" w:hAnsi="Times New Roman"/>
          <w:sz w:val="22"/>
          <w:szCs w:val="22"/>
          <w:color w:val="auto"/>
        </w:rPr>
      </w:pPr>
    </w:p>
    <w:p>
      <w:pPr>
        <w:jc w:val="both"/>
        <w:ind w:left="1424" w:hanging="387"/>
        <w:spacing w:after="0" w:line="215" w:lineRule="auto"/>
        <w:tabs>
          <w:tab w:leader="none" w:pos="1413" w:val="left"/>
        </w:tabs>
        <w:numPr>
          <w:ilvl w:val="1"/>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taking of any action by the Company which would materially adversely affect the Participant’s participation in or materially reduce his or her incentive compensation, pension, stock option, life insurance, health, accident, disability benefits or other benefit plans in which the Participant is participating, except in any such cases as part of the general reduction in benefits of all or substantially all of the employees of the Company which affects the Participant in substantially the same manner as the other employees who are also affected by such reduction.</w:t>
      </w:r>
    </w:p>
    <w:p>
      <w:pPr>
        <w:spacing w:after="0" w:line="152" w:lineRule="exact"/>
        <w:rPr>
          <w:rFonts w:ascii="Times New Roman" w:cs="Times New Roman" w:eastAsia="Times New Roman" w:hAnsi="Times New Roman"/>
          <w:sz w:val="22"/>
          <w:szCs w:val="22"/>
          <w:color w:val="auto"/>
        </w:rPr>
      </w:pPr>
    </w:p>
    <w:p>
      <w:pPr>
        <w:ind w:left="644" w:hanging="644"/>
        <w:spacing w:after="0"/>
        <w:tabs>
          <w:tab w:leader="none" w:pos="644"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“including” means including without limitation;</w:t>
      </w:r>
    </w:p>
    <w:p>
      <w:pPr>
        <w:spacing w:after="0" w:line="179" w:lineRule="exact"/>
        <w:rPr>
          <w:rFonts w:ascii="Times New Roman" w:cs="Times New Roman" w:eastAsia="Times New Roman" w:hAnsi="Times New Roman"/>
          <w:sz w:val="22"/>
          <w:szCs w:val="22"/>
          <w:color w:val="auto"/>
        </w:rPr>
      </w:pPr>
    </w:p>
    <w:p>
      <w:pPr>
        <w:jc w:val="both"/>
        <w:ind w:left="644" w:hanging="644"/>
        <w:spacing w:after="0" w:line="217" w:lineRule="auto"/>
        <w:tabs>
          <w:tab w:leader="none" w:pos="639"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“Incumbent Director” means any member of the Board who was a member of the Board immediately prior to the occurrence of a transaction, transactions or elections giving rise to a Change of Control (other than a transaction approved by the Board) and any successor to an Incumbent Director who is recommended or elected or appointed to succeed an Incumbent Director by the affirmative vote of a majority of the Incumbent Directors then on the Board;</w:t>
      </w:r>
    </w:p>
    <w:p>
      <w:pPr>
        <w:spacing w:after="0" w:line="152" w:lineRule="exact"/>
        <w:rPr>
          <w:rFonts w:ascii="Times New Roman" w:cs="Times New Roman" w:eastAsia="Times New Roman" w:hAnsi="Times New Roman"/>
          <w:sz w:val="22"/>
          <w:szCs w:val="22"/>
          <w:color w:val="auto"/>
        </w:rPr>
      </w:pPr>
    </w:p>
    <w:p>
      <w:pPr>
        <w:ind w:left="644" w:hanging="644"/>
        <w:spacing w:after="0"/>
        <w:tabs>
          <w:tab w:leader="none" w:pos="644"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“Independent Broker” means a registered broker which is independent under Stock Exchange Rules;</w:t>
      </w:r>
    </w:p>
    <w:p>
      <w:pPr>
        <w:spacing w:after="0" w:line="179" w:lineRule="exact"/>
        <w:rPr>
          <w:rFonts w:ascii="Times New Roman" w:cs="Times New Roman" w:eastAsia="Times New Roman" w:hAnsi="Times New Roman"/>
          <w:sz w:val="22"/>
          <w:szCs w:val="22"/>
          <w:color w:val="auto"/>
        </w:rPr>
      </w:pPr>
    </w:p>
    <w:p>
      <w:pPr>
        <w:ind w:left="644" w:right="20" w:hanging="644"/>
        <w:spacing w:after="0" w:line="236" w:lineRule="auto"/>
        <w:tabs>
          <w:tab w:leader="none" w:pos="642"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“Insider” means an insider of the Company as defined by the rules of the TSX for the purposes of the TSX’s rules relating to security-based compensation arrangements;</w:t>
      </w:r>
    </w:p>
    <w:p>
      <w:pPr>
        <w:spacing w:after="0" w:line="150" w:lineRule="exact"/>
        <w:rPr>
          <w:rFonts w:ascii="Times New Roman" w:cs="Times New Roman" w:eastAsia="Times New Roman" w:hAnsi="Times New Roman"/>
          <w:sz w:val="22"/>
          <w:szCs w:val="22"/>
          <w:color w:val="auto"/>
        </w:rPr>
      </w:pPr>
    </w:p>
    <w:p>
      <w:pPr>
        <w:ind w:left="644" w:hanging="644"/>
        <w:spacing w:after="0" w:line="236" w:lineRule="auto"/>
        <w:tabs>
          <w:tab w:leader="none" w:pos="632"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“Latest Exercise Date” means the latest date on which an Option or Right as the case may be, may be exercised, as designated by the Company at the time the Option or Right is granted;</w:t>
      </w:r>
    </w:p>
    <w:p>
      <w:pPr>
        <w:spacing w:after="0" w:line="150" w:lineRule="exact"/>
        <w:rPr>
          <w:rFonts w:ascii="Times New Roman" w:cs="Times New Roman" w:eastAsia="Times New Roman" w:hAnsi="Times New Roman"/>
          <w:sz w:val="22"/>
          <w:szCs w:val="22"/>
          <w:color w:val="auto"/>
        </w:rPr>
      </w:pPr>
    </w:p>
    <w:p>
      <w:pPr>
        <w:jc w:val="both"/>
        <w:ind w:left="644" w:hanging="644"/>
        <w:spacing w:after="0" w:line="225" w:lineRule="auto"/>
        <w:tabs>
          <w:tab w:leader="none" w:pos="639"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“Market Price” shall mean the weighted average price per Share (or the mean of the closing bid and ask prices, if not traded) on the TSX or NYSE, as selected by the Company on the Date of Grant, or on the Release Date, as applicable, during the period five trading days preceding the date of the determination;</w:t>
      </w:r>
    </w:p>
    <w:p>
      <w:pPr>
        <w:spacing w:after="0" w:line="152" w:lineRule="exact"/>
        <w:rPr>
          <w:rFonts w:ascii="Times New Roman" w:cs="Times New Roman" w:eastAsia="Times New Roman" w:hAnsi="Times New Roman"/>
          <w:sz w:val="22"/>
          <w:szCs w:val="22"/>
          <w:color w:val="auto"/>
        </w:rPr>
      </w:pPr>
    </w:p>
    <w:p>
      <w:pPr>
        <w:ind w:left="644" w:hanging="644"/>
        <w:spacing w:after="0"/>
        <w:tabs>
          <w:tab w:leader="none" w:pos="644"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“NYSE” means The New York Stock Exchange;</w:t>
      </w:r>
    </w:p>
    <w:p>
      <w:pPr>
        <w:spacing w:after="0" w:line="179" w:lineRule="exact"/>
        <w:rPr>
          <w:rFonts w:ascii="Times New Roman" w:cs="Times New Roman" w:eastAsia="Times New Roman" w:hAnsi="Times New Roman"/>
          <w:sz w:val="22"/>
          <w:szCs w:val="22"/>
          <w:color w:val="auto"/>
        </w:rPr>
      </w:pPr>
    </w:p>
    <w:p>
      <w:pPr>
        <w:ind w:left="644" w:hanging="644"/>
        <w:spacing w:after="0"/>
        <w:tabs>
          <w:tab w:leader="none" w:pos="644"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“Option” means a right granted under the Plan to a Participant to purchase Shares in accordance with the Plan;</w:t>
      </w:r>
    </w:p>
    <w:p>
      <w:pPr>
        <w:spacing w:after="0" w:line="179" w:lineRule="exact"/>
        <w:rPr>
          <w:rFonts w:ascii="Times New Roman" w:cs="Times New Roman" w:eastAsia="Times New Roman" w:hAnsi="Times New Roman"/>
          <w:sz w:val="22"/>
          <w:szCs w:val="22"/>
          <w:color w:val="auto"/>
        </w:rPr>
      </w:pPr>
    </w:p>
    <w:p>
      <w:pPr>
        <w:ind w:left="644" w:hanging="644"/>
        <w:spacing w:after="0" w:line="236" w:lineRule="auto"/>
        <w:tabs>
          <w:tab w:leader="none" w:pos="639"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“Option Price” in respect of an Option means the price designated by the Company at which the Participant may purchase a Share under the Option;</w:t>
      </w:r>
    </w:p>
    <w:p>
      <w:pPr>
        <w:sectPr>
          <w:pgSz w:w="11900" w:h="16838" w:orient="portrait"/>
          <w:cols w:equalWidth="0" w:num="1">
            <w:col w:w="10584"/>
          </w:cols>
          <w:pgMar w:left="976" w:top="126" w:right="339" w:bottom="1440" w:gutter="0" w:footer="0" w:header="0"/>
        </w:sectPr>
      </w:pPr>
    </w:p>
    <w:bookmarkStart w:id="209" w:name="page210"/>
    <w:bookmarkEnd w:id="209"/>
    <w:p>
      <w:pPr>
        <w:ind w:left="4784"/>
        <w:spacing w:after="0"/>
        <w:rPr>
          <w:sz w:val="20"/>
          <w:szCs w:val="20"/>
          <w:color w:val="auto"/>
        </w:rPr>
      </w:pPr>
      <w:r>
        <w:rPr>
          <w:rFonts w:ascii="Times New Roman" w:cs="Times New Roman" w:eastAsia="Times New Roman" w:hAnsi="Times New Roman"/>
          <w:sz w:val="22"/>
          <w:szCs w:val="22"/>
          <w:color w:val="auto"/>
        </w:rPr>
        <w:t>- 4 -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644" w:hanging="644"/>
        <w:spacing w:after="0" w:line="236" w:lineRule="auto"/>
        <w:tabs>
          <w:tab w:leader="none" w:pos="639"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“Option Program” means the Stock Option Program, consisting of Part II of the Plan, as amended and restated from time to time;</w:t>
      </w:r>
    </w:p>
    <w:p>
      <w:pPr>
        <w:spacing w:after="0" w:line="150" w:lineRule="exact"/>
        <w:rPr>
          <w:rFonts w:ascii="Times New Roman" w:cs="Times New Roman" w:eastAsia="Times New Roman" w:hAnsi="Times New Roman"/>
          <w:sz w:val="22"/>
          <w:szCs w:val="22"/>
          <w:color w:val="auto"/>
        </w:rPr>
      </w:pPr>
    </w:p>
    <w:p>
      <w:pPr>
        <w:ind w:left="644" w:hanging="644"/>
        <w:spacing w:after="0"/>
        <w:tabs>
          <w:tab w:leader="none" w:pos="644"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“Participant” means</w:t>
      </w:r>
    </w:p>
    <w:p>
      <w:pPr>
        <w:spacing w:after="0" w:line="179" w:lineRule="exact"/>
        <w:rPr>
          <w:rFonts w:ascii="Times New Roman" w:cs="Times New Roman" w:eastAsia="Times New Roman" w:hAnsi="Times New Roman"/>
          <w:sz w:val="22"/>
          <w:szCs w:val="22"/>
          <w:color w:val="auto"/>
        </w:rPr>
      </w:pPr>
    </w:p>
    <w:p>
      <w:pPr>
        <w:ind w:left="1424" w:hanging="387"/>
        <w:spacing w:after="0"/>
        <w:tabs>
          <w:tab w:leader="none" w:pos="1424" w:val="left"/>
        </w:tabs>
        <w:numPr>
          <w:ilvl w:val="1"/>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Director,</w:t>
      </w:r>
    </w:p>
    <w:p>
      <w:pPr>
        <w:spacing w:after="0" w:line="179" w:lineRule="exact"/>
        <w:rPr>
          <w:rFonts w:ascii="Times New Roman" w:cs="Times New Roman" w:eastAsia="Times New Roman" w:hAnsi="Times New Roman"/>
          <w:sz w:val="22"/>
          <w:szCs w:val="22"/>
          <w:color w:val="auto"/>
        </w:rPr>
      </w:pPr>
    </w:p>
    <w:p>
      <w:pPr>
        <w:ind w:left="1424" w:hanging="387"/>
        <w:spacing w:after="0"/>
        <w:tabs>
          <w:tab w:leader="none" w:pos="1424" w:val="left"/>
        </w:tabs>
        <w:numPr>
          <w:ilvl w:val="1"/>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permanent employee of the Company, a Subsidiary or a Designated Affiliated Entity, or</w:t>
      </w:r>
    </w:p>
    <w:p>
      <w:pPr>
        <w:spacing w:after="0" w:line="179" w:lineRule="exact"/>
        <w:rPr>
          <w:rFonts w:ascii="Times New Roman" w:cs="Times New Roman" w:eastAsia="Times New Roman" w:hAnsi="Times New Roman"/>
          <w:sz w:val="22"/>
          <w:szCs w:val="22"/>
          <w:color w:val="auto"/>
        </w:rPr>
      </w:pPr>
    </w:p>
    <w:p>
      <w:pPr>
        <w:ind w:left="1424" w:hanging="387"/>
        <w:spacing w:after="0"/>
        <w:tabs>
          <w:tab w:leader="none" w:pos="1424" w:val="left"/>
        </w:tabs>
        <w:numPr>
          <w:ilvl w:val="1"/>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Consultant of the Company, a Subsidiary, or a Designated Affiliated Entity,</w:t>
      </w:r>
    </w:p>
    <w:p>
      <w:pPr>
        <w:spacing w:after="0" w:line="206" w:lineRule="exact"/>
        <w:rPr>
          <w:sz w:val="20"/>
          <w:szCs w:val="20"/>
          <w:color w:val="auto"/>
        </w:rPr>
      </w:pPr>
    </w:p>
    <w:p>
      <w:pPr>
        <w:ind w:left="644"/>
        <w:spacing w:after="0" w:line="271" w:lineRule="auto"/>
        <w:rPr>
          <w:sz w:val="20"/>
          <w:szCs w:val="20"/>
          <w:color w:val="auto"/>
        </w:rPr>
      </w:pPr>
      <w:r>
        <w:rPr>
          <w:rFonts w:ascii="Times New Roman" w:cs="Times New Roman" w:eastAsia="Times New Roman" w:hAnsi="Times New Roman"/>
          <w:sz w:val="22"/>
          <w:szCs w:val="22"/>
          <w:color w:val="auto"/>
        </w:rPr>
        <w:t>who has been designated by the Company for participation in the Plan and who has agreed to participate in the Plan or any Program thereof on such terms as the Company may specify;</w:t>
      </w:r>
    </w:p>
    <w:p>
      <w:pPr>
        <w:spacing w:after="0" w:line="131" w:lineRule="exact"/>
        <w:rPr>
          <w:sz w:val="20"/>
          <w:szCs w:val="20"/>
          <w:color w:val="auto"/>
        </w:rPr>
      </w:pPr>
    </w:p>
    <w:p>
      <w:pPr>
        <w:ind w:left="644" w:hanging="644"/>
        <w:spacing w:after="0" w:line="236" w:lineRule="auto"/>
        <w:tabs>
          <w:tab w:leader="none" w:pos="642"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“Plan” means this Long Term Incentive Plan, consisting of the Option Program, the Rights Program and the Share Unit Program, as amended and restated from time to time;</w:t>
      </w:r>
    </w:p>
    <w:p>
      <w:pPr>
        <w:sectPr>
          <w:pgSz w:w="11900" w:h="16838" w:orient="portrait"/>
          <w:cols w:equalWidth="0" w:num="1">
            <w:col w:w="10584"/>
          </w:cols>
          <w:pgMar w:left="976" w:top="126" w:right="339" w:bottom="1440" w:gutter="0" w:footer="0" w:header="0"/>
        </w:sectPr>
      </w:pPr>
    </w:p>
    <w:p>
      <w:pPr>
        <w:spacing w:after="0" w:line="150" w:lineRule="exact"/>
        <w:rPr>
          <w:sz w:val="20"/>
          <w:szCs w:val="20"/>
          <w:color w:val="auto"/>
        </w:rPr>
      </w:pPr>
    </w:p>
    <w:p>
      <w:pPr>
        <w:ind w:left="4"/>
        <w:spacing w:after="0"/>
        <w:rPr>
          <w:sz w:val="20"/>
          <w:szCs w:val="20"/>
          <w:color w:val="auto"/>
        </w:rPr>
      </w:pPr>
      <w:r>
        <w:rPr>
          <w:rFonts w:ascii="Times New Roman" w:cs="Times New Roman" w:eastAsia="Times New Roman" w:hAnsi="Times New Roman"/>
          <w:sz w:val="21"/>
          <w:szCs w:val="21"/>
          <w:color w:val="auto"/>
        </w:rPr>
        <w:t>(ab)</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“Program” means the Option Program, the Rights Program or the Share Unit Program, as applicable;</w:t>
      </w:r>
    </w:p>
    <w:p>
      <w:pPr>
        <w:spacing w:after="0" w:line="191" w:lineRule="exact"/>
        <w:rPr>
          <w:sz w:val="20"/>
          <w:szCs w:val="20"/>
          <w:color w:val="auto"/>
        </w:rPr>
      </w:pPr>
    </w:p>
    <w:p>
      <w:pPr>
        <w:sectPr>
          <w:pgSz w:w="11900" w:h="16838" w:orient="portrait"/>
          <w:cols w:equalWidth="0" w:num="2">
            <w:col w:w="344" w:space="300"/>
            <w:col w:w="9940"/>
          </w:cols>
          <w:pgMar w:left="976" w:top="126" w:right="339" w:bottom="1440" w:gutter="0" w:footer="0" w:header="0"/>
          <w:type w:val="continuous"/>
        </w:sectPr>
      </w:pPr>
    </w:p>
    <w:p>
      <w:pPr>
        <w:ind w:left="4"/>
        <w:spacing w:after="0"/>
        <w:rPr>
          <w:sz w:val="20"/>
          <w:szCs w:val="20"/>
          <w:color w:val="auto"/>
        </w:rPr>
      </w:pPr>
      <w:r>
        <w:rPr>
          <w:rFonts w:ascii="Times New Roman" w:cs="Times New Roman" w:eastAsia="Times New Roman" w:hAnsi="Times New Roman"/>
          <w:sz w:val="21"/>
          <w:szCs w:val="21"/>
          <w:color w:val="auto"/>
        </w:rPr>
        <w:t>(ac)</w:t>
      </w:r>
    </w:p>
    <w:p>
      <w:pPr>
        <w:spacing w:after="0" w:line="20" w:lineRule="exact"/>
        <w:rPr>
          <w:sz w:val="20"/>
          <w:szCs w:val="20"/>
          <w:color w:val="auto"/>
        </w:rPr>
      </w:pPr>
      <w:r>
        <w:rPr>
          <w:sz w:val="20"/>
          <w:szCs w:val="20"/>
          <w:color w:val="auto"/>
        </w:rPr>
        <w:br w:type="column"/>
      </w:r>
    </w:p>
    <w:p>
      <w:pPr>
        <w:jc w:val="both"/>
        <w:ind w:hanging="1"/>
        <w:spacing w:after="0" w:line="220" w:lineRule="auto"/>
        <w:rPr>
          <w:sz w:val="20"/>
          <w:szCs w:val="20"/>
          <w:color w:val="auto"/>
        </w:rPr>
      </w:pPr>
      <w:r>
        <w:rPr>
          <w:rFonts w:ascii="Times New Roman" w:cs="Times New Roman" w:eastAsia="Times New Roman" w:hAnsi="Times New Roman"/>
          <w:sz w:val="22"/>
          <w:szCs w:val="22"/>
          <w:color w:val="auto"/>
        </w:rPr>
        <w:t>“Reorganization” means any (i) capital reorganization, (ii) merger, (iii) amalgamation, (iv) offer for shares of the Company which if successful would entitle the offeror to acquire all of the shares of the Company or all of one or more particular class(es) of shares of the Company to which the offer relates, (v) sale of a material portion of the assets of the Company, or (vi) arrangement or other scheme of reorganization;</w:t>
      </w:r>
    </w:p>
    <w:p>
      <w:pPr>
        <w:spacing w:after="0" w:line="152" w:lineRule="exact"/>
        <w:rPr>
          <w:sz w:val="20"/>
          <w:szCs w:val="20"/>
          <w:color w:val="auto"/>
        </w:rPr>
      </w:pPr>
    </w:p>
    <w:p>
      <w:pPr>
        <w:sectPr>
          <w:pgSz w:w="11900" w:h="16838" w:orient="portrait"/>
          <w:cols w:equalWidth="0" w:num="2">
            <w:col w:w="344" w:space="300"/>
            <w:col w:w="9940"/>
          </w:cols>
          <w:pgMar w:left="976" w:top="126" w:right="339" w:bottom="1440" w:gutter="0" w:footer="0" w:header="0"/>
          <w:type w:val="continuous"/>
        </w:sectPr>
      </w:pPr>
    </w:p>
    <w:p>
      <w:pPr>
        <w:ind w:left="4"/>
        <w:spacing w:after="0"/>
        <w:rPr>
          <w:sz w:val="20"/>
          <w:szCs w:val="20"/>
          <w:color w:val="auto"/>
        </w:rPr>
      </w:pPr>
      <w:r>
        <w:rPr>
          <w:rFonts w:ascii="Times New Roman" w:cs="Times New Roman" w:eastAsia="Times New Roman" w:hAnsi="Times New Roman"/>
          <w:sz w:val="21"/>
          <w:szCs w:val="21"/>
          <w:color w:val="auto"/>
        </w:rPr>
        <w:t>(ad)</w:t>
      </w:r>
    </w:p>
    <w:p>
      <w:pPr>
        <w:spacing w:after="0" w:line="20" w:lineRule="exact"/>
        <w:rPr>
          <w:sz w:val="20"/>
          <w:szCs w:val="20"/>
          <w:color w:val="auto"/>
        </w:rPr>
      </w:pPr>
      <w:r>
        <w:rPr>
          <w:sz w:val="20"/>
          <w:szCs w:val="20"/>
          <w:color w:val="auto"/>
        </w:rPr>
        <w:br w:type="column"/>
      </w:r>
    </w:p>
    <w:p>
      <w:pPr>
        <w:ind w:hanging="2"/>
        <w:spacing w:after="0" w:line="236" w:lineRule="auto"/>
        <w:rPr>
          <w:sz w:val="20"/>
          <w:szCs w:val="20"/>
          <w:color w:val="auto"/>
        </w:rPr>
      </w:pPr>
      <w:r>
        <w:rPr>
          <w:rFonts w:ascii="Times New Roman" w:cs="Times New Roman" w:eastAsia="Times New Roman" w:hAnsi="Times New Roman"/>
          <w:sz w:val="22"/>
          <w:szCs w:val="22"/>
          <w:color w:val="auto"/>
        </w:rPr>
        <w:t>“Right” means a stock appreciation right granted under the Rights Program to a Participant in accordance with the Rights Program;</w:t>
      </w:r>
    </w:p>
    <w:p>
      <w:pPr>
        <w:spacing w:after="0" w:line="150" w:lineRule="exact"/>
        <w:rPr>
          <w:sz w:val="20"/>
          <w:szCs w:val="20"/>
          <w:color w:val="auto"/>
        </w:rPr>
      </w:pPr>
    </w:p>
    <w:p>
      <w:pPr>
        <w:sectPr>
          <w:pgSz w:w="11900" w:h="16838" w:orient="portrait"/>
          <w:cols w:equalWidth="0" w:num="2">
            <w:col w:w="344" w:space="300"/>
            <w:col w:w="9940"/>
          </w:cols>
          <w:pgMar w:left="976" w:top="126" w:right="339" w:bottom="1440" w:gutter="0" w:footer="0" w:header="0"/>
          <w:type w:val="continuous"/>
        </w:sectPr>
      </w:pPr>
    </w:p>
    <w:p>
      <w:pPr>
        <w:ind w:left="4"/>
        <w:spacing w:after="0"/>
        <w:rPr>
          <w:sz w:val="20"/>
          <w:szCs w:val="20"/>
          <w:color w:val="auto"/>
        </w:rPr>
      </w:pPr>
      <w:r>
        <w:rPr>
          <w:rFonts w:ascii="Times New Roman" w:cs="Times New Roman" w:eastAsia="Times New Roman" w:hAnsi="Times New Roman"/>
          <w:sz w:val="21"/>
          <w:szCs w:val="21"/>
          <w:color w:val="auto"/>
        </w:rPr>
        <w:t>(ae)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“Retirement” means, with respect to any Participant, when:</w:t>
      </w:r>
    </w:p>
    <w:p>
      <w:pPr>
        <w:spacing w:after="0" w:line="191" w:lineRule="exact"/>
        <w:rPr>
          <w:sz w:val="20"/>
          <w:szCs w:val="20"/>
          <w:color w:val="auto"/>
        </w:rPr>
      </w:pPr>
    </w:p>
    <w:p>
      <w:pPr>
        <w:sectPr>
          <w:pgSz w:w="11900" w:h="16838" w:orient="portrait"/>
          <w:cols w:equalWidth="0" w:num="2">
            <w:col w:w="344" w:space="300"/>
            <w:col w:w="9940"/>
          </w:cols>
          <w:pgMar w:left="976" w:top="126" w:right="339" w:bottom="1440" w:gutter="0" w:footer="0" w:header="0"/>
          <w:type w:val="continuous"/>
        </w:sectPr>
      </w:pPr>
    </w:p>
    <w:p>
      <w:pPr>
        <w:jc w:val="both"/>
        <w:ind w:left="1424" w:right="20" w:hanging="387"/>
        <w:spacing w:after="0" w:line="255" w:lineRule="auto"/>
        <w:tabs>
          <w:tab w:leader="none" w:pos="1414" w:val="left"/>
        </w:tabs>
        <w:numPr>
          <w:ilvl w:val="0"/>
          <w:numId w:val="1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Participant is no longer an employee as a result of a voluntary resignation or as a result of a termination action by the Company, a Subsidiary or Designated Affiliated Entity on a not for cause basis;</w:t>
      </w:r>
    </w:p>
    <w:p>
      <w:pPr>
        <w:spacing w:after="0" w:line="134" w:lineRule="exact"/>
        <w:rPr>
          <w:rFonts w:ascii="Times New Roman" w:cs="Times New Roman" w:eastAsia="Times New Roman" w:hAnsi="Times New Roman"/>
          <w:sz w:val="21"/>
          <w:szCs w:val="21"/>
          <w:color w:val="auto"/>
        </w:rPr>
      </w:pPr>
    </w:p>
    <w:p>
      <w:pPr>
        <w:ind w:left="1424" w:hanging="387"/>
        <w:spacing w:after="0" w:line="236" w:lineRule="auto"/>
        <w:tabs>
          <w:tab w:leader="none" w:pos="1421"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Participant has completed his or her last day of employment with the Company, a Subsidiary or Designated Affiliated Entity, as applicable; and</w:t>
      </w:r>
    </w:p>
    <w:p>
      <w:pPr>
        <w:spacing w:after="0" w:line="150" w:lineRule="exact"/>
        <w:rPr>
          <w:rFonts w:ascii="Times New Roman" w:cs="Times New Roman" w:eastAsia="Times New Roman" w:hAnsi="Times New Roman"/>
          <w:sz w:val="22"/>
          <w:szCs w:val="22"/>
          <w:color w:val="auto"/>
        </w:rPr>
      </w:pPr>
    </w:p>
    <w:p>
      <w:pPr>
        <w:ind w:left="1424" w:hanging="387"/>
        <w:spacing w:after="0"/>
        <w:tabs>
          <w:tab w:leader="none" w:pos="1424"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either</w:t>
      </w:r>
    </w:p>
    <w:p>
      <w:pPr>
        <w:spacing w:after="0" w:line="206" w:lineRule="exact"/>
        <w:rPr>
          <w:rFonts w:ascii="Times New Roman" w:cs="Times New Roman" w:eastAsia="Times New Roman" w:hAnsi="Times New Roman"/>
          <w:sz w:val="22"/>
          <w:szCs w:val="22"/>
          <w:color w:val="auto"/>
        </w:rPr>
      </w:pPr>
    </w:p>
    <w:p>
      <w:pPr>
        <w:ind w:left="1744" w:right="20" w:hanging="324"/>
        <w:spacing w:after="0" w:line="284"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(A)the sum of the Participant’s age and years of service equals 65 provided that the Participant’s age shall be at least 55 years and that the Participant has been employed for a minimum of five years; or</w:t>
      </w:r>
    </w:p>
    <w:p>
      <w:pPr>
        <w:spacing w:after="0" w:line="143" w:lineRule="exact"/>
        <w:rPr>
          <w:rFonts w:ascii="Times New Roman" w:cs="Times New Roman" w:eastAsia="Times New Roman" w:hAnsi="Times New Roman"/>
          <w:sz w:val="22"/>
          <w:szCs w:val="22"/>
          <w:color w:val="auto"/>
        </w:rPr>
      </w:pPr>
    </w:p>
    <w:p>
      <w:pPr>
        <w:ind w:left="1424"/>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(B)the Participant has 30 years of service or more; and</w:t>
      </w:r>
    </w:p>
    <w:p>
      <w:pPr>
        <w:sectPr>
          <w:pgSz w:w="11900" w:h="16838" w:orient="portrait"/>
          <w:cols w:equalWidth="0" w:num="1">
            <w:col w:w="10584"/>
          </w:cols>
          <w:pgMar w:left="976" w:top="126" w:right="339" w:bottom="1440" w:gutter="0" w:footer="0" w:header="0"/>
          <w:type w:val="continuous"/>
        </w:sectPr>
      </w:pPr>
    </w:p>
    <w:bookmarkStart w:id="210" w:name="page211"/>
    <w:bookmarkEnd w:id="210"/>
    <w:p>
      <w:pPr>
        <w:jc w:val="center"/>
        <w:spacing w:after="0"/>
        <w:rPr>
          <w:sz w:val="20"/>
          <w:szCs w:val="20"/>
          <w:color w:val="auto"/>
        </w:rPr>
      </w:pPr>
      <w:r>
        <w:rPr>
          <w:rFonts w:ascii="Times New Roman" w:cs="Times New Roman" w:eastAsia="Times New Roman" w:hAnsi="Times New Roman"/>
          <w:sz w:val="22"/>
          <w:szCs w:val="22"/>
          <w:color w:val="auto"/>
        </w:rPr>
        <w:t>- 5 -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for greater certainty, a Participant who is no longer an employee by reason of death or as a result of termination</w:t>
      </w:r>
    </w:p>
    <w:p>
      <w:pPr>
        <w:spacing w:after="0" w:line="2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action by the Company, a Subsidiary or Designated Affiliated Entity on a for cause basis shall not be eligible for</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Retirement treatment under the Plan;</w:t>
      </w:r>
    </w:p>
    <w:p>
      <w:pPr>
        <w:sectPr>
          <w:pgSz w:w="11900" w:h="16838" w:orient="portrait"/>
          <w:cols w:equalWidth="0" w:num="1">
            <w:col w:w="11240"/>
          </w:cols>
          <w:pgMar w:left="320" w:top="126" w:right="339" w:bottom="1440" w:gutter="0" w:footer="0" w:header="0"/>
        </w:sectPr>
      </w:pP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(af)</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ind w:hanging="11"/>
        <w:spacing w:after="0" w:line="236" w:lineRule="auto"/>
        <w:rPr>
          <w:sz w:val="20"/>
          <w:szCs w:val="20"/>
          <w:color w:val="auto"/>
        </w:rPr>
      </w:pPr>
      <w:r>
        <w:rPr>
          <w:rFonts w:ascii="Times New Roman" w:cs="Times New Roman" w:eastAsia="Times New Roman" w:hAnsi="Times New Roman"/>
          <w:sz w:val="22"/>
          <w:szCs w:val="22"/>
          <w:color w:val="auto"/>
        </w:rPr>
        <w:t>“Rights Program” means the Stock Appreciation Rights Program, consisting of Part III of the Plan, as amended and restated from time to time;</w:t>
      </w:r>
    </w:p>
    <w:p>
      <w:pPr>
        <w:spacing w:after="0" w:line="146" w:lineRule="exact"/>
        <w:rPr>
          <w:sz w:val="20"/>
          <w:szCs w:val="20"/>
          <w:color w:val="auto"/>
        </w:rPr>
      </w:pPr>
    </w:p>
    <w:p>
      <w:pPr>
        <w:sectPr>
          <w:pgSz w:w="11900" w:h="16838" w:orient="portrait"/>
          <w:cols w:equalWidth="0" w:num="2">
            <w:col w:w="960" w:space="340"/>
            <w:col w:w="9940"/>
          </w:cols>
          <w:pgMar w:left="320" w:top="126" w:right="339" w:bottom="1440" w:gutter="0" w:footer="0" w:header="0"/>
          <w:type w:val="continuous"/>
        </w:sectPr>
      </w:pP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(ag)</w:t>
      </w:r>
    </w:p>
    <w:p>
      <w:pPr>
        <w:spacing w:after="0" w:line="20" w:lineRule="exact"/>
        <w:rPr>
          <w:sz w:val="20"/>
          <w:szCs w:val="20"/>
          <w:color w:val="auto"/>
        </w:rPr>
      </w:pPr>
      <w:r>
        <w:rPr>
          <w:sz w:val="20"/>
          <w:szCs w:val="20"/>
          <w:color w:val="auto"/>
        </w:rPr>
        <w:br w:type="column"/>
      </w:r>
    </w:p>
    <w:p>
      <w:pPr>
        <w:ind w:hanging="2"/>
        <w:spacing w:after="0" w:line="238" w:lineRule="auto"/>
        <w:rPr>
          <w:sz w:val="20"/>
          <w:szCs w:val="20"/>
          <w:color w:val="auto"/>
        </w:rPr>
      </w:pPr>
      <w:r>
        <w:rPr>
          <w:rFonts w:ascii="Times New Roman" w:cs="Times New Roman" w:eastAsia="Times New Roman" w:hAnsi="Times New Roman"/>
          <w:sz w:val="22"/>
          <w:szCs w:val="22"/>
          <w:color w:val="auto"/>
        </w:rPr>
        <w:t xml:space="preserve">“Rule” means Part 2, Division 4 of National Instrument 45-106 - </w:t>
      </w:r>
      <w:r>
        <w:rPr>
          <w:rFonts w:ascii="Times New Roman" w:cs="Times New Roman" w:eastAsia="Times New Roman" w:hAnsi="Times New Roman"/>
          <w:sz w:val="22"/>
          <w:szCs w:val="22"/>
          <w:i w:val="1"/>
          <w:iCs w:val="1"/>
          <w:color w:val="auto"/>
        </w:rPr>
        <w:t>Prospectus and Registration Exemptions</w:t>
      </w:r>
      <w:r>
        <w:rPr>
          <w:rFonts w:ascii="Times New Roman" w:cs="Times New Roman" w:eastAsia="Times New Roman" w:hAnsi="Times New Roman"/>
          <w:sz w:val="22"/>
          <w:szCs w:val="22"/>
          <w:color w:val="auto"/>
        </w:rPr>
        <w:t>, as it may be amended or replaced;</w:t>
      </w:r>
    </w:p>
    <w:p>
      <w:pPr>
        <w:spacing w:after="0" w:line="150" w:lineRule="exact"/>
        <w:rPr>
          <w:sz w:val="20"/>
          <w:szCs w:val="20"/>
          <w:color w:val="auto"/>
        </w:rPr>
      </w:pPr>
    </w:p>
    <w:p>
      <w:pPr>
        <w:sectPr>
          <w:pgSz w:w="11900" w:h="16838" w:orient="portrait"/>
          <w:cols w:equalWidth="0" w:num="2">
            <w:col w:w="1000" w:space="300"/>
            <w:col w:w="9940"/>
          </w:cols>
          <w:pgMar w:left="320" w:top="126" w:right="339" w:bottom="1440" w:gutter="0" w:footer="0" w:header="0"/>
          <w:type w:val="continuous"/>
        </w:sectPr>
      </w:pPr>
    </w:p>
    <w:p>
      <w:pPr>
        <w:ind w:left="660"/>
        <w:spacing w:after="0"/>
        <w:rPr>
          <w:sz w:val="20"/>
          <w:szCs w:val="20"/>
          <w:color w:val="auto"/>
        </w:rPr>
      </w:pPr>
      <w:r>
        <w:rPr>
          <w:rFonts w:ascii="Times New Roman" w:cs="Times New Roman" w:eastAsia="Times New Roman" w:hAnsi="Times New Roman"/>
          <w:sz w:val="21"/>
          <w:szCs w:val="21"/>
          <w:color w:val="auto"/>
        </w:rPr>
        <w:t>(ah)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“Share Unit” means a unit allocated to a Participant in accordance with the Share Unit Program;</w:t>
      </w:r>
    </w:p>
    <w:p>
      <w:pPr>
        <w:spacing w:after="0" w:line="191" w:lineRule="exact"/>
        <w:rPr>
          <w:sz w:val="20"/>
          <w:szCs w:val="20"/>
          <w:color w:val="auto"/>
        </w:rPr>
      </w:pPr>
    </w:p>
    <w:p>
      <w:pPr>
        <w:sectPr>
          <w:pgSz w:w="11900" w:h="16838" w:orient="portrait"/>
          <w:cols w:equalWidth="0" w:num="2">
            <w:col w:w="1000" w:space="300"/>
            <w:col w:w="9940"/>
          </w:cols>
          <w:pgMar w:left="320" w:top="126" w:right="339" w:bottom="1440" w:gutter="0" w:footer="0" w:header="0"/>
          <w:type w:val="continuous"/>
        </w:sectPr>
      </w:pPr>
    </w:p>
    <w:p>
      <w:pPr>
        <w:ind w:left="660"/>
        <w:spacing w:after="0"/>
        <w:rPr>
          <w:sz w:val="20"/>
          <w:szCs w:val="20"/>
          <w:color w:val="auto"/>
        </w:rPr>
      </w:pPr>
      <w:r>
        <w:rPr>
          <w:rFonts w:ascii="Times New Roman" w:cs="Times New Roman" w:eastAsia="Times New Roman" w:hAnsi="Times New Roman"/>
          <w:sz w:val="21"/>
          <w:szCs w:val="21"/>
          <w:color w:val="auto"/>
        </w:rPr>
        <w:t>(ai)</w:t>
      </w:r>
    </w:p>
    <w:p>
      <w:pPr>
        <w:spacing w:after="0" w:line="20" w:lineRule="exact"/>
        <w:rPr>
          <w:sz w:val="20"/>
          <w:szCs w:val="20"/>
          <w:color w:val="auto"/>
        </w:rPr>
      </w:pPr>
      <w:r>
        <w:rPr>
          <w:sz w:val="20"/>
          <w:szCs w:val="20"/>
          <w:color w:val="auto"/>
        </w:rPr>
        <w:br w:type="column"/>
      </w:r>
    </w:p>
    <w:p>
      <w:pPr>
        <w:ind w:hanging="10"/>
        <w:spacing w:after="0" w:line="236" w:lineRule="auto"/>
        <w:rPr>
          <w:sz w:val="20"/>
          <w:szCs w:val="20"/>
          <w:color w:val="auto"/>
        </w:rPr>
      </w:pPr>
      <w:r>
        <w:rPr>
          <w:rFonts w:ascii="Times New Roman" w:cs="Times New Roman" w:eastAsia="Times New Roman" w:hAnsi="Times New Roman"/>
          <w:sz w:val="22"/>
          <w:szCs w:val="22"/>
          <w:color w:val="auto"/>
        </w:rPr>
        <w:t>“Share Unit Program” means the Share Unit Program, consisting of Part IV of the Plan, as amended and restated from time to time;</w:t>
      </w:r>
    </w:p>
    <w:p>
      <w:pPr>
        <w:spacing w:after="0" w:line="150" w:lineRule="exact"/>
        <w:rPr>
          <w:sz w:val="20"/>
          <w:szCs w:val="20"/>
          <w:color w:val="auto"/>
        </w:rPr>
      </w:pPr>
    </w:p>
    <w:p>
      <w:pPr>
        <w:sectPr>
          <w:pgSz w:w="11900" w:h="16838" w:orient="portrait"/>
          <w:cols w:equalWidth="0" w:num="2">
            <w:col w:w="960" w:space="340"/>
            <w:col w:w="9940"/>
          </w:cols>
          <w:pgMar w:left="320" w:top="126" w:right="339" w:bottom="1440" w:gutter="0" w:footer="0" w:header="0"/>
          <w:type w:val="continuous"/>
        </w:sectPr>
      </w:pPr>
    </w:p>
    <w:p>
      <w:pPr>
        <w:ind w:left="660"/>
        <w:spacing w:after="0"/>
        <w:rPr>
          <w:sz w:val="20"/>
          <w:szCs w:val="20"/>
          <w:color w:val="auto"/>
        </w:rPr>
      </w:pPr>
      <w:r>
        <w:rPr>
          <w:rFonts w:ascii="Times New Roman" w:cs="Times New Roman" w:eastAsia="Times New Roman" w:hAnsi="Times New Roman"/>
          <w:sz w:val="21"/>
          <w:szCs w:val="21"/>
          <w:color w:val="auto"/>
        </w:rPr>
        <w:t>(aj)</w:t>
      </w:r>
    </w:p>
    <w:p>
      <w:pPr>
        <w:spacing w:after="0" w:line="20" w:lineRule="exact"/>
        <w:rPr>
          <w:sz w:val="20"/>
          <w:szCs w:val="20"/>
          <w:color w:val="auto"/>
        </w:rPr>
      </w:pPr>
      <w:r>
        <w:rPr>
          <w:sz w:val="20"/>
          <w:szCs w:val="20"/>
          <w:color w:val="auto"/>
        </w:rPr>
        <w:br w:type="column"/>
      </w:r>
    </w:p>
    <w:p>
      <w:pPr>
        <w:jc w:val="both"/>
        <w:ind w:hanging="10"/>
        <w:spacing w:after="0" w:line="225" w:lineRule="auto"/>
        <w:rPr>
          <w:sz w:val="20"/>
          <w:szCs w:val="20"/>
          <w:color w:val="auto"/>
        </w:rPr>
      </w:pPr>
      <w:r>
        <w:rPr>
          <w:rFonts w:ascii="Times New Roman" w:cs="Times New Roman" w:eastAsia="Times New Roman" w:hAnsi="Times New Roman"/>
          <w:sz w:val="22"/>
          <w:szCs w:val="22"/>
          <w:color w:val="auto"/>
        </w:rPr>
        <w:t>“Shares” means the Subordinate Voting Shares in the capital of the Company, and includes any shares of the Company into which such shares may be converted, reclassified, redesignated, subdivided, consolidated, exchanged or otherwise changed, pursuant to a Reorganization or otherwise;</w:t>
      </w:r>
    </w:p>
    <w:p>
      <w:pPr>
        <w:spacing w:after="0" w:line="153" w:lineRule="exact"/>
        <w:rPr>
          <w:sz w:val="20"/>
          <w:szCs w:val="20"/>
          <w:color w:val="auto"/>
        </w:rPr>
      </w:pPr>
    </w:p>
    <w:p>
      <w:pPr>
        <w:sectPr>
          <w:pgSz w:w="11900" w:h="16838" w:orient="portrait"/>
          <w:cols w:equalWidth="0" w:num="2">
            <w:col w:w="960" w:space="340"/>
            <w:col w:w="9940"/>
          </w:cols>
          <w:pgMar w:left="320" w:top="126" w:right="339" w:bottom="1440" w:gutter="0" w:footer="0" w:header="0"/>
          <w:type w:val="continuous"/>
        </w:sectPr>
      </w:pPr>
    </w:p>
    <w:p>
      <w:pPr>
        <w:ind w:left="660"/>
        <w:spacing w:after="0"/>
        <w:rPr>
          <w:sz w:val="20"/>
          <w:szCs w:val="20"/>
          <w:color w:val="auto"/>
        </w:rPr>
      </w:pPr>
      <w:r>
        <w:rPr>
          <w:rFonts w:ascii="Times New Roman" w:cs="Times New Roman" w:eastAsia="Times New Roman" w:hAnsi="Times New Roman"/>
          <w:sz w:val="21"/>
          <w:szCs w:val="21"/>
          <w:color w:val="auto"/>
        </w:rPr>
        <w:t>(ak)</w:t>
      </w:r>
    </w:p>
    <w:p>
      <w:pPr>
        <w:spacing w:after="0" w:line="20" w:lineRule="exact"/>
        <w:rPr>
          <w:sz w:val="20"/>
          <w:szCs w:val="20"/>
          <w:color w:val="auto"/>
        </w:rPr>
      </w:pPr>
      <w:r>
        <w:rPr>
          <w:sz w:val="20"/>
          <w:szCs w:val="20"/>
          <w:color w:val="auto"/>
        </w:rPr>
        <w:br w:type="column"/>
      </w:r>
    </w:p>
    <w:p>
      <w:pPr>
        <w:ind w:hanging="2"/>
        <w:spacing w:after="0" w:line="236" w:lineRule="auto"/>
        <w:rPr>
          <w:sz w:val="20"/>
          <w:szCs w:val="20"/>
          <w:color w:val="auto"/>
        </w:rPr>
      </w:pPr>
      <w:r>
        <w:rPr>
          <w:rFonts w:ascii="Times New Roman" w:cs="Times New Roman" w:eastAsia="Times New Roman" w:hAnsi="Times New Roman"/>
          <w:sz w:val="22"/>
          <w:szCs w:val="22"/>
          <w:color w:val="auto"/>
        </w:rPr>
        <w:t>“Stock Exchange Rules” means the applicable rules of any stock exchange upon which shares of the Company are listed;</w:t>
      </w:r>
    </w:p>
    <w:p>
      <w:pPr>
        <w:spacing w:after="0" w:line="146" w:lineRule="exact"/>
        <w:rPr>
          <w:sz w:val="20"/>
          <w:szCs w:val="20"/>
          <w:color w:val="auto"/>
        </w:rPr>
      </w:pPr>
    </w:p>
    <w:p>
      <w:pPr>
        <w:sectPr>
          <w:pgSz w:w="11900" w:h="16838" w:orient="portrait"/>
          <w:cols w:equalWidth="0" w:num="2">
            <w:col w:w="1000" w:space="300"/>
            <w:col w:w="9940"/>
          </w:cols>
          <w:pgMar w:left="320" w:top="126" w:right="339" w:bottom="1440" w:gutter="0" w:footer="0" w:header="0"/>
          <w:type w:val="continuous"/>
        </w:sectPr>
      </w:pP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 xml:space="preserve">“Subsidiary” means a subsidiary of the Company as defined by the </w:t>
      </w:r>
      <w:r>
        <w:rPr>
          <w:rFonts w:ascii="Times New Roman" w:cs="Times New Roman" w:eastAsia="Times New Roman" w:hAnsi="Times New Roman"/>
          <w:sz w:val="21"/>
          <w:szCs w:val="21"/>
          <w:i w:val="1"/>
          <w:iCs w:val="1"/>
          <w:color w:val="auto"/>
        </w:rPr>
        <w:t>Business Corporations Act</w:t>
      </w:r>
      <w:r>
        <w:rPr>
          <w:rFonts w:ascii="Times New Roman" w:cs="Times New Roman" w:eastAsia="Times New Roman" w:hAnsi="Times New Roman"/>
          <w:sz w:val="21"/>
          <w:szCs w:val="21"/>
          <w:color w:val="auto"/>
        </w:rPr>
        <w:t xml:space="preserve"> (Ontario);</w:t>
      </w:r>
    </w:p>
    <w:p>
      <w:pPr>
        <w:spacing w:after="0" w:line="195" w:lineRule="exact"/>
        <w:rPr>
          <w:sz w:val="20"/>
          <w:szCs w:val="20"/>
          <w:color w:val="auto"/>
        </w:rPr>
      </w:pPr>
    </w:p>
    <w:p>
      <w:pPr>
        <w:sectPr>
          <w:pgSz w:w="11900" w:h="16838" w:orient="portrait"/>
          <w:cols w:equalWidth="0" w:num="2">
            <w:col w:w="960" w:space="340"/>
            <w:col w:w="9940"/>
          </w:cols>
          <w:pgMar w:left="320" w:top="126" w:right="339" w:bottom="1440" w:gutter="0" w:footer="0" w:header="0"/>
          <w:type w:val="continuous"/>
        </w:sectPr>
      </w:pPr>
    </w:p>
    <w:p>
      <w:pPr>
        <w:ind w:left="660"/>
        <w:spacing w:after="0"/>
        <w:rPr>
          <w:sz w:val="20"/>
          <w:szCs w:val="20"/>
          <w:color w:val="auto"/>
        </w:rPr>
      </w:pPr>
      <w:r>
        <w:rPr>
          <w:rFonts w:ascii="Times New Roman" w:cs="Times New Roman" w:eastAsia="Times New Roman" w:hAnsi="Times New Roman"/>
          <w:sz w:val="21"/>
          <w:szCs w:val="21"/>
          <w:color w:val="auto"/>
        </w:rPr>
        <w:t>(am)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“TSX” means The Toronto Stock Exchange;</w:t>
      </w:r>
    </w:p>
    <w:p>
      <w:pPr>
        <w:spacing w:after="0" w:line="191" w:lineRule="exact"/>
        <w:rPr>
          <w:sz w:val="20"/>
          <w:szCs w:val="20"/>
          <w:color w:val="auto"/>
        </w:rPr>
      </w:pPr>
    </w:p>
    <w:p>
      <w:pPr>
        <w:sectPr>
          <w:pgSz w:w="11900" w:h="16838" w:orient="portrait"/>
          <w:cols w:equalWidth="0" w:num="2">
            <w:col w:w="1060" w:space="240"/>
            <w:col w:w="9940"/>
          </w:cols>
          <w:pgMar w:left="320" w:top="126" w:right="339" w:bottom="1440" w:gutter="0" w:footer="0" w:header="0"/>
          <w:type w:val="continuous"/>
        </w:sectPr>
      </w:pPr>
    </w:p>
    <w:p>
      <w:pPr>
        <w:ind w:left="660"/>
        <w:spacing w:after="0"/>
        <w:rPr>
          <w:sz w:val="20"/>
          <w:szCs w:val="20"/>
          <w:color w:val="auto"/>
        </w:rPr>
      </w:pPr>
      <w:r>
        <w:rPr>
          <w:rFonts w:ascii="Times New Roman" w:cs="Times New Roman" w:eastAsia="Times New Roman" w:hAnsi="Times New Roman"/>
          <w:sz w:val="21"/>
          <w:szCs w:val="21"/>
          <w:color w:val="auto"/>
        </w:rPr>
        <w:t>(an)</w:t>
      </w:r>
    </w:p>
    <w:p>
      <w:pPr>
        <w:spacing w:after="0" w:line="20" w:lineRule="exact"/>
        <w:rPr>
          <w:sz w:val="20"/>
          <w:szCs w:val="20"/>
          <w:color w:val="auto"/>
        </w:rPr>
      </w:pPr>
      <w:r>
        <w:rPr>
          <w:sz w:val="20"/>
          <w:szCs w:val="20"/>
          <w:color w:val="auto"/>
        </w:rPr>
        <w:br w:type="column"/>
      </w:r>
    </w:p>
    <w:p>
      <w:pPr>
        <w:jc w:val="both"/>
        <w:ind w:hanging="2"/>
        <w:spacing w:after="0" w:line="215" w:lineRule="auto"/>
        <w:rPr>
          <w:sz w:val="20"/>
          <w:szCs w:val="20"/>
          <w:color w:val="auto"/>
        </w:rPr>
      </w:pPr>
      <w:r>
        <w:rPr>
          <w:rFonts w:ascii="Times New Roman" w:cs="Times New Roman" w:eastAsia="Times New Roman" w:hAnsi="Times New Roman"/>
          <w:sz w:val="22"/>
          <w:szCs w:val="22"/>
          <w:color w:val="auto"/>
        </w:rPr>
        <w:t>“Vested” (or any applicable derivative term) shall mean, with respect to a Grant, Option, or Right, that the applicable conditions with respect to continued employment, passage of time, achievement of Performance Criteria and/or any other conditions established by the Committee have been satisfied or, to the extent permitted under the Plan, waived, whether or not the Participant's rights with respect to such Grant, Option, or Right may be conditioned upon prior or subsequent compliance with any confidentiality, non-competition or non-solicitation obligations;</w:t>
      </w:r>
    </w:p>
    <w:p>
      <w:pPr>
        <w:spacing w:after="0" w:line="152" w:lineRule="exact"/>
        <w:rPr>
          <w:sz w:val="20"/>
          <w:szCs w:val="20"/>
          <w:color w:val="auto"/>
        </w:rPr>
      </w:pPr>
    </w:p>
    <w:p>
      <w:pPr>
        <w:sectPr>
          <w:pgSz w:w="11900" w:h="16838" w:orient="portrait"/>
          <w:cols w:equalWidth="0" w:num="2">
            <w:col w:w="1000" w:space="300"/>
            <w:col w:w="9940"/>
          </w:cols>
          <w:pgMar w:left="320" w:top="126" w:right="339" w:bottom="1440" w:gutter="0" w:footer="0" w:header="0"/>
          <w:type w:val="continuous"/>
        </w:sectPr>
      </w:pPr>
    </w:p>
    <w:p>
      <w:pPr>
        <w:ind w:left="660"/>
        <w:spacing w:after="0"/>
        <w:rPr>
          <w:sz w:val="20"/>
          <w:szCs w:val="20"/>
          <w:color w:val="auto"/>
        </w:rPr>
      </w:pPr>
      <w:r>
        <w:rPr>
          <w:rFonts w:ascii="Times New Roman" w:cs="Times New Roman" w:eastAsia="Times New Roman" w:hAnsi="Times New Roman"/>
          <w:sz w:val="21"/>
          <w:szCs w:val="21"/>
          <w:color w:val="auto"/>
        </w:rPr>
        <w:t>(ao)</w:t>
      </w:r>
    </w:p>
    <w:p>
      <w:pPr>
        <w:spacing w:after="0" w:line="20" w:lineRule="exact"/>
        <w:rPr>
          <w:sz w:val="20"/>
          <w:szCs w:val="20"/>
          <w:color w:val="auto"/>
        </w:rPr>
      </w:pPr>
      <w:r>
        <w:rPr>
          <w:sz w:val="20"/>
          <w:szCs w:val="20"/>
          <w:color w:val="auto"/>
        </w:rPr>
        <w:br w:type="column"/>
      </w:r>
    </w:p>
    <w:p>
      <w:pPr>
        <w:ind w:hanging="2"/>
        <w:spacing w:after="0" w:line="236" w:lineRule="auto"/>
        <w:rPr>
          <w:sz w:val="20"/>
          <w:szCs w:val="20"/>
          <w:color w:val="auto"/>
        </w:rPr>
      </w:pPr>
      <w:r>
        <w:rPr>
          <w:rFonts w:ascii="Times New Roman" w:cs="Times New Roman" w:eastAsia="Times New Roman" w:hAnsi="Times New Roman"/>
          <w:sz w:val="22"/>
          <w:szCs w:val="22"/>
          <w:color w:val="auto"/>
        </w:rPr>
        <w:t>“Withholding Obligations” means any federal, provincial, state or local law relating to withholding of tax or other required deductions, including the amount, if any, includable in the income of a Participant; and</w:t>
      </w:r>
    </w:p>
    <w:p>
      <w:pPr>
        <w:spacing w:after="0" w:line="150" w:lineRule="exact"/>
        <w:rPr>
          <w:sz w:val="20"/>
          <w:szCs w:val="20"/>
          <w:color w:val="auto"/>
        </w:rPr>
      </w:pPr>
    </w:p>
    <w:p>
      <w:pPr>
        <w:sectPr>
          <w:pgSz w:w="11900" w:h="16838" w:orient="portrait"/>
          <w:cols w:equalWidth="0" w:num="2">
            <w:col w:w="1000" w:space="300"/>
            <w:col w:w="9940"/>
          </w:cols>
          <w:pgMar w:left="320" w:top="126" w:right="339" w:bottom="1440" w:gutter="0" w:footer="0" w:header="0"/>
          <w:type w:val="continuous"/>
        </w:sectPr>
      </w:pPr>
    </w:p>
    <w:p>
      <w:pPr>
        <w:ind w:left="660"/>
        <w:spacing w:after="0"/>
        <w:rPr>
          <w:sz w:val="20"/>
          <w:szCs w:val="20"/>
          <w:color w:val="auto"/>
        </w:rPr>
      </w:pPr>
      <w:r>
        <w:rPr>
          <w:rFonts w:ascii="Times New Roman" w:cs="Times New Roman" w:eastAsia="Times New Roman" w:hAnsi="Times New Roman"/>
          <w:sz w:val="21"/>
          <w:szCs w:val="21"/>
          <w:color w:val="auto"/>
        </w:rPr>
        <w:t>(ap)</w:t>
      </w:r>
    </w:p>
    <w:p>
      <w:pPr>
        <w:spacing w:after="0" w:line="20" w:lineRule="exact"/>
        <w:rPr>
          <w:sz w:val="20"/>
          <w:szCs w:val="20"/>
          <w:color w:val="auto"/>
        </w:rPr>
      </w:pPr>
      <w:r>
        <w:rPr>
          <w:sz w:val="20"/>
          <w:szCs w:val="20"/>
          <w:color w:val="auto"/>
        </w:rPr>
        <w:br w:type="column"/>
      </w:r>
    </w:p>
    <w:p>
      <w:pPr>
        <w:ind w:hanging="2"/>
        <w:spacing w:after="0" w:line="236" w:lineRule="auto"/>
        <w:rPr>
          <w:sz w:val="20"/>
          <w:szCs w:val="20"/>
          <w:color w:val="auto"/>
        </w:rPr>
      </w:pPr>
      <w:r>
        <w:rPr>
          <w:rFonts w:ascii="Times New Roman" w:cs="Times New Roman" w:eastAsia="Times New Roman" w:hAnsi="Times New Roman"/>
          <w:sz w:val="22"/>
          <w:szCs w:val="22"/>
          <w:color w:val="auto"/>
        </w:rPr>
        <w:t>“Year” in respect of an Option, Right or Share Unit, as the case may be, means a calendar year commencing on the Date of Grant of the Option, Right or Share Unit, as the case may be, or on any anniversary of such date.</w:t>
      </w:r>
    </w:p>
    <w:p>
      <w:pPr>
        <w:spacing w:after="0" w:line="150" w:lineRule="exact"/>
        <w:rPr>
          <w:sz w:val="20"/>
          <w:szCs w:val="20"/>
          <w:color w:val="auto"/>
        </w:rPr>
      </w:pPr>
    </w:p>
    <w:p>
      <w:pPr>
        <w:sectPr>
          <w:pgSz w:w="11900" w:h="16838" w:orient="portrait"/>
          <w:cols w:equalWidth="0" w:num="2">
            <w:col w:w="1000" w:space="300"/>
            <w:col w:w="9940"/>
          </w:cols>
          <w:pgMar w:left="320" w:top="126" w:right="339" w:bottom="1440" w:gutter="0" w:footer="0" w:header="0"/>
          <w:type w:val="continuous"/>
        </w:sectPr>
      </w:pPr>
    </w:p>
    <w:p>
      <w:pPr>
        <w:jc w:val="both"/>
        <w:spacing w:after="0" w:line="236" w:lineRule="auto"/>
        <w:rPr>
          <w:sz w:val="20"/>
          <w:szCs w:val="20"/>
          <w:color w:val="auto"/>
        </w:rPr>
      </w:pPr>
      <w:r>
        <w:rPr>
          <w:rFonts w:ascii="Times New Roman" w:cs="Times New Roman" w:eastAsia="Times New Roman" w:hAnsi="Times New Roman"/>
          <w:sz w:val="22"/>
          <w:szCs w:val="22"/>
          <w:color w:val="auto"/>
        </w:rPr>
        <w:t>2.2 Certain other defined terms used herein have the meanings ascribed to them in the Option Program, the Rights Program or the Share Unit Program.</w:t>
      </w:r>
    </w:p>
    <w:p>
      <w:pPr>
        <w:spacing w:after="0" w:line="150"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2.3 In this Plan, unless the context requires otherwise, words importing the singular number may be construed to extend to and include the plural number, and words importing the plural number may be construed to extend to and include the singular number.</w:t>
      </w:r>
    </w:p>
    <w:p>
      <w:pPr>
        <w:sectPr>
          <w:pgSz w:w="11900" w:h="16838" w:orient="portrait"/>
          <w:cols w:equalWidth="0" w:num="1">
            <w:col w:w="11240"/>
          </w:cols>
          <w:pgMar w:left="320" w:top="126" w:right="339" w:bottom="1440" w:gutter="0" w:footer="0" w:header="0"/>
          <w:type w:val="continuous"/>
        </w:sectPr>
      </w:pPr>
    </w:p>
    <w:bookmarkStart w:id="211" w:name="page212"/>
    <w:bookmarkEnd w:id="211"/>
    <w:p>
      <w:pPr>
        <w:jc w:val="center"/>
        <w:spacing w:after="0"/>
        <w:rPr>
          <w:sz w:val="20"/>
          <w:szCs w:val="20"/>
          <w:color w:val="auto"/>
        </w:rPr>
      </w:pPr>
      <w:r>
        <w:rPr>
          <w:rFonts w:ascii="Times New Roman" w:cs="Times New Roman" w:eastAsia="Times New Roman" w:hAnsi="Times New Roman"/>
          <w:sz w:val="22"/>
          <w:szCs w:val="22"/>
          <w:color w:val="auto"/>
        </w:rPr>
        <w:t>- 6 -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2.4 The Option Price per Share or Market Price may be expressed or designated in a currency other than Canadian dollars, based on the noon day foreign exchange rate as quoted by the Bank of Canada on the relevant date or such other foreign exchange rate basis as the Company may determine to be appropriate.</w:t>
      </w:r>
    </w:p>
    <w:p>
      <w:pPr>
        <w:spacing w:after="0" w:line="152"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2.5 This Plan is established under the laws of the Province of Ontario and the rights of all parties and the construction of each and every provision of the Plan and any Options, Rights or Share Units granted hereunder shall be construed according to the laws of the Province of Ontario.</w:t>
      </w:r>
    </w:p>
    <w:p>
      <w:pPr>
        <w:spacing w:after="0" w:line="153"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2"/>
          <w:szCs w:val="22"/>
          <w:color w:val="auto"/>
        </w:rPr>
        <w:t>2.6 This Plan consists of four parts, the first part (“Part I”) commencing with section 1, consisting of general provisions applicable to the Plan as a whole; the second part (“Part II”) commencing with section 5, consisting of the Option Program; the third part (“Part III”) commencing with section 12, consisting of the Rights Program; and the fourth part (“Part IV”) commencing with section 18, consisting of the Share Unit Program.</w:t>
      </w:r>
    </w:p>
    <w:p>
      <w:pPr>
        <w:spacing w:after="0" w:line="152" w:lineRule="exact"/>
        <w:rPr>
          <w:sz w:val="20"/>
          <w:szCs w:val="20"/>
          <w:color w:val="auto"/>
        </w:rPr>
      </w:pPr>
    </w:p>
    <w:p>
      <w:pPr>
        <w:ind w:left="1300" w:hanging="1292"/>
        <w:spacing w:after="0"/>
        <w:tabs>
          <w:tab w:leader="none" w:pos="1300"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GENERAL</w:t>
      </w:r>
    </w:p>
    <w:p>
      <w:pPr>
        <w:spacing w:after="0" w:line="179" w:lineRule="exact"/>
        <w:rPr>
          <w:sz w:val="20"/>
          <w:szCs w:val="20"/>
          <w:color w:val="auto"/>
        </w:rPr>
      </w:pPr>
    </w:p>
    <w:p>
      <w:pPr>
        <w:jc w:val="both"/>
        <w:spacing w:after="0" w:line="212" w:lineRule="auto"/>
        <w:rPr>
          <w:sz w:val="20"/>
          <w:szCs w:val="20"/>
          <w:color w:val="auto"/>
        </w:rPr>
      </w:pPr>
      <w:r>
        <w:rPr>
          <w:rFonts w:ascii="Times New Roman" w:cs="Times New Roman" w:eastAsia="Times New Roman" w:hAnsi="Times New Roman"/>
          <w:sz w:val="22"/>
          <w:szCs w:val="22"/>
          <w:color w:val="auto"/>
        </w:rPr>
        <w:t>3.1 The transfer of an employee from the Company to a Subsidiary or a Designated Affiliated Entity, from a Subsidiary or a Designated Affiliated Entity to the Company, or from one Subsidiary or Designated Affiliated Entity to another Subsidiary or Designated Affiliated Entity, shall not be considered a termination of employment for the purposes of the Plan, nor shall it be considered a termination of employment if a Participant is placed on such other leave of absence which is considered by the Company as continuing intact the employment relationship; in such a case, the employment relationship shall be continued until the later of the date when the leave equals ninety days or the date when a Participant’s right to reemployment shall no longer be guaranteed either by law or by contract, except that in the event active employment is not renewed at the end of the leave of absence, the employment relationship shall be deemed to have ceased at the beginning of the leave of absence.</w:t>
      </w:r>
    </w:p>
    <w:p>
      <w:pPr>
        <w:spacing w:after="0" w:line="156"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22"/>
          <w:szCs w:val="22"/>
          <w:color w:val="auto"/>
        </w:rPr>
        <w:t>3.2 The number of Shares which may be issued from the treasury of the Company under this Plan is limited to 29,000,000. The number of Shares which may be reserved for issue under Options, Rights or Share Units granted pursuant to this Plan, together with Shares reserved for issue under any other employee-related plan of the Company or options for services granted by the Company, to any one person shall not exceed 5% of the outstanding voting securities of the Company. The Company may from time to time designate in each case such other maximum number for this purpose which, however, will not in any event exceed the maximum number permitted from time to time under Stock Exchange Rules. The number of Shares which may be issued from the treasury of the Company under this Plan to Directors is limited to 2,000,000. The number of Shares reserved for issue under Options, Rights, or Share Units granted to Insiders pursuant to this Plan, together with Shares reserved for issue to Insiders under any other existing share compensation arrangement of the Company, shall not exceed 10% of the aggregate outstanding Multiple Voting Shares and Shares of the Company. Within any one-year period, the number of Shares issued to Insiders pursuant to this Plan and all other existing share compensation arrangements of the Company shall not exceed 10% of the aggregate outstanding Multiple Voting Shares and Shares of the Company and the number of Shares issued to any one Insider and such Insider’s Associates shall not exceed 5% of the aggregate outstanding Multiple Voting Shares and Shares of the Company. If the number of Shares shall be increased or decreased as a result of a stock split, consolidation, reclassification or recapitalization and not as a result of the issuance of Shares for additional consideration or by way of a stock dividend in the ordinary course, the Company may make appropriate adjustments to the maximum number of Shares which may be issued from the treasury of the Company under the Plan.</w:t>
      </w:r>
    </w:p>
    <w:p>
      <w:pPr>
        <w:sectPr>
          <w:pgSz w:w="11900" w:h="16838" w:orient="portrait"/>
          <w:cols w:equalWidth="0" w:num="1">
            <w:col w:w="11240"/>
          </w:cols>
          <w:pgMar w:left="320" w:top="126" w:right="339" w:bottom="1440" w:gutter="0" w:footer="0" w:header="0"/>
        </w:sectPr>
      </w:pPr>
    </w:p>
    <w:bookmarkStart w:id="212" w:name="page213"/>
    <w:bookmarkEnd w:id="212"/>
    <w:p>
      <w:pPr>
        <w:jc w:val="center"/>
        <w:spacing w:after="0"/>
        <w:rPr>
          <w:sz w:val="20"/>
          <w:szCs w:val="20"/>
          <w:color w:val="auto"/>
        </w:rPr>
      </w:pPr>
      <w:r>
        <w:rPr>
          <w:rFonts w:ascii="Times New Roman" w:cs="Times New Roman" w:eastAsia="Times New Roman" w:hAnsi="Times New Roman"/>
          <w:sz w:val="22"/>
          <w:szCs w:val="22"/>
          <w:color w:val="auto"/>
        </w:rPr>
        <w:t>- 7 -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2"/>
          <w:szCs w:val="22"/>
          <w:color w:val="auto"/>
        </w:rPr>
        <w:t>3.3 Subject to any Applicable Law, the Company may, but is not obligated to, acquire issued and outstanding Shares in the market for the purposes of providing Shares to Participants under the Plan. If it does so, the Company shall utilize the services of an Independent Broker. The Shares acquired for this purpose shall not be included for the purposes of the determining the maximum number of Shares to be issued under the Plan in accordance with section 3.2.</w:t>
      </w:r>
    </w:p>
    <w:p>
      <w:pPr>
        <w:spacing w:after="0" w:line="152"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3.4 From time to time the Company may, in addition to its powers under the Plan, add to or amend any of the provisions of the Plan or terminate the Plan or amend the terms of any Option, Right or Share Unit granted under the Plan; provided, however, that:</w:t>
      </w:r>
    </w:p>
    <w:p>
      <w:pPr>
        <w:spacing w:after="0" w:line="152" w:lineRule="exact"/>
        <w:rPr>
          <w:sz w:val="20"/>
          <w:szCs w:val="20"/>
          <w:color w:val="auto"/>
        </w:rPr>
      </w:pPr>
    </w:p>
    <w:p>
      <w:pPr>
        <w:ind w:left="1300" w:hanging="644"/>
        <w:spacing w:after="0" w:line="236" w:lineRule="auto"/>
        <w:tabs>
          <w:tab w:leader="none" w:pos="1297"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obtain approval of the holders of the voting securities, by a majority of the votes cast in present or by proxy at a meeting of shareholders, of the following:</w:t>
      </w:r>
    </w:p>
    <w:p>
      <w:pPr>
        <w:spacing w:after="0" w:line="150" w:lineRule="exact"/>
        <w:rPr>
          <w:rFonts w:ascii="Times New Roman" w:cs="Times New Roman" w:eastAsia="Times New Roman" w:hAnsi="Times New Roman"/>
          <w:sz w:val="22"/>
          <w:szCs w:val="22"/>
          <w:color w:val="auto"/>
        </w:rPr>
      </w:pPr>
    </w:p>
    <w:p>
      <w:pPr>
        <w:ind w:left="2080" w:hanging="387"/>
        <w:spacing w:after="0" w:line="236" w:lineRule="auto"/>
        <w:tabs>
          <w:tab w:leader="none" w:pos="2070" w:val="left"/>
        </w:tabs>
        <w:numPr>
          <w:ilvl w:val="1"/>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amendment to the Plan to increase the maximum number of Shares specified in section 3.2 which may be issued under this Plan;</w:t>
      </w:r>
    </w:p>
    <w:p>
      <w:pPr>
        <w:spacing w:after="0" w:line="150" w:lineRule="exact"/>
        <w:rPr>
          <w:rFonts w:ascii="Times New Roman" w:cs="Times New Roman" w:eastAsia="Times New Roman" w:hAnsi="Times New Roman"/>
          <w:sz w:val="22"/>
          <w:szCs w:val="22"/>
          <w:color w:val="auto"/>
        </w:rPr>
      </w:pPr>
    </w:p>
    <w:p>
      <w:pPr>
        <w:jc w:val="both"/>
        <w:ind w:left="2080" w:hanging="387"/>
        <w:spacing w:after="0" w:line="225" w:lineRule="auto"/>
        <w:tabs>
          <w:tab w:leader="none" w:pos="2077" w:val="left"/>
        </w:tabs>
        <w:numPr>
          <w:ilvl w:val="1"/>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amendment to an Option that would reduce the Option Price of an outstanding Option (including the cancellation of an Option and, in conjunction with such cancellation, re-grant of an Option at a reduced Option Price);</w:t>
      </w:r>
    </w:p>
    <w:p>
      <w:pPr>
        <w:spacing w:after="0" w:line="152" w:lineRule="exact"/>
        <w:rPr>
          <w:rFonts w:ascii="Times New Roman" w:cs="Times New Roman" w:eastAsia="Times New Roman" w:hAnsi="Times New Roman"/>
          <w:sz w:val="22"/>
          <w:szCs w:val="22"/>
          <w:color w:val="auto"/>
        </w:rPr>
      </w:pPr>
    </w:p>
    <w:p>
      <w:pPr>
        <w:ind w:left="2080" w:hanging="387"/>
        <w:spacing w:after="0" w:line="236" w:lineRule="auto"/>
        <w:tabs>
          <w:tab w:leader="none" w:pos="2069" w:val="left"/>
        </w:tabs>
        <w:numPr>
          <w:ilvl w:val="1"/>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amendment to an Option that would extend the term of any Option or Right granted under this Plan beyond the Latest Exercise Date;</w:t>
      </w:r>
    </w:p>
    <w:p>
      <w:pPr>
        <w:spacing w:after="0" w:line="150" w:lineRule="exact"/>
        <w:rPr>
          <w:rFonts w:ascii="Times New Roman" w:cs="Times New Roman" w:eastAsia="Times New Roman" w:hAnsi="Times New Roman"/>
          <w:sz w:val="22"/>
          <w:szCs w:val="22"/>
          <w:color w:val="auto"/>
        </w:rPr>
      </w:pPr>
    </w:p>
    <w:p>
      <w:pPr>
        <w:ind w:left="2080" w:hanging="387"/>
        <w:spacing w:after="0" w:line="236" w:lineRule="auto"/>
        <w:tabs>
          <w:tab w:leader="none" w:pos="2070" w:val="left"/>
        </w:tabs>
        <w:numPr>
          <w:ilvl w:val="1"/>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amendment which would expand the rights of a Participant to assign or transfer an Option, Right or Share Unit other than as set forth in section 3.7;</w:t>
      </w:r>
    </w:p>
    <w:p>
      <w:pPr>
        <w:spacing w:after="0" w:line="150" w:lineRule="exact"/>
        <w:rPr>
          <w:rFonts w:ascii="Times New Roman" w:cs="Times New Roman" w:eastAsia="Times New Roman" w:hAnsi="Times New Roman"/>
          <w:sz w:val="22"/>
          <w:szCs w:val="22"/>
          <w:color w:val="auto"/>
        </w:rPr>
      </w:pPr>
    </w:p>
    <w:p>
      <w:pPr>
        <w:ind w:left="2080" w:hanging="387"/>
        <w:spacing w:after="0" w:line="236" w:lineRule="auto"/>
        <w:tabs>
          <w:tab w:leader="none" w:pos="2078" w:val="left"/>
        </w:tabs>
        <w:numPr>
          <w:ilvl w:val="1"/>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amending the Plan to provide for other types of security-based compensation involving the issue of equity;</w:t>
      </w:r>
    </w:p>
    <w:p>
      <w:pPr>
        <w:spacing w:after="0" w:line="150" w:lineRule="exact"/>
        <w:rPr>
          <w:rFonts w:ascii="Times New Roman" w:cs="Times New Roman" w:eastAsia="Times New Roman" w:hAnsi="Times New Roman"/>
          <w:sz w:val="22"/>
          <w:szCs w:val="22"/>
          <w:color w:val="auto"/>
        </w:rPr>
      </w:pPr>
    </w:p>
    <w:p>
      <w:pPr>
        <w:ind w:left="2080" w:right="20" w:hanging="387"/>
        <w:spacing w:after="0" w:line="236" w:lineRule="auto"/>
        <w:tabs>
          <w:tab w:leader="none" w:pos="2070" w:val="left"/>
        </w:tabs>
        <w:numPr>
          <w:ilvl w:val="1"/>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amending or deleting section 6.3 so as to allow an Option to have a term of greater than 10 years except as contemplated by section 6.3;</w:t>
      </w:r>
    </w:p>
    <w:p>
      <w:pPr>
        <w:spacing w:after="0" w:line="150"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21"/>
          <w:szCs w:val="21"/>
          <w:color w:val="auto"/>
        </w:rPr>
        <w:t>(vii)increasing or deleting the percentage limits relating to Shares issuable or issued to Insiders in section 3.2;</w:t>
      </w:r>
    </w:p>
    <w:p>
      <w:pPr>
        <w:spacing w:after="0" w:line="191" w:lineRule="exact"/>
        <w:rPr>
          <w:sz w:val="20"/>
          <w:szCs w:val="20"/>
          <w:color w:val="auto"/>
        </w:rPr>
      </w:pPr>
    </w:p>
    <w:p>
      <w:pPr>
        <w:ind w:left="2080" w:hanging="387"/>
        <w:spacing w:after="0" w:line="236" w:lineRule="auto"/>
        <w:tabs>
          <w:tab w:leader="none" w:pos="2595"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increasing or deleting the percentage limit on Shares reserved for issuance to any one person pursuant to Options in section 3.2;</w:t>
      </w:r>
    </w:p>
    <w:p>
      <w:pPr>
        <w:spacing w:after="0" w:line="150" w:lineRule="exact"/>
        <w:rPr>
          <w:rFonts w:ascii="Times New Roman" w:cs="Times New Roman" w:eastAsia="Times New Roman" w:hAnsi="Times New Roman"/>
          <w:sz w:val="22"/>
          <w:szCs w:val="22"/>
          <w:color w:val="auto"/>
        </w:rPr>
      </w:pPr>
    </w:p>
    <w:p>
      <w:pPr>
        <w:ind w:left="2080" w:hanging="387"/>
        <w:spacing w:after="0"/>
        <w:tabs>
          <w:tab w:leader="none" w:pos="2080"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adding to the categories of Participants who may be designated for participation in the Plan; and</w:t>
      </w:r>
    </w:p>
    <w:p>
      <w:pPr>
        <w:spacing w:after="0" w:line="179" w:lineRule="exact"/>
        <w:rPr>
          <w:rFonts w:ascii="Times New Roman" w:cs="Times New Roman" w:eastAsia="Times New Roman" w:hAnsi="Times New Roman"/>
          <w:sz w:val="22"/>
          <w:szCs w:val="22"/>
          <w:color w:val="auto"/>
        </w:rPr>
      </w:pPr>
    </w:p>
    <w:p>
      <w:pPr>
        <w:ind w:left="2080" w:hanging="387"/>
        <w:spacing w:after="0"/>
        <w:tabs>
          <w:tab w:leader="none" w:pos="2080"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amending this clause (a) other than as permitted by Stock Exchange Rules;</w:t>
      </w:r>
    </w:p>
    <w:p>
      <w:pPr>
        <w:spacing w:after="0" w:line="206" w:lineRule="exact"/>
        <w:rPr>
          <w:sz w:val="20"/>
          <w:szCs w:val="20"/>
          <w:color w:val="auto"/>
        </w:rPr>
      </w:pPr>
    </w:p>
    <w:p>
      <w:pPr>
        <w:ind w:left="1300"/>
        <w:spacing w:after="0" w:line="271" w:lineRule="auto"/>
        <w:rPr>
          <w:sz w:val="20"/>
          <w:szCs w:val="20"/>
          <w:color w:val="auto"/>
        </w:rPr>
      </w:pPr>
      <w:r>
        <w:rPr>
          <w:rFonts w:ascii="Times New Roman" w:cs="Times New Roman" w:eastAsia="Times New Roman" w:hAnsi="Times New Roman"/>
          <w:sz w:val="22"/>
          <w:szCs w:val="22"/>
          <w:color w:val="auto"/>
        </w:rPr>
        <w:t>other than, for greater certainty, a change resulting from a change in share capital or Reorganization as contemplated by the provisions of this Plan; and</w:t>
      </w:r>
    </w:p>
    <w:p>
      <w:pPr>
        <w:spacing w:after="0" w:line="131" w:lineRule="exact"/>
        <w:rPr>
          <w:sz w:val="20"/>
          <w:szCs w:val="20"/>
          <w:color w:val="auto"/>
        </w:rPr>
      </w:pPr>
    </w:p>
    <w:p>
      <w:pPr>
        <w:jc w:val="both"/>
        <w:ind w:left="1300" w:hanging="644"/>
        <w:spacing w:after="0" w:line="225" w:lineRule="auto"/>
        <w:tabs>
          <w:tab w:leader="none" w:pos="1295"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such amendment or termination shall be made at any time which has the effect of adversely affecting the existing rights of a Participant under the Plan without his or her consent in writing unless the Company, at its option, acquires such</w:t>
      </w:r>
    </w:p>
    <w:p>
      <w:pPr>
        <w:sectPr>
          <w:pgSz w:w="11900" w:h="16838" w:orient="portrait"/>
          <w:cols w:equalWidth="0" w:num="1">
            <w:col w:w="11240"/>
          </w:cols>
          <w:pgMar w:left="320" w:top="126" w:right="339" w:bottom="1440" w:gutter="0" w:footer="0" w:header="0"/>
        </w:sectPr>
      </w:pPr>
    </w:p>
    <w:bookmarkStart w:id="213" w:name="page214"/>
    <w:bookmarkEnd w:id="213"/>
    <w:p>
      <w:pPr>
        <w:jc w:val="center"/>
        <w:spacing w:after="0"/>
        <w:rPr>
          <w:sz w:val="20"/>
          <w:szCs w:val="20"/>
          <w:color w:val="auto"/>
        </w:rPr>
      </w:pPr>
      <w:r>
        <w:rPr>
          <w:rFonts w:ascii="Times New Roman" w:cs="Times New Roman" w:eastAsia="Times New Roman" w:hAnsi="Times New Roman"/>
          <w:sz w:val="22"/>
          <w:szCs w:val="22"/>
          <w:color w:val="auto"/>
        </w:rPr>
        <w:t>- 8 -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300"/>
        <w:spacing w:after="0" w:line="236" w:lineRule="auto"/>
        <w:rPr>
          <w:sz w:val="20"/>
          <w:szCs w:val="20"/>
          <w:color w:val="auto"/>
        </w:rPr>
      </w:pPr>
      <w:r>
        <w:rPr>
          <w:rFonts w:ascii="Times New Roman" w:cs="Times New Roman" w:eastAsia="Times New Roman" w:hAnsi="Times New Roman"/>
          <w:sz w:val="22"/>
          <w:szCs w:val="22"/>
          <w:color w:val="auto"/>
        </w:rPr>
        <w:t>existing rights at an amount equal to the fair market value of such rights at such time as verified by an independent valuator.</w:t>
      </w:r>
    </w:p>
    <w:p>
      <w:pPr>
        <w:spacing w:after="0" w:line="177"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22"/>
          <w:szCs w:val="22"/>
          <w:color w:val="auto"/>
        </w:rPr>
        <w:t>For greater certainty, the Company may, under the authority of the Board, without limitation, subject to clause (b), and without shareholder approval under clause (a), otherwise amend the Plan or the terms and conditions of Options, Rights or Share Units granted under the Plan.</w:t>
      </w:r>
    </w:p>
    <w:p>
      <w:pPr>
        <w:spacing w:after="0" w:line="15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3.5 Notwithstanding section 3.4, no amendment shall be made to any provision of this Plan or to any Option granted hereunder that has the effect of reducing the Option Price per Share of any previously-granted Option.</w:t>
      </w:r>
    </w:p>
    <w:p>
      <w:pPr>
        <w:spacing w:after="0" w:line="150"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3.6 The determination by the Company of any question which may arise as to the interpretation or implementation of the Plan or any of the Options, Rights or Share Units granted hereunder shall be final and binding on all Participants and other persons claiming or deriving rights through any of them.</w:t>
      </w:r>
    </w:p>
    <w:p>
      <w:pPr>
        <w:spacing w:after="0" w:line="152"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22"/>
          <w:szCs w:val="22"/>
          <w:color w:val="auto"/>
        </w:rPr>
        <w:t>3.7 The Plan shall enure to the benefit of and be binding upon the Company, its successors and assigns. The interest of any Participant under the Plan or in any Option, Right or Share Unit shall not be transferable or alienable by him or her either by pledge, assignment or in any other manner, except to a spouse or a personal holding company or family trust controlled by a Participant, the shareholders or beneficiaries of which, as the case may be, are any combination of the Participant, the Participant’s spouse, the Participant’s minor children or the Participant’s minor grandchildren, and after his or her lifetime shall enure to the benefit of and be binding upon the Participant’s Beneficiary.</w:t>
      </w:r>
    </w:p>
    <w:p>
      <w:pPr>
        <w:spacing w:after="0" w:line="152"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21"/>
          <w:szCs w:val="21"/>
          <w:color w:val="auto"/>
        </w:rPr>
        <w:t>3.8 The Company’s obligation to issue or provide Shares in accordance with the terms of the Plan and any Options, Rights or Share Units granted hereunder is subject to compliance with Applicable Law applicable to the issuance and distribution of such Shares. As a condition of participating in the Plan, each Participant agrees to comply with all such Applicable Law and agrees to furnish to the Company all information and undertakings as may be required to permit compliance with such Applicable Law.</w:t>
      </w:r>
    </w:p>
    <w:p>
      <w:pPr>
        <w:spacing w:after="0" w:line="150"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22"/>
          <w:szCs w:val="22"/>
          <w:color w:val="auto"/>
        </w:rPr>
        <w:t>3.9 The Company, a Subsidiary or a Designated Affiliated Entity may withhold from any amount payable to a Participant, either under this Plan, or otherwise, such amount as may be necessary so as to ensure that the Company, the Subsidiary or Designated Affiliated Entity will be able to comply with the applicable provisions of any Withholding Obligations. The Company shall also have the right in its discretion to satisfy any liability for any Withholding Obligations by selling, or causing a broker to sell, on behalf of any Participant or causing any Participant to sell such number of Shares issued or provided to the Participant sufficient to fund the Withholding Obligations (after deducting any commissions payable to the broker), or retaining any amount payable which would otherwise be delivered, provided or paid to the Participant hereunder. The Company may require a Participant, as a condition to exercise of an Option or being issued or provided Shares hereunder, to make such arrangements as the Company may require so that the Company can satisfy applicable Withholding Obligations on terms and conditions determined by the Company in its sole discretion, including, without limitation, requiring the Participant to (i) remit the amount of any such Withholding Obligations to the Company in advance; (ii) reimburse the Company for any such Withholding Obligations; or (iii) cause a broker who sells Shares acquired by the Participant under the Plan on behalf of the Participant to withhold from the proceeds realized from such sale the amount required to satisfy any such Withholding Obligations and to remit such amount directly to the Company.</w:t>
      </w:r>
    </w:p>
    <w:p>
      <w:pPr>
        <w:spacing w:after="0" w:line="156"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3.10 A Participant shall not have the right or be entitled to exercise any voting rights, receive dividends or have or be entitled to any other rights as a shareholder in respect of (i) Shares</w:t>
      </w:r>
    </w:p>
    <w:p>
      <w:pPr>
        <w:sectPr>
          <w:pgSz w:w="11900" w:h="16838" w:orient="portrait"/>
          <w:cols w:equalWidth="0" w:num="1">
            <w:col w:w="11240"/>
          </w:cols>
          <w:pgMar w:left="320" w:top="126" w:right="339" w:bottom="1440" w:gutter="0" w:footer="0" w:header="0"/>
        </w:sectPr>
      </w:pPr>
    </w:p>
    <w:bookmarkStart w:id="214" w:name="page215"/>
    <w:bookmarkEnd w:id="214"/>
    <w:p>
      <w:pPr>
        <w:jc w:val="center"/>
        <w:spacing w:after="0"/>
        <w:rPr>
          <w:sz w:val="20"/>
          <w:szCs w:val="20"/>
          <w:color w:val="auto"/>
        </w:rPr>
      </w:pPr>
      <w:r>
        <w:rPr>
          <w:rFonts w:ascii="Times New Roman" w:cs="Times New Roman" w:eastAsia="Times New Roman" w:hAnsi="Times New Roman"/>
          <w:sz w:val="22"/>
          <w:szCs w:val="22"/>
          <w:color w:val="auto"/>
        </w:rPr>
        <w:t>- 9 -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ind w:right="20"/>
        <w:spacing w:after="0" w:line="236" w:lineRule="auto"/>
        <w:rPr>
          <w:sz w:val="20"/>
          <w:szCs w:val="20"/>
          <w:color w:val="auto"/>
        </w:rPr>
      </w:pPr>
      <w:r>
        <w:rPr>
          <w:rFonts w:ascii="Times New Roman" w:cs="Times New Roman" w:eastAsia="Times New Roman" w:hAnsi="Times New Roman"/>
          <w:sz w:val="22"/>
          <w:szCs w:val="22"/>
          <w:color w:val="auto"/>
        </w:rPr>
        <w:t>subject to an Option unless and until such Shares have been paid for in full and issued, (ii) any Rights, or (iii) any Share Units unless and until issued or provided in the form of Shares.</w:t>
      </w:r>
    </w:p>
    <w:p>
      <w:pPr>
        <w:spacing w:after="0" w:line="150"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22"/>
          <w:szCs w:val="22"/>
          <w:color w:val="auto"/>
        </w:rPr>
        <w:t>3.11 Neither designation of an employee as a Participant nor the grant of any Options, Rights or Share Units to any Participant entitles any Participant to the grant, or any additional grant, as the case may be, of any Options, Rights or Share Units under the Plan. Neither the Plan nor any action taken thereunder shall interfere with the right of the employer of a Participant to terminate a Participant’s employment at any time. Neither the period of notice, if any, nor any payment in lieu thereof, upon termination of employment shall be considered as extending the period of employment for the purposes of the Plan.</w:t>
      </w:r>
    </w:p>
    <w:p>
      <w:pPr>
        <w:spacing w:after="0" w:line="152"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3.12 No member of the Board or the Committee shall be liable for any action or determination made in good faith in connection with the Plan and members of the Board and the Committee shall be entitled to indemnification and reimbursement from the Company in respect of any claim relating thereto.</w:t>
      </w:r>
    </w:p>
    <w:p>
      <w:pPr>
        <w:spacing w:after="0" w:line="15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3.13 Participation in the Plan shall be entirely voluntary and any decision not to participate shall not affect any employee’s employment with, or any Consultant’s engagement by, the Company, a Subsidiary or Designated Affiliated Entity.</w:t>
      </w:r>
    </w:p>
    <w:p>
      <w:pPr>
        <w:spacing w:after="0" w:line="150"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3.14 If any provision of this Plan is determined to be invalid or unenforceable in whole or in part, such invalidity or unenforceability shall attach only to such provision or part thereof and the remaining part, if any, of such provision and all other provisions hereof shall continue in full force and effect.</w:t>
      </w:r>
    </w:p>
    <w:p>
      <w:pPr>
        <w:spacing w:after="0" w:line="152" w:lineRule="exact"/>
        <w:rPr>
          <w:sz w:val="20"/>
          <w:szCs w:val="20"/>
          <w:color w:val="auto"/>
        </w:rPr>
      </w:pPr>
    </w:p>
    <w:p>
      <w:pPr>
        <w:jc w:val="both"/>
        <w:spacing w:after="0" w:line="213" w:lineRule="auto"/>
        <w:rPr>
          <w:sz w:val="20"/>
          <w:szCs w:val="20"/>
          <w:color w:val="auto"/>
        </w:rPr>
      </w:pPr>
      <w:r>
        <w:rPr>
          <w:rFonts w:ascii="Times New Roman" w:cs="Times New Roman" w:eastAsia="Times New Roman" w:hAnsi="Times New Roman"/>
          <w:sz w:val="22"/>
          <w:szCs w:val="22"/>
          <w:color w:val="auto"/>
        </w:rPr>
        <w:t>3.15 Neither the establishment of the Plan nor the grant of any Rights or Share Units or the setting aside of any funds by the Company (if, in its sole discretion, it chooses to do so) shall be deemed to create a trust. Legal and equitable title to any funds set aside for the purposes of the Plan shall remain in the Company and no Participant shall have any security or other interest in such funds. Any funds so set aside shall remain subject to the claims of creditors of the Company present or future. Amounts payable to any Participant under the Plan shall be a general, unsecured obligation of the Company. The right of the Participant or Beneficiary to receive payment pursuant to the Plan shall be no greater than the right of other unsecured creditors of the Company.</w:t>
      </w:r>
    </w:p>
    <w:p>
      <w:pPr>
        <w:spacing w:after="0" w:line="15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3.16</w:t>
      </w:r>
      <w:r>
        <w:rPr>
          <w:sz w:val="20"/>
          <w:szCs w:val="20"/>
          <w:color w:val="auto"/>
        </w:rPr>
        <w:tab/>
      </w:r>
      <w:r>
        <w:rPr>
          <w:rFonts w:ascii="Times New Roman" w:cs="Times New Roman" w:eastAsia="Times New Roman" w:hAnsi="Times New Roman"/>
          <w:sz w:val="21"/>
          <w:szCs w:val="21"/>
          <w:color w:val="auto"/>
        </w:rPr>
        <w:t>This Plan is hereby instituted this 28th day of June, 1998.</w:t>
      </w:r>
    </w:p>
    <w:p>
      <w:pPr>
        <w:spacing w:after="0" w:line="179" w:lineRule="exact"/>
        <w:rPr>
          <w:sz w:val="20"/>
          <w:szCs w:val="20"/>
          <w:color w:val="auto"/>
        </w:rPr>
      </w:pPr>
    </w:p>
    <w:p>
      <w:pPr>
        <w:ind w:left="1300" w:hanging="1292"/>
        <w:spacing w:after="0"/>
        <w:tabs>
          <w:tab w:leader="none" w:pos="1300"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ADMINISTRATION</w:t>
      </w:r>
    </w:p>
    <w:p>
      <w:pPr>
        <w:spacing w:after="0" w:line="179"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22"/>
          <w:szCs w:val="22"/>
          <w:color w:val="auto"/>
        </w:rPr>
        <w:t>4.1 The Plan shall be administered by the Company in accordance with its provisions. All costs and expenses of administering the Plan will be paid by the Company, but the Company shall not be responsible for the payment of any fees or expenses in respect of the re-sale by a Participant of Shares acquired by him or her under the Plan. The Company, may from time to time, establish administrative rules and regulations and prescribe forms or documents relating to the operation of the Plan as it may deem necessary to implement or further the purpose of the Plan and amend or repeal such rules and regulations or forms or documents. The Company, in its discretion, may appoint a Committee for the purpose of interpreting, administering and implementing the Plan or a Program. In administering the Plan, the Company or the Committee may seek recommendations from the chief executive officer of the Company. The Company may also delegate to the Committee or any director, officer or employee of the Company such duties and powers, relating to the Plan or a Program as it may see fit. The Company may also appoint or engage a trustee, custodian or administrator to administer or implement the Plan or a Program.</w:t>
      </w:r>
    </w:p>
    <w:p>
      <w:pPr>
        <w:sectPr>
          <w:pgSz w:w="11900" w:h="16838" w:orient="portrait"/>
          <w:cols w:equalWidth="0" w:num="1">
            <w:col w:w="11240"/>
          </w:cols>
          <w:pgMar w:left="320" w:top="126" w:right="339" w:bottom="1440" w:gutter="0" w:footer="0" w:header="0"/>
        </w:sectPr>
      </w:pPr>
    </w:p>
    <w:bookmarkStart w:id="215" w:name="page216"/>
    <w:bookmarkEnd w:id="215"/>
    <w:p>
      <w:pPr>
        <w:jc w:val="center"/>
        <w:spacing w:after="0"/>
        <w:rPr>
          <w:sz w:val="20"/>
          <w:szCs w:val="20"/>
          <w:color w:val="auto"/>
        </w:rPr>
      </w:pPr>
      <w:r>
        <w:rPr>
          <w:rFonts w:ascii="Times New Roman" w:cs="Times New Roman" w:eastAsia="Times New Roman" w:hAnsi="Times New Roman"/>
          <w:sz w:val="22"/>
          <w:szCs w:val="22"/>
          <w:color w:val="auto"/>
        </w:rPr>
        <w:t>- 10 -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12" w:lineRule="auto"/>
        <w:rPr>
          <w:sz w:val="20"/>
          <w:szCs w:val="20"/>
          <w:color w:val="auto"/>
        </w:rPr>
      </w:pPr>
      <w:r>
        <w:rPr>
          <w:rFonts w:ascii="Times New Roman" w:cs="Times New Roman" w:eastAsia="Times New Roman" w:hAnsi="Times New Roman"/>
          <w:sz w:val="22"/>
          <w:szCs w:val="22"/>
          <w:color w:val="auto"/>
        </w:rPr>
        <w:t>4.2 The Company shall keep or cause to be kept such records and accounts as may be necessary or appropriate in connection with the administration of the Plan and the discharge of its duties. At such times as the Company shall determine, the Company shall furnish the Participant with a statement setting forth the details of his or her Options, Rights or Share Units, including Date of Grant, Designated Amount and the Option Price of each Option, the number of Shares in respect of which the Option has been exercised, the maximum number of Shares which the Participant may still purchase under the Option Program, the Designated Rights Amount held by each Participant and the number and type of Share Units held by each Participant. Such statement shall be deemed to have been accepted by the Participant as correct unless written notice to the contrary is given to the Company within 30 days after such statement is given to the Participant.</w:t>
      </w:r>
    </w:p>
    <w:p>
      <w:pPr>
        <w:spacing w:after="0" w:line="156"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4.3 (a) Any payment, notice, statement, certificate or other instrument required or permitted to be given to a Participant or any person claiming or deriving any rights through him or her shall be given by:</w:t>
      </w:r>
    </w:p>
    <w:p>
      <w:pPr>
        <w:spacing w:after="0" w:line="150" w:lineRule="exact"/>
        <w:rPr>
          <w:sz w:val="20"/>
          <w:szCs w:val="20"/>
          <w:color w:val="auto"/>
        </w:rPr>
      </w:pPr>
    </w:p>
    <w:p>
      <w:pPr>
        <w:ind w:left="2080" w:hanging="387"/>
        <w:spacing w:after="0" w:line="236" w:lineRule="auto"/>
        <w:tabs>
          <w:tab w:leader="none" w:pos="2070" w:val="left"/>
        </w:tabs>
        <w:numPr>
          <w:ilvl w:val="1"/>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delivering it personally to the Participant or to the person claiming or deriving rights through him or her, as the case may be, or</w:t>
      </w:r>
    </w:p>
    <w:p>
      <w:pPr>
        <w:spacing w:after="0" w:line="150" w:lineRule="exact"/>
        <w:rPr>
          <w:rFonts w:ascii="Times New Roman" w:cs="Times New Roman" w:eastAsia="Times New Roman" w:hAnsi="Times New Roman"/>
          <w:sz w:val="22"/>
          <w:szCs w:val="22"/>
          <w:color w:val="auto"/>
        </w:rPr>
      </w:pPr>
    </w:p>
    <w:p>
      <w:pPr>
        <w:jc w:val="both"/>
        <w:ind w:left="2080" w:hanging="387"/>
        <w:spacing w:after="0" w:line="220" w:lineRule="auto"/>
        <w:tabs>
          <w:tab w:leader="none" w:pos="2077" w:val="left"/>
        </w:tabs>
        <w:numPr>
          <w:ilvl w:val="1"/>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mailing it postage paid (provided that the postal service is then in operation) or delivering it to the address which is maintained for the Participant in the Company’s personnel records or (other than in the case of a payment) sending it by means of facsimile or similar means of electronic transmission (including e-mail).</w:t>
      </w:r>
    </w:p>
    <w:p>
      <w:pPr>
        <w:spacing w:after="0" w:line="152" w:lineRule="exact"/>
        <w:rPr>
          <w:rFonts w:ascii="Times New Roman" w:cs="Times New Roman" w:eastAsia="Times New Roman" w:hAnsi="Times New Roman"/>
          <w:sz w:val="22"/>
          <w:szCs w:val="22"/>
          <w:color w:val="auto"/>
        </w:rPr>
      </w:pPr>
    </w:p>
    <w:p>
      <w:pPr>
        <w:jc w:val="both"/>
        <w:ind w:left="1300" w:hanging="644"/>
        <w:spacing w:after="0" w:line="220" w:lineRule="auto"/>
        <w:tabs>
          <w:tab w:leader="none" w:pos="1297"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payment, notice, statement, certificate or other instrument required or permitted to be given to the Company shall be given by mailing it postage paid (provided that the postal service is then in operation), delivering it to the Company at its principal address, or (other than in the case of a payment) sending it by means of facsimile or similar means of electronic transmission (including e-mail), to the attention of the Company Secretary.</w:t>
      </w:r>
    </w:p>
    <w:p>
      <w:pPr>
        <w:spacing w:after="0" w:line="152" w:lineRule="exact"/>
        <w:rPr>
          <w:rFonts w:ascii="Times New Roman" w:cs="Times New Roman" w:eastAsia="Times New Roman" w:hAnsi="Times New Roman"/>
          <w:sz w:val="22"/>
          <w:szCs w:val="22"/>
          <w:color w:val="auto"/>
        </w:rPr>
      </w:pPr>
    </w:p>
    <w:p>
      <w:pPr>
        <w:jc w:val="both"/>
        <w:ind w:left="1300" w:hanging="644"/>
        <w:spacing w:after="0" w:line="217" w:lineRule="auto"/>
        <w:tabs>
          <w:tab w:leader="none" w:pos="1295"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payment, notice, statement, certificate or other instrument referred to in section 4.3(a) or 4.3(b), if delivered, shall be deemed to have been given or delivered on the date on which it was delivered, if mailed (provided that the postal service is then in operation), shall be deemed to have been given or delivered on the second business day following the date on which it was mailed and if by facsimile or similar means of electronic transmission, on the next business day following transmission.</w:t>
      </w:r>
    </w:p>
    <w:p>
      <w:pPr>
        <w:sectPr>
          <w:pgSz w:w="11900" w:h="16838" w:orient="portrait"/>
          <w:cols w:equalWidth="0" w:num="1">
            <w:col w:w="11240"/>
          </w:cols>
          <w:pgMar w:left="320" w:top="126" w:right="339" w:bottom="1440" w:gutter="0" w:footer="0" w:header="0"/>
        </w:sectPr>
      </w:pPr>
    </w:p>
    <w:bookmarkStart w:id="216" w:name="page217"/>
    <w:bookmarkEnd w:id="216"/>
    <w:p>
      <w:pPr>
        <w:jc w:val="center"/>
        <w:spacing w:after="0"/>
        <w:rPr>
          <w:sz w:val="20"/>
          <w:szCs w:val="20"/>
          <w:color w:val="auto"/>
        </w:rPr>
      </w:pPr>
      <w:r>
        <w:rPr>
          <w:rFonts w:ascii="Times New Roman" w:cs="Times New Roman" w:eastAsia="Times New Roman" w:hAnsi="Times New Roman"/>
          <w:sz w:val="22"/>
          <w:szCs w:val="22"/>
          <w:color w:val="auto"/>
        </w:rPr>
        <w:t>- 11 -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PART II</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STOCK OPTION PROGRAM</w:t>
      </w:r>
    </w:p>
    <w:p>
      <w:pPr>
        <w:spacing w:after="0" w:line="200" w:lineRule="exact"/>
        <w:rPr>
          <w:sz w:val="20"/>
          <w:szCs w:val="20"/>
          <w:color w:val="auto"/>
        </w:rPr>
      </w:pPr>
    </w:p>
    <w:p>
      <w:pPr>
        <w:spacing w:after="0" w:line="209" w:lineRule="exact"/>
        <w:rPr>
          <w:sz w:val="20"/>
          <w:szCs w:val="20"/>
          <w:color w:val="auto"/>
        </w:rPr>
      </w:pPr>
    </w:p>
    <w:p>
      <w:pPr>
        <w:ind w:left="1300" w:hanging="1292"/>
        <w:spacing w:after="0"/>
        <w:tabs>
          <w:tab w:leader="none" w:pos="1300"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STOCK OPTION PROGRAM DEFINITIONS</w:t>
      </w:r>
    </w:p>
    <w:p>
      <w:pPr>
        <w:spacing w:after="0" w:line="17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5.1</w:t>
      </w:r>
      <w:r>
        <w:rPr>
          <w:sz w:val="20"/>
          <w:szCs w:val="20"/>
          <w:color w:val="auto"/>
        </w:rPr>
        <w:tab/>
      </w:r>
      <w:r>
        <w:rPr>
          <w:rFonts w:ascii="Times New Roman" w:cs="Times New Roman" w:eastAsia="Times New Roman" w:hAnsi="Times New Roman"/>
          <w:sz w:val="21"/>
          <w:szCs w:val="21"/>
          <w:color w:val="auto"/>
        </w:rPr>
        <w:t>In this Program, the following terms have the following meanings:</w:t>
      </w:r>
    </w:p>
    <w:p>
      <w:pPr>
        <w:spacing w:after="0" w:line="179" w:lineRule="exact"/>
        <w:rPr>
          <w:sz w:val="20"/>
          <w:szCs w:val="20"/>
          <w:color w:val="auto"/>
        </w:rPr>
      </w:pPr>
    </w:p>
    <w:p>
      <w:pPr>
        <w:ind w:left="1300" w:hanging="644"/>
        <w:spacing w:after="0" w:line="236" w:lineRule="auto"/>
        <w:tabs>
          <w:tab w:leader="none" w:pos="1297"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“Designated Amount” of a Participant’s Option means the maximum number of Shares which the Participant may purchase under the Option, as designated by the Company;</w:t>
      </w:r>
    </w:p>
    <w:p>
      <w:pPr>
        <w:spacing w:after="0" w:line="150" w:lineRule="exact"/>
        <w:rPr>
          <w:rFonts w:ascii="Times New Roman" w:cs="Times New Roman" w:eastAsia="Times New Roman" w:hAnsi="Times New Roman"/>
          <w:sz w:val="22"/>
          <w:szCs w:val="22"/>
          <w:color w:val="auto"/>
        </w:rPr>
      </w:pPr>
    </w:p>
    <w:p>
      <w:pPr>
        <w:jc w:val="both"/>
        <w:ind w:left="1300" w:hanging="644"/>
        <w:spacing w:after="0" w:line="217" w:lineRule="auto"/>
        <w:tabs>
          <w:tab w:leader="none" w:pos="1295"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“Designated Percentage” in respect of an Option means the percentage of the Designated Amount representing the maximum number of Shares which a Participant may purchase under the Option during each Option Year which, unless otherwise determined by the Company, shall be 20% commencing on the second Option Year, 40% commencing on the third Option Year, 60% commencing on the fourth Option Year, 80% commencing on the fifth Option Year and 100% commencing on the sixth Option Year;</w:t>
      </w:r>
    </w:p>
    <w:p>
      <w:pPr>
        <w:spacing w:after="0" w:line="152" w:lineRule="exact"/>
        <w:rPr>
          <w:rFonts w:ascii="Times New Roman" w:cs="Times New Roman" w:eastAsia="Times New Roman" w:hAnsi="Times New Roman"/>
          <w:sz w:val="22"/>
          <w:szCs w:val="22"/>
          <w:color w:val="auto"/>
        </w:rPr>
      </w:pPr>
    </w:p>
    <w:p>
      <w:pPr>
        <w:ind w:left="1300" w:hanging="644"/>
        <w:spacing w:after="0" w:line="236" w:lineRule="auto"/>
        <w:tabs>
          <w:tab w:leader="none" w:pos="1297"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“Option Price” in respect of an Option means the price designated by the Company at which the Participant may purchase a Share under the Option; and</w:t>
      </w:r>
    </w:p>
    <w:p>
      <w:pPr>
        <w:spacing w:after="0" w:line="150"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“Program” means this Stock Option Program.</w:t>
      </w:r>
    </w:p>
    <w:p>
      <w:pPr>
        <w:spacing w:after="0" w:line="179" w:lineRule="exact"/>
        <w:rPr>
          <w:sz w:val="20"/>
          <w:szCs w:val="20"/>
          <w:color w:val="auto"/>
        </w:rPr>
      </w:pPr>
    </w:p>
    <w:p>
      <w:pPr>
        <w:ind w:left="1300" w:right="5860" w:hanging="1292"/>
        <w:spacing w:after="0" w:line="255" w:lineRule="auto"/>
        <w:tabs>
          <w:tab w:leader="none" w:pos="1300" w:val="left"/>
        </w:tabs>
        <w:numPr>
          <w:ilvl w:val="0"/>
          <w:numId w:val="1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GRANTING OF OPTIONS AND DETERMINATION OF THE OPTION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-41910</wp:posOffset>
            </wp:positionV>
            <wp:extent cx="259080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8">
                      <a:extLst>
                        <a:ext uri="{28A0092B-C50C-407E-A947-70E740481C1C}"/>
                      </a:extLst>
                    </a:blip>
                    <a:srcRect/>
                    <a:stretch>
                      <a:fillRect/>
                    </a:stretch>
                  </pic:blipFill>
                  <pic:spPr bwMode="auto">
                    <a:xfrm>
                      <a:off x="0" y="0"/>
                      <a:ext cx="2590800" cy="8255"/>
                    </a:xfrm>
                    <a:prstGeom prst="rect">
                      <a:avLst/>
                    </a:prstGeom>
                    <a:noFill/>
                  </pic:spPr>
                </pic:pic>
              </a:graphicData>
            </a:graphic>
          </wp:anchor>
        </w:drawing>
      </w:r>
    </w:p>
    <w:p>
      <w:pPr>
        <w:spacing w:after="0" w:line="115"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22"/>
          <w:szCs w:val="22"/>
          <w:color w:val="auto"/>
        </w:rPr>
        <w:t>6.1 From time to time the Company may grant Options to Participants to acquire Shares in accordance with the Plan. In granting each such Option, the Company shall designate:</w:t>
      </w:r>
    </w:p>
    <w:p>
      <w:pPr>
        <w:spacing w:after="0" w:line="150" w:lineRule="exact"/>
        <w:rPr>
          <w:sz w:val="20"/>
          <w:szCs w:val="20"/>
          <w:color w:val="auto"/>
        </w:rPr>
      </w:pPr>
    </w:p>
    <w:p>
      <w:pPr>
        <w:ind w:left="1300" w:hanging="644"/>
        <w:spacing w:after="0"/>
        <w:tabs>
          <w:tab w:leader="none" w:pos="1300"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Designated Amount of Shares;</w:t>
      </w:r>
    </w:p>
    <w:p>
      <w:pPr>
        <w:spacing w:after="0" w:line="17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Earliest Exercise Date, which may be the Date of Grant;</w:t>
      </w:r>
    </w:p>
    <w:p>
      <w:pPr>
        <w:spacing w:after="0" w:line="17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Latest Exercise Date;</w:t>
      </w:r>
    </w:p>
    <w:p>
      <w:pPr>
        <w:spacing w:after="0" w:line="17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Designated Percentage; and</w:t>
      </w:r>
    </w:p>
    <w:p>
      <w:pPr>
        <w:spacing w:after="0" w:line="17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Option Price, which price shall be determined by the Company in accordance with section 6.2.</w:t>
      </w:r>
    </w:p>
    <w:p>
      <w:pPr>
        <w:spacing w:after="0" w:line="179"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22"/>
          <w:szCs w:val="22"/>
          <w:color w:val="auto"/>
        </w:rPr>
        <w:t>6.2 The Option Price per Share in respect of an Option shall be not less than the price per Share of the last reporting selling price of at least a Board Lot of the Shares on the day preceding the Date of Grant of the Option on the TSX or NYSE, as selected by the Company on the Date of Grant, and, if there were no such trades on that day, the weighted average trading price of the Shares for the previous five days on which the Shares traded on the TSX or NYSE, as selected by the Company on the Date of Grant.</w:t>
      </w:r>
    </w:p>
    <w:p>
      <w:pPr>
        <w:spacing w:after="0" w:line="152"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6.3 The Latest Exercise Date shall be no later than the date which is the tenth anniversary of the Date of Grant. Notwithstanding the foregoing, the Latest Exercise Date shall be extended to the tenth business day following the last day of a Blackout Period if the Latest Exercise Date</w:t>
      </w:r>
    </w:p>
    <w:p>
      <w:pPr>
        <w:sectPr>
          <w:pgSz w:w="11900" w:h="16838" w:orient="portrait"/>
          <w:cols w:equalWidth="0" w:num="1">
            <w:col w:w="11240"/>
          </w:cols>
          <w:pgMar w:left="320" w:top="126" w:right="339" w:bottom="1440" w:gutter="0" w:footer="0" w:header="0"/>
        </w:sectPr>
      </w:pPr>
    </w:p>
    <w:bookmarkStart w:id="217" w:name="page218"/>
    <w:bookmarkEnd w:id="217"/>
    <w:p>
      <w:pPr>
        <w:jc w:val="center"/>
        <w:spacing w:after="0"/>
        <w:rPr>
          <w:sz w:val="20"/>
          <w:szCs w:val="20"/>
          <w:color w:val="auto"/>
        </w:rPr>
      </w:pPr>
      <w:r>
        <w:rPr>
          <w:rFonts w:ascii="Times New Roman" w:cs="Times New Roman" w:eastAsia="Times New Roman" w:hAnsi="Times New Roman"/>
          <w:sz w:val="22"/>
          <w:szCs w:val="22"/>
          <w:color w:val="auto"/>
        </w:rPr>
        <w:t>- 12 -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would otherwise occur in a Blackout Period or within five days of the end of the Blackout Period.</w:t>
      </w:r>
    </w:p>
    <w:p>
      <w:pPr>
        <w:spacing w:after="0" w:line="17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6.4</w:t>
      </w:r>
      <w:r>
        <w:rPr>
          <w:sz w:val="20"/>
          <w:szCs w:val="20"/>
          <w:color w:val="auto"/>
        </w:rPr>
        <w:tab/>
      </w:r>
      <w:r>
        <w:rPr>
          <w:rFonts w:ascii="Times New Roman" w:cs="Times New Roman" w:eastAsia="Times New Roman" w:hAnsi="Times New Roman"/>
          <w:sz w:val="21"/>
          <w:szCs w:val="21"/>
          <w:color w:val="auto"/>
        </w:rPr>
        <w:t>Subject to the terms of the Plan, the Company may determine other terms or conditions, if any, of any Options, including:</w:t>
      </w:r>
    </w:p>
    <w:p>
      <w:pPr>
        <w:spacing w:after="0" w:line="179" w:lineRule="exact"/>
        <w:rPr>
          <w:sz w:val="20"/>
          <w:szCs w:val="20"/>
          <w:color w:val="auto"/>
        </w:rPr>
      </w:pPr>
    </w:p>
    <w:p>
      <w:pPr>
        <w:ind w:left="1300" w:hanging="644"/>
        <w:spacing w:after="0" w:line="236" w:lineRule="auto"/>
        <w:tabs>
          <w:tab w:leader="none" w:pos="1297" w:val="left"/>
        </w:tabs>
        <w:numPr>
          <w:ilvl w:val="0"/>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additional conditions on the grant of Options under the Program, including conditions as to the ownership of Shares by a Participant;</w:t>
      </w:r>
    </w:p>
    <w:p>
      <w:pPr>
        <w:spacing w:after="0" w:line="150" w:lineRule="exact"/>
        <w:rPr>
          <w:rFonts w:ascii="Times New Roman" w:cs="Times New Roman" w:eastAsia="Times New Roman" w:hAnsi="Times New Roman"/>
          <w:sz w:val="22"/>
          <w:szCs w:val="22"/>
          <w:color w:val="auto"/>
        </w:rPr>
      </w:pPr>
    </w:p>
    <w:p>
      <w:pPr>
        <w:ind w:left="1300" w:right="20" w:hanging="644"/>
        <w:spacing w:after="0" w:line="236" w:lineRule="auto"/>
        <w:tabs>
          <w:tab w:leader="none" w:pos="1295" w:val="left"/>
        </w:tabs>
        <w:numPr>
          <w:ilvl w:val="0"/>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additional conditions with respect to the exercise of Options under the Program, including conditions in respect of</w:t>
      </w:r>
    </w:p>
    <w:p>
      <w:pPr>
        <w:spacing w:after="0" w:line="150" w:lineRule="exact"/>
        <w:rPr>
          <w:rFonts w:ascii="Times New Roman" w:cs="Times New Roman" w:eastAsia="Times New Roman" w:hAnsi="Times New Roman"/>
          <w:sz w:val="22"/>
          <w:szCs w:val="22"/>
          <w:color w:val="auto"/>
        </w:rPr>
      </w:pPr>
    </w:p>
    <w:p>
      <w:pPr>
        <w:ind w:left="2080" w:hanging="387"/>
        <w:spacing w:after="0"/>
        <w:tabs>
          <w:tab w:leader="none" w:pos="2080" w:val="left"/>
        </w:tabs>
        <w:numPr>
          <w:ilvl w:val="1"/>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market price of the Shares,</w:t>
      </w:r>
    </w:p>
    <w:p>
      <w:pPr>
        <w:spacing w:after="0" w:line="179" w:lineRule="exact"/>
        <w:rPr>
          <w:rFonts w:ascii="Times New Roman" w:cs="Times New Roman" w:eastAsia="Times New Roman" w:hAnsi="Times New Roman"/>
          <w:sz w:val="22"/>
          <w:szCs w:val="22"/>
          <w:color w:val="auto"/>
        </w:rPr>
      </w:pPr>
    </w:p>
    <w:p>
      <w:pPr>
        <w:ind w:left="2080" w:hanging="387"/>
        <w:spacing w:after="0" w:line="236" w:lineRule="auto"/>
        <w:tabs>
          <w:tab w:leader="none" w:pos="2077" w:val="left"/>
        </w:tabs>
        <w:numPr>
          <w:ilvl w:val="1"/>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financial performance or results of the Company, a Subsidiary, a Designated Affiliated Entity or business unit, and</w:t>
      </w:r>
    </w:p>
    <w:p>
      <w:pPr>
        <w:spacing w:after="0" w:line="150" w:lineRule="exact"/>
        <w:rPr>
          <w:rFonts w:ascii="Times New Roman" w:cs="Times New Roman" w:eastAsia="Times New Roman" w:hAnsi="Times New Roman"/>
          <w:sz w:val="22"/>
          <w:szCs w:val="22"/>
          <w:color w:val="auto"/>
        </w:rPr>
      </w:pPr>
    </w:p>
    <w:p>
      <w:pPr>
        <w:ind w:left="2080" w:hanging="387"/>
        <w:spacing w:after="0"/>
        <w:tabs>
          <w:tab w:leader="none" w:pos="2080" w:val="left"/>
        </w:tabs>
        <w:numPr>
          <w:ilvl w:val="1"/>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restrictions on the re-sale of Shares acquired on the exercise of Options; and</w:t>
      </w:r>
    </w:p>
    <w:p>
      <w:pPr>
        <w:spacing w:after="0" w:line="17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other terms or conditions as the Company may in its discretion determine.</w:t>
      </w:r>
    </w:p>
    <w:p>
      <w:pPr>
        <w:spacing w:after="0" w:line="16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6.5</w:t>
      </w:r>
      <w:r>
        <w:rPr>
          <w:sz w:val="20"/>
          <w:szCs w:val="20"/>
          <w:color w:val="auto"/>
        </w:rPr>
        <w:tab/>
      </w:r>
      <w:r>
        <w:rPr>
          <w:rFonts w:ascii="Times New Roman" w:cs="Times New Roman" w:eastAsia="Times New Roman" w:hAnsi="Times New Roman"/>
          <w:sz w:val="22"/>
          <w:szCs w:val="22"/>
          <w:color w:val="auto"/>
        </w:rPr>
        <w:t>Notwithstanding any provision of this Plan to the contrary, no Options may be granted to Directors on or after April 21,</w:t>
      </w:r>
    </w:p>
    <w:p>
      <w:pPr>
        <w:spacing w:after="0"/>
        <w:rPr>
          <w:sz w:val="20"/>
          <w:szCs w:val="20"/>
          <w:color w:val="auto"/>
        </w:rPr>
      </w:pPr>
      <w:r>
        <w:rPr>
          <w:rFonts w:ascii="Times New Roman" w:cs="Times New Roman" w:eastAsia="Times New Roman" w:hAnsi="Times New Roman"/>
          <w:sz w:val="22"/>
          <w:szCs w:val="22"/>
          <w:color w:val="auto"/>
        </w:rPr>
        <w:t>2005.</w:t>
      </w:r>
    </w:p>
    <w:p>
      <w:pPr>
        <w:spacing w:after="0" w:line="155" w:lineRule="exact"/>
        <w:rPr>
          <w:sz w:val="20"/>
          <w:szCs w:val="20"/>
          <w:color w:val="auto"/>
        </w:rPr>
      </w:pPr>
    </w:p>
    <w:p>
      <w:pPr>
        <w:ind w:left="1300" w:hanging="1292"/>
        <w:spacing w:after="0"/>
        <w:tabs>
          <w:tab w:leader="none" w:pos="1300"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EXERCISE OF PARTICIPANT’S OPTIONS</w:t>
      </w:r>
    </w:p>
    <w:p>
      <w:pPr>
        <w:spacing w:after="0" w:line="179"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2"/>
          <w:szCs w:val="22"/>
          <w:color w:val="auto"/>
        </w:rPr>
        <w:t>7.1 Subject to the provisions of the Plan, an Option may be exercised by the Participant only on or after the Earliest Exercise Date and thereafter from time to time at his or her discretion to purchase in the aggregate a number of Shares equal to the aggregate of the previously unexercised portion of the Designated Amount provided that, unless the Company at any time otherwise determines,</w:t>
      </w:r>
    </w:p>
    <w:p>
      <w:pPr>
        <w:spacing w:after="0" w:line="152" w:lineRule="exact"/>
        <w:rPr>
          <w:sz w:val="20"/>
          <w:szCs w:val="20"/>
          <w:color w:val="auto"/>
        </w:rPr>
      </w:pPr>
    </w:p>
    <w:p>
      <w:pPr>
        <w:jc w:val="both"/>
        <w:ind w:left="1300" w:hanging="644"/>
        <w:spacing w:after="0" w:line="236" w:lineRule="auto"/>
        <w:tabs>
          <w:tab w:leader="none" w:pos="1297" w:val="left"/>
        </w:tabs>
        <w:numPr>
          <w:ilvl w:val="0"/>
          <w:numId w:val="1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subject to clause (b) of this section 7.1, the maximum number of Shares which the Participant may purchase under the Option during each of the Years commencing on the Earliest Exercise Date of the Option shall be equal to the number of Shares represented by the Designated Percentage of the Designated Amount of the Option, and</w:t>
      </w:r>
    </w:p>
    <w:p>
      <w:pPr>
        <w:spacing w:after="0" w:line="151" w:lineRule="exact"/>
        <w:rPr>
          <w:rFonts w:ascii="Times New Roman" w:cs="Times New Roman" w:eastAsia="Times New Roman" w:hAnsi="Times New Roman"/>
          <w:sz w:val="21"/>
          <w:szCs w:val="21"/>
          <w:color w:val="auto"/>
        </w:rPr>
      </w:pPr>
    </w:p>
    <w:p>
      <w:pPr>
        <w:jc w:val="both"/>
        <w:ind w:left="1300" w:hanging="644"/>
        <w:spacing w:after="0" w:line="217" w:lineRule="auto"/>
        <w:tabs>
          <w:tab w:leader="none" w:pos="1295"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number of Shares purchased under the Option during any of the Years is less than the maximum number which could have been purchased under the Option during that Year, the difference shall be carried forward and added to the maximum number of Shares which may be purchased under the Option in the immediately following Year, and so on from time to time, provided that the percentage of the Designated Amount which the Participant may purchase under an Option shall not exceed one hundred per cent (100%).</w:t>
      </w:r>
    </w:p>
    <w:p>
      <w:pPr>
        <w:spacing w:after="0" w:line="152"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22"/>
          <w:szCs w:val="22"/>
          <w:color w:val="auto"/>
        </w:rPr>
        <w:t>7.2 Notwithstanding section 7.1, if there is a Change of Control, and a Participant ceases to be employed by the Company, a Subsidiary or Designated Affiliated Entity, by reason of a termination without cause or for Good Reason, either (x) within the earlier of six months preceding the Change of Control or the public disclosure of a transaction, which, if completed, would give rise to a Change of Control and (y) the two years following the Change of Control, the Participant’s Options shall be fully Vested on, and may be exercised at any time following,</w:t>
      </w:r>
    </w:p>
    <w:p>
      <w:pPr>
        <w:sectPr>
          <w:pgSz w:w="11900" w:h="16838" w:orient="portrait"/>
          <w:cols w:equalWidth="0" w:num="1">
            <w:col w:w="11240"/>
          </w:cols>
          <w:pgMar w:left="320" w:top="126" w:right="339" w:bottom="1440" w:gutter="0" w:footer="0" w:header="0"/>
        </w:sectPr>
      </w:pPr>
    </w:p>
    <w:bookmarkStart w:id="218" w:name="page219"/>
    <w:bookmarkEnd w:id="218"/>
    <w:p>
      <w:pPr>
        <w:jc w:val="center"/>
        <w:spacing w:after="0"/>
        <w:rPr>
          <w:sz w:val="20"/>
          <w:szCs w:val="20"/>
          <w:color w:val="auto"/>
        </w:rPr>
      </w:pPr>
      <w:r>
        <w:rPr>
          <w:rFonts w:ascii="Times New Roman" w:cs="Times New Roman" w:eastAsia="Times New Roman" w:hAnsi="Times New Roman"/>
          <w:sz w:val="22"/>
          <w:szCs w:val="22"/>
          <w:color w:val="auto"/>
        </w:rPr>
        <w:t>- 13 -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22"/>
          <w:szCs w:val="22"/>
          <w:color w:val="auto"/>
        </w:rPr>
        <w:t>the later of (a) the date of the Change of Control and (b) the date of termination of the Participant’s employment, until and ending on the applicable date under section 7.3.</w:t>
      </w:r>
    </w:p>
    <w:p>
      <w:pPr>
        <w:spacing w:after="0" w:line="150"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color w:val="auto"/>
        </w:rPr>
        <w:t>7.3 Unless the Company at any time otherwise determines, a Participant’s Option shall terminate and may not be exercised after the earliest of:</w:t>
      </w:r>
    </w:p>
    <w:p>
      <w:pPr>
        <w:spacing w:after="0" w:line="150" w:lineRule="exact"/>
        <w:rPr>
          <w:sz w:val="20"/>
          <w:szCs w:val="20"/>
          <w:color w:val="auto"/>
        </w:rPr>
      </w:pPr>
    </w:p>
    <w:p>
      <w:pPr>
        <w:ind w:left="1300" w:hanging="644"/>
        <w:spacing w:after="0" w:line="236" w:lineRule="auto"/>
        <w:tabs>
          <w:tab w:leader="none" w:pos="1297"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the termination of employment with the Company for cause, immediately as of the time of such termination;</w:t>
      </w:r>
    </w:p>
    <w:p>
      <w:pPr>
        <w:spacing w:after="0" w:line="150" w:lineRule="exact"/>
        <w:rPr>
          <w:rFonts w:ascii="Times New Roman" w:cs="Times New Roman" w:eastAsia="Times New Roman" w:hAnsi="Times New Roman"/>
          <w:sz w:val="22"/>
          <w:szCs w:val="22"/>
          <w:color w:val="auto"/>
        </w:rPr>
      </w:pPr>
    </w:p>
    <w:p>
      <w:pPr>
        <w:jc w:val="both"/>
        <w:ind w:left="1300" w:hanging="644"/>
        <w:spacing w:after="0" w:line="220" w:lineRule="auto"/>
        <w:tabs>
          <w:tab w:leader="none" w:pos="1295"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30 days after the date of the Participant’s termination of employment with the Company, unless such termination occurs by reason of termination of the Participant’s employment for cause or the Participant’s death, disability or Retirement as contemplated in subsections (a), (c) or (d) of this section, in which case the provisions of the applicable subsection shall govern;</w:t>
      </w:r>
    </w:p>
    <w:p>
      <w:pPr>
        <w:spacing w:after="0" w:line="152" w:lineRule="exact"/>
        <w:rPr>
          <w:rFonts w:ascii="Times New Roman" w:cs="Times New Roman" w:eastAsia="Times New Roman" w:hAnsi="Times New Roman"/>
          <w:sz w:val="22"/>
          <w:szCs w:val="22"/>
          <w:color w:val="auto"/>
        </w:rPr>
      </w:pPr>
    </w:p>
    <w:p>
      <w:pPr>
        <w:ind w:left="1300" w:hanging="644"/>
        <w:spacing w:after="0" w:line="236" w:lineRule="auto"/>
        <w:tabs>
          <w:tab w:leader="none" w:pos="1297"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three years after the Participant’s Retirement provided that if the Participant dies prior to the expiry of the first two years of such three-year period the Option shall terminate one year after the Participant’s death;</w:t>
      </w:r>
    </w:p>
    <w:p>
      <w:pPr>
        <w:spacing w:after="0" w:line="150" w:lineRule="exact"/>
        <w:rPr>
          <w:rFonts w:ascii="Times New Roman" w:cs="Times New Roman" w:eastAsia="Times New Roman" w:hAnsi="Times New Roman"/>
          <w:sz w:val="22"/>
          <w:szCs w:val="22"/>
          <w:color w:val="auto"/>
        </w:rPr>
      </w:pPr>
    </w:p>
    <w:p>
      <w:pPr>
        <w:ind w:left="1300" w:hanging="644"/>
        <w:spacing w:after="0" w:line="236" w:lineRule="auto"/>
        <w:tabs>
          <w:tab w:leader="none" w:pos="1295"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one year after the Participant’s death or the termination of employment with the Company by reason of his disability (as determined by the Company in its sole discretion); and</w:t>
      </w:r>
    </w:p>
    <w:p>
      <w:pPr>
        <w:spacing w:after="0" w:line="150"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Latest Exercise Date of the Participant’s Option;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provided that, in any event, the Option shall terminate no later than ten years after the Date of Grant.</w:t>
      </w:r>
    </w:p>
    <w:p>
      <w:pPr>
        <w:spacing w:after="0" w:line="193"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22"/>
          <w:szCs w:val="22"/>
          <w:color w:val="auto"/>
        </w:rPr>
        <w:t>7.4 The exercise of an Option under the Plan shall be made by notice to the Company in writing specifying and subscribing for the number of Shares in respect of which the Option is being exercised at that time and, except where payment is made by another means satisfactory to the Company such as wire transfer of funds, accompanied by a certified cheque or bank draft payable to the Company in the amount of the aggregate Option Price for such number of Shares. Upon receipt of such notice and payment, the Shares in respect of which the Option has been exercised shall be issued as fully-paid and non-assessable shares of the Company. As of the business day the Company receives such notice and such payment, the Participant (or the person claiming through him, as the case may be) shall be entitled to be entered on the share register of the Company as the holder of the number of Shares in respect of which the Option was exercised and to receive as promptly as possible thereafter a certificate representing the said number of Shares.</w:t>
      </w:r>
    </w:p>
    <w:p>
      <w:pPr>
        <w:spacing w:after="0" w:line="158" w:lineRule="exact"/>
        <w:rPr>
          <w:sz w:val="20"/>
          <w:szCs w:val="20"/>
          <w:color w:val="auto"/>
        </w:rPr>
      </w:pPr>
    </w:p>
    <w:p>
      <w:pPr>
        <w:jc w:val="both"/>
        <w:spacing w:after="0" w:line="212" w:lineRule="auto"/>
        <w:rPr>
          <w:sz w:val="20"/>
          <w:szCs w:val="20"/>
          <w:color w:val="auto"/>
        </w:rPr>
      </w:pPr>
      <w:r>
        <w:rPr>
          <w:rFonts w:ascii="Times New Roman" w:cs="Times New Roman" w:eastAsia="Times New Roman" w:hAnsi="Times New Roman"/>
          <w:sz w:val="22"/>
          <w:szCs w:val="22"/>
          <w:color w:val="auto"/>
        </w:rPr>
        <w:t>7.5 A Participant may, in lieu of an exercise of an Option under section 7.4, exercise an Option for a number of Shares without payment of the Option Price by notice to the Company in writing specifying the Participant is subscribing for that number of Shares to which the Participant is entitled under this Program without payment of the Option Price. The number of Shares to be issued or provided to the Participant is the number obtained by dividing (a) the difference between the Market Price and the Option Price multiplied by the number of the Shares in respect of which the Option would otherwise be exercised under section 7.4 with the payment of the aggregate Option Price by (b) the Market Price. The Shares issued in respect thereof shall be considered fully paid in consideration of past service that is no less in value than the fair equivalent of the money the Company would have received if the Shares had been issued for money.</w:t>
      </w:r>
    </w:p>
    <w:p>
      <w:pPr>
        <w:sectPr>
          <w:pgSz w:w="11900" w:h="16838" w:orient="portrait"/>
          <w:cols w:equalWidth="0" w:num="1">
            <w:col w:w="11240"/>
          </w:cols>
          <w:pgMar w:left="320" w:top="126" w:right="339" w:bottom="1440" w:gutter="0" w:footer="0" w:header="0"/>
        </w:sectPr>
      </w:pPr>
    </w:p>
    <w:bookmarkStart w:id="219" w:name="page220"/>
    <w:bookmarkEnd w:id="219"/>
    <w:p>
      <w:pPr>
        <w:jc w:val="center"/>
        <w:spacing w:after="0"/>
        <w:rPr>
          <w:sz w:val="20"/>
          <w:szCs w:val="20"/>
          <w:color w:val="auto"/>
        </w:rPr>
      </w:pPr>
      <w:r>
        <w:rPr>
          <w:rFonts w:ascii="Times New Roman" w:cs="Times New Roman" w:eastAsia="Times New Roman" w:hAnsi="Times New Roman"/>
          <w:sz w:val="22"/>
          <w:szCs w:val="22"/>
          <w:color w:val="auto"/>
        </w:rPr>
        <w:t>- 14 -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2"/>
          <w:szCs w:val="22"/>
          <w:color w:val="auto"/>
        </w:rPr>
        <w:t xml:space="preserve">7.6 Unless otherwise determined by the Company, if the Participant is a person who has knowledge of a “material fact” or “material change” (each as defined under the </w:t>
      </w:r>
      <w:r>
        <w:rPr>
          <w:rFonts w:ascii="Times New Roman" w:cs="Times New Roman" w:eastAsia="Times New Roman" w:hAnsi="Times New Roman"/>
          <w:sz w:val="22"/>
          <w:szCs w:val="22"/>
          <w:i w:val="1"/>
          <w:iCs w:val="1"/>
          <w:color w:val="auto"/>
        </w:rPr>
        <w:t>Securities Act</w:t>
      </w:r>
      <w:r>
        <w:rPr>
          <w:rFonts w:ascii="Times New Roman" w:cs="Times New Roman" w:eastAsia="Times New Roman" w:hAnsi="Times New Roman"/>
          <w:sz w:val="22"/>
          <w:szCs w:val="22"/>
          <w:color w:val="auto"/>
        </w:rPr>
        <w:t xml:space="preserve"> (Ontario)) in respect of the Company that has not been generally disclosed in accordance with applicable securities legislation and adequately disseminated to the public, he or she shall not be entitled to exercise the Option.</w:t>
      </w:r>
    </w:p>
    <w:p>
      <w:pPr>
        <w:spacing w:after="0" w:line="152" w:lineRule="exact"/>
        <w:rPr>
          <w:sz w:val="20"/>
          <w:szCs w:val="20"/>
          <w:color w:val="auto"/>
        </w:rPr>
      </w:pPr>
    </w:p>
    <w:p>
      <w:pPr>
        <w:ind w:left="1300" w:hanging="1292"/>
        <w:spacing w:after="0"/>
        <w:tabs>
          <w:tab w:leader="none" w:pos="1300"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EFFECT OF TERMINATION OF OPTION</w:t>
      </w:r>
    </w:p>
    <w:p>
      <w:pPr>
        <w:spacing w:after="0" w:line="179" w:lineRule="exact"/>
        <w:rPr>
          <w:sz w:val="20"/>
          <w:szCs w:val="20"/>
          <w:color w:val="auto"/>
        </w:rPr>
      </w:pPr>
    </w:p>
    <w:p>
      <w:pPr>
        <w:jc w:val="both"/>
        <w:ind w:right="20"/>
        <w:spacing w:after="0" w:line="225" w:lineRule="auto"/>
        <w:rPr>
          <w:sz w:val="20"/>
          <w:szCs w:val="20"/>
          <w:color w:val="auto"/>
        </w:rPr>
      </w:pPr>
      <w:r>
        <w:rPr>
          <w:rFonts w:ascii="Times New Roman" w:cs="Times New Roman" w:eastAsia="Times New Roman" w:hAnsi="Times New Roman"/>
          <w:sz w:val="22"/>
          <w:szCs w:val="22"/>
          <w:color w:val="auto"/>
        </w:rPr>
        <w:t>8.1 If any Option has terminated or expired without being fully exercised, any unissued Shares which have been reserved to be issued upon the exercise of the Option shall become available to be issued upon the exercise of Options subsequently granted under the Program.</w:t>
      </w:r>
    </w:p>
    <w:p>
      <w:pPr>
        <w:spacing w:after="0" w:line="153" w:lineRule="exact"/>
        <w:rPr>
          <w:sz w:val="20"/>
          <w:szCs w:val="20"/>
          <w:color w:val="auto"/>
        </w:rPr>
      </w:pPr>
    </w:p>
    <w:p>
      <w:pPr>
        <w:ind w:left="1300" w:hanging="1292"/>
        <w:spacing w:after="0"/>
        <w:tabs>
          <w:tab w:leader="none" w:pos="1300" w:val="left"/>
        </w:tabs>
        <w:numPr>
          <w:ilvl w:val="0"/>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CHANGES IN SHARE CAPITAL</w:t>
      </w:r>
    </w:p>
    <w:p>
      <w:pPr>
        <w:spacing w:after="0" w:line="179" w:lineRule="exact"/>
        <w:rPr>
          <w:sz w:val="20"/>
          <w:szCs w:val="20"/>
          <w:color w:val="auto"/>
        </w:rPr>
      </w:pPr>
    </w:p>
    <w:p>
      <w:pPr>
        <w:jc w:val="both"/>
        <w:spacing w:after="0" w:line="213" w:lineRule="auto"/>
        <w:rPr>
          <w:sz w:val="20"/>
          <w:szCs w:val="20"/>
          <w:color w:val="auto"/>
        </w:rPr>
      </w:pPr>
      <w:r>
        <w:rPr>
          <w:rFonts w:ascii="Times New Roman" w:cs="Times New Roman" w:eastAsia="Times New Roman" w:hAnsi="Times New Roman"/>
          <w:sz w:val="22"/>
          <w:szCs w:val="22"/>
          <w:color w:val="auto"/>
        </w:rPr>
        <w:t>9.1 If the number of outstanding Shares shall be increased or decreased as a result of a stock split, consolidation, reclassification or recapitalization and not as a result of the issuance of Shares for additional consideration or by way of a stock dividend in the ordinary course, the Company may make appropriate adjustments to the Designated Amount of any Option which has previously been granted under the Program, the maximum number of Shares which the Participant may thereafter purchase under such Option, the Option Price in respect of such Option and any maximum number of Shares which may be issued under the Program. Any determinations by the Company as to the adjustments shall be made in its sole discretion and all such adjustments shall be conclusive and binding for all purposes under the Program.</w:t>
      </w:r>
    </w:p>
    <w:p>
      <w:pPr>
        <w:spacing w:after="0" w:line="156"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2"/>
          <w:szCs w:val="22"/>
          <w:color w:val="auto"/>
        </w:rPr>
        <w:t>9.2 No fractional shares shall be issued upon the exercise of an Option nor shall any scrip certificates in lieu thereof be issuable at any time. Accordingly, if as a result of any adjustment under section 9.1 a Participant would otherwise have become entitled to a fractional share upon the exercise of an Option, he shall have the right to purchase only the next lower whole number of Shares and no payment or other adjustment will be made with respect to the fractional interests so disregarded.</w:t>
      </w:r>
    </w:p>
    <w:p>
      <w:pPr>
        <w:spacing w:after="0" w:line="152" w:lineRule="exact"/>
        <w:rPr>
          <w:sz w:val="20"/>
          <w:szCs w:val="20"/>
          <w:color w:val="auto"/>
        </w:rPr>
      </w:pPr>
    </w:p>
    <w:p>
      <w:pPr>
        <w:ind w:left="1300" w:hanging="1292"/>
        <w:spacing w:after="0"/>
        <w:tabs>
          <w:tab w:leader="none" w:pos="1300"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LOANS TO PARTICIPANTS</w:t>
      </w:r>
    </w:p>
    <w:p>
      <w:pPr>
        <w:spacing w:after="0" w:line="179"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22"/>
          <w:szCs w:val="22"/>
          <w:color w:val="auto"/>
        </w:rPr>
        <w:t>10.1 Subject to Applicable Law, the Company may in its sole discretion arrange for the Company, any Subsidiary or any Designated Affiliated Entity to make loans or provide guarantees for loans by financial institutions to assist Participants to purchase Shares upon the exercise of the Options and to assist the Participants to pay any income tax exigible upon exercise of the Options. Such loans may be secured or unsecured, and at such rates of interest, if any, and on such other terms as may be determined by the Company, provided that in no event shall any loan be outstanding for more than 10 years from the Date of Grant of the relevant Option.</w:t>
      </w:r>
    </w:p>
    <w:p>
      <w:pPr>
        <w:spacing w:after="0" w:line="152" w:lineRule="exact"/>
        <w:rPr>
          <w:sz w:val="20"/>
          <w:szCs w:val="20"/>
          <w:color w:val="auto"/>
        </w:rPr>
      </w:pPr>
    </w:p>
    <w:p>
      <w:pPr>
        <w:ind w:left="1300" w:hanging="1292"/>
        <w:spacing w:after="0"/>
        <w:tabs>
          <w:tab w:leader="none" w:pos="1300"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REORGANIZATION</w:t>
      </w:r>
    </w:p>
    <w:p>
      <w:pPr>
        <w:spacing w:after="0" w:line="179"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color w:val="auto"/>
        </w:rPr>
        <w:t>11.1 In the event of a Reorganization or proposed Reorganization, the Company, at its option, may, subject to Stock Exchange Rules, do either of the following:</w:t>
      </w:r>
    </w:p>
    <w:p>
      <w:pPr>
        <w:spacing w:after="0" w:line="150" w:lineRule="exact"/>
        <w:rPr>
          <w:sz w:val="20"/>
          <w:szCs w:val="20"/>
          <w:color w:val="auto"/>
        </w:rPr>
      </w:pPr>
    </w:p>
    <w:p>
      <w:pPr>
        <w:jc w:val="both"/>
        <w:ind w:left="1300" w:hanging="644"/>
        <w:spacing w:after="0" w:line="217" w:lineRule="auto"/>
        <w:tabs>
          <w:tab w:leader="none" w:pos="1297"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irrevocably commute any Option held by a Participant that is still capable of being exercised, upon giving to such Participant at least 30 days’ written notice of its intention to commute the Option on a specified date, and during the period to such date, the Option, to the extent that it has not been exercised, may be exercised by the Participant up to the Designated Amount of Shares which may be purchased under the Option, without regard to the limitations contained in subsection 7.1(a),</w:t>
      </w:r>
    </w:p>
    <w:p>
      <w:pPr>
        <w:sectPr>
          <w:pgSz w:w="11900" w:h="16838" w:orient="portrait"/>
          <w:cols w:equalWidth="0" w:num="1">
            <w:col w:w="11240"/>
          </w:cols>
          <w:pgMar w:left="320" w:top="126" w:right="339" w:bottom="1440" w:gutter="0" w:footer="0" w:header="0"/>
        </w:sectPr>
      </w:pPr>
    </w:p>
    <w:bookmarkStart w:id="220" w:name="page221"/>
    <w:bookmarkEnd w:id="220"/>
    <w:p>
      <w:pPr>
        <w:jc w:val="center"/>
        <w:spacing w:after="0"/>
        <w:rPr>
          <w:sz w:val="20"/>
          <w:szCs w:val="20"/>
          <w:color w:val="auto"/>
        </w:rPr>
      </w:pPr>
      <w:r>
        <w:rPr>
          <w:rFonts w:ascii="Times New Roman" w:cs="Times New Roman" w:eastAsia="Times New Roman" w:hAnsi="Times New Roman"/>
          <w:sz w:val="22"/>
          <w:szCs w:val="22"/>
          <w:color w:val="auto"/>
        </w:rPr>
        <w:t>- 15 -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and on the expiry of such period of notice, the unexercised portion of the Option shall lapse and be cancelled, or</w:t>
      </w:r>
    </w:p>
    <w:p>
      <w:pPr>
        <w:spacing w:after="0" w:line="179" w:lineRule="exact"/>
        <w:rPr>
          <w:sz w:val="20"/>
          <w:szCs w:val="20"/>
          <w:color w:val="auto"/>
        </w:rPr>
      </w:pPr>
    </w:p>
    <w:p>
      <w:pPr>
        <w:jc w:val="both"/>
        <w:ind w:left="1300" w:hanging="644"/>
        <w:spacing w:after="0" w:line="215" w:lineRule="auto"/>
        <w:tabs>
          <w:tab w:leader="none" w:pos="1295"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or any corporation which is or would be the successor to the Company or which may issue securities in exchange for Shares upon the Reorganization becoming effective, may offer any Participant in writing the opportunity to obtain a new or replacement option over any securities into which the Shares are changed or are convertible or exchangeable, on a basis proportionate to the number of Shares under option or some other appropriate basis, or some other property. If a Participant accepts such offer, he or she shall be deemed to have released his or her Option over Shares and such Option shall be deemed to have terminated.</w:t>
      </w:r>
    </w:p>
    <w:p>
      <w:pPr>
        <w:spacing w:after="0" w:line="152"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2"/>
          <w:szCs w:val="22"/>
          <w:color w:val="auto"/>
        </w:rPr>
        <w:t>11.2 The Company may specify in any notice or offer made under section 11.1, that, if for any reason, the Reorganization is not completed, the Company may revoke such notice or offer. The Company may exercise such right by further notice in writing to the Participant and return to the Participant any amount paid as an Option Price by the Participant to the Company and the Option shall thereafter continue to be exercisable by the Participant in accordance with its terms.</w:t>
      </w:r>
    </w:p>
    <w:p>
      <w:pPr>
        <w:spacing w:after="0" w:line="152"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11.3 Subsections (a) and (b) of section 11.1 are intended to be permissive and may be utilized independently or successively or in combination or otherwise, and nothing therein contained shall be construed as limiting or affecting the ability of the Company to deal with Options in any other manner.</w:t>
      </w:r>
    </w:p>
    <w:p>
      <w:pPr>
        <w:sectPr>
          <w:pgSz w:w="11900" w:h="16838" w:orient="portrait"/>
          <w:cols w:equalWidth="0" w:num="1">
            <w:col w:w="11240"/>
          </w:cols>
          <w:pgMar w:left="320" w:top="126" w:right="339" w:bottom="1440" w:gutter="0" w:footer="0" w:header="0"/>
        </w:sectPr>
      </w:pPr>
    </w:p>
    <w:bookmarkStart w:id="221" w:name="page222"/>
    <w:bookmarkEnd w:id="221"/>
    <w:p>
      <w:pPr>
        <w:jc w:val="center"/>
        <w:ind w:right="-19"/>
        <w:spacing w:after="0"/>
        <w:rPr>
          <w:sz w:val="20"/>
          <w:szCs w:val="20"/>
          <w:color w:val="auto"/>
        </w:rPr>
      </w:pPr>
      <w:r>
        <w:rPr>
          <w:rFonts w:ascii="Times New Roman" w:cs="Times New Roman" w:eastAsia="Times New Roman" w:hAnsi="Times New Roman"/>
          <w:sz w:val="22"/>
          <w:szCs w:val="22"/>
          <w:color w:val="auto"/>
        </w:rPr>
        <w:t>- 16 -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u w:val="single" w:color="auto"/>
          <w:color w:val="auto"/>
        </w:rPr>
        <w:t>PART III</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u w:val="single" w:color="auto"/>
          <w:color w:val="auto"/>
        </w:rPr>
        <w:t>STOCK APPRECIATION RIGHTS PROGRAM</w:t>
      </w:r>
    </w:p>
    <w:p>
      <w:pPr>
        <w:spacing w:after="0" w:line="200" w:lineRule="exact"/>
        <w:rPr>
          <w:sz w:val="20"/>
          <w:szCs w:val="20"/>
          <w:color w:val="auto"/>
        </w:rPr>
      </w:pPr>
    </w:p>
    <w:p>
      <w:pPr>
        <w:spacing w:after="0" w:line="209" w:lineRule="exact"/>
        <w:rPr>
          <w:sz w:val="20"/>
          <w:szCs w:val="20"/>
          <w:color w:val="auto"/>
        </w:rPr>
      </w:pPr>
    </w:p>
    <w:p>
      <w:pPr>
        <w:ind w:left="1300" w:hanging="1292"/>
        <w:spacing w:after="0"/>
        <w:tabs>
          <w:tab w:leader="none" w:pos="1300"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PROGRAM DEFINITIONS</w:t>
      </w:r>
    </w:p>
    <w:p>
      <w:pPr>
        <w:spacing w:after="0" w:line="17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12.1</w:t>
      </w:r>
      <w:r>
        <w:rPr>
          <w:sz w:val="20"/>
          <w:szCs w:val="20"/>
          <w:color w:val="auto"/>
        </w:rPr>
        <w:tab/>
      </w:r>
      <w:r>
        <w:rPr>
          <w:rFonts w:ascii="Times New Roman" w:cs="Times New Roman" w:eastAsia="Times New Roman" w:hAnsi="Times New Roman"/>
          <w:sz w:val="21"/>
          <w:szCs w:val="21"/>
          <w:color w:val="auto"/>
        </w:rPr>
        <w:t>In this Program, the following terms have the following meanings:</w:t>
      </w:r>
    </w:p>
    <w:p>
      <w:pPr>
        <w:spacing w:after="0" w:line="179" w:lineRule="exact"/>
        <w:rPr>
          <w:sz w:val="20"/>
          <w:szCs w:val="20"/>
          <w:color w:val="auto"/>
        </w:rPr>
      </w:pPr>
    </w:p>
    <w:p>
      <w:pPr>
        <w:ind w:left="1300" w:hanging="644"/>
        <w:spacing w:after="0" w:line="236" w:lineRule="auto"/>
        <w:tabs>
          <w:tab w:leader="none" w:pos="1297" w:val="left"/>
        </w:tabs>
        <w:numPr>
          <w:ilvl w:val="1"/>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“Designated Rights Amount” of a Participant’s Rights means the maximum number of Rights which the Participant may exercise, as designated by the Company;</w:t>
      </w:r>
    </w:p>
    <w:p>
      <w:pPr>
        <w:spacing w:after="0" w:line="150" w:lineRule="exact"/>
        <w:rPr>
          <w:rFonts w:ascii="Times New Roman" w:cs="Times New Roman" w:eastAsia="Times New Roman" w:hAnsi="Times New Roman"/>
          <w:sz w:val="22"/>
          <w:szCs w:val="22"/>
          <w:color w:val="auto"/>
        </w:rPr>
      </w:pPr>
    </w:p>
    <w:p>
      <w:pPr>
        <w:jc w:val="both"/>
        <w:ind w:left="1300" w:hanging="644"/>
        <w:spacing w:after="0" w:line="220" w:lineRule="auto"/>
        <w:tabs>
          <w:tab w:leader="none" w:pos="1295" w:val="left"/>
        </w:tabs>
        <w:numPr>
          <w:ilvl w:val="1"/>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“Designated Rights Percentage” means the percentage of the Designated Rights Amount representing the maximum number of Rights which a Participant may exercise each Year, which, unless otherwise determined by the Company, shall be 20% commencing on the second Year, 40% commencing on the third Year, 60% commencing on the fourth Year, 80% commencing on the fifth Year and 100% commencing on the sixth Year;</w:t>
      </w:r>
    </w:p>
    <w:p>
      <w:pPr>
        <w:spacing w:after="0" w:line="152"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1"/>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Money” means the excess, if any, of the Market Price of a Share at any time over the Strike Price;</w:t>
      </w:r>
    </w:p>
    <w:p>
      <w:pPr>
        <w:spacing w:after="0" w:line="17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1"/>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“Program” means this Stock Appreciation Rights Program;</w:t>
      </w:r>
    </w:p>
    <w:p>
      <w:pPr>
        <w:spacing w:after="0" w:line="17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1"/>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“Rights Letter” means a letter approved by the Company whereby a Participant may exercise his Rights; and</w:t>
      </w:r>
    </w:p>
    <w:p>
      <w:pPr>
        <w:spacing w:after="0" w:line="17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1"/>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“Strike Price” means the Market Price on the Date of Grant.</w:t>
      </w:r>
    </w:p>
    <w:p>
      <w:pPr>
        <w:spacing w:after="0" w:line="179" w:lineRule="exact"/>
        <w:rPr>
          <w:rFonts w:ascii="Times New Roman" w:cs="Times New Roman" w:eastAsia="Times New Roman" w:hAnsi="Times New Roman"/>
          <w:sz w:val="22"/>
          <w:szCs w:val="22"/>
          <w:color w:val="auto"/>
        </w:rPr>
      </w:pPr>
    </w:p>
    <w:p>
      <w:pPr>
        <w:ind w:left="1300" w:hanging="1292"/>
        <w:spacing w:after="0"/>
        <w:tabs>
          <w:tab w:leader="none" w:pos="1300"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GRANTING OF RIGHTS</w:t>
      </w:r>
    </w:p>
    <w:p>
      <w:pPr>
        <w:spacing w:after="0" w:line="16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13.1</w:t>
        <w:tab/>
        <w:t>From time to time the Company may grant Rights to a Participant in accordance with the Plan. In granting any such</w:t>
      </w:r>
    </w:p>
    <w:p>
      <w:pPr>
        <w:spacing w:after="0"/>
        <w:rPr>
          <w:sz w:val="20"/>
          <w:szCs w:val="20"/>
          <w:color w:val="auto"/>
        </w:rPr>
      </w:pPr>
      <w:r>
        <w:rPr>
          <w:rFonts w:ascii="Times New Roman" w:cs="Times New Roman" w:eastAsia="Times New Roman" w:hAnsi="Times New Roman"/>
          <w:sz w:val="22"/>
          <w:szCs w:val="22"/>
          <w:color w:val="auto"/>
        </w:rPr>
        <w:t>Rights, the Company shall designate:</w:t>
      </w:r>
    </w:p>
    <w:p>
      <w:pPr>
        <w:spacing w:after="0" w:line="155" w:lineRule="exact"/>
        <w:rPr>
          <w:sz w:val="20"/>
          <w:szCs w:val="20"/>
          <w:color w:val="auto"/>
        </w:rPr>
      </w:pPr>
    </w:p>
    <w:p>
      <w:pPr>
        <w:ind w:left="1300" w:hanging="644"/>
        <w:spacing w:after="0"/>
        <w:tabs>
          <w:tab w:leader="none" w:pos="1300"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Designated Rights Amount;</w:t>
      </w:r>
    </w:p>
    <w:p>
      <w:pPr>
        <w:spacing w:after="0" w:line="17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Earliest Exercise Date;</w:t>
      </w:r>
    </w:p>
    <w:p>
      <w:pPr>
        <w:spacing w:after="0" w:line="17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Latest Exercise Date;</w:t>
      </w:r>
    </w:p>
    <w:p>
      <w:pPr>
        <w:spacing w:after="0" w:line="17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Designated Rights Percentage; and</w:t>
      </w:r>
    </w:p>
    <w:p>
      <w:pPr>
        <w:spacing w:after="0" w:line="17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Strike Price of the Shares on the Date of Grant.</w:t>
      </w:r>
    </w:p>
    <w:p>
      <w:pPr>
        <w:spacing w:after="0" w:line="17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13.2</w:t>
      </w:r>
      <w:r>
        <w:rPr>
          <w:sz w:val="20"/>
          <w:szCs w:val="20"/>
          <w:color w:val="auto"/>
        </w:rPr>
        <w:tab/>
      </w:r>
      <w:r>
        <w:rPr>
          <w:rFonts w:ascii="Times New Roman" w:cs="Times New Roman" w:eastAsia="Times New Roman" w:hAnsi="Times New Roman"/>
          <w:sz w:val="21"/>
          <w:szCs w:val="21"/>
          <w:color w:val="auto"/>
        </w:rPr>
        <w:t>Subject to the term of the Plan, the Company may determine other terms or conditions, if any, of any Rights, including:</w:t>
      </w:r>
    </w:p>
    <w:p>
      <w:pPr>
        <w:spacing w:after="0" w:line="179" w:lineRule="exact"/>
        <w:rPr>
          <w:sz w:val="20"/>
          <w:szCs w:val="20"/>
          <w:color w:val="auto"/>
        </w:rPr>
      </w:pPr>
    </w:p>
    <w:p>
      <w:pPr>
        <w:ind w:left="1300" w:hanging="644"/>
        <w:spacing w:after="0" w:line="236" w:lineRule="auto"/>
        <w:tabs>
          <w:tab w:leader="none" w:pos="1297" w:val="left"/>
        </w:tabs>
        <w:numPr>
          <w:ilvl w:val="0"/>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additional conditions on the grant of Rights under the Program, including conditions as to the ownership of Shares by a Participant;</w:t>
      </w:r>
    </w:p>
    <w:p>
      <w:pPr>
        <w:spacing w:after="0" w:line="150" w:lineRule="exact"/>
        <w:rPr>
          <w:rFonts w:ascii="Times New Roman" w:cs="Times New Roman" w:eastAsia="Times New Roman" w:hAnsi="Times New Roman"/>
          <w:sz w:val="22"/>
          <w:szCs w:val="22"/>
          <w:color w:val="auto"/>
        </w:rPr>
      </w:pPr>
    </w:p>
    <w:p>
      <w:pPr>
        <w:ind w:left="1300" w:hanging="644"/>
        <w:spacing w:after="0" w:line="236" w:lineRule="auto"/>
        <w:tabs>
          <w:tab w:leader="none" w:pos="1295" w:val="left"/>
        </w:tabs>
        <w:numPr>
          <w:ilvl w:val="0"/>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additional conditions with respect to the exercise of Rights under the Program, including conditions in respect of (i) the market price of the Shares and</w:t>
      </w:r>
    </w:p>
    <w:p>
      <w:pPr>
        <w:sectPr>
          <w:pgSz w:w="11900" w:h="16838" w:orient="portrait"/>
          <w:cols w:equalWidth="0" w:num="1">
            <w:col w:w="11240"/>
          </w:cols>
          <w:pgMar w:left="320" w:top="126" w:right="339" w:bottom="1440" w:gutter="0" w:footer="0" w:header="0"/>
        </w:sectPr>
      </w:pPr>
    </w:p>
    <w:bookmarkStart w:id="222" w:name="page223"/>
    <w:bookmarkEnd w:id="222"/>
    <w:p>
      <w:pPr>
        <w:jc w:val="center"/>
        <w:spacing w:after="0"/>
        <w:rPr>
          <w:sz w:val="20"/>
          <w:szCs w:val="20"/>
          <w:color w:val="auto"/>
        </w:rPr>
      </w:pPr>
      <w:r>
        <w:rPr>
          <w:rFonts w:ascii="Times New Roman" w:cs="Times New Roman" w:eastAsia="Times New Roman" w:hAnsi="Times New Roman"/>
          <w:sz w:val="22"/>
          <w:szCs w:val="22"/>
          <w:color w:val="auto"/>
        </w:rPr>
        <w:t>- 17 -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300" w:right="20"/>
        <w:spacing w:after="0" w:line="236" w:lineRule="auto"/>
        <w:rPr>
          <w:sz w:val="20"/>
          <w:szCs w:val="20"/>
          <w:color w:val="auto"/>
        </w:rPr>
      </w:pPr>
      <w:r>
        <w:rPr>
          <w:rFonts w:ascii="Times New Roman" w:cs="Times New Roman" w:eastAsia="Times New Roman" w:hAnsi="Times New Roman"/>
          <w:sz w:val="22"/>
          <w:szCs w:val="22"/>
          <w:color w:val="auto"/>
        </w:rPr>
        <w:t>(ii) the financial performance or results of the Company, a Subsidiary, a Designated Affiliated Entity, or business unit; and</w:t>
      </w:r>
    </w:p>
    <w:p>
      <w:pPr>
        <w:spacing w:after="0" w:line="150" w:lineRule="exact"/>
        <w:rPr>
          <w:sz w:val="20"/>
          <w:szCs w:val="20"/>
          <w:color w:val="auto"/>
        </w:rPr>
      </w:pPr>
    </w:p>
    <w:p>
      <w:pPr>
        <w:ind w:left="1300" w:hanging="644"/>
        <w:spacing w:after="0"/>
        <w:tabs>
          <w:tab w:leader="none" w:pos="1300" w:val="left"/>
        </w:tabs>
        <w:numPr>
          <w:ilvl w:val="1"/>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other terms or conditions of the Company may in its discretion determine.</w:t>
      </w:r>
    </w:p>
    <w:p>
      <w:pPr>
        <w:spacing w:after="0" w:line="179" w:lineRule="exact"/>
        <w:rPr>
          <w:rFonts w:ascii="Times New Roman" w:cs="Times New Roman" w:eastAsia="Times New Roman" w:hAnsi="Times New Roman"/>
          <w:sz w:val="22"/>
          <w:szCs w:val="22"/>
          <w:color w:val="auto"/>
        </w:rPr>
      </w:pPr>
    </w:p>
    <w:p>
      <w:pPr>
        <w:ind w:left="1300" w:hanging="1292"/>
        <w:spacing w:after="0"/>
        <w:tabs>
          <w:tab w:leader="none" w:pos="1300"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EXERCISE OF PARTICIPANT’S RIGHTS</w:t>
      </w:r>
    </w:p>
    <w:p>
      <w:pPr>
        <w:spacing w:after="0" w:line="179"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14.1 Subject to the provisions of the Program, a Right may be exercised by the Participant only on or after the Earliest Exercise Date and thereafter from time to time at his or her discretion, provided that, unless the Company at any time otherwise determines,</w:t>
      </w:r>
    </w:p>
    <w:p>
      <w:pPr>
        <w:spacing w:after="0" w:line="153" w:lineRule="exact"/>
        <w:rPr>
          <w:sz w:val="20"/>
          <w:szCs w:val="20"/>
          <w:color w:val="auto"/>
        </w:rPr>
      </w:pPr>
    </w:p>
    <w:p>
      <w:pPr>
        <w:jc w:val="both"/>
        <w:ind w:left="1300" w:hanging="644"/>
        <w:spacing w:after="0" w:line="225" w:lineRule="auto"/>
        <w:tabs>
          <w:tab w:leader="none" w:pos="1297" w:val="left"/>
        </w:tabs>
        <w:numPr>
          <w:ilvl w:val="0"/>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clause (b) of this section 14.1, the maximum number of Rights which the Participant may exercise during each of the Years commencing on the Earliest Exercise Date of the Right shall be equal to the number of Rights represented by the Designated Rights Percentage of the Designated Rights Amount, and</w:t>
      </w:r>
    </w:p>
    <w:p>
      <w:pPr>
        <w:spacing w:after="0" w:line="152" w:lineRule="exact"/>
        <w:rPr>
          <w:rFonts w:ascii="Times New Roman" w:cs="Times New Roman" w:eastAsia="Times New Roman" w:hAnsi="Times New Roman"/>
          <w:sz w:val="22"/>
          <w:szCs w:val="22"/>
          <w:color w:val="auto"/>
        </w:rPr>
      </w:pPr>
    </w:p>
    <w:p>
      <w:pPr>
        <w:jc w:val="both"/>
        <w:ind w:left="1300" w:right="20" w:hanging="644"/>
        <w:spacing w:after="0" w:line="225" w:lineRule="auto"/>
        <w:tabs>
          <w:tab w:leader="none" w:pos="1295" w:val="left"/>
        </w:tabs>
        <w:numPr>
          <w:ilvl w:val="0"/>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number of Rights exercised during any of the Years is less than the maximum number which could have been exercised during that Year, the difference shall be carried forward and added to the maximum number of Rights which may be exercised immediately following the Year, and so on from time to time.</w:t>
      </w:r>
    </w:p>
    <w:p>
      <w:pPr>
        <w:spacing w:after="0" w:line="152"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22"/>
          <w:szCs w:val="22"/>
          <w:color w:val="auto"/>
        </w:rPr>
        <w:t>14.2 Notwithstanding section 14.1, if there is a Change of Control, and a Participant ceases to be employed by the Company, a Subsidiary or Designated Affiliated Entity, by reason of a termination without cause or for Good Reason, either (x) within the earlier of six months preceding the Change of Control or the public disclosure of a transaction, which, if completed, would give rise to a Change of Control and (y) the two years following the Change of Control, the Participant’s Rights shall be fully Vested on, and may be exercised at any time following, the later of (a) the date of the Change of Control and (b) the date of termination of the Participant’s employment, until and ending on the applicable date in section 14.4.</w:t>
      </w:r>
    </w:p>
    <w:p>
      <w:pPr>
        <w:spacing w:after="0" w:line="15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14.3 Upon exercising a Right, the Participant will be paid the amount by which such Right is In The Money on the date of exercise of the Right, subject to any applicable withholding of taxes.</w:t>
      </w:r>
    </w:p>
    <w:p>
      <w:pPr>
        <w:spacing w:after="0" w:line="15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14.4 Unless the Company at any time otherwise determines, a Participant’s Right shall terminate and may not be exercised after the earliest of:</w:t>
      </w:r>
    </w:p>
    <w:p>
      <w:pPr>
        <w:spacing w:after="0" w:line="150" w:lineRule="exact"/>
        <w:rPr>
          <w:sz w:val="20"/>
          <w:szCs w:val="20"/>
          <w:color w:val="auto"/>
        </w:rPr>
      </w:pPr>
    </w:p>
    <w:p>
      <w:pPr>
        <w:ind w:left="1300" w:hanging="644"/>
        <w:spacing w:after="0" w:line="236" w:lineRule="auto"/>
        <w:tabs>
          <w:tab w:leader="none" w:pos="1297" w:val="left"/>
        </w:tabs>
        <w:numPr>
          <w:ilvl w:val="0"/>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termination of employment with the Company for cause, immediately as of the time of such termination;</w:t>
      </w:r>
    </w:p>
    <w:p>
      <w:pPr>
        <w:spacing w:after="0" w:line="150" w:lineRule="exact"/>
        <w:rPr>
          <w:rFonts w:ascii="Times New Roman" w:cs="Times New Roman" w:eastAsia="Times New Roman" w:hAnsi="Times New Roman"/>
          <w:sz w:val="22"/>
          <w:szCs w:val="22"/>
          <w:color w:val="auto"/>
        </w:rPr>
      </w:pPr>
    </w:p>
    <w:p>
      <w:pPr>
        <w:jc w:val="both"/>
        <w:ind w:left="1300" w:hanging="644"/>
        <w:spacing w:after="0" w:line="220" w:lineRule="auto"/>
        <w:tabs>
          <w:tab w:leader="none" w:pos="1295" w:val="left"/>
        </w:tabs>
        <w:numPr>
          <w:ilvl w:val="0"/>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30 days after the date of the Participant’s termination of employment with the Company, unless such termination occurs by reason of termination of the Participant’s employment for cause or the Participant’s death, disability or Retirement as contemplated in subsections (a), (c) or (d) of this section, in which case the provisions of the applicable subsection shall govern;</w:t>
      </w:r>
    </w:p>
    <w:p>
      <w:pPr>
        <w:spacing w:after="0" w:line="152" w:lineRule="exact"/>
        <w:rPr>
          <w:rFonts w:ascii="Times New Roman" w:cs="Times New Roman" w:eastAsia="Times New Roman" w:hAnsi="Times New Roman"/>
          <w:sz w:val="22"/>
          <w:szCs w:val="22"/>
          <w:color w:val="auto"/>
        </w:rPr>
      </w:pPr>
    </w:p>
    <w:p>
      <w:pPr>
        <w:ind w:left="1300" w:hanging="644"/>
        <w:spacing w:after="0" w:line="236" w:lineRule="auto"/>
        <w:tabs>
          <w:tab w:leader="none" w:pos="1297" w:val="left"/>
        </w:tabs>
        <w:numPr>
          <w:ilvl w:val="0"/>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three years after the Participant’s Retirement provided that if the Participant dies prior to the expiry of the first two years of such three-year period, the Right shall terminate one year after the Participant’s death;</w:t>
      </w:r>
    </w:p>
    <w:p>
      <w:pPr>
        <w:spacing w:after="0" w:line="150" w:lineRule="exact"/>
        <w:rPr>
          <w:rFonts w:ascii="Times New Roman" w:cs="Times New Roman" w:eastAsia="Times New Roman" w:hAnsi="Times New Roman"/>
          <w:sz w:val="22"/>
          <w:szCs w:val="22"/>
          <w:color w:val="auto"/>
        </w:rPr>
      </w:pPr>
    </w:p>
    <w:p>
      <w:pPr>
        <w:ind w:left="1300" w:hanging="644"/>
        <w:spacing w:after="0" w:line="236" w:lineRule="auto"/>
        <w:tabs>
          <w:tab w:leader="none" w:pos="1295" w:val="left"/>
        </w:tabs>
        <w:numPr>
          <w:ilvl w:val="0"/>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one year after the Participant’s death or the termination of employment with the Company by reason of his disability (as determined by the Company in its sole discretion); and</w:t>
      </w:r>
    </w:p>
    <w:p>
      <w:pPr>
        <w:sectPr>
          <w:pgSz w:w="11900" w:h="16838" w:orient="portrait"/>
          <w:cols w:equalWidth="0" w:num="1">
            <w:col w:w="11240"/>
          </w:cols>
          <w:pgMar w:left="320" w:top="126" w:right="339" w:bottom="1440" w:gutter="0" w:footer="0" w:header="0"/>
        </w:sectPr>
      </w:pPr>
    </w:p>
    <w:bookmarkStart w:id="223" w:name="page224"/>
    <w:bookmarkEnd w:id="223"/>
    <w:p>
      <w:pPr>
        <w:jc w:val="center"/>
        <w:spacing w:after="0"/>
        <w:rPr>
          <w:sz w:val="20"/>
          <w:szCs w:val="20"/>
          <w:color w:val="auto"/>
        </w:rPr>
      </w:pPr>
      <w:r>
        <w:rPr>
          <w:rFonts w:ascii="Times New Roman" w:cs="Times New Roman" w:eastAsia="Times New Roman" w:hAnsi="Times New Roman"/>
          <w:sz w:val="22"/>
          <w:szCs w:val="22"/>
          <w:color w:val="auto"/>
        </w:rPr>
        <w:t>- 18 -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300" w:hanging="644"/>
        <w:spacing w:after="0"/>
        <w:tabs>
          <w:tab w:leader="none" w:pos="1300" w:val="left"/>
        </w:tabs>
        <w:numPr>
          <w:ilvl w:val="0"/>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Latest Exercise Date of the Participant’s Right.</w:t>
      </w:r>
    </w:p>
    <w:p>
      <w:pPr>
        <w:spacing w:after="0" w:line="179" w:lineRule="exact"/>
        <w:rPr>
          <w:sz w:val="20"/>
          <w:szCs w:val="20"/>
          <w:color w:val="auto"/>
        </w:rPr>
      </w:pPr>
    </w:p>
    <w:p>
      <w:pPr>
        <w:jc w:val="both"/>
        <w:ind w:right="20"/>
        <w:spacing w:after="0" w:line="236" w:lineRule="auto"/>
        <w:rPr>
          <w:sz w:val="20"/>
          <w:szCs w:val="20"/>
          <w:color w:val="auto"/>
        </w:rPr>
      </w:pPr>
      <w:r>
        <w:rPr>
          <w:rFonts w:ascii="Times New Roman" w:cs="Times New Roman" w:eastAsia="Times New Roman" w:hAnsi="Times New Roman"/>
          <w:sz w:val="22"/>
          <w:szCs w:val="22"/>
          <w:color w:val="auto"/>
        </w:rPr>
        <w:t>14.5 No certificates shall be issued with respect to such Rights, but the Company shall maintain records in the name of each Participant showing the number of Rights to which such Participant is entitled in accordance with the Rights Program.</w:t>
      </w:r>
    </w:p>
    <w:p>
      <w:pPr>
        <w:spacing w:after="0" w:line="15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14.6 In order to exercise his Rights, the Participant must forward a completed Rights Letter by personal delivery, or registered mail or facsimile to the Company in the manner provided for in section 4.3.</w:t>
      </w:r>
    </w:p>
    <w:p>
      <w:pPr>
        <w:spacing w:after="0" w:line="150"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2"/>
          <w:szCs w:val="22"/>
          <w:color w:val="auto"/>
        </w:rPr>
        <w:t>14.7 The Company may, in lieu of all or a portion of the amount which would otherwise be payable to a Participant under this Program, issue or provide to a Participant a number of Shares. The number of Shares to be issued or provided to a Participant will be determined by dividing the cash amount that is proposed to be provided in the form of Shares under this section by the applicable Market Price.</w:t>
      </w:r>
    </w:p>
    <w:p>
      <w:pPr>
        <w:spacing w:after="0" w:line="152" w:lineRule="exact"/>
        <w:rPr>
          <w:sz w:val="20"/>
          <w:szCs w:val="20"/>
          <w:color w:val="auto"/>
        </w:rPr>
      </w:pPr>
    </w:p>
    <w:p>
      <w:pPr>
        <w:ind w:left="1300" w:hanging="1292"/>
        <w:spacing w:after="0"/>
        <w:tabs>
          <w:tab w:leader="none" w:pos="1300"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EXERCISE OF RIGHTS</w:t>
      </w:r>
    </w:p>
    <w:p>
      <w:pPr>
        <w:spacing w:after="0" w:line="179"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2"/>
          <w:szCs w:val="22"/>
          <w:color w:val="auto"/>
        </w:rPr>
        <w:t xml:space="preserve">15.1 Unless otherwise determined by the Company, if the Participant is a person who has knowledge of a “material fact” or “material change” (each as defined under the </w:t>
      </w:r>
      <w:r>
        <w:rPr>
          <w:rFonts w:ascii="Times New Roman" w:cs="Times New Roman" w:eastAsia="Times New Roman" w:hAnsi="Times New Roman"/>
          <w:sz w:val="22"/>
          <w:szCs w:val="22"/>
          <w:i w:val="1"/>
          <w:iCs w:val="1"/>
          <w:color w:val="auto"/>
        </w:rPr>
        <w:t>Securities Act</w:t>
      </w:r>
      <w:r>
        <w:rPr>
          <w:rFonts w:ascii="Times New Roman" w:cs="Times New Roman" w:eastAsia="Times New Roman" w:hAnsi="Times New Roman"/>
          <w:sz w:val="22"/>
          <w:szCs w:val="22"/>
          <w:color w:val="auto"/>
        </w:rPr>
        <w:t xml:space="preserve"> (Ontario)) in respect of the Company that has not been generally disclosed in accordance with applicable securities legislation and adequately disseminated to the public, he or she shall not be entitled to exercise the Right.</w:t>
      </w:r>
    </w:p>
    <w:p>
      <w:pPr>
        <w:spacing w:after="0" w:line="152" w:lineRule="exact"/>
        <w:rPr>
          <w:sz w:val="20"/>
          <w:szCs w:val="20"/>
          <w:color w:val="auto"/>
        </w:rPr>
      </w:pPr>
    </w:p>
    <w:p>
      <w:pPr>
        <w:ind w:left="1300" w:hanging="1292"/>
        <w:spacing w:after="0"/>
        <w:tabs>
          <w:tab w:leader="none" w:pos="1300" w:val="left"/>
        </w:tabs>
        <w:numPr>
          <w:ilvl w:val="0"/>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CHANGES IN SHARE CAPITAL</w:t>
      </w:r>
    </w:p>
    <w:p>
      <w:pPr>
        <w:spacing w:after="0" w:line="179"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22"/>
          <w:szCs w:val="22"/>
          <w:color w:val="auto"/>
        </w:rPr>
        <w:t>16.1 If the number of outstanding Shares shall be increased or decreased as a result of a stock split, consolidation, reclassification or recapitalization and not as a result of the issuance of Shares for additional consideration or by way of a stock dividend in the ordinary course, the Company may make appropriate adjustments to the Designated Rights Amount and/or the Strike Price. Any determinations by the Company as to the adjustments shall be made in its sole discretion and all such adjustments shall be conclusive and binding for all purposes under the Program.</w:t>
      </w:r>
    </w:p>
    <w:p>
      <w:pPr>
        <w:spacing w:after="0" w:line="152" w:lineRule="exact"/>
        <w:rPr>
          <w:sz w:val="20"/>
          <w:szCs w:val="20"/>
          <w:color w:val="auto"/>
        </w:rPr>
      </w:pPr>
    </w:p>
    <w:p>
      <w:pPr>
        <w:ind w:left="1300" w:hanging="1292"/>
        <w:spacing w:after="0"/>
        <w:tabs>
          <w:tab w:leader="none" w:pos="1300" w:val="left"/>
        </w:tabs>
        <w:numPr>
          <w:ilvl w:val="0"/>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REORGANIZATION</w:t>
      </w:r>
    </w:p>
    <w:p>
      <w:pPr>
        <w:spacing w:after="0" w:line="179"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color w:val="auto"/>
        </w:rPr>
        <w:t>17.1 In the event of a Reorganization or proposed Reorganization, the Company, at its option, may, subject to Stock Exchange Rules, do either of the following:</w:t>
      </w:r>
    </w:p>
    <w:p>
      <w:pPr>
        <w:spacing w:after="0" w:line="150" w:lineRule="exact"/>
        <w:rPr>
          <w:sz w:val="20"/>
          <w:szCs w:val="20"/>
          <w:color w:val="auto"/>
        </w:rPr>
      </w:pPr>
    </w:p>
    <w:p>
      <w:pPr>
        <w:jc w:val="both"/>
        <w:ind w:left="1300" w:hanging="644"/>
        <w:spacing w:after="0" w:line="215" w:lineRule="auto"/>
        <w:tabs>
          <w:tab w:leader="none" w:pos="1297" w:val="left"/>
        </w:tabs>
        <w:numPr>
          <w:ilvl w:val="0"/>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irrevocably commute any Right that is still capable of being exercised, upon giving to any Participant to whom such Right has been granted at least 30 days’ written notice of its intention to commute the Right on a specified date, and during the period to such date, the Right, to the extent that it has not been exercised, may be exercised by the Participant up to the Designated Rights Amount without regard to the limitations contained in subsection 14.1(a), and on the expiry of such period of notice, the unexercised portion of the Rights shall lapse or be cancelled; or</w:t>
      </w:r>
    </w:p>
    <w:p>
      <w:pPr>
        <w:spacing w:after="0" w:line="152" w:lineRule="exact"/>
        <w:rPr>
          <w:rFonts w:ascii="Times New Roman" w:cs="Times New Roman" w:eastAsia="Times New Roman" w:hAnsi="Times New Roman"/>
          <w:sz w:val="22"/>
          <w:szCs w:val="22"/>
          <w:color w:val="auto"/>
        </w:rPr>
      </w:pPr>
    </w:p>
    <w:p>
      <w:pPr>
        <w:jc w:val="both"/>
        <w:ind w:left="1300" w:hanging="644"/>
        <w:spacing w:after="0" w:line="217" w:lineRule="auto"/>
        <w:tabs>
          <w:tab w:leader="none" w:pos="1295" w:val="left"/>
        </w:tabs>
        <w:numPr>
          <w:ilvl w:val="0"/>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or any corporation which is or would be the successor to the Company or which may issue securities in exchange for Shares upon the Reorganization becoming effective, may offer any Participant in writing the opportunity to obtain a new or replacement stock appreciation right or a security in respect of any securities into which the Shares are changed or are convertible or exchangeable, on a basis proportionate to the number of Rights held by such</w:t>
      </w:r>
    </w:p>
    <w:p>
      <w:pPr>
        <w:sectPr>
          <w:pgSz w:w="11900" w:h="16838" w:orient="portrait"/>
          <w:cols w:equalWidth="0" w:num="1">
            <w:col w:w="11240"/>
          </w:cols>
          <w:pgMar w:left="320" w:top="126" w:right="339" w:bottom="1440" w:gutter="0" w:footer="0" w:header="0"/>
        </w:sectPr>
      </w:pPr>
    </w:p>
    <w:bookmarkStart w:id="224" w:name="page225"/>
    <w:bookmarkEnd w:id="224"/>
    <w:p>
      <w:pPr>
        <w:jc w:val="center"/>
        <w:spacing w:after="0"/>
        <w:rPr>
          <w:sz w:val="20"/>
          <w:szCs w:val="20"/>
          <w:color w:val="auto"/>
        </w:rPr>
      </w:pPr>
      <w:r>
        <w:rPr>
          <w:rFonts w:ascii="Times New Roman" w:cs="Times New Roman" w:eastAsia="Times New Roman" w:hAnsi="Times New Roman"/>
          <w:sz w:val="22"/>
          <w:szCs w:val="22"/>
          <w:color w:val="auto"/>
        </w:rPr>
        <w:t>- 19 -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300"/>
        <w:spacing w:after="0" w:line="236" w:lineRule="auto"/>
        <w:rPr>
          <w:sz w:val="20"/>
          <w:szCs w:val="20"/>
          <w:color w:val="auto"/>
        </w:rPr>
      </w:pPr>
      <w:r>
        <w:rPr>
          <w:rFonts w:ascii="Times New Roman" w:cs="Times New Roman" w:eastAsia="Times New Roman" w:hAnsi="Times New Roman"/>
          <w:sz w:val="22"/>
          <w:szCs w:val="22"/>
          <w:color w:val="auto"/>
        </w:rPr>
        <w:t>Participant or some other appropriate basis, or some other property. If a Participant accepts such offer, he or she shall be deemed to have released his or her Rights and such Rights shall be deemed to have terminated.</w:t>
      </w:r>
    </w:p>
    <w:p>
      <w:pPr>
        <w:spacing w:after="0" w:line="15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1"/>
          <w:szCs w:val="21"/>
          <w:color w:val="auto"/>
        </w:rPr>
        <w:t>17.2 The Company may specify in any notice or offer made under section 17.1, that, if for any reason, the Reorganization is not completed, the Company may revoke such notice or offer. The Company may exercise such right by further notice in writing to the Participant and the Right shall thereafter continue to be exercisable by the Participant in accordance with its terms.</w:t>
      </w:r>
    </w:p>
    <w:p>
      <w:pPr>
        <w:spacing w:after="0" w:line="152"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17.3 Subsections (a) and (b) of section 17.1 are intended to be permissive and may be utilized independently or successively or in combination or otherwise, and nothing therein contained shall be construed as limiting or affecting the ability of the Company to deal with Rights in any other manner.</w:t>
      </w:r>
    </w:p>
    <w:p>
      <w:pPr>
        <w:sectPr>
          <w:pgSz w:w="11900" w:h="16838" w:orient="portrait"/>
          <w:cols w:equalWidth="0" w:num="1">
            <w:col w:w="11240"/>
          </w:cols>
          <w:pgMar w:left="320" w:top="126" w:right="339" w:bottom="1440" w:gutter="0" w:footer="0" w:header="0"/>
        </w:sectPr>
      </w:pPr>
    </w:p>
    <w:bookmarkStart w:id="225" w:name="page226"/>
    <w:bookmarkEnd w:id="225"/>
    <w:p>
      <w:pPr>
        <w:jc w:val="center"/>
        <w:spacing w:after="0"/>
        <w:rPr>
          <w:sz w:val="20"/>
          <w:szCs w:val="20"/>
          <w:color w:val="auto"/>
        </w:rPr>
      </w:pPr>
      <w:r>
        <w:rPr>
          <w:rFonts w:ascii="Times New Roman" w:cs="Times New Roman" w:eastAsia="Times New Roman" w:hAnsi="Times New Roman"/>
          <w:sz w:val="22"/>
          <w:szCs w:val="22"/>
          <w:color w:val="auto"/>
        </w:rPr>
        <w:t>- 20 -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PART IV</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SHARE UNIT PROGRAM</w:t>
      </w:r>
    </w:p>
    <w:p>
      <w:pPr>
        <w:spacing w:after="0" w:line="200" w:lineRule="exact"/>
        <w:rPr>
          <w:sz w:val="20"/>
          <w:szCs w:val="20"/>
          <w:color w:val="auto"/>
        </w:rPr>
      </w:pPr>
    </w:p>
    <w:p>
      <w:pPr>
        <w:spacing w:after="0" w:line="209" w:lineRule="exact"/>
        <w:rPr>
          <w:sz w:val="20"/>
          <w:szCs w:val="20"/>
          <w:color w:val="auto"/>
        </w:rPr>
      </w:pPr>
    </w:p>
    <w:p>
      <w:pPr>
        <w:ind w:left="1300" w:hanging="1292"/>
        <w:spacing w:after="0"/>
        <w:tabs>
          <w:tab w:leader="none" w:pos="1300" w:val="left"/>
        </w:tabs>
        <w:numPr>
          <w:ilvl w:val="0"/>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SHARE UNIT PROGRAM DEFINITIONS</w:t>
      </w:r>
    </w:p>
    <w:p>
      <w:pPr>
        <w:spacing w:after="0" w:line="17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18.1</w:t>
      </w:r>
      <w:r>
        <w:rPr>
          <w:sz w:val="20"/>
          <w:szCs w:val="20"/>
          <w:color w:val="auto"/>
        </w:rPr>
        <w:tab/>
      </w:r>
      <w:r>
        <w:rPr>
          <w:rFonts w:ascii="Times New Roman" w:cs="Times New Roman" w:eastAsia="Times New Roman" w:hAnsi="Times New Roman"/>
          <w:sz w:val="21"/>
          <w:szCs w:val="21"/>
          <w:color w:val="auto"/>
        </w:rPr>
        <w:t>In this Program, the following terms have the following meanings:</w:t>
      </w:r>
    </w:p>
    <w:p>
      <w:pPr>
        <w:spacing w:after="0" w:line="179" w:lineRule="exact"/>
        <w:rPr>
          <w:sz w:val="20"/>
          <w:szCs w:val="20"/>
          <w:color w:val="auto"/>
        </w:rPr>
      </w:pPr>
    </w:p>
    <w:p>
      <w:pPr>
        <w:ind w:left="1300" w:hanging="644"/>
        <w:spacing w:after="0"/>
        <w:tabs>
          <w:tab w:leader="none" w:pos="1300" w:val="left"/>
        </w:tabs>
        <w:numPr>
          <w:ilvl w:val="0"/>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“Grant” means a PSU Grant or a RSU Grant;</w:t>
      </w:r>
    </w:p>
    <w:p>
      <w:pPr>
        <w:spacing w:after="0" w:line="179" w:lineRule="exact"/>
        <w:rPr>
          <w:rFonts w:ascii="Times New Roman" w:cs="Times New Roman" w:eastAsia="Times New Roman" w:hAnsi="Times New Roman"/>
          <w:sz w:val="22"/>
          <w:szCs w:val="22"/>
          <w:color w:val="auto"/>
        </w:rPr>
      </w:pPr>
    </w:p>
    <w:p>
      <w:pPr>
        <w:jc w:val="both"/>
        <w:ind w:left="1300" w:hanging="644"/>
        <w:spacing w:after="0" w:line="213" w:lineRule="auto"/>
        <w:tabs>
          <w:tab w:leader="none" w:pos="1295" w:val="left"/>
        </w:tabs>
        <w:numPr>
          <w:ilvl w:val="0"/>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“Performance Criteria” means conditions in respect of such financial, business, and/or personal performance criteria as may be determined by the Company in respect of a Grant of PSUs to any Participant or Participants. Performance Criteria may be applied to either the Company and its Subsidiaries as a whole or to a Subsidiary, a Designated Affiliated Entity or a business unit or a group of the Company and selected Subsidiaries, either individually, alternatively or in any combination, and measured either in total, incrementally or cumulatively over a specified period, on an absolute basis or relative to a pre-established target, to previous years’ results or to a designated comparison group and may include:</w:t>
      </w:r>
    </w:p>
    <w:p>
      <w:pPr>
        <w:spacing w:after="0" w:line="156" w:lineRule="exact"/>
        <w:rPr>
          <w:rFonts w:ascii="Times New Roman" w:cs="Times New Roman" w:eastAsia="Times New Roman" w:hAnsi="Times New Roman"/>
          <w:sz w:val="22"/>
          <w:szCs w:val="22"/>
          <w:color w:val="auto"/>
        </w:rPr>
      </w:pPr>
    </w:p>
    <w:p>
      <w:pPr>
        <w:ind w:left="2080" w:hanging="387"/>
        <w:spacing w:after="0"/>
        <w:tabs>
          <w:tab w:leader="none" w:pos="2080" w:val="left"/>
        </w:tabs>
        <w:numPr>
          <w:ilvl w:val="1"/>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market value of the Shares;</w:t>
      </w:r>
    </w:p>
    <w:p>
      <w:pPr>
        <w:spacing w:after="0" w:line="179" w:lineRule="exact"/>
        <w:rPr>
          <w:rFonts w:ascii="Times New Roman" w:cs="Times New Roman" w:eastAsia="Times New Roman" w:hAnsi="Times New Roman"/>
          <w:sz w:val="22"/>
          <w:szCs w:val="22"/>
          <w:color w:val="auto"/>
        </w:rPr>
      </w:pPr>
    </w:p>
    <w:p>
      <w:pPr>
        <w:ind w:left="2080" w:hanging="387"/>
        <w:spacing w:after="0"/>
        <w:tabs>
          <w:tab w:leader="none" w:pos="2080" w:val="left"/>
        </w:tabs>
        <w:numPr>
          <w:ilvl w:val="1"/>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return to holders of Shares, with or without reference to other comparable companies;</w:t>
      </w:r>
    </w:p>
    <w:p>
      <w:pPr>
        <w:spacing w:after="0" w:line="179" w:lineRule="exact"/>
        <w:rPr>
          <w:rFonts w:ascii="Times New Roman" w:cs="Times New Roman" w:eastAsia="Times New Roman" w:hAnsi="Times New Roman"/>
          <w:sz w:val="22"/>
          <w:szCs w:val="22"/>
          <w:color w:val="auto"/>
        </w:rPr>
      </w:pPr>
    </w:p>
    <w:p>
      <w:pPr>
        <w:ind w:left="2080" w:hanging="387"/>
        <w:spacing w:after="0" w:line="236" w:lineRule="auto"/>
        <w:tabs>
          <w:tab w:leader="none" w:pos="2069" w:val="left"/>
        </w:tabs>
        <w:numPr>
          <w:ilvl w:val="1"/>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financial performance or results of the Company, a Subsidiary, a Designated Affiliated Entity or a business unit thereof,</w:t>
      </w:r>
    </w:p>
    <w:p>
      <w:pPr>
        <w:spacing w:after="0" w:line="177" w:lineRule="exact"/>
        <w:rPr>
          <w:sz w:val="20"/>
          <w:szCs w:val="20"/>
          <w:color w:val="auto"/>
        </w:rPr>
      </w:pPr>
    </w:p>
    <w:p>
      <w:pPr>
        <w:jc w:val="both"/>
        <w:ind w:left="1300"/>
        <w:spacing w:after="0" w:line="263" w:lineRule="auto"/>
        <w:rPr>
          <w:sz w:val="20"/>
          <w:szCs w:val="20"/>
          <w:color w:val="auto"/>
        </w:rPr>
      </w:pPr>
      <w:r>
        <w:rPr>
          <w:rFonts w:ascii="Times New Roman" w:cs="Times New Roman" w:eastAsia="Times New Roman" w:hAnsi="Times New Roman"/>
          <w:sz w:val="22"/>
          <w:szCs w:val="22"/>
          <w:color w:val="auto"/>
        </w:rPr>
        <w:t>and the Performance Criteria may relate to all or a portion of the PSUs in a Grant and may be graduated such that different percentages (which may be greater or lesser than 100%) of the PSUs in a Grant will become Vested depending on the extent of satisfaction of one or more such conditions;</w:t>
      </w:r>
    </w:p>
    <w:p>
      <w:pPr>
        <w:spacing w:after="0" w:line="140" w:lineRule="exact"/>
        <w:rPr>
          <w:sz w:val="20"/>
          <w:szCs w:val="20"/>
          <w:color w:val="auto"/>
        </w:rPr>
      </w:pPr>
    </w:p>
    <w:p>
      <w:pPr>
        <w:ind w:left="1300" w:hanging="644"/>
        <w:spacing w:after="0" w:line="236" w:lineRule="auto"/>
        <w:tabs>
          <w:tab w:leader="none" w:pos="1297" w:val="left"/>
        </w:tabs>
        <w:numPr>
          <w:ilvl w:val="0"/>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“PSU Grant” means a grant to a Participant, under the Program pursuant to Article 19, of PSUs determined with reference to a notional dollar amount;</w:t>
      </w:r>
    </w:p>
    <w:p>
      <w:pPr>
        <w:spacing w:after="0" w:line="150" w:lineRule="exact"/>
        <w:rPr>
          <w:rFonts w:ascii="Times New Roman" w:cs="Times New Roman" w:eastAsia="Times New Roman" w:hAnsi="Times New Roman"/>
          <w:sz w:val="22"/>
          <w:szCs w:val="22"/>
          <w:color w:val="auto"/>
        </w:rPr>
      </w:pPr>
    </w:p>
    <w:p>
      <w:pPr>
        <w:jc w:val="both"/>
        <w:ind w:left="1300" w:hanging="644"/>
        <w:spacing w:after="0" w:line="225" w:lineRule="auto"/>
        <w:tabs>
          <w:tab w:leader="none" w:pos="1295" w:val="left"/>
        </w:tabs>
        <w:numPr>
          <w:ilvl w:val="0"/>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“PSU” means a unit allocated to a Participant under the Program in accordance with Article 19, the Vesting terms of which will be specified and identified at the Date of Grant and include the achievement of certain Performance Criteria;</w:t>
      </w:r>
    </w:p>
    <w:p>
      <w:pPr>
        <w:spacing w:after="0" w:line="152"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“Program” means this Share Unit Program;</w:t>
      </w:r>
    </w:p>
    <w:p>
      <w:pPr>
        <w:spacing w:after="0" w:line="179" w:lineRule="exact"/>
        <w:rPr>
          <w:rFonts w:ascii="Times New Roman" w:cs="Times New Roman" w:eastAsia="Times New Roman" w:hAnsi="Times New Roman"/>
          <w:sz w:val="22"/>
          <w:szCs w:val="22"/>
          <w:color w:val="auto"/>
        </w:rPr>
      </w:pPr>
    </w:p>
    <w:p>
      <w:pPr>
        <w:ind w:left="1300" w:hanging="644"/>
        <w:spacing w:after="0" w:line="236" w:lineRule="auto"/>
        <w:tabs>
          <w:tab w:leader="none" w:pos="1300" w:val="left"/>
        </w:tabs>
        <w:numPr>
          <w:ilvl w:val="0"/>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“Release Date” means, for a Grant, the date or dates on which Vested Share Units shall be satisfied in the form of Shares, or cash pursuant to a permitted election contemplated by section 22.3;</w:t>
      </w:r>
    </w:p>
    <w:p>
      <w:pPr>
        <w:spacing w:after="0" w:line="150" w:lineRule="exact"/>
        <w:rPr>
          <w:rFonts w:ascii="Times New Roman" w:cs="Times New Roman" w:eastAsia="Times New Roman" w:hAnsi="Times New Roman"/>
          <w:sz w:val="22"/>
          <w:szCs w:val="22"/>
          <w:color w:val="auto"/>
        </w:rPr>
      </w:pPr>
    </w:p>
    <w:p>
      <w:pPr>
        <w:jc w:val="both"/>
        <w:ind w:left="1300" w:hanging="644"/>
        <w:spacing w:after="0" w:line="225" w:lineRule="auto"/>
        <w:tabs>
          <w:tab w:leader="none" w:pos="1295" w:val="left"/>
        </w:tabs>
        <w:numPr>
          <w:ilvl w:val="0"/>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“RSU” means a unit allocated to a Participant under this Program in accordance with Article 19, the Vesting terms of which will be specified and identified at the Date of Grant and which do not include the achievement of Performance Criteria;</w:t>
      </w:r>
    </w:p>
    <w:p>
      <w:pPr>
        <w:sectPr>
          <w:pgSz w:w="11900" w:h="16838" w:orient="portrait"/>
          <w:cols w:equalWidth="0" w:num="1">
            <w:col w:w="11240"/>
          </w:cols>
          <w:pgMar w:left="320" w:top="126" w:right="339" w:bottom="1440" w:gutter="0" w:footer="0" w:header="0"/>
        </w:sectPr>
      </w:pPr>
    </w:p>
    <w:bookmarkStart w:id="226" w:name="page227"/>
    <w:bookmarkEnd w:id="226"/>
    <w:p>
      <w:pPr>
        <w:jc w:val="center"/>
        <w:spacing w:after="0"/>
        <w:rPr>
          <w:sz w:val="20"/>
          <w:szCs w:val="20"/>
          <w:color w:val="auto"/>
        </w:rPr>
      </w:pPr>
      <w:r>
        <w:rPr>
          <w:rFonts w:ascii="Times New Roman" w:cs="Times New Roman" w:eastAsia="Times New Roman" w:hAnsi="Times New Roman"/>
          <w:sz w:val="22"/>
          <w:szCs w:val="22"/>
          <w:color w:val="auto"/>
        </w:rPr>
        <w:t>- 21 -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300" w:hanging="644"/>
        <w:spacing w:after="0" w:line="236" w:lineRule="auto"/>
        <w:tabs>
          <w:tab w:leader="none" w:pos="1295" w:val="left"/>
        </w:tabs>
        <w:numPr>
          <w:ilvl w:val="1"/>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“RSU Grant” means a grant to a Participant, under the Program pursuant to Article 19, of RSUs determined with reference to a notional dollar amount;</w:t>
      </w:r>
    </w:p>
    <w:p>
      <w:pPr>
        <w:spacing w:after="0" w:line="150"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1"/>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 Unit” means a RSU or a PSU; and</w:t>
      </w:r>
    </w:p>
    <w:p>
      <w:pPr>
        <w:spacing w:after="0" w:line="17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1"/>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 Unit Grant Agreement” has the meaning set forth in section 19.3.</w:t>
      </w:r>
    </w:p>
    <w:p>
      <w:pPr>
        <w:spacing w:after="0" w:line="179" w:lineRule="exact"/>
        <w:rPr>
          <w:rFonts w:ascii="Times New Roman" w:cs="Times New Roman" w:eastAsia="Times New Roman" w:hAnsi="Times New Roman"/>
          <w:sz w:val="22"/>
          <w:szCs w:val="22"/>
          <w:color w:val="auto"/>
        </w:rPr>
      </w:pPr>
    </w:p>
    <w:p>
      <w:pPr>
        <w:ind w:left="1300" w:hanging="1292"/>
        <w:spacing w:after="0"/>
        <w:tabs>
          <w:tab w:leader="none" w:pos="1300" w:val="left"/>
        </w:tabs>
        <w:numPr>
          <w:ilvl w:val="0"/>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GRANTS AND ALLOCATION OF SHARE UNITS</w:t>
      </w:r>
    </w:p>
    <w:p>
      <w:pPr>
        <w:spacing w:after="0" w:line="179"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22"/>
          <w:szCs w:val="22"/>
          <w:color w:val="auto"/>
        </w:rPr>
        <w:t>19.1 The Company may, in its sole discretion, determine whether Grants will be made to a particular Participant, the notional dollar amount of any such Grant, the Vesting conditions and Release Dates for the Grant, whether the Grant will be a PSU Grant or a RSU Grant and whether the Participant may elect to receive a cash payment in lieu of Shares under such Grant. In making such determinations, the Company may take into account such criteria as it deems appropriate, including the Participant’s: (i) level of responsibility; (ii) rate of compensation; (iii) individual performance and contribution; and/or (iv) agreement to become a permanent employee of the Company, a Subsidiary or a Designated Affiliated Entity.</w:t>
      </w:r>
    </w:p>
    <w:p>
      <w:pPr>
        <w:spacing w:after="0" w:line="152"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22"/>
          <w:szCs w:val="22"/>
          <w:color w:val="auto"/>
        </w:rPr>
        <w:t>19.2 At the option of the Company, the amount payable to a Participant under any bonus, profit sharing or gain-sharing program by the Company, a Subsidiary or a Designated Affiliated Entity in respect of a Fiscal Year, or a portion thereof, may be provided in the form of RSU Grants in lieu thereof, provided the Company so elects prior to the commencement of the relevant Fiscal Year. In this case, the amount of the RSU Grant shall be the amount in respect of which the election has been made and the Release Date shall be the date or a specified event (including termination of employment on Retirement) determined by the Company.</w:t>
      </w:r>
    </w:p>
    <w:p>
      <w:pPr>
        <w:spacing w:after="0" w:line="152"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19.3 On the Date of Grant, each Participant who receives a Grant shall be allocated Share Units reflecting such Grant. The Company will provide to the Participant a Share Unit Grant Agreement setting out the terms of the Grant contemplated by section 19.1.</w:t>
      </w:r>
    </w:p>
    <w:p>
      <w:pPr>
        <w:spacing w:after="0" w:line="153"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22"/>
          <w:szCs w:val="22"/>
          <w:color w:val="auto"/>
        </w:rPr>
        <w:t>19.4 The number of Share Units to be allocated to a particular Participant shall be obtained by dividing the amount of the Grant of such Participant by the closing price of the Shares on the trading day preceding the Date of Grant on the TSX or NYSE, as selected by the Company on the Date of Grant. Each such Share Unit shall represent the right to receive, subject to Vesting, one Share or, pursuant to a Participant permitted election, a cash payment at the time, in the manner and subject to the restrictions set forth in this Program.</w:t>
      </w:r>
    </w:p>
    <w:p>
      <w:pPr>
        <w:spacing w:after="0" w:line="15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19.5</w:t>
      </w:r>
      <w:r>
        <w:rPr>
          <w:sz w:val="20"/>
          <w:szCs w:val="20"/>
          <w:color w:val="auto"/>
        </w:rPr>
        <w:tab/>
      </w:r>
      <w:r>
        <w:rPr>
          <w:rFonts w:ascii="Times New Roman" w:cs="Times New Roman" w:eastAsia="Times New Roman" w:hAnsi="Times New Roman"/>
          <w:sz w:val="21"/>
          <w:szCs w:val="21"/>
          <w:color w:val="auto"/>
        </w:rPr>
        <w:t>Subject to the terms of the Plan, the Company may determine other terms or conditions of any Share Units, including:</w:t>
      </w:r>
    </w:p>
    <w:p>
      <w:pPr>
        <w:spacing w:after="0" w:line="179" w:lineRule="exact"/>
        <w:rPr>
          <w:sz w:val="20"/>
          <w:szCs w:val="20"/>
          <w:color w:val="auto"/>
        </w:rPr>
      </w:pPr>
    </w:p>
    <w:p>
      <w:pPr>
        <w:ind w:left="1300" w:hanging="644"/>
        <w:spacing w:after="0"/>
        <w:tabs>
          <w:tab w:leader="none" w:pos="1300" w:val="left"/>
        </w:tabs>
        <w:numPr>
          <w:ilvl w:val="0"/>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restrictions on the re-sale of Shares acquired under the Program;</w:t>
      </w:r>
    </w:p>
    <w:p>
      <w:pPr>
        <w:spacing w:after="0" w:line="17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conditions relating to non-competition, non-solicitation and confidentiality; and</w:t>
      </w:r>
    </w:p>
    <w:p>
      <w:pPr>
        <w:spacing w:after="0" w:line="17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terms and conditions the Company may in its discretion determine.</w:t>
      </w:r>
    </w:p>
    <w:p>
      <w:pPr>
        <w:spacing w:after="0" w:line="179"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19.6 No certificates shall be issued with respect to such Grants or Share Units, but the Company shall maintain records in the name of each Participant showing the number and type of Share Units to which such Participant is entitled in accordance with the Share Unit Program.</w:t>
      </w:r>
    </w:p>
    <w:p>
      <w:pPr>
        <w:spacing w:after="0" w:line="153" w:lineRule="exact"/>
        <w:rPr>
          <w:sz w:val="20"/>
          <w:szCs w:val="20"/>
          <w:color w:val="auto"/>
        </w:rPr>
      </w:pPr>
    </w:p>
    <w:p>
      <w:pPr>
        <w:ind w:left="1300" w:hanging="1292"/>
        <w:spacing w:after="0"/>
        <w:tabs>
          <w:tab w:leader="none" w:pos="1300" w:val="left"/>
        </w:tabs>
        <w:numPr>
          <w:ilvl w:val="0"/>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 OF PSUS AND RSUS</w:t>
      </w:r>
    </w:p>
    <w:p>
      <w:pPr>
        <w:spacing w:after="0" w:line="179"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22"/>
          <w:szCs w:val="22"/>
          <w:color w:val="auto"/>
        </w:rPr>
        <w:t>20.1 Subject to section 20.2 and Article 21, and unless at the Date of Grant the Company determines to make payment for Share Units in Shares acquired pursuant to section 3.3 and the</w:t>
      </w:r>
    </w:p>
    <w:p>
      <w:pPr>
        <w:sectPr>
          <w:pgSz w:w="11900" w:h="16838" w:orient="portrait"/>
          <w:cols w:equalWidth="0" w:num="1">
            <w:col w:w="11240"/>
          </w:cols>
          <w:pgMar w:left="320" w:top="126" w:right="339" w:bottom="1440" w:gutter="0" w:footer="0" w:header="0"/>
        </w:sectPr>
      </w:pPr>
    </w:p>
    <w:bookmarkStart w:id="227" w:name="page228"/>
    <w:bookmarkEnd w:id="227"/>
    <w:p>
      <w:pPr>
        <w:jc w:val="center"/>
        <w:spacing w:after="0"/>
        <w:rPr>
          <w:sz w:val="20"/>
          <w:szCs w:val="20"/>
          <w:color w:val="auto"/>
        </w:rPr>
      </w:pPr>
      <w:r>
        <w:rPr>
          <w:rFonts w:ascii="Times New Roman" w:cs="Times New Roman" w:eastAsia="Times New Roman" w:hAnsi="Times New Roman"/>
          <w:sz w:val="22"/>
          <w:szCs w:val="22"/>
          <w:color w:val="auto"/>
        </w:rPr>
        <w:t>- 22 -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Share Unit Grant Agreement so specifies, Share Units shall be paid in the form of Shares issued by the Company or, pursuant to a Participant permitted election as contemplated by section 22.3, cash paid in lieu thereof, in each case to the extent Vested in accordance with the Vesting conditions for the Grant as determined under Article 19.</w:t>
      </w:r>
    </w:p>
    <w:p>
      <w:pPr>
        <w:spacing w:after="0" w:line="14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20.2</w:t>
      </w:r>
      <w:r>
        <w:rPr>
          <w:sz w:val="20"/>
          <w:szCs w:val="20"/>
          <w:color w:val="auto"/>
        </w:rPr>
        <w:tab/>
      </w:r>
      <w:r>
        <w:rPr>
          <w:rFonts w:ascii="Times New Roman" w:cs="Times New Roman" w:eastAsia="Times New Roman" w:hAnsi="Times New Roman"/>
          <w:sz w:val="21"/>
          <w:szCs w:val="21"/>
          <w:color w:val="auto"/>
        </w:rPr>
        <w:t>Shares will be issued (or, if applicable, provided), or cash paid pursuant to a permitted election as contemplated by section</w:t>
      </w:r>
    </w:p>
    <w:p>
      <w:pPr>
        <w:jc w:val="both"/>
        <w:spacing w:after="0" w:line="218" w:lineRule="auto"/>
        <w:rPr>
          <w:sz w:val="20"/>
          <w:szCs w:val="20"/>
          <w:color w:val="auto"/>
        </w:rPr>
      </w:pPr>
      <w:r>
        <w:rPr>
          <w:rFonts w:ascii="Times New Roman" w:cs="Times New Roman" w:eastAsia="Times New Roman" w:hAnsi="Times New Roman"/>
          <w:sz w:val="22"/>
          <w:szCs w:val="22"/>
          <w:color w:val="auto"/>
        </w:rPr>
        <w:t>22.3, to the Participant on such date as determined by the Company in its sole discretion, which date shall be on or in no event later than 90 days, following the applicable Release Date(s) for the Grant, subject to the provisions of section 3.9 relating to Withholding Obligations.</w:t>
      </w:r>
    </w:p>
    <w:p>
      <w:pPr>
        <w:spacing w:after="0" w:line="151" w:lineRule="exact"/>
        <w:rPr>
          <w:sz w:val="20"/>
          <w:szCs w:val="20"/>
          <w:color w:val="auto"/>
        </w:rPr>
      </w:pPr>
    </w:p>
    <w:p>
      <w:pPr>
        <w:ind w:left="1300" w:hanging="1292"/>
        <w:spacing w:after="0"/>
        <w:tabs>
          <w:tab w:leader="none" w:pos="1300" w:val="left"/>
        </w:tabs>
        <w:numPr>
          <w:ilvl w:val="0"/>
          <w:numId w:val="1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OF EMPLOYMENT AND FORFEITURES</w:t>
      </w:r>
    </w:p>
    <w:p>
      <w:pPr>
        <w:spacing w:after="0" w:line="179" w:lineRule="exact"/>
        <w:rPr>
          <w:sz w:val="20"/>
          <w:szCs w:val="20"/>
          <w:color w:val="auto"/>
        </w:rPr>
      </w:pPr>
    </w:p>
    <w:p>
      <w:pPr>
        <w:jc w:val="both"/>
        <w:ind w:right="20"/>
        <w:spacing w:after="0" w:line="217" w:lineRule="auto"/>
        <w:rPr>
          <w:sz w:val="20"/>
          <w:szCs w:val="20"/>
          <w:color w:val="auto"/>
        </w:rPr>
      </w:pPr>
      <w:r>
        <w:rPr>
          <w:rFonts w:ascii="Times New Roman" w:cs="Times New Roman" w:eastAsia="Times New Roman" w:hAnsi="Times New Roman"/>
          <w:sz w:val="22"/>
          <w:szCs w:val="22"/>
          <w:color w:val="auto"/>
        </w:rPr>
        <w:t>21.1 Unless otherwise determined by the Company at any time, if a Participant ceases to be employed by the Company, a Subsidiary or Designated Affiliated Entity for any reason other than death, long-term disability, Retirement or termination without cause, there shall be forfeited as of such termination of employment such Share Units as have not been issued, (or provided, if applicable), in the form of Shares in accordance with the Plan. No cash or other compensation shall at any time be paid in lieu of any such Share Units which have been forfeited under this Plan.</w:t>
      </w:r>
    </w:p>
    <w:p>
      <w:pPr>
        <w:spacing w:after="0" w:line="152" w:lineRule="exact"/>
        <w:rPr>
          <w:sz w:val="20"/>
          <w:szCs w:val="20"/>
          <w:color w:val="auto"/>
        </w:rPr>
      </w:pPr>
    </w:p>
    <w:p>
      <w:pPr>
        <w:jc w:val="both"/>
        <w:spacing w:after="0" w:line="212" w:lineRule="auto"/>
        <w:rPr>
          <w:sz w:val="20"/>
          <w:szCs w:val="20"/>
          <w:color w:val="auto"/>
        </w:rPr>
      </w:pPr>
      <w:r>
        <w:rPr>
          <w:rFonts w:ascii="Times New Roman" w:cs="Times New Roman" w:eastAsia="Times New Roman" w:hAnsi="Times New Roman"/>
          <w:sz w:val="22"/>
          <w:szCs w:val="22"/>
          <w:color w:val="auto"/>
        </w:rPr>
        <w:t>21.2 Unless otherwise determined by the Company at any time, if a Participant ceases to be an employee of the Company, a Subsidiary or a Designated Affiliated Entity by reason of death or long-term disability, the Participant’s right to be paid in respect of RSUs in a Grant previously granted to the Participant will be prorated based on the ratio of (a) the number of days of employment completed by the Participant between the Date of Grant of the RSUs and the date of death or long-term disability bears to (b) the number of days between the Date of Grant and the scheduled Release Date for such Share Units. All RSUs shall be satisfied in the form of Shares, or cash pursuant to a permitted election, to the Participant or his or her Beneficiary, as applicable, and paid on a date as determined in the sole discretion of the Company which date shall be on or in no event later than 90 days after such termination event.</w:t>
      </w:r>
    </w:p>
    <w:p>
      <w:pPr>
        <w:spacing w:after="0" w:line="156" w:lineRule="exact"/>
        <w:rPr>
          <w:sz w:val="20"/>
          <w:szCs w:val="20"/>
          <w:color w:val="auto"/>
        </w:rPr>
      </w:pPr>
    </w:p>
    <w:p>
      <w:pPr>
        <w:jc w:val="both"/>
        <w:spacing w:after="0" w:line="213" w:lineRule="auto"/>
        <w:rPr>
          <w:sz w:val="20"/>
          <w:szCs w:val="20"/>
          <w:color w:val="auto"/>
        </w:rPr>
      </w:pPr>
      <w:r>
        <w:rPr>
          <w:rFonts w:ascii="Times New Roman" w:cs="Times New Roman" w:eastAsia="Times New Roman" w:hAnsi="Times New Roman"/>
          <w:sz w:val="22"/>
          <w:szCs w:val="22"/>
          <w:color w:val="auto"/>
        </w:rPr>
        <w:t>21.3 Unless otherwise determined by the Company at any time, if a Participant’s employment with the Company, a Subsidiary or a Designated Affiliated Entity is terminated without cause, the Participant’s right to be paid in respect of any RSUs in a Grant previously granted to the Participant will be prorated based on the ratio of (a) the number of full years (with no credit for partial years) of employment completed by the Participant between the Date of Grant of the RSUs and termination of employment bears to (b) the number of full years, whether calendar or fiscal, between the Date of Grant and the scheduled Release Date for such Share Units. All RSUs shall be satisfied in the form of Shares, or cash pursuant to a permitted election, and paid on a date as determined in the sole discretion of the Company within 90 days after such termination of employment.</w:t>
      </w:r>
    </w:p>
    <w:p>
      <w:pPr>
        <w:spacing w:after="0" w:line="156" w:lineRule="exact"/>
        <w:rPr>
          <w:sz w:val="20"/>
          <w:szCs w:val="20"/>
          <w:color w:val="auto"/>
        </w:rPr>
      </w:pPr>
    </w:p>
    <w:p>
      <w:pPr>
        <w:jc w:val="both"/>
        <w:spacing w:after="0" w:line="212" w:lineRule="auto"/>
        <w:rPr>
          <w:sz w:val="20"/>
          <w:szCs w:val="20"/>
          <w:color w:val="auto"/>
        </w:rPr>
      </w:pPr>
      <w:r>
        <w:rPr>
          <w:rFonts w:ascii="Times New Roman" w:cs="Times New Roman" w:eastAsia="Times New Roman" w:hAnsi="Times New Roman"/>
          <w:sz w:val="22"/>
          <w:szCs w:val="22"/>
          <w:color w:val="auto"/>
        </w:rPr>
        <w:t>21.4 Unless otherwise determined by the Company at any time, if a Participant's employment with the Company, a Subsidiary or a Designated Affiliate is terminated without cause, the PSUs in a Grant of such Participant shall Vest on the scheduled Release Date based on the achievement of the performance level specified in the conditions attaching to the Grant of the PSUs. The number of Shares to which the Participant is entitled in respect thereof will be prorated based on the ratio of (a) the number of full years (with no credit for partial years) of employment completed by the Participant between the Date of Grant of the PSUs and termination of employment bears to (b) the number of full years, whether calendar or fiscal, between the Date of Grant and the scheduled Release Date for such Share Units. Payment with respect to such PSUs shall otherwise be made at the time specified in section 20.2 hereof.</w:t>
      </w:r>
    </w:p>
    <w:p>
      <w:pPr>
        <w:sectPr>
          <w:pgSz w:w="11900" w:h="16838" w:orient="portrait"/>
          <w:cols w:equalWidth="0" w:num="1">
            <w:col w:w="11240"/>
          </w:cols>
          <w:pgMar w:left="320" w:top="126" w:right="339" w:bottom="1440" w:gutter="0" w:footer="0" w:header="0"/>
        </w:sectPr>
      </w:pPr>
    </w:p>
    <w:bookmarkStart w:id="228" w:name="page229"/>
    <w:bookmarkEnd w:id="228"/>
    <w:p>
      <w:pPr>
        <w:jc w:val="center"/>
        <w:spacing w:after="0"/>
        <w:rPr>
          <w:sz w:val="20"/>
          <w:szCs w:val="20"/>
          <w:color w:val="auto"/>
        </w:rPr>
      </w:pPr>
      <w:r>
        <w:rPr>
          <w:rFonts w:ascii="Times New Roman" w:cs="Times New Roman" w:eastAsia="Times New Roman" w:hAnsi="Times New Roman"/>
          <w:sz w:val="22"/>
          <w:szCs w:val="22"/>
          <w:color w:val="auto"/>
        </w:rPr>
        <w:t>- 23 -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13" w:lineRule="auto"/>
        <w:rPr>
          <w:sz w:val="20"/>
          <w:szCs w:val="20"/>
          <w:color w:val="auto"/>
        </w:rPr>
      </w:pPr>
      <w:r>
        <w:rPr>
          <w:rFonts w:ascii="Times New Roman" w:cs="Times New Roman" w:eastAsia="Times New Roman" w:hAnsi="Times New Roman"/>
          <w:sz w:val="22"/>
          <w:szCs w:val="22"/>
          <w:color w:val="auto"/>
        </w:rPr>
        <w:t>21.5 Unless otherwise determined by the Company at any time, if a Participant ceases to be employed by the Company, a Subsidiary or Designated Affiliated Entity by reason of death, the PSUs in a Grant of such Participant shall Vest as if the median level of performance specified in the conditions attaching to the Grant of the PSUs had been achieved as of the date of death but the number of Shares to which the Participant is entitled in respect thereof shall be prorated based on the number of days of completed employment from the Date of Grant for the PSUs to the date of death as a percentage of the total number of days between the Date of Grant and the scheduled Release Date for the PSUs. Such Shares, or cash pursuant to a permitted election, shall be distributed on a date determined in the sole discretion of the Company within 90 days after the date of death.</w:t>
      </w:r>
    </w:p>
    <w:p>
      <w:pPr>
        <w:spacing w:after="0" w:line="156" w:lineRule="exact"/>
        <w:rPr>
          <w:sz w:val="20"/>
          <w:szCs w:val="20"/>
          <w:color w:val="auto"/>
        </w:rPr>
      </w:pPr>
    </w:p>
    <w:p>
      <w:pPr>
        <w:jc w:val="both"/>
        <w:spacing w:after="0" w:line="213" w:lineRule="auto"/>
        <w:rPr>
          <w:sz w:val="20"/>
          <w:szCs w:val="20"/>
          <w:color w:val="auto"/>
        </w:rPr>
      </w:pPr>
      <w:r>
        <w:rPr>
          <w:rFonts w:ascii="Times New Roman" w:cs="Times New Roman" w:eastAsia="Times New Roman" w:hAnsi="Times New Roman"/>
          <w:sz w:val="22"/>
          <w:szCs w:val="22"/>
          <w:color w:val="auto"/>
        </w:rPr>
        <w:t>21.6 Unless otherwise determined by the Company at any time, if a Participant ceases to be employed by the Company, a Subsidiary or Designated Affiliated Entity by reason of Retirement, or long-term disability, Vesting for PSUs in a Grant shall be determined on the scheduled Release Date for such PSUs on the basis of the actual performance achieved during the period specified for the Grant by the Company. The number of Shares to which the Participant shall be entitled to in respect thereof shall be prorated based on the number of days of completed employment from the Date of Grant for the PSUs to the date of Retirement or long-term disability as a percentage of the total number of days between the Date of Grant and the scheduled Release Date for the PSUs and shall be paid at the time specified in section 20.2 hereof.</w:t>
      </w:r>
    </w:p>
    <w:p>
      <w:pPr>
        <w:spacing w:after="0" w:line="156"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21.7 Unless otherwise determined by the Company at any time, if a Participant ceases to be employed by the Company, a Subsidiary or Designated Affiliated Entity by reason of Retirement, RSUs that have not been satisfied as of the date of Retirement shall Vest on the scheduled Release Date and shall be paid at the time specified in section 20.2 hereof.</w:t>
      </w:r>
    </w:p>
    <w:p>
      <w:pPr>
        <w:spacing w:after="0" w:line="153" w:lineRule="exact"/>
        <w:rPr>
          <w:sz w:val="20"/>
          <w:szCs w:val="20"/>
          <w:color w:val="auto"/>
        </w:rPr>
      </w:pPr>
    </w:p>
    <w:p>
      <w:pPr>
        <w:jc w:val="both"/>
        <w:spacing w:after="0" w:line="210" w:lineRule="auto"/>
        <w:rPr>
          <w:sz w:val="20"/>
          <w:szCs w:val="20"/>
          <w:color w:val="auto"/>
        </w:rPr>
      </w:pPr>
      <w:r>
        <w:rPr>
          <w:rFonts w:ascii="Times New Roman" w:cs="Times New Roman" w:eastAsia="Times New Roman" w:hAnsi="Times New Roman"/>
          <w:sz w:val="22"/>
          <w:szCs w:val="22"/>
          <w:color w:val="auto"/>
        </w:rPr>
        <w:t>21.8 This Plan is intended to comply in all respects with, or be exempt from, Section 409A of the Code. The foregoing notwithstanding, in no event whatsoever shall the Company or any of its affiliates be liable for any additional tax, interest or penalty that may be imposed on a Participant by Section 409A of the Code or damages for failing to comply with Section 409A of the Code. In case any one or more provisions of this Plan needs to be interpreted to comply with, or be exempt from, Section 409A of the Code, then such provision shall be so interpreted. If at the time of a Participant’s termination of employment with the Company, the Participant is a “specified employee” as defined in Section 409A of the Code as determined by the Company in accordance with Section 409A of the Code, and the deferral of the commencement of any payments or benefits otherwise payable hereunder as a result of such termination of employment is necessary in order to prevent any accelerated or additional tax under Section 409A of the Code, then the Company will defer the commencement of the payment of any such payments or benefits hereunder (without any reduction in payments or benefits ultimately paid or provided to the Participant) until the date that is at least six (6) months following the Participant’s termination of employment with the Company (or the earliest date permitted under Section 409A of the Code).</w:t>
      </w:r>
    </w:p>
    <w:p>
      <w:pPr>
        <w:spacing w:after="0" w:line="152" w:lineRule="exact"/>
        <w:rPr>
          <w:sz w:val="20"/>
          <w:szCs w:val="20"/>
          <w:color w:val="auto"/>
        </w:rPr>
      </w:pPr>
    </w:p>
    <w:p>
      <w:pPr>
        <w:jc w:val="both"/>
        <w:spacing w:after="0" w:line="212" w:lineRule="auto"/>
        <w:rPr>
          <w:sz w:val="20"/>
          <w:szCs w:val="20"/>
          <w:color w:val="auto"/>
        </w:rPr>
      </w:pPr>
      <w:r>
        <w:rPr>
          <w:rFonts w:ascii="Times New Roman" w:cs="Times New Roman" w:eastAsia="Times New Roman" w:hAnsi="Times New Roman"/>
          <w:sz w:val="22"/>
          <w:szCs w:val="22"/>
          <w:color w:val="auto"/>
        </w:rPr>
        <w:t>21.9 Notwithstanding Articles 19 and 21, if there is a Change of Control, and a Participant ceases to be employed by the Company, a Subsidiary or Designated Affiliated Entity, by reason of a termination without cause or for Good Reason, either (x) within the earlier of six months preceding the Change of Control or the public disclosure of a transaction, which, if completed, would give rise to a Change of Control and (y) the two years following the Change of Control, the Participant’s Share Units shall be fully Vested on, and the Release Date for all of the Participant’s Share Units shall be, the later of (a) the date of the Change of Control and (b) the date of termination of the Participant’s employment. For this purpose, for PSUs, the number of Share Units shall be determined on the basis that: (i) for Share Units that were granted within 12 months of the Determination Date, based on the target level of performance specified for Vesting</w:t>
      </w:r>
    </w:p>
    <w:p>
      <w:pPr>
        <w:sectPr>
          <w:pgSz w:w="11900" w:h="16838" w:orient="portrait"/>
          <w:cols w:equalWidth="0" w:num="1">
            <w:col w:w="11240"/>
          </w:cols>
          <w:pgMar w:left="320" w:top="126" w:right="339" w:bottom="1440" w:gutter="0" w:footer="0" w:header="0"/>
        </w:sectPr>
      </w:pPr>
    </w:p>
    <w:bookmarkStart w:id="229" w:name="page230"/>
    <w:bookmarkEnd w:id="229"/>
    <w:p>
      <w:pPr>
        <w:jc w:val="center"/>
        <w:spacing w:after="0"/>
        <w:rPr>
          <w:sz w:val="20"/>
          <w:szCs w:val="20"/>
          <w:color w:val="auto"/>
        </w:rPr>
      </w:pPr>
      <w:r>
        <w:rPr>
          <w:rFonts w:ascii="Times New Roman" w:cs="Times New Roman" w:eastAsia="Times New Roman" w:hAnsi="Times New Roman"/>
          <w:sz w:val="22"/>
          <w:szCs w:val="22"/>
          <w:color w:val="auto"/>
        </w:rPr>
        <w:t>- 24 -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22"/>
          <w:szCs w:val="22"/>
          <w:color w:val="auto"/>
        </w:rPr>
        <w:t>in the conditions attaching to the Grant of PSUs unless actual performance at the time of Change of Control has exceeded the target performance in which case actual performance shall apply; and (ii) for Share Units that were granted within 13 to 36 months of the Determination Date, based on a performance factor of at least 100% of actual performance. Actual performance of the Share Units will be defined by evaluating the metrics associated with the PSU grant, as determined in accordance with this Plan. The Board will approve the performance factor based on the provisions of this Section 21.9 and may also consider other appropriate factors in its sole discretion.</w:t>
      </w:r>
    </w:p>
    <w:p>
      <w:pPr>
        <w:spacing w:after="0" w:line="152" w:lineRule="exact"/>
        <w:rPr>
          <w:sz w:val="20"/>
          <w:szCs w:val="20"/>
          <w:color w:val="auto"/>
        </w:rPr>
      </w:pPr>
    </w:p>
    <w:p>
      <w:pPr>
        <w:ind w:left="1300" w:hanging="1292"/>
        <w:spacing w:after="0"/>
        <w:tabs>
          <w:tab w:leader="none" w:pos="1300" w:val="left"/>
        </w:tabs>
        <w:numPr>
          <w:ilvl w:val="0"/>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FRACTIONAL SHARE UNITS AND SHARES</w:t>
      </w:r>
    </w:p>
    <w:p>
      <w:pPr>
        <w:spacing w:after="0" w:line="179"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2"/>
          <w:szCs w:val="22"/>
          <w:color w:val="auto"/>
        </w:rPr>
        <w:t>22.1 Where, under section 19.4, the number of Share Units allocated would result in a fractional Share Unit, the number of Share Units shall be rounded down to the next whole number of Share Units. No fractional Shares shall be issued or provided nor shall cash be paid at any time in lieu of any such fractional interest. Where the Vesting of Share Units would result in a fractional Share, the number of Shares to be issued or provided shall be rounded down to the next whole number of Shares.</w:t>
      </w:r>
    </w:p>
    <w:p>
      <w:pPr>
        <w:spacing w:after="0" w:line="152" w:lineRule="exact"/>
        <w:rPr>
          <w:sz w:val="20"/>
          <w:szCs w:val="20"/>
          <w:color w:val="auto"/>
        </w:rPr>
      </w:pPr>
    </w:p>
    <w:p>
      <w:pPr>
        <w:jc w:val="both"/>
        <w:ind w:right="20"/>
        <w:spacing w:after="0" w:line="236" w:lineRule="auto"/>
        <w:rPr>
          <w:sz w:val="20"/>
          <w:szCs w:val="20"/>
          <w:color w:val="auto"/>
        </w:rPr>
      </w:pPr>
      <w:r>
        <w:rPr>
          <w:rFonts w:ascii="Times New Roman" w:cs="Times New Roman" w:eastAsia="Times New Roman" w:hAnsi="Times New Roman"/>
          <w:sz w:val="22"/>
          <w:szCs w:val="22"/>
          <w:color w:val="auto"/>
        </w:rPr>
        <w:t>22.2 Shares issued by the Company from treasury under the Share Unit Program shall be considered fully paid in consideration of the dollar value amount of the Vested Share Units.</w:t>
      </w:r>
    </w:p>
    <w:p>
      <w:pPr>
        <w:spacing w:after="0" w:line="150"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22"/>
          <w:szCs w:val="22"/>
          <w:color w:val="auto"/>
        </w:rPr>
        <w:t>22.3 If permitted by the Company under the terms of the Grant, a Participant may elect to receive a payment of cash in lieu of the issue or provision of Shares. The Participant shall advise the Company of the Participant’s election at or prior to the Release Date for such Grant. Absent any such permitted election, the Participant shall be issued or provided Shares in accordance with section 22.1. The amount payable pursuant to such permitted election shall be equal to the number of Shares issuable or provided under the terms of the Grant, multiplied by the Market Price on the Release Date, subject to the provisions of section 3.9 relating to Withholding Obligations.</w:t>
      </w:r>
    </w:p>
    <w:p>
      <w:pPr>
        <w:spacing w:after="0" w:line="152" w:lineRule="exact"/>
        <w:rPr>
          <w:sz w:val="20"/>
          <w:szCs w:val="20"/>
          <w:color w:val="auto"/>
        </w:rPr>
      </w:pPr>
    </w:p>
    <w:p>
      <w:pPr>
        <w:ind w:left="1300" w:hanging="1292"/>
        <w:spacing w:after="0"/>
        <w:tabs>
          <w:tab w:leader="none" w:pos="1300" w:val="left"/>
        </w:tabs>
        <w:numPr>
          <w:ilvl w:val="0"/>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MAXIMUM NUMBER OF SHARES TO BE ISSUED UNDER PROGRAM</w:t>
      </w:r>
    </w:p>
    <w:p>
      <w:pPr>
        <w:spacing w:after="0" w:line="179"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2"/>
          <w:szCs w:val="22"/>
          <w:color w:val="auto"/>
        </w:rPr>
        <w:t>23.1 The number of Shares which may be issued pursuant to the Program to any one person shall not exceed 1% of the issued and outstanding voting securities of the Company. The Company may from time to time designate such other maximum percentage which, however, will not in any event exceed the maximum percentage permitted from time to time under Stock Exchange Rules.</w:t>
      </w:r>
    </w:p>
    <w:p>
      <w:pPr>
        <w:spacing w:after="0" w:line="15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23.2</w:t>
      </w:r>
      <w:r>
        <w:rPr>
          <w:sz w:val="20"/>
          <w:szCs w:val="20"/>
          <w:color w:val="auto"/>
        </w:rPr>
        <w:tab/>
      </w:r>
      <w:r>
        <w:rPr>
          <w:rFonts w:ascii="Times New Roman" w:cs="Times New Roman" w:eastAsia="Times New Roman" w:hAnsi="Times New Roman"/>
          <w:sz w:val="21"/>
          <w:szCs w:val="21"/>
          <w:color w:val="auto"/>
        </w:rPr>
        <w:t>If Share Units are forfeited under this Plan, they shall again be available for allocation under this Program.</w:t>
      </w:r>
    </w:p>
    <w:p>
      <w:pPr>
        <w:spacing w:after="0" w:line="179" w:lineRule="exact"/>
        <w:rPr>
          <w:sz w:val="20"/>
          <w:szCs w:val="20"/>
          <w:color w:val="auto"/>
        </w:rPr>
      </w:pPr>
    </w:p>
    <w:p>
      <w:pPr>
        <w:ind w:left="1300" w:hanging="1292"/>
        <w:spacing w:after="0"/>
        <w:tabs>
          <w:tab w:leader="none" w:pos="1300" w:val="left"/>
        </w:tabs>
        <w:numPr>
          <w:ilvl w:val="0"/>
          <w:numId w:val="1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CHANGES IN SHARE CAPITAL</w:t>
      </w:r>
    </w:p>
    <w:p>
      <w:pPr>
        <w:spacing w:after="0" w:line="179"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22"/>
          <w:szCs w:val="22"/>
          <w:color w:val="auto"/>
        </w:rPr>
        <w:t>24.1 If the number of outstanding Shares shall be increased or decreased as a result of a stock split, consolidation, subdivision, reclassification or recapitalization and not as a result of the issuance of Shares for additional consideration or by way of a stock dividend in the ordinary course, the Company may make appropriate adjustments to any maximum number of Shares which can be issued under the Program and the number of Share Units granted to each Participant. Any determinations by the Company as to the adjustments shall be made in its sole discretion and all such adjustments shall be conclusive and binding for all purposes under the Program.</w:t>
      </w:r>
    </w:p>
    <w:p>
      <w:pPr>
        <w:sectPr>
          <w:pgSz w:w="11900" w:h="16838" w:orient="portrait"/>
          <w:cols w:equalWidth="0" w:num="1">
            <w:col w:w="11240"/>
          </w:cols>
          <w:pgMar w:left="320" w:top="126" w:right="339" w:bottom="1440" w:gutter="0" w:footer="0" w:header="0"/>
        </w:sectPr>
      </w:pPr>
    </w:p>
    <w:bookmarkStart w:id="230" w:name="page231"/>
    <w:bookmarkEnd w:id="230"/>
    <w:p>
      <w:pPr>
        <w:jc w:val="center"/>
        <w:spacing w:after="0"/>
        <w:rPr>
          <w:sz w:val="20"/>
          <w:szCs w:val="20"/>
          <w:color w:val="auto"/>
        </w:rPr>
      </w:pPr>
      <w:r>
        <w:rPr>
          <w:rFonts w:ascii="Times New Roman" w:cs="Times New Roman" w:eastAsia="Times New Roman" w:hAnsi="Times New Roman"/>
          <w:sz w:val="22"/>
          <w:szCs w:val="22"/>
          <w:color w:val="auto"/>
        </w:rPr>
        <w:t>- 25 -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300" w:hanging="1292"/>
        <w:spacing w:after="0"/>
        <w:tabs>
          <w:tab w:leader="none" w:pos="1300" w:val="left"/>
        </w:tabs>
        <w:numPr>
          <w:ilvl w:val="0"/>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REORGANIZATION</w:t>
      </w:r>
    </w:p>
    <w:p>
      <w:pPr>
        <w:spacing w:after="0" w:line="179"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color w:val="auto"/>
        </w:rPr>
        <w:t>25.1 In the event of a Reorganization or proposed Reorganization, the Company, at its option, may, subject to Stock Exchange Rules, do either of the following:</w:t>
      </w:r>
    </w:p>
    <w:p>
      <w:pPr>
        <w:spacing w:after="0" w:line="150" w:lineRule="exact"/>
        <w:rPr>
          <w:sz w:val="20"/>
          <w:szCs w:val="20"/>
          <w:color w:val="auto"/>
        </w:rPr>
      </w:pPr>
    </w:p>
    <w:p>
      <w:pPr>
        <w:jc w:val="both"/>
        <w:ind w:left="1300" w:hanging="644"/>
        <w:spacing w:after="0" w:line="217" w:lineRule="auto"/>
        <w:tabs>
          <w:tab w:leader="none" w:pos="1297" w:val="left"/>
        </w:tabs>
        <w:numPr>
          <w:ilvl w:val="0"/>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irrevocably commute for or into any other security or other property or cash any unsatisfied Share Unit held by a Participant upon giving to such Participant at least 30 days’ written notice of its intention to commute the Share Unit on a specified date, and during the period to such date, the Participant may elect to require the Company to issue the Shares to him or her equal to such unsatisfied Share Units, without regard to the limitations contained in section 20.1, or</w:t>
      </w:r>
    </w:p>
    <w:p>
      <w:pPr>
        <w:spacing w:after="0" w:line="152" w:lineRule="exact"/>
        <w:rPr>
          <w:rFonts w:ascii="Times New Roman" w:cs="Times New Roman" w:eastAsia="Times New Roman" w:hAnsi="Times New Roman"/>
          <w:sz w:val="22"/>
          <w:szCs w:val="22"/>
          <w:color w:val="auto"/>
        </w:rPr>
      </w:pPr>
    </w:p>
    <w:p>
      <w:pPr>
        <w:jc w:val="both"/>
        <w:ind w:left="1300" w:hanging="644"/>
        <w:spacing w:after="0" w:line="225" w:lineRule="auto"/>
        <w:tabs>
          <w:tab w:leader="none" w:pos="1295" w:val="left"/>
        </w:tabs>
        <w:numPr>
          <w:ilvl w:val="0"/>
          <w:numId w:val="1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or any corporation which is or would be the successor to the Company or which may issue securities in exchange for Shares upon the Reorganization becoming effective, may offer any Participant in writing the opportunity to obtain the securities into which the Shares are changed or are convertible or exchangeable, on a basis proportionate to the number of unsatisfied Share Units held by such Participant or some other appropriate basis, or some other property. If a Participant accepts such offer, he or she shall be deemed to have released his or her rights relating to the Share Units and such Share Units shall be deemed to have terminated.</w:t>
      </w:r>
    </w:p>
    <w:p>
      <w:pPr>
        <w:spacing w:after="0" w:line="181"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For this purpose, the cash amount will be determined on the basis of being not less for each Share Unit than the Market Price, and, for PSUs, on the basis that the target level of performance for Vesting specified in the conditions attached to the Grant of PSUs have been achieved as at the date of the Change of Control.</w:t>
      </w:r>
    </w:p>
    <w:p>
      <w:pPr>
        <w:spacing w:after="0" w:line="15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1"/>
          <w:szCs w:val="21"/>
          <w:color w:val="auto"/>
        </w:rPr>
        <w:t>25.2 The Company may specify in any notice or offer made under section 25.1, that, if for any reason, the Reorganization is not completed, the Company may revoke such notice or offer. The Company may exercise such right by further notice in writing to the Participant and the Share Unit shall thereafter continue to be allocated to the Participant in accordance with its terms.</w:t>
      </w:r>
    </w:p>
    <w:p>
      <w:pPr>
        <w:spacing w:after="0" w:line="152"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25.3 Subsections (a) and (b) of section 25.1 are intended to be permissive and may be utilized independently or successively or in combination or otherwise, and nothing therein contained shall be construed as limiting or affecting the ability of the Company to deal with Share Units in any other manner.</w:t>
      </w:r>
    </w:p>
    <w:p>
      <w:pPr>
        <w:sectPr>
          <w:pgSz w:w="11900" w:h="16838" w:orient="portrait"/>
          <w:cols w:equalWidth="0" w:num="1">
            <w:col w:w="11240"/>
          </w:cols>
          <w:pgMar w:left="320" w:top="126" w:right="339" w:bottom="1440" w:gutter="0" w:footer="0" w:header="0"/>
        </w:sectPr>
      </w:pPr>
    </w:p>
    <w:bookmarkStart w:id="231" w:name="page232"/>
    <w:bookmarkEnd w:id="231"/>
    <w:p>
      <w:pPr>
        <w:jc w:val="center"/>
        <w:spacing w:after="0"/>
        <w:rPr>
          <w:sz w:val="20"/>
          <w:szCs w:val="20"/>
          <w:color w:val="auto"/>
        </w:rPr>
      </w:pPr>
      <w:r>
        <w:rPr>
          <w:rFonts w:ascii="Times New Roman" w:cs="Times New Roman" w:eastAsia="Times New Roman" w:hAnsi="Times New Roman"/>
          <w:sz w:val="22"/>
          <w:szCs w:val="22"/>
          <w:b w:val="1"/>
          <w:bCs w:val="1"/>
          <w:color w:val="auto"/>
        </w:rPr>
        <w:t>SCHEDULE A</w:t>
      </w:r>
    </w:p>
    <w:p>
      <w:pPr>
        <w:spacing w:after="0" w:line="247" w:lineRule="exact"/>
        <w:rPr>
          <w:sz w:val="20"/>
          <w:szCs w:val="20"/>
          <w:color w:val="auto"/>
        </w:rPr>
      </w:pPr>
    </w:p>
    <w:p>
      <w:pPr>
        <w:jc w:val="center"/>
        <w:spacing w:after="0" w:line="275" w:lineRule="auto"/>
        <w:rPr>
          <w:sz w:val="20"/>
          <w:szCs w:val="20"/>
          <w:color w:val="auto"/>
        </w:rPr>
      </w:pPr>
      <w:r>
        <w:rPr>
          <w:rFonts w:ascii="Times New Roman" w:cs="Times New Roman" w:eastAsia="Times New Roman" w:hAnsi="Times New Roman"/>
          <w:sz w:val="22"/>
          <w:szCs w:val="22"/>
          <w:b w:val="1"/>
          <w:bCs w:val="1"/>
          <w:color w:val="auto"/>
        </w:rPr>
        <w:t>CELESTICA INC. INLAND REVENUE APPROVED RULES FOR UNITED KINGDOM EMPLOYEES (“THE SUB-PLAN”)</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660" w:hanging="652"/>
        <w:spacing w:after="0"/>
        <w:tabs>
          <w:tab w:leader="none" w:pos="660" w:val="left"/>
        </w:tabs>
        <w:numPr>
          <w:ilvl w:val="0"/>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General</w:t>
      </w:r>
    </w:p>
    <w:p>
      <w:pPr>
        <w:spacing w:after="0" w:line="61" w:lineRule="exact"/>
        <w:rPr>
          <w:rFonts w:ascii="Times New Roman" w:cs="Times New Roman" w:eastAsia="Times New Roman" w:hAnsi="Times New Roman"/>
          <w:sz w:val="22"/>
          <w:szCs w:val="22"/>
          <w:color w:val="auto"/>
        </w:rPr>
      </w:pPr>
    </w:p>
    <w:p>
      <w:pPr>
        <w:ind w:left="660" w:right="140"/>
        <w:spacing w:after="0" w:line="271"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schedule to the Celestica Inc. Long Term Incentive Plan (“the Plan”) sets out the Inland Revenue approved rules for United Kingdom employees (“the Sub-Plan”).</w:t>
      </w:r>
    </w:p>
    <w:p>
      <w:pPr>
        <w:spacing w:after="0" w:line="180"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Establishment of Sub-Plan</w:t>
      </w:r>
    </w:p>
    <w:p>
      <w:pPr>
        <w:spacing w:after="0" w:line="250" w:lineRule="exact"/>
        <w:rPr>
          <w:rFonts w:ascii="Times New Roman" w:cs="Times New Roman" w:eastAsia="Times New Roman" w:hAnsi="Times New Roman"/>
          <w:sz w:val="22"/>
          <w:szCs w:val="22"/>
          <w:color w:val="auto"/>
        </w:rPr>
      </w:pPr>
    </w:p>
    <w:p>
      <w:pPr>
        <w:ind w:left="660" w:right="40"/>
        <w:spacing w:after="0" w:line="284"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Celestica Inc. (“the Company”) has established the Sub-Plan under section 3.4 of the Plan, which authorises the Company to add to or amend any provisions of the Plan</w:t>
      </w:r>
      <w:r>
        <w:rPr>
          <w:rFonts w:ascii="Times New Roman" w:cs="Times New Roman" w:eastAsia="Times New Roman" w:hAnsi="Times New Roman"/>
          <w:sz w:val="28"/>
          <w:szCs w:val="28"/>
          <w:color w:val="auto"/>
          <w:vertAlign w:val="superscript"/>
        </w:rPr>
        <w:t>i</w:t>
      </w:r>
      <w:r>
        <w:rPr>
          <w:rFonts w:ascii="Times New Roman" w:cs="Times New Roman" w:eastAsia="Times New Roman" w:hAnsi="Times New Roman"/>
          <w:sz w:val="22"/>
          <w:szCs w:val="22"/>
          <w:color w:val="auto"/>
        </w:rPr>
        <w:t>.</w:t>
      </w:r>
    </w:p>
    <w:p>
      <w:pPr>
        <w:spacing w:after="0" w:line="58"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Purpose of Sub-Plan</w:t>
      </w:r>
    </w:p>
    <w:p>
      <w:pPr>
        <w:spacing w:after="0" w:line="304" w:lineRule="exact"/>
        <w:rPr>
          <w:rFonts w:ascii="Times New Roman" w:cs="Times New Roman" w:eastAsia="Times New Roman" w:hAnsi="Times New Roman"/>
          <w:sz w:val="22"/>
          <w:szCs w:val="22"/>
          <w:color w:val="auto"/>
        </w:rPr>
      </w:pPr>
    </w:p>
    <w:p>
      <w:pPr>
        <w:ind w:left="660" w:right="200"/>
        <w:spacing w:after="0" w:line="271"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purpose of the Sub-Plan is to enable the grant to, and subsequent exercise by, employees and directors in the United Kingdom, on a tax favoured basis, of options to acquire shares in the Company under the Plan.</w:t>
      </w:r>
    </w:p>
    <w:p>
      <w:pPr>
        <w:spacing w:after="0" w:line="180"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Inland Revenue approval of Sub-Plan</w:t>
      </w:r>
    </w:p>
    <w:p>
      <w:pPr>
        <w:spacing w:after="0" w:line="250"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Sub-Plan is intended to be approved by the Inland Revenue under Schedule 9 to ICTA 1988.</w:t>
      </w:r>
    </w:p>
    <w:p>
      <w:pPr>
        <w:spacing w:after="0" w:line="256"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Rules of Sub-Plan</w:t>
      </w:r>
    </w:p>
    <w:p>
      <w:pPr>
        <w:spacing w:after="0" w:line="250" w:lineRule="exact"/>
        <w:rPr>
          <w:rFonts w:ascii="Times New Roman" w:cs="Times New Roman" w:eastAsia="Times New Roman" w:hAnsi="Times New Roman"/>
          <w:sz w:val="22"/>
          <w:szCs w:val="22"/>
          <w:color w:val="auto"/>
        </w:rPr>
      </w:pPr>
    </w:p>
    <w:p>
      <w:pPr>
        <w:jc w:val="both"/>
        <w:ind w:left="660"/>
        <w:spacing w:after="0" w:line="25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rules of the Plan, in their present form and as amended from time to time, shall, with the modifications set out in this schedule, form the rules of the Sub-Plan. In the event of any conflict between the rules of the Plan and this schedule, the schedule shall prevail.</w:t>
      </w:r>
    </w:p>
    <w:p>
      <w:pPr>
        <w:spacing w:after="0" w:line="168"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Relationship of Sub-Plan to Plan</w:t>
      </w:r>
    </w:p>
    <w:p>
      <w:pPr>
        <w:spacing w:after="0" w:line="318"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Sub-Plan shall form part of the Plan and not a separate and independent plan.</w:t>
      </w:r>
    </w:p>
    <w:p>
      <w:pPr>
        <w:spacing w:after="0" w:line="215" w:lineRule="exact"/>
        <w:rPr>
          <w:rFonts w:ascii="Times New Roman" w:cs="Times New Roman" w:eastAsia="Times New Roman" w:hAnsi="Times New Roman"/>
          <w:sz w:val="22"/>
          <w:szCs w:val="22"/>
          <w:color w:val="auto"/>
        </w:rPr>
      </w:pPr>
    </w:p>
    <w:p>
      <w:pPr>
        <w:ind w:left="380" w:hanging="372"/>
        <w:spacing w:after="0"/>
        <w:tabs>
          <w:tab w:leader="none" w:pos="380" w:val="left"/>
        </w:tabs>
        <w:numPr>
          <w:ilvl w:val="0"/>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Interpretation</w:t>
      </w:r>
    </w:p>
    <w:p>
      <w:pPr>
        <w:spacing w:after="0" w:line="305"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color w:val="auto"/>
        </w:rPr>
        <w:t>7.1</w:t>
      </w:r>
      <w:r>
        <w:rPr>
          <w:sz w:val="20"/>
          <w:szCs w:val="20"/>
          <w:color w:val="auto"/>
        </w:rPr>
        <w:tab/>
      </w:r>
      <w:r>
        <w:rPr>
          <w:rFonts w:ascii="Times New Roman" w:cs="Times New Roman" w:eastAsia="Times New Roman" w:hAnsi="Times New Roman"/>
          <w:sz w:val="21"/>
          <w:szCs w:val="21"/>
          <w:color w:val="auto"/>
        </w:rPr>
        <w:t>In the Sub-Plan, unless the context otherwise requires, the following words and expressions have the following meanings:</w:t>
      </w:r>
    </w:p>
    <w:p>
      <w:pPr>
        <w:sectPr>
          <w:pgSz w:w="11900" w:h="16838" w:orient="portrait"/>
          <w:cols w:equalWidth="0" w:num="1">
            <w:col w:w="11240"/>
          </w:cols>
          <w:pgMar w:left="320" w:top="1418" w:right="339" w:bottom="1440" w:gutter="0" w:footer="0" w:header="0"/>
        </w:sectPr>
      </w:pPr>
    </w:p>
    <w:bookmarkStart w:id="232" w:name="page233"/>
    <w:bookmarkEnd w:id="232"/>
    <w:p>
      <w:pPr>
        <w:jc w:val="center"/>
        <w:ind w:right="-280"/>
        <w:spacing w:after="0"/>
        <w:rPr>
          <w:sz w:val="20"/>
          <w:szCs w:val="20"/>
          <w:color w:val="auto"/>
        </w:rPr>
      </w:pPr>
      <w:r>
        <w:rPr>
          <w:rFonts w:ascii="Times New Roman" w:cs="Times New Roman" w:eastAsia="Times New Roman" w:hAnsi="Times New Roman"/>
          <w:sz w:val="21"/>
          <w:szCs w:val="21"/>
          <w:color w:val="auto"/>
        </w:rPr>
        <w:t>- A2 -</w:t>
      </w:r>
    </w:p>
    <w:p>
      <w:pPr>
        <w:sectPr>
          <w:pgSz w:w="11900" w:h="16838" w:orient="portrait"/>
          <w:cols w:equalWidth="0" w:num="1">
            <w:col w:w="9319"/>
          </w:cols>
          <w:pgMar w:left="1140" w:top="12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Approval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979"/>
        <w:spacing w:after="0" w:line="267" w:lineRule="auto"/>
        <w:rPr>
          <w:sz w:val="20"/>
          <w:szCs w:val="20"/>
          <w:color w:val="auto"/>
        </w:rPr>
      </w:pPr>
      <w:r>
        <w:rPr>
          <w:rFonts w:ascii="Times New Roman" w:cs="Times New Roman" w:eastAsia="Times New Roman" w:hAnsi="Times New Roman"/>
          <w:sz w:val="22"/>
          <w:szCs w:val="22"/>
          <w:color w:val="auto"/>
        </w:rPr>
        <w:t>The date on which the Sub-Plan is approved by the Inland Revenue under Schedule 9 to ICTA 1988;</w:t>
      </w:r>
    </w:p>
    <w:p>
      <w:pPr>
        <w:spacing w:after="0" w:line="1" w:lineRule="exact"/>
        <w:rPr>
          <w:sz w:val="20"/>
          <w:szCs w:val="20"/>
          <w:color w:val="auto"/>
        </w:rPr>
      </w:pPr>
    </w:p>
    <w:p>
      <w:pPr>
        <w:sectPr>
          <w:pgSz w:w="11900" w:h="16838" w:orient="portrait"/>
          <w:cols w:equalWidth="0" w:num="2">
            <w:col w:w="2600" w:space="720"/>
            <w:col w:w="5999"/>
          </w:cols>
          <w:pgMar w:left="1140" w:top="126" w:right="1440" w:bottom="1440" w:gutter="0" w:footer="0" w:header="0"/>
          <w:type w:val="continuous"/>
        </w:sectPr>
      </w:pPr>
    </w:p>
    <w:p>
      <w:pPr>
        <w:spacing w:after="0"/>
        <w:rPr>
          <w:sz w:val="20"/>
          <w:szCs w:val="20"/>
          <w:color w:val="auto"/>
        </w:rPr>
      </w:pPr>
      <w:r>
        <w:rPr>
          <w:rFonts w:ascii="Times New Roman" w:cs="Times New Roman" w:eastAsia="Times New Roman" w:hAnsi="Times New Roman"/>
          <w:sz w:val="21"/>
          <w:szCs w:val="21"/>
          <w:b w:val="1"/>
          <w:bCs w:val="1"/>
          <w:color w:val="auto"/>
        </w:rPr>
        <w:t>Associated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The meaning given to that expression by section 187(2) of</w:t>
      </w:r>
    </w:p>
    <w:p>
      <w:pPr>
        <w:spacing w:after="0" w:line="41" w:lineRule="exact"/>
        <w:rPr>
          <w:sz w:val="20"/>
          <w:szCs w:val="20"/>
          <w:color w:val="auto"/>
        </w:rPr>
      </w:pPr>
    </w:p>
    <w:p>
      <w:pPr>
        <w:sectPr>
          <w:pgSz w:w="11900" w:h="16838" w:orient="portrait"/>
          <w:cols w:equalWidth="0" w:num="2">
            <w:col w:w="2600" w:space="720"/>
            <w:col w:w="5999"/>
          </w:cols>
          <w:pgMar w:left="1140" w:top="126" w:right="1440" w:bottom="1440" w:gutter="0" w:footer="0" w:header="0"/>
          <w:type w:val="continuous"/>
        </w:sectPr>
      </w:pPr>
    </w:p>
    <w:p>
      <w:pPr>
        <w:ind w:left="3320"/>
        <w:spacing w:after="0"/>
        <w:rPr>
          <w:sz w:val="20"/>
          <w:szCs w:val="20"/>
          <w:color w:val="auto"/>
        </w:rPr>
      </w:pPr>
      <w:r>
        <w:rPr>
          <w:rFonts w:ascii="Times New Roman" w:cs="Times New Roman" w:eastAsia="Times New Roman" w:hAnsi="Times New Roman"/>
          <w:sz w:val="21"/>
          <w:szCs w:val="21"/>
          <w:color w:val="auto"/>
        </w:rPr>
        <w:t>ICTA 1988</w:t>
      </w:r>
      <w:r>
        <w:rPr>
          <w:rFonts w:ascii="Times New Roman" w:cs="Times New Roman" w:eastAsia="Times New Roman" w:hAnsi="Times New Roman"/>
          <w:sz w:val="27"/>
          <w:szCs w:val="27"/>
          <w:color w:val="auto"/>
        </w:rPr>
        <w:t>;</w:t>
      </w:r>
      <w:r>
        <w:rPr>
          <w:rFonts w:ascii="Times New Roman" w:cs="Times New Roman" w:eastAsia="Times New Roman" w:hAnsi="Times New Roman"/>
          <w:sz w:val="11"/>
          <w:szCs w:val="11"/>
          <w:color w:val="auto"/>
        </w:rPr>
        <w:t>ii</w:t>
      </w:r>
    </w:p>
    <w:p>
      <w:pPr>
        <w:sectPr>
          <w:pgSz w:w="11900" w:h="16838" w:orient="portrait"/>
          <w:cols w:equalWidth="0" w:num="1">
            <w:col w:w="9319"/>
          </w:cols>
          <w:pgMar w:left="1140" w:top="126" w:right="1440" w:bottom="1440" w:gutter="0" w:footer="0" w:header="0"/>
          <w:type w:val="continuous"/>
        </w:sectPr>
      </w:pP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Close Company</w:t>
      </w:r>
    </w:p>
    <w:p>
      <w:pPr>
        <w:spacing w:after="0" w:line="20" w:lineRule="exact"/>
        <w:rPr>
          <w:sz w:val="20"/>
          <w:szCs w:val="20"/>
          <w:color w:val="auto"/>
        </w:rPr>
      </w:pPr>
      <w:r>
        <w:rPr>
          <w:sz w:val="20"/>
          <w:szCs w:val="20"/>
          <w:color w:val="auto"/>
        </w:rPr>
        <w:br w:type="column"/>
      </w:r>
    </w:p>
    <w:p>
      <w:pPr>
        <w:spacing w:after="0" w:line="49" w:lineRule="exact"/>
        <w:rPr>
          <w:sz w:val="20"/>
          <w:szCs w:val="20"/>
          <w:color w:val="auto"/>
        </w:rPr>
      </w:pPr>
    </w:p>
    <w:p>
      <w:pPr>
        <w:ind w:right="899"/>
        <w:spacing w:after="0" w:line="267" w:lineRule="auto"/>
        <w:rPr>
          <w:sz w:val="20"/>
          <w:szCs w:val="20"/>
          <w:color w:val="auto"/>
        </w:rPr>
      </w:pPr>
      <w:r>
        <w:rPr>
          <w:rFonts w:ascii="Times New Roman" w:cs="Times New Roman" w:eastAsia="Times New Roman" w:hAnsi="Times New Roman"/>
          <w:sz w:val="22"/>
          <w:szCs w:val="22"/>
          <w:color w:val="auto"/>
        </w:rPr>
        <w:t>The meaning given to that expression by section 414(1) of, and paragraph 8 of Schedule 9 to, ICTA 1988;</w:t>
      </w:r>
      <w:r>
        <w:rPr>
          <w:rFonts w:ascii="Times New Roman" w:cs="Times New Roman" w:eastAsia="Times New Roman" w:hAnsi="Times New Roman"/>
          <w:sz w:val="12"/>
          <w:szCs w:val="12"/>
          <w:color w:val="auto"/>
        </w:rPr>
        <w:t>iii</w:t>
      </w:r>
    </w:p>
    <w:p>
      <w:pPr>
        <w:spacing w:after="0" w:line="1" w:lineRule="exact"/>
        <w:rPr>
          <w:sz w:val="20"/>
          <w:szCs w:val="20"/>
          <w:color w:val="auto"/>
        </w:rPr>
      </w:pPr>
    </w:p>
    <w:p>
      <w:pPr>
        <w:sectPr>
          <w:pgSz w:w="11900" w:h="16838" w:orient="portrait"/>
          <w:cols w:equalWidth="0" w:num="2">
            <w:col w:w="2600" w:space="720"/>
            <w:col w:w="5999"/>
          </w:cols>
          <w:pgMar w:left="1140" w:top="126" w:right="1440" w:bottom="1440" w:gutter="0" w:footer="0" w:header="0"/>
          <w:type w:val="continuous"/>
        </w:sectPr>
      </w:pPr>
    </w:p>
    <w:p>
      <w:pPr>
        <w:spacing w:after="0"/>
        <w:rPr>
          <w:sz w:val="20"/>
          <w:szCs w:val="20"/>
          <w:color w:val="auto"/>
        </w:rPr>
      </w:pPr>
      <w:r>
        <w:rPr>
          <w:rFonts w:ascii="Times New Roman" w:cs="Times New Roman" w:eastAsia="Times New Roman" w:hAnsi="Times New Roman"/>
          <w:sz w:val="21"/>
          <w:szCs w:val="21"/>
          <w:b w:val="1"/>
          <w:bCs w:val="1"/>
          <w:color w:val="auto"/>
        </w:rPr>
        <w:t>Consortium</w:t>
      </w:r>
    </w:p>
    <w:p>
      <w:pPr>
        <w:spacing w:after="0" w:line="20" w:lineRule="exact"/>
        <w:rPr>
          <w:sz w:val="20"/>
          <w:szCs w:val="20"/>
          <w:color w:val="auto"/>
        </w:rPr>
      </w:pPr>
      <w:r>
        <w:rPr>
          <w:sz w:val="20"/>
          <w:szCs w:val="20"/>
          <w:color w:val="auto"/>
        </w:rPr>
        <w:br w:type="column"/>
      </w:r>
    </w:p>
    <w:p>
      <w:pPr>
        <w:ind w:right="879"/>
        <w:spacing w:after="0" w:line="267" w:lineRule="auto"/>
        <w:rPr>
          <w:sz w:val="20"/>
          <w:szCs w:val="20"/>
          <w:color w:val="auto"/>
        </w:rPr>
      </w:pPr>
      <w:r>
        <w:rPr>
          <w:rFonts w:ascii="Times New Roman" w:cs="Times New Roman" w:eastAsia="Times New Roman" w:hAnsi="Times New Roman"/>
          <w:sz w:val="22"/>
          <w:szCs w:val="22"/>
          <w:color w:val="auto"/>
        </w:rPr>
        <w:t>The meaning given to that word by section 187(7) of ICTA 1988;</w:t>
      </w:r>
      <w:r>
        <w:rPr>
          <w:rFonts w:ascii="Times New Roman" w:cs="Times New Roman" w:eastAsia="Times New Roman" w:hAnsi="Times New Roman"/>
          <w:sz w:val="11"/>
          <w:szCs w:val="11"/>
          <w:color w:val="auto"/>
        </w:rPr>
        <w:t>iv</w:t>
      </w:r>
    </w:p>
    <w:p>
      <w:pPr>
        <w:spacing w:after="0" w:line="1" w:lineRule="exact"/>
        <w:rPr>
          <w:sz w:val="20"/>
          <w:szCs w:val="20"/>
          <w:color w:val="auto"/>
        </w:rPr>
      </w:pPr>
    </w:p>
    <w:p>
      <w:pPr>
        <w:sectPr>
          <w:pgSz w:w="11900" w:h="16838" w:orient="portrait"/>
          <w:cols w:equalWidth="0" w:num="2">
            <w:col w:w="2600" w:space="720"/>
            <w:col w:w="5999"/>
          </w:cols>
          <w:pgMar w:left="1140" w:top="126" w:right="1440" w:bottom="1440" w:gutter="0" w:footer="0" w:header="0"/>
          <w:type w:val="continuous"/>
        </w:sectPr>
      </w:pPr>
    </w:p>
    <w:p>
      <w:pPr>
        <w:spacing w:after="0"/>
        <w:rPr>
          <w:sz w:val="20"/>
          <w:szCs w:val="20"/>
          <w:color w:val="auto"/>
        </w:rPr>
      </w:pPr>
      <w:r>
        <w:rPr>
          <w:rFonts w:ascii="Times New Roman" w:cs="Times New Roman" w:eastAsia="Times New Roman" w:hAnsi="Times New Roman"/>
          <w:sz w:val="21"/>
          <w:szCs w:val="21"/>
          <w:b w:val="1"/>
          <w:bCs w:val="1"/>
          <w:color w:val="auto"/>
        </w:rPr>
        <w:t>Control</w:t>
      </w:r>
    </w:p>
    <w:p>
      <w:pPr>
        <w:spacing w:after="0" w:line="20" w:lineRule="exact"/>
        <w:rPr>
          <w:sz w:val="20"/>
          <w:szCs w:val="20"/>
          <w:color w:val="auto"/>
        </w:rPr>
      </w:pPr>
      <w:r>
        <w:rPr>
          <w:sz w:val="20"/>
          <w:szCs w:val="20"/>
          <w:color w:val="auto"/>
        </w:rPr>
        <w:br w:type="column"/>
      </w:r>
    </w:p>
    <w:p>
      <w:pPr>
        <w:ind w:right="1139"/>
        <w:spacing w:after="0" w:line="293" w:lineRule="auto"/>
        <w:rPr>
          <w:sz w:val="20"/>
          <w:szCs w:val="20"/>
          <w:color w:val="auto"/>
        </w:rPr>
      </w:pPr>
      <w:r>
        <w:rPr>
          <w:rFonts w:ascii="Times New Roman" w:cs="Times New Roman" w:eastAsia="Times New Roman" w:hAnsi="Times New Roman"/>
          <w:sz w:val="20"/>
          <w:szCs w:val="20"/>
          <w:color w:val="auto"/>
        </w:rPr>
        <w:t>The meaning given to that word by section 840 of ICTA 1988 and “Controlled” shall be construed accordingly;</w:t>
      </w:r>
      <w:r>
        <w:rPr>
          <w:rFonts w:ascii="Times New Roman" w:cs="Times New Roman" w:eastAsia="Times New Roman" w:hAnsi="Times New Roman"/>
          <w:sz w:val="11"/>
          <w:szCs w:val="11"/>
          <w:color w:val="auto"/>
        </w:rPr>
        <w:t>v</w:t>
      </w:r>
    </w:p>
    <w:p>
      <w:pPr>
        <w:spacing w:after="0" w:line="1" w:lineRule="exact"/>
        <w:rPr>
          <w:sz w:val="20"/>
          <w:szCs w:val="20"/>
          <w:color w:val="auto"/>
        </w:rPr>
      </w:pPr>
    </w:p>
    <w:p>
      <w:pPr>
        <w:sectPr>
          <w:pgSz w:w="11900" w:h="16838" w:orient="portrait"/>
          <w:cols w:equalWidth="0" w:num="2">
            <w:col w:w="2600" w:space="720"/>
            <w:col w:w="5999"/>
          </w:cols>
          <w:pgMar w:left="1140" w:top="126" w:right="1440" w:bottom="1440" w:gutter="0" w:footer="0" w:header="0"/>
          <w:type w:val="continuous"/>
        </w:sectPr>
      </w:pPr>
    </w:p>
    <w:p>
      <w:pPr>
        <w:spacing w:after="0"/>
        <w:rPr>
          <w:sz w:val="20"/>
          <w:szCs w:val="20"/>
          <w:color w:val="auto"/>
        </w:rPr>
      </w:pPr>
      <w:r>
        <w:rPr>
          <w:rFonts w:ascii="Times New Roman" w:cs="Times New Roman" w:eastAsia="Times New Roman" w:hAnsi="Times New Roman"/>
          <w:sz w:val="21"/>
          <w:szCs w:val="21"/>
          <w:b w:val="1"/>
          <w:bCs w:val="1"/>
          <w:color w:val="auto"/>
        </w:rPr>
        <w:t>Eligible Employee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an individual who is:</w:t>
      </w:r>
    </w:p>
    <w:p>
      <w:pPr>
        <w:spacing w:after="0" w:line="200" w:lineRule="exact"/>
        <w:rPr>
          <w:sz w:val="20"/>
          <w:szCs w:val="20"/>
          <w:color w:val="auto"/>
        </w:rPr>
      </w:pPr>
    </w:p>
    <w:p>
      <w:pPr>
        <w:sectPr>
          <w:pgSz w:w="11900" w:h="16838" w:orient="portrait"/>
          <w:cols w:equalWidth="0" w:num="2">
            <w:col w:w="2600" w:space="720"/>
            <w:col w:w="5999"/>
          </w:cols>
          <w:pgMar w:left="1140" w:top="126" w:right="1440" w:bottom="1440" w:gutter="0" w:footer="0" w:header="0"/>
          <w:type w:val="continuous"/>
        </w:sectPr>
      </w:pPr>
    </w:p>
    <w:p>
      <w:pPr>
        <w:spacing w:after="0" w:line="58"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2"/>
          <w:szCs w:val="22"/>
          <w:color w:val="auto"/>
        </w:rPr>
        <w:t>(a)  an employee of a Participating Company; or</w:t>
      </w:r>
    </w:p>
    <w:p>
      <w:pPr>
        <w:spacing w:after="0" w:line="247" w:lineRule="exact"/>
        <w:rPr>
          <w:sz w:val="20"/>
          <w:szCs w:val="20"/>
          <w:color w:val="auto"/>
        </w:rPr>
      </w:pPr>
    </w:p>
    <w:p>
      <w:pPr>
        <w:ind w:left="3720" w:right="1059" w:hanging="390"/>
        <w:spacing w:after="0" w:line="256" w:lineRule="auto"/>
        <w:rPr>
          <w:sz w:val="20"/>
          <w:szCs w:val="20"/>
          <w:color w:val="auto"/>
        </w:rPr>
      </w:pPr>
      <w:r>
        <w:rPr>
          <w:rFonts w:ascii="Times New Roman" w:cs="Times New Roman" w:eastAsia="Times New Roman" w:hAnsi="Times New Roman"/>
          <w:sz w:val="22"/>
          <w:szCs w:val="22"/>
          <w:color w:val="auto"/>
        </w:rPr>
        <w:t>(b) a director of a Participating Company who is contracted to work at least 25 hours per week for the Company and its subsidiaries or any of them (exclusive of meal breaks)</w:t>
      </w:r>
    </w:p>
    <w:p>
      <w:pPr>
        <w:spacing w:after="0" w:line="203" w:lineRule="exact"/>
        <w:rPr>
          <w:sz w:val="20"/>
          <w:szCs w:val="20"/>
          <w:color w:val="auto"/>
        </w:rPr>
      </w:pPr>
    </w:p>
    <w:p>
      <w:pPr>
        <w:ind w:left="3320" w:right="939"/>
        <w:spacing w:after="0" w:line="251" w:lineRule="auto"/>
        <w:rPr>
          <w:sz w:val="20"/>
          <w:szCs w:val="20"/>
          <w:color w:val="auto"/>
        </w:rPr>
      </w:pPr>
      <w:r>
        <w:rPr>
          <w:rFonts w:ascii="Times New Roman" w:cs="Times New Roman" w:eastAsia="Times New Roman" w:hAnsi="Times New Roman"/>
          <w:sz w:val="22"/>
          <w:szCs w:val="22"/>
          <w:color w:val="auto"/>
        </w:rPr>
        <w:t>and who, in either case, does not have at the Date of Grant of an Option, and has not had during the preceding twelve months, a Material Interest in a Close Company which is the Company or a company which has Control of the Company or a member of a Consortium which owns the Company;</w:t>
      </w:r>
    </w:p>
    <w:p>
      <w:pPr>
        <w:sectPr>
          <w:pgSz w:w="11900" w:h="16838" w:orient="portrait"/>
          <w:cols w:equalWidth="0" w:num="1">
            <w:col w:w="9319"/>
          </w:cols>
          <w:pgMar w:left="1140" w:top="126" w:right="1440" w:bottom="1440" w:gutter="0" w:footer="0" w:header="0"/>
          <w:type w:val="continuous"/>
        </w:sectPr>
      </w:pP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ICTA 1988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The Income and Corporation Taxes Act 1988;</w:t>
      </w:r>
    </w:p>
    <w:p>
      <w:pPr>
        <w:sectPr>
          <w:pgSz w:w="11900" w:h="16838" w:orient="portrait"/>
          <w:cols w:equalWidth="0" w:num="2">
            <w:col w:w="2600" w:space="720"/>
            <w:col w:w="5999"/>
          </w:cols>
          <w:pgMar w:left="1140" w:top="126" w:right="1440" w:bottom="1440" w:gutter="0" w:footer="0" w:header="0"/>
          <w:type w:val="continuous"/>
        </w:sectPr>
      </w:pPr>
    </w:p>
    <w:bookmarkStart w:id="233" w:name="page234"/>
    <w:bookmarkEnd w:id="233"/>
    <w:p>
      <w:pPr>
        <w:jc w:val="center"/>
        <w:ind w:right="-280"/>
        <w:spacing w:after="0"/>
        <w:rPr>
          <w:sz w:val="20"/>
          <w:szCs w:val="20"/>
          <w:color w:val="auto"/>
        </w:rPr>
      </w:pPr>
      <w:r>
        <w:rPr>
          <w:rFonts w:ascii="Times New Roman" w:cs="Times New Roman" w:eastAsia="Times New Roman" w:hAnsi="Times New Roman"/>
          <w:sz w:val="22"/>
          <w:szCs w:val="22"/>
          <w:color w:val="auto"/>
        </w:rPr>
        <w:t>- A3 -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tabs>
          <w:tab w:leader="none" w:pos="3300" w:val="left"/>
        </w:tabs>
        <w:rPr>
          <w:sz w:val="20"/>
          <w:szCs w:val="20"/>
          <w:color w:val="auto"/>
        </w:rPr>
      </w:pPr>
      <w:r>
        <w:rPr>
          <w:rFonts w:ascii="Times New Roman" w:cs="Times New Roman" w:eastAsia="Times New Roman" w:hAnsi="Times New Roman"/>
          <w:sz w:val="22"/>
          <w:szCs w:val="22"/>
          <w:b w:val="1"/>
          <w:bCs w:val="1"/>
          <w:color w:val="auto"/>
        </w:rPr>
        <w:t>Market Value</w:t>
      </w:r>
      <w:r>
        <w:rPr>
          <w:sz w:val="20"/>
          <w:szCs w:val="20"/>
          <w:color w:val="auto"/>
        </w:rPr>
        <w:tab/>
      </w:r>
      <w:r>
        <w:rPr>
          <w:rFonts w:ascii="Times New Roman" w:cs="Times New Roman" w:eastAsia="Times New Roman" w:hAnsi="Times New Roman"/>
          <w:sz w:val="21"/>
          <w:szCs w:val="21"/>
          <w:color w:val="auto"/>
        </w:rPr>
        <w:t>Notwithstanding section 6.2 of the Plan:</w:t>
      </w:r>
    </w:p>
    <w:p>
      <w:pPr>
        <w:spacing w:after="0" w:line="251" w:lineRule="exact"/>
        <w:rPr>
          <w:sz w:val="20"/>
          <w:szCs w:val="20"/>
          <w:color w:val="auto"/>
        </w:rPr>
      </w:pPr>
    </w:p>
    <w:p>
      <w:pPr>
        <w:ind w:left="3780" w:hanging="455"/>
        <w:spacing w:after="0"/>
        <w:tabs>
          <w:tab w:leader="none" w:pos="3780" w:val="left"/>
        </w:tabs>
        <w:numPr>
          <w:ilvl w:val="0"/>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an Option granted under the Sub Plan:</w:t>
      </w:r>
    </w:p>
    <w:p>
      <w:pPr>
        <w:spacing w:after="0" w:line="247" w:lineRule="exact"/>
        <w:rPr>
          <w:sz w:val="20"/>
          <w:szCs w:val="20"/>
          <w:color w:val="auto"/>
        </w:rPr>
      </w:pPr>
    </w:p>
    <w:p>
      <w:pPr>
        <w:jc w:val="both"/>
        <w:ind w:left="3320" w:right="819" w:firstLine="253"/>
        <w:spacing w:after="0" w:line="229" w:lineRule="auto"/>
        <w:rPr>
          <w:sz w:val="20"/>
          <w:szCs w:val="20"/>
          <w:color w:val="auto"/>
        </w:rPr>
      </w:pPr>
      <w:r>
        <w:rPr>
          <w:rFonts w:ascii="Times New Roman" w:cs="Times New Roman" w:eastAsia="Times New Roman" w:hAnsi="Times New Roman"/>
          <w:sz w:val="22"/>
          <w:szCs w:val="22"/>
          <w:color w:val="auto"/>
        </w:rPr>
        <w:t>(i) if at the relevant time the Shares are listed on the New York Stock Exchange</w:t>
      </w:r>
      <w:r>
        <w:rPr>
          <w:rFonts w:ascii="Times New Roman" w:cs="Times New Roman" w:eastAsia="Times New Roman" w:hAnsi="Times New Roman"/>
          <w:sz w:val="28"/>
          <w:szCs w:val="28"/>
          <w:i w:val="1"/>
          <w:iCs w:val="1"/>
          <w:color w:val="auto"/>
          <w:vertAlign w:val="superscript"/>
        </w:rPr>
        <w:t>vi</w:t>
      </w:r>
      <w:r>
        <w:rPr>
          <w:rFonts w:ascii="Times New Roman" w:cs="Times New Roman" w:eastAsia="Times New Roman" w:hAnsi="Times New Roman"/>
          <w:sz w:val="22"/>
          <w:szCs w:val="22"/>
          <w:color w:val="auto"/>
        </w:rPr>
        <w:t xml:space="preserve"> the last reported selling</w:t>
      </w:r>
    </w:p>
    <w:p>
      <w:pPr>
        <w:spacing w:after="0" w:line="2" w:lineRule="exact"/>
        <w:rPr>
          <w:sz w:val="20"/>
          <w:szCs w:val="20"/>
          <w:color w:val="auto"/>
        </w:rPr>
      </w:pPr>
    </w:p>
    <w:p>
      <w:pPr>
        <w:jc w:val="both"/>
        <w:ind w:left="3320" w:right="819"/>
        <w:spacing w:after="0" w:line="243" w:lineRule="auto"/>
        <w:rPr>
          <w:sz w:val="20"/>
          <w:szCs w:val="20"/>
          <w:color w:val="auto"/>
        </w:rPr>
      </w:pPr>
      <w:r>
        <w:rPr>
          <w:rFonts w:ascii="Times New Roman" w:cs="Times New Roman" w:eastAsia="Times New Roman" w:hAnsi="Times New Roman"/>
          <w:sz w:val="22"/>
          <w:szCs w:val="22"/>
          <w:color w:val="auto"/>
        </w:rPr>
        <w:t>price of a Share on the New York Stock Exchange as reported in the Wall Street Journal for the dealing</w:t>
      </w:r>
    </w:p>
    <w:p>
      <w:pPr>
        <w:spacing w:after="0" w:line="1" w:lineRule="exact"/>
        <w:rPr>
          <w:sz w:val="20"/>
          <w:szCs w:val="20"/>
          <w:color w:val="auto"/>
        </w:rPr>
      </w:pPr>
    </w:p>
    <w:p>
      <w:pPr>
        <w:jc w:val="both"/>
        <w:ind w:left="3320" w:right="819"/>
        <w:spacing w:after="0" w:line="246" w:lineRule="auto"/>
        <w:rPr>
          <w:sz w:val="20"/>
          <w:szCs w:val="20"/>
          <w:color w:val="auto"/>
        </w:rPr>
      </w:pPr>
      <w:r>
        <w:rPr>
          <w:rFonts w:ascii="Times New Roman" w:cs="Times New Roman" w:eastAsia="Times New Roman" w:hAnsi="Times New Roman"/>
          <w:sz w:val="22"/>
          <w:szCs w:val="22"/>
          <w:color w:val="auto"/>
        </w:rPr>
        <w:t>day immediately preceding the Date of Grant of the Option (for the avoidance of doubt, if there were no trades on the day immediately preceding the Date of Grant, the weighted average trading price of the Shares for the previous five days on which the shares traded on the New York Stock Exchange); or</w:t>
      </w:r>
    </w:p>
    <w:p>
      <w:pPr>
        <w:spacing w:after="0" w:line="216" w:lineRule="exact"/>
        <w:rPr>
          <w:sz w:val="20"/>
          <w:szCs w:val="20"/>
          <w:color w:val="auto"/>
        </w:rPr>
      </w:pPr>
    </w:p>
    <w:p>
      <w:pPr>
        <w:jc w:val="both"/>
        <w:ind w:left="3320" w:right="819" w:firstLine="240"/>
        <w:spacing w:after="0" w:line="252" w:lineRule="auto"/>
        <w:rPr>
          <w:sz w:val="20"/>
          <w:szCs w:val="20"/>
          <w:color w:val="auto"/>
        </w:rPr>
      </w:pPr>
      <w:r>
        <w:rPr>
          <w:rFonts w:ascii="Times New Roman" w:cs="Times New Roman" w:eastAsia="Times New Roman" w:hAnsi="Times New Roman"/>
          <w:sz w:val="22"/>
          <w:szCs w:val="22"/>
          <w:color w:val="auto"/>
        </w:rPr>
        <w:t>(ii) at the discretion of the Committee, the last reported selling price of a Share on the New York Stock Exchange as reported in the Wall Street Journal on the Date of Grant of the Option (for the avoidance of doubt, if there</w:t>
      </w:r>
    </w:p>
    <w:p>
      <w:pPr>
        <w:spacing w:after="0" w:line="1" w:lineRule="exact"/>
        <w:rPr>
          <w:sz w:val="20"/>
          <w:szCs w:val="20"/>
          <w:color w:val="auto"/>
        </w:rPr>
      </w:pPr>
    </w:p>
    <w:p>
      <w:pPr>
        <w:jc w:val="both"/>
        <w:ind w:left="3320" w:right="819" w:firstLine="257"/>
        <w:spacing w:after="0" w:line="243" w:lineRule="auto"/>
        <w:rPr>
          <w:sz w:val="20"/>
          <w:szCs w:val="20"/>
          <w:color w:val="auto"/>
        </w:rPr>
      </w:pPr>
      <w:r>
        <w:rPr>
          <w:rFonts w:ascii="Times New Roman" w:cs="Times New Roman" w:eastAsia="Times New Roman" w:hAnsi="Times New Roman"/>
          <w:sz w:val="22"/>
          <w:szCs w:val="22"/>
          <w:color w:val="auto"/>
        </w:rPr>
        <w:t>were no trades on the Date of Grant, the weighted average trading price of the Shares for the previous five</w:t>
      </w:r>
    </w:p>
    <w:p>
      <w:pPr>
        <w:spacing w:after="0" w:line="1" w:lineRule="exact"/>
        <w:rPr>
          <w:sz w:val="20"/>
          <w:szCs w:val="20"/>
          <w:color w:val="auto"/>
        </w:rPr>
      </w:pPr>
    </w:p>
    <w:p>
      <w:pPr>
        <w:jc w:val="both"/>
        <w:ind w:left="3320" w:right="819"/>
        <w:spacing w:after="0" w:line="261" w:lineRule="auto"/>
        <w:rPr>
          <w:sz w:val="20"/>
          <w:szCs w:val="20"/>
          <w:color w:val="auto"/>
        </w:rPr>
      </w:pPr>
      <w:r>
        <w:rPr>
          <w:rFonts w:ascii="Times New Roman" w:cs="Times New Roman" w:eastAsia="Times New Roman" w:hAnsi="Times New Roman"/>
          <w:sz w:val="22"/>
          <w:szCs w:val="22"/>
          <w:color w:val="auto"/>
        </w:rPr>
        <w:t>days on which the shares traded on the New York Stock Exchange);</w:t>
      </w:r>
    </w:p>
    <w:p>
      <w:pPr>
        <w:spacing w:after="0" w:line="195" w:lineRule="exact"/>
        <w:rPr>
          <w:sz w:val="20"/>
          <w:szCs w:val="20"/>
          <w:color w:val="auto"/>
        </w:rPr>
      </w:pPr>
    </w:p>
    <w:p>
      <w:pPr>
        <w:ind w:left="3640"/>
        <w:spacing w:after="0"/>
        <w:tabs>
          <w:tab w:leader="none" w:pos="4240" w:val="left"/>
          <w:tab w:leader="none" w:pos="7620" w:val="left"/>
        </w:tabs>
        <w:rPr>
          <w:sz w:val="20"/>
          <w:szCs w:val="20"/>
          <w:color w:val="auto"/>
        </w:rPr>
      </w:pPr>
      <w:r>
        <w:rPr>
          <w:rFonts w:ascii="Times New Roman" w:cs="Times New Roman" w:eastAsia="Times New Roman" w:hAnsi="Times New Roman"/>
          <w:sz w:val="22"/>
          <w:szCs w:val="22"/>
          <w:color w:val="auto"/>
        </w:rPr>
        <w:t>(iii)</w:t>
        <w:tab/>
        <w:t>if paragraphs (i) or (ii) do not</w:t>
      </w:r>
      <w:r>
        <w:rPr>
          <w:sz w:val="20"/>
          <w:szCs w:val="20"/>
          <w:color w:val="auto"/>
        </w:rPr>
        <w:tab/>
      </w:r>
      <w:r>
        <w:rPr>
          <w:rFonts w:ascii="Times New Roman" w:cs="Times New Roman" w:eastAsia="Times New Roman" w:hAnsi="Times New Roman"/>
          <w:sz w:val="21"/>
          <w:szCs w:val="21"/>
          <w:color w:val="auto"/>
        </w:rPr>
        <w:t>apply, the</w:t>
      </w:r>
    </w:p>
    <w:p>
      <w:pPr>
        <w:spacing w:after="0" w:line="28"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2"/>
          <w:szCs w:val="22"/>
          <w:color w:val="auto"/>
        </w:rPr>
        <w:t>market value of a Share as determined in accordance with</w:t>
      </w:r>
    </w:p>
    <w:p>
      <w:pPr>
        <w:spacing w:after="0" w:line="4" w:lineRule="exact"/>
        <w:rPr>
          <w:sz w:val="20"/>
          <w:szCs w:val="20"/>
          <w:color w:val="auto"/>
        </w:rPr>
      </w:pPr>
    </w:p>
    <w:p>
      <w:pPr>
        <w:jc w:val="both"/>
        <w:ind w:left="3320" w:right="819"/>
        <w:spacing w:after="0" w:line="247" w:lineRule="auto"/>
        <w:rPr>
          <w:sz w:val="20"/>
          <w:szCs w:val="20"/>
          <w:color w:val="auto"/>
        </w:rPr>
      </w:pPr>
      <w:r>
        <w:rPr>
          <w:rFonts w:ascii="Times New Roman" w:cs="Times New Roman" w:eastAsia="Times New Roman" w:hAnsi="Times New Roman"/>
          <w:sz w:val="22"/>
          <w:szCs w:val="22"/>
          <w:color w:val="auto"/>
        </w:rPr>
        <w:t>Part VIII of the Taxation of Chargeable Gains Act 1992 and agreed in advance with the Inland Revenue Shares Valuation Division on the Date of Grant of the</w:t>
      </w:r>
    </w:p>
    <w:p>
      <w:pPr>
        <w:spacing w:after="0" w:line="2" w:lineRule="exact"/>
        <w:rPr>
          <w:sz w:val="20"/>
          <w:szCs w:val="20"/>
          <w:color w:val="auto"/>
        </w:rPr>
      </w:pPr>
    </w:p>
    <w:p>
      <w:pPr>
        <w:jc w:val="both"/>
        <w:ind w:left="3320" w:right="819"/>
        <w:spacing w:after="0" w:line="248" w:lineRule="auto"/>
        <w:rPr>
          <w:sz w:val="20"/>
          <w:szCs w:val="20"/>
          <w:color w:val="auto"/>
        </w:rPr>
      </w:pPr>
      <w:r>
        <w:rPr>
          <w:rFonts w:ascii="Times New Roman" w:cs="Times New Roman" w:eastAsia="Times New Roman" w:hAnsi="Times New Roman"/>
          <w:sz w:val="22"/>
          <w:szCs w:val="22"/>
          <w:color w:val="auto"/>
        </w:rPr>
        <w:t>Option or such earlier date or dates as may be agreed with the Board of Inland Revenue;</w:t>
      </w:r>
    </w:p>
    <w:p>
      <w:pPr>
        <w:spacing w:after="0" w:line="209" w:lineRule="exact"/>
        <w:rPr>
          <w:sz w:val="20"/>
          <w:szCs w:val="20"/>
          <w:color w:val="auto"/>
        </w:rPr>
      </w:pPr>
    </w:p>
    <w:p>
      <w:pPr>
        <w:jc w:val="both"/>
        <w:ind w:left="3620" w:right="819" w:hanging="236"/>
        <w:spacing w:after="0" w:line="253" w:lineRule="auto"/>
        <w:tabs>
          <w:tab w:leader="none" w:pos="3716" w:val="left"/>
        </w:tabs>
        <w:numPr>
          <w:ilvl w:val="0"/>
          <w:numId w:val="1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an option granted under any other share option scheme, the market value of an ordinary share in the capital of the Company determined under the rules of such scheme for the purpose of the grant of the option;</w:t>
      </w:r>
    </w:p>
    <w:p>
      <w:pPr>
        <w:sectPr>
          <w:pgSz w:w="11900" w:h="16838" w:orient="portrait"/>
          <w:cols w:equalWidth="0" w:num="1">
            <w:col w:w="9319"/>
          </w:cols>
          <w:pgMar w:left="1140" w:top="126" w:right="1440" w:bottom="1440" w:gutter="0" w:footer="0" w:header="0"/>
        </w:sectPr>
      </w:pPr>
    </w:p>
    <w:bookmarkStart w:id="234" w:name="page235"/>
    <w:bookmarkEnd w:id="234"/>
    <w:p>
      <w:pPr>
        <w:ind w:left="5360"/>
        <w:spacing w:after="0"/>
        <w:rPr>
          <w:sz w:val="20"/>
          <w:szCs w:val="20"/>
          <w:color w:val="auto"/>
        </w:rPr>
      </w:pPr>
      <w:r>
        <w:rPr>
          <w:rFonts w:ascii="Times New Roman" w:cs="Times New Roman" w:eastAsia="Times New Roman" w:hAnsi="Times New Roman"/>
          <w:sz w:val="22"/>
          <w:szCs w:val="22"/>
          <w:color w:val="auto"/>
        </w:rPr>
        <w:t>- A4 -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820" w:type="dxa"/>
        <w:tblCellMar>
          <w:top w:w="0" w:type="dxa"/>
          <w:left w:w="0" w:type="dxa"/>
          <w:bottom w:w="0" w:type="dxa"/>
          <w:right w:w="0" w:type="dxa"/>
        </w:tblCellMar>
      </w:tblPr>
      <w:tr>
        <w:trPr>
          <w:trHeight w:val="260"/>
        </w:trPr>
        <w:tc>
          <w:tcPr>
            <w:tcW w:w="310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Material Interest</w:t>
            </w:r>
          </w:p>
        </w:tc>
        <w:tc>
          <w:tcPr>
            <w:tcW w:w="53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the meaning given to that expression by section 187(3) of</w:t>
            </w:r>
          </w:p>
        </w:tc>
      </w:tr>
      <w:tr>
        <w:trPr>
          <w:trHeight w:val="282"/>
        </w:trPr>
        <w:tc>
          <w:tcPr>
            <w:tcW w:w="3100" w:type="dxa"/>
            <w:vAlign w:val="bottom"/>
          </w:tcPr>
          <w:p>
            <w:pPr>
              <w:spacing w:after="0"/>
              <w:rPr>
                <w:sz w:val="24"/>
                <w:szCs w:val="24"/>
                <w:color w:val="auto"/>
              </w:rPr>
            </w:pPr>
          </w:p>
        </w:tc>
        <w:tc>
          <w:tcPr>
            <w:tcW w:w="53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ICTA 1988;</w:t>
            </w:r>
            <w:r>
              <w:rPr>
                <w:rFonts w:ascii="Times New Roman" w:cs="Times New Roman" w:eastAsia="Times New Roman" w:hAnsi="Times New Roman"/>
                <w:sz w:val="11"/>
                <w:szCs w:val="11"/>
                <w:color w:val="auto"/>
              </w:rPr>
              <w:t>vii</w:t>
            </w:r>
          </w:p>
        </w:tc>
      </w:tr>
      <w:tr>
        <w:trPr>
          <w:trHeight w:val="311"/>
        </w:trPr>
        <w:tc>
          <w:tcPr>
            <w:tcW w:w="310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Notification of Grant of Option</w:t>
            </w:r>
          </w:p>
        </w:tc>
        <w:tc>
          <w:tcPr>
            <w:tcW w:w="532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9"/>
              </w:rPr>
              <w:t>the notification issued in respect of the grant of an option;</w:t>
            </w:r>
          </w:p>
        </w:tc>
      </w:tr>
      <w:tr>
        <w:trPr>
          <w:trHeight w:val="285"/>
        </w:trPr>
        <w:tc>
          <w:tcPr>
            <w:tcW w:w="310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Option</w:t>
            </w:r>
          </w:p>
        </w:tc>
        <w:tc>
          <w:tcPr>
            <w:tcW w:w="532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8"/>
              </w:rPr>
              <w:t>a subsisting right to acquire Shares granted under the Sub-</w:t>
            </w:r>
          </w:p>
        </w:tc>
      </w:tr>
      <w:tr>
        <w:trPr>
          <w:trHeight w:val="282"/>
        </w:trPr>
        <w:tc>
          <w:tcPr>
            <w:tcW w:w="3100" w:type="dxa"/>
            <w:vAlign w:val="bottom"/>
          </w:tcPr>
          <w:p>
            <w:pPr>
              <w:spacing w:after="0"/>
              <w:rPr>
                <w:sz w:val="24"/>
                <w:szCs w:val="24"/>
                <w:color w:val="auto"/>
              </w:rPr>
            </w:pPr>
          </w:p>
        </w:tc>
        <w:tc>
          <w:tcPr>
            <w:tcW w:w="53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Plan;</w:t>
            </w:r>
          </w:p>
        </w:tc>
      </w:tr>
      <w:tr>
        <w:trPr>
          <w:trHeight w:val="285"/>
        </w:trPr>
        <w:tc>
          <w:tcPr>
            <w:tcW w:w="310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Option Holder</w:t>
            </w:r>
          </w:p>
        </w:tc>
        <w:tc>
          <w:tcPr>
            <w:tcW w:w="53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an individual who holds an Option or, where the context</w:t>
            </w:r>
          </w:p>
        </w:tc>
      </w:tr>
      <w:tr>
        <w:trPr>
          <w:trHeight w:val="282"/>
        </w:trPr>
        <w:tc>
          <w:tcPr>
            <w:tcW w:w="3100" w:type="dxa"/>
            <w:vAlign w:val="bottom"/>
          </w:tcPr>
          <w:p>
            <w:pPr>
              <w:spacing w:after="0"/>
              <w:rPr>
                <w:sz w:val="24"/>
                <w:szCs w:val="24"/>
                <w:color w:val="auto"/>
              </w:rPr>
            </w:pPr>
          </w:p>
        </w:tc>
        <w:tc>
          <w:tcPr>
            <w:tcW w:w="53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permits, his legal personal representatives;</w:t>
            </w:r>
          </w:p>
        </w:tc>
      </w:tr>
      <w:tr>
        <w:trPr>
          <w:trHeight w:val="285"/>
        </w:trPr>
        <w:tc>
          <w:tcPr>
            <w:tcW w:w="310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Ordinary Share Capital</w:t>
            </w:r>
          </w:p>
        </w:tc>
        <w:tc>
          <w:tcPr>
            <w:tcW w:w="53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the meaning given to that expression by section 832(1) of</w:t>
            </w:r>
          </w:p>
        </w:tc>
      </w:tr>
      <w:tr>
        <w:trPr>
          <w:trHeight w:val="282"/>
        </w:trPr>
        <w:tc>
          <w:tcPr>
            <w:tcW w:w="3100" w:type="dxa"/>
            <w:vAlign w:val="bottom"/>
          </w:tcPr>
          <w:p>
            <w:pPr>
              <w:spacing w:after="0"/>
              <w:rPr>
                <w:sz w:val="24"/>
                <w:szCs w:val="24"/>
                <w:color w:val="auto"/>
              </w:rPr>
            </w:pPr>
          </w:p>
        </w:tc>
        <w:tc>
          <w:tcPr>
            <w:tcW w:w="53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ICTA 1988; and</w:t>
            </w:r>
          </w:p>
        </w:tc>
      </w:tr>
      <w:tr>
        <w:trPr>
          <w:trHeight w:val="285"/>
        </w:trPr>
        <w:tc>
          <w:tcPr>
            <w:tcW w:w="310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Participating Company</w:t>
            </w:r>
          </w:p>
        </w:tc>
        <w:tc>
          <w:tcPr>
            <w:tcW w:w="532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7"/>
              </w:rPr>
              <w:t>the Company or a Subsidiary over which the Company has</w:t>
            </w:r>
          </w:p>
        </w:tc>
      </w:tr>
      <w:tr>
        <w:trPr>
          <w:trHeight w:val="257"/>
        </w:trPr>
        <w:tc>
          <w:tcPr>
            <w:tcW w:w="3100" w:type="dxa"/>
            <w:vAlign w:val="bottom"/>
          </w:tcPr>
          <w:p>
            <w:pPr>
              <w:spacing w:after="0"/>
              <w:rPr>
                <w:sz w:val="22"/>
                <w:szCs w:val="22"/>
                <w:color w:val="auto"/>
              </w:rPr>
            </w:pPr>
          </w:p>
        </w:tc>
        <w:tc>
          <w:tcPr>
            <w:tcW w:w="53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Control unless such Subsidiary has been excluded from</w:t>
            </w:r>
          </w:p>
        </w:tc>
      </w:tr>
      <w:tr>
        <w:trPr>
          <w:trHeight w:val="282"/>
        </w:trPr>
        <w:tc>
          <w:tcPr>
            <w:tcW w:w="3100" w:type="dxa"/>
            <w:vAlign w:val="bottom"/>
          </w:tcPr>
          <w:p>
            <w:pPr>
              <w:spacing w:after="0"/>
              <w:rPr>
                <w:sz w:val="24"/>
                <w:szCs w:val="24"/>
                <w:color w:val="auto"/>
              </w:rPr>
            </w:pPr>
          </w:p>
        </w:tc>
        <w:tc>
          <w:tcPr>
            <w:tcW w:w="53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participation by the Committee;</w:t>
            </w:r>
          </w:p>
        </w:tc>
      </w:tr>
      <w:tr>
        <w:trPr>
          <w:trHeight w:val="298"/>
        </w:trPr>
        <w:tc>
          <w:tcPr>
            <w:tcW w:w="310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Subsidiary</w:t>
            </w:r>
          </w:p>
        </w:tc>
        <w:tc>
          <w:tcPr>
            <w:tcW w:w="53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the meaning given to that word in section 736 of the</w:t>
            </w:r>
          </w:p>
        </w:tc>
      </w:tr>
      <w:tr>
        <w:trPr>
          <w:trHeight w:val="282"/>
        </w:trPr>
        <w:tc>
          <w:tcPr>
            <w:tcW w:w="3100" w:type="dxa"/>
            <w:vAlign w:val="bottom"/>
          </w:tcPr>
          <w:p>
            <w:pPr>
              <w:spacing w:after="0"/>
              <w:rPr>
                <w:sz w:val="24"/>
                <w:szCs w:val="24"/>
                <w:color w:val="auto"/>
              </w:rPr>
            </w:pPr>
          </w:p>
        </w:tc>
        <w:tc>
          <w:tcPr>
            <w:tcW w:w="53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Companies Act 1985;</w:t>
            </w:r>
          </w:p>
        </w:tc>
      </w:tr>
    </w:tbl>
    <w:p>
      <w:pPr>
        <w:spacing w:after="0" w:line="339"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color w:val="auto"/>
        </w:rPr>
        <w:t>7.2</w:t>
      </w:r>
      <w:r>
        <w:rPr>
          <w:sz w:val="20"/>
          <w:szCs w:val="20"/>
          <w:color w:val="auto"/>
        </w:rPr>
        <w:tab/>
      </w:r>
      <w:r>
        <w:rPr>
          <w:rFonts w:ascii="Times New Roman" w:cs="Times New Roman" w:eastAsia="Times New Roman" w:hAnsi="Times New Roman"/>
          <w:sz w:val="21"/>
          <w:szCs w:val="21"/>
          <w:color w:val="auto"/>
        </w:rPr>
        <w:t>In this schedule, unless the context otherwise requires:</w:t>
      </w:r>
    </w:p>
    <w:p>
      <w:pPr>
        <w:spacing w:after="0" w:line="24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7.2.1</w:t>
      </w:r>
      <w:r>
        <w:rPr>
          <w:sz w:val="20"/>
          <w:szCs w:val="20"/>
          <w:color w:val="auto"/>
        </w:rPr>
        <w:tab/>
      </w:r>
      <w:r>
        <w:rPr>
          <w:rFonts w:ascii="Times New Roman" w:cs="Times New Roman" w:eastAsia="Times New Roman" w:hAnsi="Times New Roman"/>
          <w:sz w:val="21"/>
          <w:szCs w:val="21"/>
          <w:color w:val="auto"/>
        </w:rPr>
        <w:t>words and expressions not defined above have the same meanings as are given to them in the Plan;</w:t>
      </w:r>
    </w:p>
    <w:p>
      <w:pPr>
        <w:spacing w:after="0" w:line="24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7.2.2</w:t>
      </w:r>
      <w:r>
        <w:rPr>
          <w:sz w:val="20"/>
          <w:szCs w:val="20"/>
          <w:color w:val="auto"/>
        </w:rPr>
        <w:tab/>
      </w:r>
      <w:r>
        <w:rPr>
          <w:rFonts w:ascii="Times New Roman" w:cs="Times New Roman" w:eastAsia="Times New Roman" w:hAnsi="Times New Roman"/>
          <w:sz w:val="21"/>
          <w:szCs w:val="21"/>
          <w:color w:val="auto"/>
        </w:rPr>
        <w:t>the rule headings are inserted for ease of reference only and do not affect their interpretation;</w:t>
      </w:r>
    </w:p>
    <w:p>
      <w:pPr>
        <w:spacing w:after="0" w:line="24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7.2.3</w:t>
      </w:r>
      <w:r>
        <w:rPr>
          <w:sz w:val="20"/>
          <w:szCs w:val="20"/>
          <w:color w:val="auto"/>
        </w:rPr>
        <w:tab/>
      </w:r>
      <w:r>
        <w:rPr>
          <w:rFonts w:ascii="Times New Roman" w:cs="Times New Roman" w:eastAsia="Times New Roman" w:hAnsi="Times New Roman"/>
          <w:sz w:val="21"/>
          <w:szCs w:val="21"/>
          <w:color w:val="auto"/>
        </w:rPr>
        <w:t>a reference to a rule is a reference to a rule in this schedule;</w:t>
      </w:r>
    </w:p>
    <w:p>
      <w:pPr>
        <w:spacing w:after="0" w:line="24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7.2.4</w:t>
      </w:r>
      <w:r>
        <w:rPr>
          <w:sz w:val="20"/>
          <w:szCs w:val="20"/>
          <w:color w:val="auto"/>
        </w:rPr>
        <w:tab/>
      </w:r>
      <w:r>
        <w:rPr>
          <w:rFonts w:ascii="Times New Roman" w:cs="Times New Roman" w:eastAsia="Times New Roman" w:hAnsi="Times New Roman"/>
          <w:sz w:val="21"/>
          <w:szCs w:val="21"/>
          <w:color w:val="auto"/>
        </w:rPr>
        <w:t>the singular includes the plural and vice-versa and the masculine includes the feminine; and</w:t>
      </w:r>
    </w:p>
    <w:p>
      <w:pPr>
        <w:spacing w:after="0" w:line="260" w:lineRule="exact"/>
        <w:rPr>
          <w:sz w:val="20"/>
          <w:szCs w:val="20"/>
          <w:color w:val="auto"/>
        </w:rPr>
      </w:pPr>
    </w:p>
    <w:p>
      <w:pPr>
        <w:ind w:left="1300" w:hanging="647"/>
        <w:spacing w:after="0" w:line="271" w:lineRule="auto"/>
        <w:tabs>
          <w:tab w:leader="none" w:pos="1280" w:val="left"/>
        </w:tabs>
        <w:rPr>
          <w:sz w:val="20"/>
          <w:szCs w:val="20"/>
          <w:color w:val="auto"/>
        </w:rPr>
      </w:pPr>
      <w:r>
        <w:rPr>
          <w:rFonts w:ascii="Times New Roman" w:cs="Times New Roman" w:eastAsia="Times New Roman" w:hAnsi="Times New Roman"/>
          <w:sz w:val="22"/>
          <w:szCs w:val="22"/>
          <w:color w:val="auto"/>
        </w:rPr>
        <w:t>7.2.5</w:t>
        <w:tab/>
        <w:t>a reference to a statutory provision is a reference to a United Kingdom statutory provision and includes any statutory modification, amendment or re-enactment thereof.</w:t>
      </w:r>
    </w:p>
    <w:p>
      <w:pPr>
        <w:sectPr>
          <w:pgSz w:w="11900" w:h="16838" w:orient="portrait"/>
          <w:cols w:equalWidth="0" w:num="1">
            <w:col w:w="10580"/>
          </w:cols>
          <w:pgMar w:left="320" w:top="126" w:right="999" w:bottom="1440" w:gutter="0" w:footer="0" w:header="0"/>
        </w:sectPr>
      </w:pPr>
    </w:p>
    <w:bookmarkStart w:id="235" w:name="page236"/>
    <w:bookmarkEnd w:id="235"/>
    <w:p>
      <w:pPr>
        <w:jc w:val="center"/>
        <w:ind w:right="-231"/>
        <w:spacing w:after="0"/>
        <w:rPr>
          <w:sz w:val="20"/>
          <w:szCs w:val="20"/>
          <w:color w:val="auto"/>
        </w:rPr>
      </w:pPr>
      <w:r>
        <w:rPr>
          <w:rFonts w:ascii="Times New Roman" w:cs="Times New Roman" w:eastAsia="Times New Roman" w:hAnsi="Times New Roman"/>
          <w:sz w:val="22"/>
          <w:szCs w:val="22"/>
          <w:color w:val="auto"/>
        </w:rPr>
        <w:t>- A5 -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372" w:hanging="372"/>
        <w:spacing w:after="0"/>
        <w:tabs>
          <w:tab w:leader="none" w:pos="372" w:val="left"/>
        </w:tabs>
        <w:numPr>
          <w:ilvl w:val="0"/>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Companies participating in Sub-Plan</w:t>
      </w:r>
    </w:p>
    <w:p>
      <w:pPr>
        <w:spacing w:after="0" w:line="251" w:lineRule="exact"/>
        <w:rPr>
          <w:sz w:val="20"/>
          <w:szCs w:val="20"/>
          <w:color w:val="auto"/>
        </w:rPr>
      </w:pPr>
    </w:p>
    <w:p>
      <w:pPr>
        <w:ind w:left="652"/>
        <w:spacing w:after="0" w:line="271" w:lineRule="auto"/>
        <w:rPr>
          <w:sz w:val="20"/>
          <w:szCs w:val="20"/>
          <w:color w:val="auto"/>
        </w:rPr>
      </w:pPr>
      <w:r>
        <w:rPr>
          <w:rFonts w:ascii="Times New Roman" w:cs="Times New Roman" w:eastAsia="Times New Roman" w:hAnsi="Times New Roman"/>
          <w:sz w:val="22"/>
          <w:szCs w:val="22"/>
          <w:color w:val="auto"/>
        </w:rPr>
        <w:t>For the avoidance of doubt reference in the Plan to participation by a Designated Affiliated Entity of the Company shall be disregarded for the purposes of the Sub-Plan.</w:t>
      </w:r>
    </w:p>
    <w:p>
      <w:pPr>
        <w:spacing w:after="0" w:line="194" w:lineRule="exact"/>
        <w:rPr>
          <w:sz w:val="20"/>
          <w:szCs w:val="20"/>
          <w:color w:val="auto"/>
        </w:rPr>
      </w:pPr>
    </w:p>
    <w:p>
      <w:pPr>
        <w:ind w:left="372" w:hanging="372"/>
        <w:spacing w:after="0"/>
        <w:tabs>
          <w:tab w:leader="none" w:pos="372" w:val="left"/>
        </w:tabs>
        <w:numPr>
          <w:ilvl w:val="0"/>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Shares used in Sub-Plan</w:t>
      </w:r>
    </w:p>
    <w:p>
      <w:pPr>
        <w:spacing w:after="0" w:line="251" w:lineRule="exact"/>
        <w:rPr>
          <w:sz w:val="20"/>
          <w:szCs w:val="20"/>
          <w:color w:val="auto"/>
        </w:rPr>
      </w:pPr>
    </w:p>
    <w:p>
      <w:pPr>
        <w:ind w:left="632" w:right="740"/>
        <w:spacing w:after="0" w:line="271" w:lineRule="auto"/>
        <w:rPr>
          <w:sz w:val="20"/>
          <w:szCs w:val="20"/>
          <w:color w:val="auto"/>
        </w:rPr>
      </w:pPr>
      <w:r>
        <w:rPr>
          <w:rFonts w:ascii="Times New Roman" w:cs="Times New Roman" w:eastAsia="Times New Roman" w:hAnsi="Times New Roman"/>
          <w:sz w:val="22"/>
          <w:szCs w:val="22"/>
          <w:color w:val="auto"/>
        </w:rPr>
        <w:t>The Shares shall form part of the Ordinary Share Capital of the Company and shall at all times comply with the requirements of paragraphs 10 to 14 of Schedule 9 to ICTA 1988.</w:t>
      </w:r>
      <w:r>
        <w:rPr>
          <w:rFonts w:ascii="Times New Roman" w:cs="Times New Roman" w:eastAsia="Times New Roman" w:hAnsi="Times New Roman"/>
          <w:sz w:val="11"/>
          <w:szCs w:val="11"/>
          <w:color w:val="auto"/>
        </w:rPr>
        <w:t>viii</w:t>
      </w:r>
    </w:p>
    <w:p>
      <w:pPr>
        <w:spacing w:after="0" w:line="181" w:lineRule="exact"/>
        <w:rPr>
          <w:sz w:val="20"/>
          <w:szCs w:val="20"/>
          <w:color w:val="auto"/>
        </w:rPr>
      </w:pPr>
    </w:p>
    <w:p>
      <w:pPr>
        <w:ind w:left="492" w:hanging="492"/>
        <w:spacing w:after="0"/>
        <w:tabs>
          <w:tab w:leader="none" w:pos="492" w:val="left"/>
        </w:tabs>
        <w:numPr>
          <w:ilvl w:val="0"/>
          <w:numId w:val="1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Grant of Options</w:t>
      </w:r>
    </w:p>
    <w:p>
      <w:pPr>
        <w:spacing w:after="0" w:line="251" w:lineRule="exact"/>
        <w:rPr>
          <w:sz w:val="20"/>
          <w:szCs w:val="20"/>
          <w:color w:val="auto"/>
        </w:rPr>
      </w:pPr>
    </w:p>
    <w:p>
      <w:pPr>
        <w:ind w:left="652" w:right="380"/>
        <w:spacing w:after="0" w:line="284" w:lineRule="auto"/>
        <w:rPr>
          <w:sz w:val="20"/>
          <w:szCs w:val="20"/>
          <w:color w:val="auto"/>
        </w:rPr>
      </w:pPr>
      <w:r>
        <w:rPr>
          <w:rFonts w:ascii="Times New Roman" w:cs="Times New Roman" w:eastAsia="Times New Roman" w:hAnsi="Times New Roman"/>
          <w:sz w:val="22"/>
          <w:szCs w:val="22"/>
          <w:color w:val="auto"/>
        </w:rPr>
        <w:t>An option granted under the Sub-Plan shall be granted under and subject to the rules of the Plan as modified by this schedule.</w:t>
      </w:r>
    </w:p>
    <w:p>
      <w:pPr>
        <w:spacing w:after="0" w:line="383" w:lineRule="exact"/>
        <w:rPr>
          <w:sz w:val="20"/>
          <w:szCs w:val="20"/>
          <w:color w:val="auto"/>
        </w:rPr>
      </w:pPr>
    </w:p>
    <w:p>
      <w:pPr>
        <w:ind w:left="692" w:hanging="692"/>
        <w:spacing w:after="0"/>
        <w:tabs>
          <w:tab w:leader="none" w:pos="692" w:val="left"/>
        </w:tabs>
        <w:numPr>
          <w:ilvl w:val="0"/>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Identification of Options</w:t>
      </w:r>
    </w:p>
    <w:p>
      <w:pPr>
        <w:spacing w:after="0" w:line="264" w:lineRule="exact"/>
        <w:rPr>
          <w:sz w:val="20"/>
          <w:szCs w:val="20"/>
          <w:color w:val="auto"/>
        </w:rPr>
      </w:pPr>
    </w:p>
    <w:p>
      <w:pPr>
        <w:ind w:left="632" w:right="320"/>
        <w:spacing w:after="0" w:line="271" w:lineRule="auto"/>
        <w:rPr>
          <w:sz w:val="20"/>
          <w:szCs w:val="20"/>
          <w:color w:val="auto"/>
        </w:rPr>
      </w:pPr>
      <w:r>
        <w:rPr>
          <w:rFonts w:ascii="Times New Roman" w:cs="Times New Roman" w:eastAsia="Times New Roman" w:hAnsi="Times New Roman"/>
          <w:sz w:val="22"/>
          <w:szCs w:val="22"/>
          <w:color w:val="auto"/>
        </w:rPr>
        <w:t>A Notification of Grant of Option issued in respect of an Option shall expressly state that it is issued in respect of an Option. An option which is not so identified shall not constitute an Option.</w:t>
      </w:r>
    </w:p>
    <w:p>
      <w:pPr>
        <w:spacing w:after="0" w:line="181" w:lineRule="exact"/>
        <w:rPr>
          <w:sz w:val="20"/>
          <w:szCs w:val="20"/>
          <w:color w:val="auto"/>
        </w:rPr>
      </w:pPr>
    </w:p>
    <w:p>
      <w:pPr>
        <w:ind w:left="492" w:hanging="492"/>
        <w:spacing w:after="0"/>
        <w:tabs>
          <w:tab w:leader="none" w:pos="492" w:val="left"/>
        </w:tabs>
        <w:numPr>
          <w:ilvl w:val="0"/>
          <w:numId w:val="1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Contents of Notification of Grant of Option</w:t>
      </w:r>
    </w:p>
    <w:p>
      <w:pPr>
        <w:spacing w:after="0" w:line="264"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22"/>
          <w:szCs w:val="22"/>
          <w:color w:val="auto"/>
        </w:rPr>
        <w:t>A Notification of Grant of Option issued in respect of an Option shall state:</w:t>
      </w:r>
    </w:p>
    <w:p>
      <w:pPr>
        <w:spacing w:after="0" w:line="247" w:lineRule="exact"/>
        <w:rPr>
          <w:sz w:val="20"/>
          <w:szCs w:val="20"/>
          <w:color w:val="auto"/>
        </w:rPr>
      </w:pPr>
    </w:p>
    <w:p>
      <w:pPr>
        <w:ind w:left="592" w:hanging="376"/>
        <w:spacing w:after="0"/>
        <w:tabs>
          <w:tab w:leader="none" w:pos="592" w:val="left"/>
        </w:tabs>
        <w:numPr>
          <w:ilvl w:val="0"/>
          <w:numId w:val="1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it is issued in respect of an Option;</w:t>
      </w:r>
    </w:p>
    <w:p>
      <w:pPr>
        <w:spacing w:after="0" w:line="246" w:lineRule="exact"/>
        <w:rPr>
          <w:rFonts w:ascii="Times New Roman" w:cs="Times New Roman" w:eastAsia="Times New Roman" w:hAnsi="Times New Roman"/>
          <w:sz w:val="22"/>
          <w:szCs w:val="22"/>
          <w:color w:val="auto"/>
        </w:rPr>
      </w:pPr>
    </w:p>
    <w:p>
      <w:pPr>
        <w:ind w:left="612" w:hanging="396"/>
        <w:spacing w:after="0"/>
        <w:tabs>
          <w:tab w:leader="none" w:pos="612" w:val="left"/>
        </w:tabs>
        <w:numPr>
          <w:ilvl w:val="0"/>
          <w:numId w:val="1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Date of Grant of the Option;</w:t>
      </w:r>
    </w:p>
    <w:p>
      <w:pPr>
        <w:spacing w:after="0" w:line="246" w:lineRule="exact"/>
        <w:rPr>
          <w:rFonts w:ascii="Times New Roman" w:cs="Times New Roman" w:eastAsia="Times New Roman" w:hAnsi="Times New Roman"/>
          <w:sz w:val="22"/>
          <w:szCs w:val="22"/>
          <w:color w:val="auto"/>
        </w:rPr>
      </w:pPr>
    </w:p>
    <w:p>
      <w:pPr>
        <w:ind w:left="592" w:hanging="376"/>
        <w:spacing w:after="0"/>
        <w:tabs>
          <w:tab w:leader="none" w:pos="592" w:val="left"/>
        </w:tabs>
        <w:numPr>
          <w:ilvl w:val="0"/>
          <w:numId w:val="1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number of Shares subject to the Option;</w:t>
      </w:r>
    </w:p>
    <w:p>
      <w:pPr>
        <w:spacing w:after="0" w:line="246" w:lineRule="exact"/>
        <w:rPr>
          <w:rFonts w:ascii="Times New Roman" w:cs="Times New Roman" w:eastAsia="Times New Roman" w:hAnsi="Times New Roman"/>
          <w:sz w:val="22"/>
          <w:szCs w:val="22"/>
          <w:color w:val="auto"/>
        </w:rPr>
      </w:pPr>
    </w:p>
    <w:p>
      <w:pPr>
        <w:ind w:left="612" w:hanging="396"/>
        <w:spacing w:after="0"/>
        <w:tabs>
          <w:tab w:leader="none" w:pos="612" w:val="left"/>
        </w:tabs>
        <w:numPr>
          <w:ilvl w:val="0"/>
          <w:numId w:val="1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exercise price of the Shares under Option;</w:t>
      </w:r>
    </w:p>
    <w:p>
      <w:pPr>
        <w:spacing w:after="0" w:line="260" w:lineRule="exact"/>
        <w:rPr>
          <w:rFonts w:ascii="Times New Roman" w:cs="Times New Roman" w:eastAsia="Times New Roman" w:hAnsi="Times New Roman"/>
          <w:sz w:val="22"/>
          <w:szCs w:val="22"/>
          <w:color w:val="auto"/>
        </w:rPr>
      </w:pPr>
    </w:p>
    <w:p>
      <w:pPr>
        <w:ind w:left="1292" w:hanging="644"/>
        <w:spacing w:after="0"/>
        <w:tabs>
          <w:tab w:leader="none" w:pos="1292" w:val="left"/>
        </w:tabs>
        <w:numPr>
          <w:ilvl w:val="1"/>
          <w:numId w:val="1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  any performance target or other condition imposed on the exercise of the Option; and</w:t>
      </w:r>
    </w:p>
    <w:p>
      <w:pPr>
        <w:spacing w:after="0" w:line="246" w:lineRule="exact"/>
        <w:rPr>
          <w:rFonts w:ascii="Times New Roman" w:cs="Times New Roman" w:eastAsia="Times New Roman" w:hAnsi="Times New Roman"/>
          <w:sz w:val="22"/>
          <w:szCs w:val="22"/>
          <w:color w:val="auto"/>
        </w:rPr>
      </w:pPr>
    </w:p>
    <w:p>
      <w:pPr>
        <w:ind w:left="1292" w:hanging="644"/>
        <w:spacing w:after="0"/>
        <w:tabs>
          <w:tab w:leader="none" w:pos="1292" w:val="left"/>
        </w:tabs>
        <w:numPr>
          <w:ilvl w:val="1"/>
          <w:numId w:val="1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  the date(s) on which the Option will ordinarily become exercisable.</w:t>
      </w:r>
    </w:p>
    <w:p>
      <w:pPr>
        <w:spacing w:after="0" w:line="243" w:lineRule="exact"/>
        <w:rPr>
          <w:sz w:val="20"/>
          <w:szCs w:val="20"/>
          <w:color w:val="auto"/>
        </w:rPr>
      </w:pPr>
    </w:p>
    <w:p>
      <w:pPr>
        <w:ind w:left="712" w:hanging="712"/>
        <w:spacing w:after="0"/>
        <w:tabs>
          <w:tab w:leader="none" w:pos="712" w:val="left"/>
        </w:tabs>
        <w:numPr>
          <w:ilvl w:val="0"/>
          <w:numId w:val="1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Earliest date for grant of Options</w:t>
      </w:r>
    </w:p>
    <w:p>
      <w:pPr>
        <w:spacing w:after="0" w:line="251" w:lineRule="exact"/>
        <w:rPr>
          <w:sz w:val="20"/>
          <w:szCs w:val="20"/>
          <w:color w:val="auto"/>
        </w:rPr>
      </w:pPr>
    </w:p>
    <w:p>
      <w:pPr>
        <w:ind w:left="412"/>
        <w:spacing w:after="0"/>
        <w:rPr>
          <w:sz w:val="20"/>
          <w:szCs w:val="20"/>
          <w:color w:val="auto"/>
        </w:rPr>
      </w:pPr>
      <w:r>
        <w:rPr>
          <w:rFonts w:ascii="Times New Roman" w:cs="Times New Roman" w:eastAsia="Times New Roman" w:hAnsi="Times New Roman"/>
          <w:sz w:val="22"/>
          <w:szCs w:val="22"/>
          <w:color w:val="auto"/>
        </w:rPr>
        <w:t>An Option may not be granted earlier than the Approval Date.</w:t>
      </w:r>
    </w:p>
    <w:p>
      <w:pPr>
        <w:sectPr>
          <w:pgSz w:w="11900" w:h="16838" w:orient="portrait"/>
          <w:cols w:equalWidth="0" w:num="1">
            <w:col w:w="11012"/>
          </w:cols>
          <w:pgMar w:left="328" w:top="126" w:right="559" w:bottom="1440" w:gutter="0" w:footer="0" w:header="0"/>
        </w:sectPr>
      </w:pPr>
    </w:p>
    <w:bookmarkStart w:id="236" w:name="page237"/>
    <w:bookmarkEnd w:id="236"/>
    <w:p>
      <w:pPr>
        <w:jc w:val="center"/>
        <w:ind w:right="-11"/>
        <w:spacing w:after="0"/>
        <w:rPr>
          <w:sz w:val="20"/>
          <w:szCs w:val="20"/>
          <w:color w:val="auto"/>
        </w:rPr>
      </w:pPr>
      <w:r>
        <w:rPr>
          <w:rFonts w:ascii="Times New Roman" w:cs="Times New Roman" w:eastAsia="Times New Roman" w:hAnsi="Times New Roman"/>
          <w:sz w:val="22"/>
          <w:szCs w:val="22"/>
          <w:color w:val="auto"/>
        </w:rPr>
        <w:t>- A6 -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712" w:hanging="712"/>
        <w:spacing w:after="0"/>
        <w:tabs>
          <w:tab w:leader="none" w:pos="712" w:val="left"/>
        </w:tabs>
        <w:numPr>
          <w:ilvl w:val="0"/>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Persons to whom Options may be granted</w:t>
      </w:r>
    </w:p>
    <w:p>
      <w:pPr>
        <w:spacing w:after="0" w:line="251" w:lineRule="exact"/>
        <w:rPr>
          <w:sz w:val="20"/>
          <w:szCs w:val="20"/>
          <w:color w:val="auto"/>
        </w:rPr>
      </w:pPr>
    </w:p>
    <w:p>
      <w:pPr>
        <w:jc w:val="both"/>
        <w:ind w:left="632"/>
        <w:spacing w:after="0" w:line="263" w:lineRule="auto"/>
        <w:rPr>
          <w:sz w:val="20"/>
          <w:szCs w:val="20"/>
          <w:color w:val="auto"/>
        </w:rPr>
      </w:pPr>
      <w:r>
        <w:rPr>
          <w:rFonts w:ascii="Times New Roman" w:cs="Times New Roman" w:eastAsia="Times New Roman" w:hAnsi="Times New Roman"/>
          <w:sz w:val="22"/>
          <w:szCs w:val="22"/>
          <w:color w:val="auto"/>
        </w:rPr>
        <w:t>An Option may not be granted to an individual who is not an Eligible Employee at the Date of Grant. For the avoidance of doubt, and notwithstanding sections 1, 2.1(h) and 2.1(w)(iii) of the Plan an Option may not be granted under the Sub-Plan to a Consultant.</w:t>
      </w:r>
    </w:p>
    <w:p>
      <w:pPr>
        <w:spacing w:after="0" w:line="190" w:lineRule="exact"/>
        <w:rPr>
          <w:sz w:val="20"/>
          <w:szCs w:val="20"/>
          <w:color w:val="auto"/>
        </w:rPr>
      </w:pPr>
    </w:p>
    <w:p>
      <w:pPr>
        <w:ind w:left="492" w:hanging="492"/>
        <w:spacing w:after="0"/>
        <w:tabs>
          <w:tab w:leader="none" w:pos="492" w:val="left"/>
        </w:tabs>
        <w:numPr>
          <w:ilvl w:val="0"/>
          <w:numId w:val="1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Options non transferable</w:t>
      </w:r>
    </w:p>
    <w:p>
      <w:pPr>
        <w:spacing w:after="0" w:line="251" w:lineRule="exact"/>
        <w:rPr>
          <w:sz w:val="20"/>
          <w:szCs w:val="20"/>
          <w:color w:val="auto"/>
        </w:rPr>
      </w:pPr>
    </w:p>
    <w:p>
      <w:pPr>
        <w:ind w:left="632" w:firstLine="216"/>
        <w:spacing w:after="0" w:line="257" w:lineRule="auto"/>
        <w:rPr>
          <w:sz w:val="20"/>
          <w:szCs w:val="20"/>
          <w:color w:val="auto"/>
        </w:rPr>
      </w:pPr>
      <w:r>
        <w:rPr>
          <w:rFonts w:ascii="Times New Roman" w:cs="Times New Roman" w:eastAsia="Times New Roman" w:hAnsi="Times New Roman"/>
          <w:sz w:val="22"/>
          <w:szCs w:val="22"/>
          <w:color w:val="auto"/>
        </w:rPr>
        <w:t>An Option shall be personal to the Eligible Employee to whom it is granted and shall not be capable of being transferred, charged or otherwise alienated and shall lapse immediately if the Option Holder purports to transfer, charge or otherwise alienate the Option.</w:t>
      </w:r>
    </w:p>
    <w:p>
      <w:pPr>
        <w:spacing w:after="0" w:line="213" w:lineRule="exact"/>
        <w:rPr>
          <w:sz w:val="20"/>
          <w:szCs w:val="20"/>
          <w:color w:val="auto"/>
        </w:rPr>
      </w:pPr>
    </w:p>
    <w:p>
      <w:pPr>
        <w:ind w:left="632" w:right="340"/>
        <w:spacing w:after="0" w:line="257" w:lineRule="auto"/>
        <w:rPr>
          <w:sz w:val="20"/>
          <w:szCs w:val="20"/>
          <w:color w:val="auto"/>
        </w:rPr>
      </w:pPr>
      <w:r>
        <w:rPr>
          <w:rFonts w:ascii="Times New Roman" w:cs="Times New Roman" w:eastAsia="Times New Roman" w:hAnsi="Times New Roman"/>
          <w:sz w:val="22"/>
          <w:szCs w:val="22"/>
          <w:color w:val="auto"/>
        </w:rPr>
        <w:t>The reference in section 3.7 of the Plan to transfers of Options to a spouse, a personal holding company or family trust controlled by a Participant and the reference to Beneficiaries in section 2.1(b) of the Plan shall be disapplied for the purposes of the Sub-Plan.</w:t>
      </w:r>
    </w:p>
    <w:p>
      <w:pPr>
        <w:spacing w:after="0" w:line="196" w:lineRule="exact"/>
        <w:rPr>
          <w:sz w:val="20"/>
          <w:szCs w:val="20"/>
          <w:color w:val="auto"/>
        </w:rPr>
      </w:pPr>
    </w:p>
    <w:p>
      <w:pPr>
        <w:ind w:left="492" w:hanging="492"/>
        <w:spacing w:after="0"/>
        <w:tabs>
          <w:tab w:leader="none" w:pos="492" w:val="left"/>
        </w:tabs>
        <w:numPr>
          <w:ilvl w:val="0"/>
          <w:numId w:val="2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Limit on number of Shares placed under Option under Sub-Plan</w:t>
      </w:r>
    </w:p>
    <w:p>
      <w:pPr>
        <w:spacing w:after="0" w:line="251" w:lineRule="exact"/>
        <w:rPr>
          <w:sz w:val="20"/>
          <w:szCs w:val="20"/>
          <w:color w:val="auto"/>
        </w:rPr>
      </w:pPr>
    </w:p>
    <w:p>
      <w:pPr>
        <w:ind w:left="632" w:right="100" w:firstLine="216"/>
        <w:spacing w:after="0" w:line="271" w:lineRule="auto"/>
        <w:rPr>
          <w:sz w:val="20"/>
          <w:szCs w:val="20"/>
          <w:color w:val="auto"/>
        </w:rPr>
      </w:pPr>
      <w:r>
        <w:rPr>
          <w:rFonts w:ascii="Times New Roman" w:cs="Times New Roman" w:eastAsia="Times New Roman" w:hAnsi="Times New Roman"/>
          <w:sz w:val="22"/>
          <w:szCs w:val="22"/>
          <w:color w:val="auto"/>
        </w:rPr>
        <w:t>For the avoidance of doubt, Shares placed under Option under the Sub-Plan shall be taken into account for the purpose of section 3.2 of the Plan.</w:t>
      </w:r>
    </w:p>
    <w:p>
      <w:pPr>
        <w:spacing w:after="0" w:line="194" w:lineRule="exact"/>
        <w:rPr>
          <w:sz w:val="20"/>
          <w:szCs w:val="20"/>
          <w:color w:val="auto"/>
        </w:rPr>
      </w:pPr>
    </w:p>
    <w:p>
      <w:pPr>
        <w:ind w:left="712" w:hanging="712"/>
        <w:spacing w:after="0"/>
        <w:tabs>
          <w:tab w:leader="none" w:pos="712" w:val="left"/>
        </w:tabs>
        <w:numPr>
          <w:ilvl w:val="0"/>
          <w:numId w:val="2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Inland Revenue limit (£30,000)</w:t>
      </w:r>
    </w:p>
    <w:p>
      <w:pPr>
        <w:spacing w:after="0" w:line="251" w:lineRule="exact"/>
        <w:rPr>
          <w:sz w:val="20"/>
          <w:szCs w:val="20"/>
          <w:color w:val="auto"/>
        </w:rPr>
      </w:pPr>
    </w:p>
    <w:p>
      <w:pPr>
        <w:ind w:left="632" w:right="100"/>
        <w:spacing w:after="0" w:line="250" w:lineRule="auto"/>
        <w:rPr>
          <w:sz w:val="20"/>
          <w:szCs w:val="20"/>
          <w:color w:val="auto"/>
        </w:rPr>
      </w:pPr>
      <w:r>
        <w:rPr>
          <w:rFonts w:ascii="Times New Roman" w:cs="Times New Roman" w:eastAsia="Times New Roman" w:hAnsi="Times New Roman"/>
          <w:sz w:val="22"/>
          <w:szCs w:val="22"/>
          <w:color w:val="auto"/>
        </w:rPr>
        <w:t>An Option may not be granted to an Eligible Employee if the result of granting the Option would be that the aggregate Market Value of the shares subject to all outstanding options granted to him under the Sub-Plan or any other share option scheme established by the Company or an Associated Company and approved by the Board of Inland Revenue under Schedule 9 to ICTA 1988 (other than a savings related share option scheme) would exceed sterling £30,000 or such other limit as may from time to time be specified in paragraph 28 of Schedule 9 to ICTA 1988</w:t>
      </w:r>
      <w:r>
        <w:rPr>
          <w:rFonts w:ascii="Times New Roman" w:cs="Times New Roman" w:eastAsia="Times New Roman" w:hAnsi="Times New Roman"/>
          <w:sz w:val="11"/>
          <w:szCs w:val="11"/>
          <w:color w:val="auto"/>
        </w:rPr>
        <w:t>ix</w:t>
      </w:r>
      <w:r>
        <w:rPr>
          <w:rFonts w:ascii="Times New Roman" w:cs="Times New Roman" w:eastAsia="Times New Roman" w:hAnsi="Times New Roman"/>
          <w:sz w:val="22"/>
          <w:szCs w:val="22"/>
          <w:color w:val="auto"/>
        </w:rPr>
        <w:t>. For this purpose, the United Kingdom sterling equivalent of the Market Value of a Share on any day shall be determined by taking the noon day sterling/US dollar exchange rate for that day as quoted by the Bank of Canada.</w:t>
      </w:r>
    </w:p>
    <w:p>
      <w:pPr>
        <w:spacing w:after="0" w:line="203" w:lineRule="exact"/>
        <w:rPr>
          <w:sz w:val="20"/>
          <w:szCs w:val="20"/>
          <w:color w:val="auto"/>
        </w:rPr>
      </w:pPr>
    </w:p>
    <w:p>
      <w:pPr>
        <w:ind w:left="712" w:hanging="712"/>
        <w:spacing w:after="0"/>
        <w:tabs>
          <w:tab w:leader="none" w:pos="712" w:val="left"/>
        </w:tabs>
        <w:numPr>
          <w:ilvl w:val="0"/>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Exercise price of Shares under Option</w:t>
      </w:r>
    </w:p>
    <w:p>
      <w:pPr>
        <w:spacing w:after="0" w:line="251" w:lineRule="exact"/>
        <w:rPr>
          <w:sz w:val="20"/>
          <w:szCs w:val="20"/>
          <w:color w:val="auto"/>
        </w:rPr>
      </w:pPr>
    </w:p>
    <w:p>
      <w:pPr>
        <w:ind w:left="632" w:right="60"/>
        <w:spacing w:after="0" w:line="284" w:lineRule="auto"/>
        <w:rPr>
          <w:sz w:val="20"/>
          <w:szCs w:val="20"/>
          <w:color w:val="auto"/>
        </w:rPr>
      </w:pPr>
      <w:r>
        <w:rPr>
          <w:rFonts w:ascii="Times New Roman" w:cs="Times New Roman" w:eastAsia="Times New Roman" w:hAnsi="Times New Roman"/>
          <w:sz w:val="22"/>
          <w:szCs w:val="22"/>
          <w:color w:val="auto"/>
        </w:rPr>
        <w:t>The amount payable per Share on the exercise of an Option shall not be less than the Market Value of a Share on the Date of Grant and shall be stated on the Date of Grant.</w:t>
      </w:r>
    </w:p>
    <w:p>
      <w:pPr>
        <w:spacing w:after="0" w:line="167" w:lineRule="exact"/>
        <w:rPr>
          <w:sz w:val="20"/>
          <w:szCs w:val="20"/>
          <w:color w:val="auto"/>
        </w:rPr>
      </w:pPr>
    </w:p>
    <w:p>
      <w:pPr>
        <w:ind w:left="712" w:hanging="712"/>
        <w:spacing w:after="0"/>
        <w:tabs>
          <w:tab w:leader="none" w:pos="712" w:val="left"/>
        </w:tabs>
        <w:numPr>
          <w:ilvl w:val="0"/>
          <w:numId w:val="2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Performance target or other condition imposed on exercise of Option</w:t>
      </w:r>
    </w:p>
    <w:p>
      <w:pPr>
        <w:spacing w:after="0" w:line="251" w:lineRule="exact"/>
        <w:rPr>
          <w:sz w:val="20"/>
          <w:szCs w:val="20"/>
          <w:color w:val="auto"/>
        </w:rPr>
      </w:pPr>
    </w:p>
    <w:p>
      <w:pPr>
        <w:ind w:left="632"/>
        <w:spacing w:after="0"/>
        <w:rPr>
          <w:sz w:val="20"/>
          <w:szCs w:val="20"/>
          <w:color w:val="auto"/>
        </w:rPr>
      </w:pPr>
      <w:r>
        <w:rPr>
          <w:rFonts w:ascii="Times New Roman" w:cs="Times New Roman" w:eastAsia="Times New Roman" w:hAnsi="Times New Roman"/>
          <w:sz w:val="22"/>
          <w:szCs w:val="22"/>
          <w:color w:val="auto"/>
        </w:rPr>
        <w:t>Any performance target or other condition imposed on the exercise of an Option under section 6.3 of the Plan shall be:</w:t>
      </w:r>
    </w:p>
    <w:p>
      <w:pPr>
        <w:sectPr>
          <w:pgSz w:w="11900" w:h="16838" w:orient="portrait"/>
          <w:cols w:equalWidth="0" w:num="1">
            <w:col w:w="11212"/>
          </w:cols>
          <w:pgMar w:left="328" w:top="126" w:right="359" w:bottom="1440" w:gutter="0" w:footer="0" w:header="0"/>
        </w:sectPr>
      </w:pPr>
    </w:p>
    <w:bookmarkStart w:id="237" w:name="page238"/>
    <w:bookmarkEnd w:id="237"/>
    <w:p>
      <w:pPr>
        <w:jc w:val="center"/>
        <w:ind w:right="-39"/>
        <w:spacing w:after="0"/>
        <w:rPr>
          <w:sz w:val="20"/>
          <w:szCs w:val="20"/>
          <w:color w:val="auto"/>
        </w:rPr>
      </w:pPr>
      <w:r>
        <w:rPr>
          <w:rFonts w:ascii="Times New Roman" w:cs="Times New Roman" w:eastAsia="Times New Roman" w:hAnsi="Times New Roman"/>
          <w:sz w:val="22"/>
          <w:szCs w:val="22"/>
          <w:color w:val="auto"/>
        </w:rPr>
        <w:t>- A7 -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2"/>
          <w:szCs w:val="22"/>
          <w:color w:val="auto"/>
        </w:rPr>
        <w:t>19.1</w:t>
      </w:r>
      <w:r>
        <w:rPr>
          <w:sz w:val="20"/>
          <w:szCs w:val="20"/>
          <w:color w:val="auto"/>
        </w:rPr>
        <w:tab/>
      </w:r>
      <w:r>
        <w:rPr>
          <w:rFonts w:ascii="Times New Roman" w:cs="Times New Roman" w:eastAsia="Times New Roman" w:hAnsi="Times New Roman"/>
          <w:sz w:val="21"/>
          <w:szCs w:val="21"/>
          <w:color w:val="auto"/>
        </w:rPr>
        <w:t>objective;</w:t>
      </w:r>
    </w:p>
    <w:p>
      <w:pPr>
        <w:spacing w:after="0" w:line="247" w:lineRule="exact"/>
        <w:rPr>
          <w:sz w:val="20"/>
          <w:szCs w:val="20"/>
          <w:color w:val="auto"/>
        </w:rPr>
      </w:pPr>
    </w:p>
    <w:p>
      <w:pPr>
        <w:ind w:left="20"/>
        <w:spacing w:after="0"/>
        <w:tabs>
          <w:tab w:leader="none" w:pos="600" w:val="left"/>
        </w:tabs>
        <w:rPr>
          <w:sz w:val="20"/>
          <w:szCs w:val="20"/>
          <w:color w:val="auto"/>
        </w:rPr>
      </w:pPr>
      <w:r>
        <w:rPr>
          <w:rFonts w:ascii="Times New Roman" w:cs="Times New Roman" w:eastAsia="Times New Roman" w:hAnsi="Times New Roman"/>
          <w:sz w:val="22"/>
          <w:szCs w:val="22"/>
          <w:color w:val="auto"/>
        </w:rPr>
        <w:t>19.2</w:t>
      </w:r>
      <w:r>
        <w:rPr>
          <w:sz w:val="20"/>
          <w:szCs w:val="20"/>
          <w:color w:val="auto"/>
        </w:rPr>
        <w:tab/>
      </w:r>
      <w:r>
        <w:rPr>
          <w:rFonts w:ascii="Times New Roman" w:cs="Times New Roman" w:eastAsia="Times New Roman" w:hAnsi="Times New Roman"/>
          <w:sz w:val="21"/>
          <w:szCs w:val="21"/>
          <w:color w:val="auto"/>
        </w:rPr>
        <w:t>such that, once satisfied, the exercise of the Option is not subject to the discretion of any person; and</w:t>
      </w:r>
    </w:p>
    <w:p>
      <w:pPr>
        <w:spacing w:after="0" w:line="220"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2"/>
          <w:szCs w:val="22"/>
          <w:color w:val="auto"/>
        </w:rPr>
        <w:t>19.3</w:t>
      </w:r>
      <w:r>
        <w:rPr>
          <w:sz w:val="20"/>
          <w:szCs w:val="20"/>
          <w:color w:val="auto"/>
        </w:rPr>
        <w:tab/>
      </w:r>
      <w:r>
        <w:rPr>
          <w:rFonts w:ascii="Times New Roman" w:cs="Times New Roman" w:eastAsia="Times New Roman" w:hAnsi="Times New Roman"/>
          <w:sz w:val="21"/>
          <w:szCs w:val="21"/>
          <w:color w:val="auto"/>
        </w:rPr>
        <w:t>stated on the Date of Grant.</w:t>
      </w:r>
    </w:p>
    <w:p>
      <w:pPr>
        <w:spacing w:after="0" w:line="260" w:lineRule="exact"/>
        <w:rPr>
          <w:sz w:val="20"/>
          <w:szCs w:val="20"/>
          <w:color w:val="auto"/>
        </w:rPr>
      </w:pPr>
    </w:p>
    <w:p>
      <w:pPr>
        <w:ind w:left="640" w:right="320" w:hanging="416"/>
        <w:spacing w:after="0" w:line="257" w:lineRule="auto"/>
        <w:rPr>
          <w:sz w:val="20"/>
          <w:szCs w:val="20"/>
          <w:color w:val="auto"/>
        </w:rPr>
      </w:pPr>
      <w:r>
        <w:rPr>
          <w:rFonts w:ascii="Times New Roman" w:cs="Times New Roman" w:eastAsia="Times New Roman" w:hAnsi="Times New Roman"/>
          <w:sz w:val="22"/>
          <w:szCs w:val="22"/>
          <w:color w:val="auto"/>
        </w:rPr>
        <w:t>If an event occurs as a result of which the Committee considers that a performance target or other condition imposed on the exercise of an Option is no longer appropriate and substitutes, varies or waives under section 3.4 of the Plan the performance target or condition, such substitution, variation or waiver shall:</w:t>
      </w:r>
    </w:p>
    <w:p>
      <w:pPr>
        <w:spacing w:after="0" w:line="200"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2"/>
          <w:szCs w:val="22"/>
          <w:color w:val="auto"/>
        </w:rPr>
        <w:t>19.4</w:t>
      </w:r>
      <w:r>
        <w:rPr>
          <w:sz w:val="20"/>
          <w:szCs w:val="20"/>
          <w:color w:val="auto"/>
        </w:rPr>
        <w:tab/>
      </w:r>
      <w:r>
        <w:rPr>
          <w:rFonts w:ascii="Times New Roman" w:cs="Times New Roman" w:eastAsia="Times New Roman" w:hAnsi="Times New Roman"/>
          <w:sz w:val="21"/>
          <w:szCs w:val="21"/>
          <w:color w:val="auto"/>
        </w:rPr>
        <w:t>be reasonable in the circumstances; and</w:t>
      </w:r>
    </w:p>
    <w:p>
      <w:pPr>
        <w:spacing w:after="0" w:line="2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19.5</w:t>
      </w:r>
      <w:r>
        <w:rPr>
          <w:sz w:val="20"/>
          <w:szCs w:val="20"/>
          <w:color w:val="auto"/>
        </w:rPr>
        <w:tab/>
      </w:r>
      <w:r>
        <w:rPr>
          <w:rFonts w:ascii="Times New Roman" w:cs="Times New Roman" w:eastAsia="Times New Roman" w:hAnsi="Times New Roman"/>
          <w:sz w:val="21"/>
          <w:szCs w:val="21"/>
          <w:color w:val="auto"/>
        </w:rPr>
        <w:t>produce a fairer measure of performance and be neither materially more nor less difficult to satisfy.</w:t>
      </w:r>
    </w:p>
    <w:p>
      <w:pPr>
        <w:spacing w:after="0" w:line="232" w:lineRule="exact"/>
        <w:rPr>
          <w:sz w:val="20"/>
          <w:szCs w:val="20"/>
          <w:color w:val="auto"/>
        </w:rPr>
      </w:pPr>
    </w:p>
    <w:p>
      <w:pPr>
        <w:ind w:left="500" w:hanging="492"/>
        <w:spacing w:after="0"/>
        <w:tabs>
          <w:tab w:leader="none" w:pos="500" w:val="left"/>
        </w:tabs>
        <w:numPr>
          <w:ilvl w:val="0"/>
          <w:numId w:val="2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Exercise of Options by leavers</w:t>
      </w:r>
    </w:p>
    <w:p>
      <w:pPr>
        <w:spacing w:after="0" w:line="251" w:lineRule="exact"/>
        <w:rPr>
          <w:sz w:val="20"/>
          <w:szCs w:val="20"/>
          <w:color w:val="auto"/>
        </w:rPr>
      </w:pPr>
    </w:p>
    <w:p>
      <w:pPr>
        <w:ind w:left="660"/>
        <w:spacing w:after="0" w:line="252" w:lineRule="auto"/>
        <w:rPr>
          <w:sz w:val="20"/>
          <w:szCs w:val="20"/>
          <w:color w:val="auto"/>
        </w:rPr>
      </w:pPr>
      <w:r>
        <w:rPr>
          <w:rFonts w:ascii="Times New Roman" w:cs="Times New Roman" w:eastAsia="Times New Roman" w:hAnsi="Times New Roman"/>
          <w:sz w:val="22"/>
          <w:szCs w:val="22"/>
          <w:color w:val="auto"/>
        </w:rPr>
        <w:t>The period during which an Option shall remain exercisable following termination of employment shall be as stated in the Notification of Grant of Option or in the absence of any stated period therein shall be as set out in section 7.3 of the Plan, except that the reference in section 7.3 of the Plan to “unless the Company at any time otherwise determines” shall be disapplied for the purposes of the Sub-Plan.</w:t>
      </w:r>
    </w:p>
    <w:p>
      <w:pPr>
        <w:spacing w:after="0" w:line="175" w:lineRule="exact"/>
        <w:rPr>
          <w:sz w:val="20"/>
          <w:szCs w:val="20"/>
          <w:color w:val="auto"/>
        </w:rPr>
      </w:pPr>
    </w:p>
    <w:p>
      <w:pPr>
        <w:ind w:left="720" w:hanging="712"/>
        <w:spacing w:after="0"/>
        <w:tabs>
          <w:tab w:leader="none" w:pos="720" w:val="left"/>
        </w:tabs>
        <w:numPr>
          <w:ilvl w:val="0"/>
          <w:numId w:val="2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Latest date for exercise of Options</w:t>
      </w:r>
    </w:p>
    <w:p>
      <w:pPr>
        <w:spacing w:after="0" w:line="264" w:lineRule="exact"/>
        <w:rPr>
          <w:sz w:val="20"/>
          <w:szCs w:val="20"/>
          <w:color w:val="auto"/>
        </w:rPr>
      </w:pPr>
    </w:p>
    <w:p>
      <w:pPr>
        <w:ind w:left="640" w:right="60"/>
        <w:spacing w:after="0" w:line="271" w:lineRule="auto"/>
        <w:rPr>
          <w:sz w:val="20"/>
          <w:szCs w:val="20"/>
          <w:color w:val="auto"/>
        </w:rPr>
      </w:pPr>
      <w:r>
        <w:rPr>
          <w:rFonts w:ascii="Times New Roman" w:cs="Times New Roman" w:eastAsia="Times New Roman" w:hAnsi="Times New Roman"/>
          <w:sz w:val="22"/>
          <w:szCs w:val="22"/>
          <w:color w:val="auto"/>
        </w:rPr>
        <w:t>The period during which an Option shall remain exercisable shall be stated in the Notification of Grant of Option and any Option not exercised by that time shall lapse immediately.</w:t>
      </w:r>
    </w:p>
    <w:p>
      <w:pPr>
        <w:spacing w:after="0" w:line="181" w:lineRule="exact"/>
        <w:rPr>
          <w:sz w:val="20"/>
          <w:szCs w:val="20"/>
          <w:color w:val="auto"/>
        </w:rPr>
      </w:pPr>
    </w:p>
    <w:p>
      <w:pPr>
        <w:ind w:left="720" w:hanging="712"/>
        <w:spacing w:after="0"/>
        <w:tabs>
          <w:tab w:leader="none" w:pos="720" w:val="left"/>
        </w:tabs>
        <w:numPr>
          <w:ilvl w:val="0"/>
          <w:numId w:val="2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Material Interest</w:t>
      </w:r>
    </w:p>
    <w:p>
      <w:pPr>
        <w:spacing w:after="0" w:line="251" w:lineRule="exact"/>
        <w:rPr>
          <w:sz w:val="20"/>
          <w:szCs w:val="20"/>
          <w:color w:val="auto"/>
        </w:rPr>
      </w:pPr>
    </w:p>
    <w:p>
      <w:pPr>
        <w:jc w:val="both"/>
        <w:ind w:left="660"/>
        <w:spacing w:after="0" w:line="263" w:lineRule="auto"/>
        <w:rPr>
          <w:sz w:val="20"/>
          <w:szCs w:val="20"/>
          <w:color w:val="auto"/>
        </w:rPr>
      </w:pPr>
      <w:r>
        <w:rPr>
          <w:rFonts w:ascii="Times New Roman" w:cs="Times New Roman" w:eastAsia="Times New Roman" w:hAnsi="Times New Roman"/>
          <w:sz w:val="22"/>
          <w:szCs w:val="22"/>
          <w:color w:val="auto"/>
        </w:rPr>
        <w:t>An Option may not be exercised if the Option Holder then has, or has had within the preceding twelve months, a Material Interest in a Close Company which is the Company or which is a company which has Control of the Company or which is a member of a Consortium which owns the Company.</w:t>
      </w:r>
    </w:p>
    <w:p>
      <w:pPr>
        <w:spacing w:after="0" w:line="190" w:lineRule="exact"/>
        <w:rPr>
          <w:sz w:val="20"/>
          <w:szCs w:val="20"/>
          <w:color w:val="auto"/>
        </w:rPr>
      </w:pPr>
    </w:p>
    <w:p>
      <w:pPr>
        <w:ind w:left="720" w:hanging="712"/>
        <w:spacing w:after="0"/>
        <w:tabs>
          <w:tab w:leader="none" w:pos="720" w:val="left"/>
        </w:tabs>
        <w:numPr>
          <w:ilvl w:val="0"/>
          <w:numId w:val="2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Manner of payment for Shares on exercise of Options</w:t>
      </w:r>
    </w:p>
    <w:p>
      <w:pPr>
        <w:spacing w:after="0" w:line="251" w:lineRule="exact"/>
        <w:rPr>
          <w:sz w:val="20"/>
          <w:szCs w:val="20"/>
          <w:color w:val="auto"/>
        </w:rPr>
      </w:pPr>
    </w:p>
    <w:p>
      <w:pPr>
        <w:jc w:val="both"/>
        <w:ind w:left="640" w:right="180"/>
        <w:spacing w:after="0" w:line="257" w:lineRule="auto"/>
        <w:rPr>
          <w:sz w:val="20"/>
          <w:szCs w:val="20"/>
          <w:color w:val="auto"/>
        </w:rPr>
      </w:pPr>
      <w:r>
        <w:rPr>
          <w:rFonts w:ascii="Times New Roman" w:cs="Times New Roman" w:eastAsia="Times New Roman" w:hAnsi="Times New Roman"/>
          <w:sz w:val="22"/>
          <w:szCs w:val="22"/>
          <w:color w:val="auto"/>
        </w:rPr>
        <w:t>The amount due on the exercise of an Option shall be paid in cash or by cheque or banker’s draft and may be paid out of funds provided to the Option Holder on loan by a bank, broker or other person. For the avoidance of doubt, the exercise procedure in section 7.5 of the Plan shall be disapplied for the purposes of the Sub-Plan if this involves</w:t>
      </w:r>
    </w:p>
    <w:p>
      <w:pPr>
        <w:sectPr>
          <w:pgSz w:w="11900" w:h="16838" w:orient="portrait"/>
          <w:cols w:equalWidth="0" w:num="1">
            <w:col w:w="11220"/>
          </w:cols>
          <w:pgMar w:left="320" w:top="126" w:right="359" w:bottom="1440" w:gutter="0" w:footer="0" w:header="0"/>
        </w:sectPr>
      </w:pPr>
    </w:p>
    <w:bookmarkStart w:id="238" w:name="page239"/>
    <w:bookmarkEnd w:id="238"/>
    <w:p>
      <w:pPr>
        <w:jc w:val="center"/>
        <w:ind w:right="-39"/>
        <w:spacing w:after="0"/>
        <w:rPr>
          <w:sz w:val="20"/>
          <w:szCs w:val="20"/>
          <w:color w:val="auto"/>
        </w:rPr>
      </w:pPr>
      <w:r>
        <w:rPr>
          <w:rFonts w:ascii="Times New Roman" w:cs="Times New Roman" w:eastAsia="Times New Roman" w:hAnsi="Times New Roman"/>
          <w:sz w:val="22"/>
          <w:szCs w:val="22"/>
          <w:color w:val="auto"/>
        </w:rPr>
        <w:t>- A8 -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640" w:right="100"/>
        <w:spacing w:after="0" w:line="271" w:lineRule="auto"/>
        <w:rPr>
          <w:sz w:val="20"/>
          <w:szCs w:val="20"/>
          <w:color w:val="auto"/>
        </w:rPr>
      </w:pPr>
      <w:r>
        <w:rPr>
          <w:rFonts w:ascii="Times New Roman" w:cs="Times New Roman" w:eastAsia="Times New Roman" w:hAnsi="Times New Roman"/>
          <w:sz w:val="22"/>
          <w:szCs w:val="22"/>
          <w:color w:val="auto"/>
        </w:rPr>
        <w:t>a broker transferring to the Company the sale proceeds of optioned Shares. The date of exercise of an Option shall be the date on which the Company receives the amount due on the exercise of the Option.</w:t>
      </w:r>
    </w:p>
    <w:p>
      <w:pPr>
        <w:spacing w:after="0" w:line="181" w:lineRule="exact"/>
        <w:rPr>
          <w:sz w:val="20"/>
          <w:szCs w:val="20"/>
          <w:color w:val="auto"/>
        </w:rPr>
      </w:pPr>
    </w:p>
    <w:p>
      <w:pPr>
        <w:ind w:left="720" w:hanging="712"/>
        <w:spacing w:after="0"/>
        <w:tabs>
          <w:tab w:leader="none" w:pos="720" w:val="left"/>
        </w:tabs>
        <w:numPr>
          <w:ilvl w:val="0"/>
          <w:numId w:val="2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Issue or transfer of Shares on exercise of Options</w:t>
      </w:r>
    </w:p>
    <w:p>
      <w:pPr>
        <w:spacing w:after="0" w:line="264" w:lineRule="exact"/>
        <w:rPr>
          <w:sz w:val="20"/>
          <w:szCs w:val="20"/>
          <w:color w:val="auto"/>
        </w:rPr>
      </w:pPr>
    </w:p>
    <w:p>
      <w:pPr>
        <w:ind w:left="640" w:right="40"/>
        <w:spacing w:after="0" w:line="250" w:lineRule="auto"/>
        <w:rPr>
          <w:sz w:val="20"/>
          <w:szCs w:val="20"/>
          <w:color w:val="auto"/>
        </w:rPr>
      </w:pPr>
      <w:r>
        <w:rPr>
          <w:rFonts w:ascii="Times New Roman" w:cs="Times New Roman" w:eastAsia="Times New Roman" w:hAnsi="Times New Roman"/>
          <w:sz w:val="22"/>
          <w:szCs w:val="22"/>
          <w:color w:val="auto"/>
        </w:rPr>
        <w:t>The Company shall, as soon as reasonably practicable after the date of exercise of an Option, issue or transfer to the Option Holder, or procure the issue or transfer to the Option Holder of, the number of Shares specified in the notice of exercise and shall deliver to the Option Holder, or procure the delivery to the Option Holder of, a share certificate in respect of such Shares together with, in the case of the partial exercise of an Option, a Notification of Grant of Option in respect of, or the original Notification of Grant of Option endorsed to show, the unexercised part of the Option, subject only to compliance by the Option Holder with the rules of the Sub-Plan and subject to any delay as necessary to complete or obtain:</w:t>
      </w:r>
    </w:p>
    <w:p>
      <w:pPr>
        <w:spacing w:after="0" w:line="207"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2"/>
          <w:szCs w:val="22"/>
          <w:color w:val="auto"/>
        </w:rPr>
        <w:t>24.1</w:t>
      </w:r>
      <w:r>
        <w:rPr>
          <w:sz w:val="20"/>
          <w:szCs w:val="20"/>
          <w:color w:val="auto"/>
        </w:rPr>
        <w:tab/>
      </w:r>
      <w:r>
        <w:rPr>
          <w:rFonts w:ascii="Times New Roman" w:cs="Times New Roman" w:eastAsia="Times New Roman" w:hAnsi="Times New Roman"/>
          <w:sz w:val="21"/>
          <w:szCs w:val="21"/>
          <w:color w:val="auto"/>
        </w:rPr>
        <w:t>the listing of the Shares on any stock exchange on which Shares are then listed;</w:t>
      </w:r>
    </w:p>
    <w:p>
      <w:pPr>
        <w:spacing w:after="0" w:line="28" w:lineRule="exact"/>
        <w:rPr>
          <w:sz w:val="20"/>
          <w:szCs w:val="20"/>
          <w:color w:val="auto"/>
        </w:rPr>
      </w:pPr>
    </w:p>
    <w:p>
      <w:pPr>
        <w:ind w:left="600" w:right="840" w:hanging="647"/>
        <w:spacing w:after="0" w:line="248" w:lineRule="auto"/>
        <w:tabs>
          <w:tab w:leader="none" w:pos="580" w:val="left"/>
        </w:tabs>
        <w:rPr>
          <w:sz w:val="20"/>
          <w:szCs w:val="20"/>
          <w:color w:val="auto"/>
        </w:rPr>
      </w:pPr>
      <w:r>
        <w:rPr>
          <w:rFonts w:ascii="Times New Roman" w:cs="Times New Roman" w:eastAsia="Times New Roman" w:hAnsi="Times New Roman"/>
          <w:sz w:val="22"/>
          <w:szCs w:val="22"/>
          <w:color w:val="auto"/>
        </w:rPr>
        <w:t>24.2</w:t>
        <w:tab/>
        <w:t>such registration or other qualification of the Shares under any applicable law, rule or regulation as the Company determines is necessary or desirable; or</w:t>
      </w:r>
    </w:p>
    <w:p>
      <w:pPr>
        <w:spacing w:after="0" w:line="209" w:lineRule="exact"/>
        <w:rPr>
          <w:sz w:val="20"/>
          <w:szCs w:val="20"/>
          <w:color w:val="auto"/>
        </w:rPr>
      </w:pPr>
    </w:p>
    <w:p>
      <w:pPr>
        <w:ind w:left="600" w:right="600" w:hanging="647"/>
        <w:spacing w:after="0" w:line="284" w:lineRule="auto"/>
        <w:tabs>
          <w:tab w:leader="none" w:pos="580" w:val="left"/>
        </w:tabs>
        <w:rPr>
          <w:sz w:val="20"/>
          <w:szCs w:val="20"/>
          <w:color w:val="auto"/>
        </w:rPr>
      </w:pPr>
      <w:r>
        <w:rPr>
          <w:rFonts w:ascii="Times New Roman" w:cs="Times New Roman" w:eastAsia="Times New Roman" w:hAnsi="Times New Roman"/>
          <w:sz w:val="22"/>
          <w:szCs w:val="22"/>
          <w:color w:val="auto"/>
        </w:rPr>
        <w:t>24.3</w:t>
        <w:tab/>
        <w:t>the making of provision for the payment or withholding of any taxes required to be withheld in accordance with the applicable law of any foreign jurisdiction in respect of the exercise of the Option or the receipt of the Shares</w:t>
      </w:r>
    </w:p>
    <w:p>
      <w:pPr>
        <w:spacing w:after="0" w:line="167" w:lineRule="exact"/>
        <w:rPr>
          <w:sz w:val="20"/>
          <w:szCs w:val="20"/>
          <w:color w:val="auto"/>
        </w:rPr>
      </w:pPr>
    </w:p>
    <w:p>
      <w:pPr>
        <w:ind w:left="720" w:hanging="712"/>
        <w:spacing w:after="0"/>
        <w:tabs>
          <w:tab w:leader="none" w:pos="720" w:val="left"/>
        </w:tabs>
        <w:numPr>
          <w:ilvl w:val="0"/>
          <w:numId w:val="2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Rights attaching to Shares issued on exercise of Options</w:t>
      </w:r>
    </w:p>
    <w:p>
      <w:pPr>
        <w:spacing w:after="0" w:line="251" w:lineRule="exact"/>
        <w:rPr>
          <w:sz w:val="20"/>
          <w:szCs w:val="20"/>
          <w:color w:val="auto"/>
        </w:rPr>
      </w:pPr>
    </w:p>
    <w:p>
      <w:pPr>
        <w:ind w:left="640"/>
        <w:spacing w:after="0" w:line="256" w:lineRule="auto"/>
        <w:rPr>
          <w:sz w:val="20"/>
          <w:szCs w:val="20"/>
          <w:color w:val="auto"/>
        </w:rPr>
      </w:pPr>
      <w:r>
        <w:rPr>
          <w:rFonts w:ascii="Times New Roman" w:cs="Times New Roman" w:eastAsia="Times New Roman" w:hAnsi="Times New Roman"/>
          <w:sz w:val="22"/>
          <w:szCs w:val="22"/>
          <w:color w:val="auto"/>
        </w:rPr>
        <w:t>All Shares issued on the exercise of an Option shall, as to any voting, dividend, transfer and other rights, including those arising on a liquidation of the Company, rank equally in all respects and as one class with the Shares in issue at the date of such exercise save as regards any rights attaching to such Shares by reference to a record date prior to the date of such exercise.</w:t>
      </w:r>
    </w:p>
    <w:p>
      <w:pPr>
        <w:spacing w:after="0" w:line="203" w:lineRule="exact"/>
        <w:rPr>
          <w:sz w:val="20"/>
          <w:szCs w:val="20"/>
          <w:color w:val="auto"/>
        </w:rPr>
      </w:pPr>
    </w:p>
    <w:p>
      <w:pPr>
        <w:ind w:left="640" w:right="220"/>
        <w:spacing w:after="0" w:line="257" w:lineRule="auto"/>
        <w:rPr>
          <w:sz w:val="20"/>
          <w:szCs w:val="20"/>
          <w:color w:val="auto"/>
        </w:rPr>
      </w:pPr>
      <w:r>
        <w:rPr>
          <w:rFonts w:ascii="Times New Roman" w:cs="Times New Roman" w:eastAsia="Times New Roman" w:hAnsi="Times New Roman"/>
          <w:sz w:val="22"/>
          <w:szCs w:val="22"/>
          <w:color w:val="auto"/>
        </w:rPr>
        <w:t>Reference in section 6.4(b)(iii) of the Plan to imposing restrictions of the re-sale of Shares acquired on the exercise of Options shall be disapplied to the extent that these do not apply to all share of the same class or not otherwise permitted by paragraph 12(2) of Schedule 9 to ICTA.</w:t>
      </w:r>
    </w:p>
    <w:p>
      <w:pPr>
        <w:spacing w:after="0" w:line="196" w:lineRule="exact"/>
        <w:rPr>
          <w:sz w:val="20"/>
          <w:szCs w:val="20"/>
          <w:color w:val="auto"/>
        </w:rPr>
      </w:pPr>
    </w:p>
    <w:p>
      <w:pPr>
        <w:ind w:left="720" w:hanging="712"/>
        <w:spacing w:after="0"/>
        <w:tabs>
          <w:tab w:leader="none" w:pos="720" w:val="left"/>
        </w:tabs>
        <w:numPr>
          <w:ilvl w:val="0"/>
          <w:numId w:val="2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Amendment of Sub-Plan</w:t>
      </w:r>
    </w:p>
    <w:p>
      <w:pPr>
        <w:spacing w:after="0" w:line="264" w:lineRule="exact"/>
        <w:rPr>
          <w:sz w:val="20"/>
          <w:szCs w:val="20"/>
          <w:color w:val="auto"/>
        </w:rPr>
      </w:pPr>
    </w:p>
    <w:p>
      <w:pPr>
        <w:ind w:left="640"/>
        <w:spacing w:after="0" w:line="271" w:lineRule="auto"/>
        <w:rPr>
          <w:sz w:val="20"/>
          <w:szCs w:val="20"/>
          <w:color w:val="auto"/>
        </w:rPr>
      </w:pPr>
      <w:r>
        <w:rPr>
          <w:rFonts w:ascii="Times New Roman" w:cs="Times New Roman" w:eastAsia="Times New Roman" w:hAnsi="Times New Roman"/>
          <w:sz w:val="22"/>
          <w:szCs w:val="22"/>
          <w:color w:val="auto"/>
        </w:rPr>
        <w:t>Notwithstanding section 3.4 of the Plan, no amendment of the Sub-Plan, shall take effect until it has been approved by the Inland Revenue.</w:t>
      </w:r>
    </w:p>
    <w:p>
      <w:pPr>
        <w:spacing w:after="0" w:line="181" w:lineRule="exact"/>
        <w:rPr>
          <w:sz w:val="20"/>
          <w:szCs w:val="20"/>
          <w:color w:val="auto"/>
        </w:rPr>
      </w:pPr>
    </w:p>
    <w:p>
      <w:pPr>
        <w:ind w:left="720" w:hanging="712"/>
        <w:spacing w:after="0"/>
        <w:tabs>
          <w:tab w:leader="none" w:pos="720" w:val="left"/>
        </w:tabs>
        <w:numPr>
          <w:ilvl w:val="0"/>
          <w:numId w:val="2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Adjustment of Options</w:t>
      </w:r>
    </w:p>
    <w:p>
      <w:pPr>
        <w:sectPr>
          <w:pgSz w:w="11900" w:h="16838" w:orient="portrait"/>
          <w:cols w:equalWidth="0" w:num="1">
            <w:col w:w="11200"/>
          </w:cols>
          <w:pgMar w:left="320" w:top="126" w:right="379" w:bottom="1440" w:gutter="0" w:footer="0" w:header="0"/>
        </w:sectPr>
      </w:pPr>
    </w:p>
    <w:bookmarkStart w:id="239" w:name="page240"/>
    <w:bookmarkEnd w:id="239"/>
    <w:p>
      <w:pPr>
        <w:jc w:val="center"/>
        <w:ind w:right="-19"/>
        <w:spacing w:after="0"/>
        <w:rPr>
          <w:sz w:val="20"/>
          <w:szCs w:val="20"/>
          <w:color w:val="auto"/>
        </w:rPr>
      </w:pPr>
      <w:r>
        <w:rPr>
          <w:rFonts w:ascii="Times New Roman" w:cs="Times New Roman" w:eastAsia="Times New Roman" w:hAnsi="Times New Roman"/>
          <w:sz w:val="22"/>
          <w:szCs w:val="22"/>
          <w:color w:val="auto"/>
        </w:rPr>
        <w:t>- A9 -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640" w:right="220" w:hanging="205"/>
        <w:spacing w:after="0" w:line="271" w:lineRule="auto"/>
        <w:rPr>
          <w:sz w:val="20"/>
          <w:szCs w:val="20"/>
          <w:color w:val="auto"/>
        </w:rPr>
      </w:pPr>
      <w:r>
        <w:rPr>
          <w:rFonts w:ascii="Times New Roman" w:cs="Times New Roman" w:eastAsia="Times New Roman" w:hAnsi="Times New Roman"/>
          <w:sz w:val="22"/>
          <w:szCs w:val="22"/>
          <w:color w:val="auto"/>
        </w:rPr>
        <w:t>Notwithstanding section 9.1 of the Plan, no adjustment may be made to an Option until it has been approved by the Inland Revenue.</w:t>
      </w:r>
    </w:p>
    <w:p>
      <w:pPr>
        <w:spacing w:after="0" w:line="181" w:lineRule="exact"/>
        <w:rPr>
          <w:sz w:val="20"/>
          <w:szCs w:val="20"/>
          <w:color w:val="auto"/>
        </w:rPr>
      </w:pPr>
    </w:p>
    <w:p>
      <w:pPr>
        <w:ind w:left="720" w:hanging="712"/>
        <w:spacing w:after="0"/>
        <w:tabs>
          <w:tab w:leader="none" w:pos="720" w:val="left"/>
        </w:tabs>
        <w:numPr>
          <w:ilvl w:val="0"/>
          <w:numId w:val="2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Exercise of discretion by Committee</w:t>
      </w:r>
    </w:p>
    <w:p>
      <w:pPr>
        <w:spacing w:after="0" w:line="26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In exercising any discretion which it may have under the Sub-Plan, the Committee shall act fairly and reasonably.</w:t>
      </w:r>
    </w:p>
    <w:p>
      <w:pPr>
        <w:spacing w:after="0" w:line="243" w:lineRule="exact"/>
        <w:rPr>
          <w:sz w:val="20"/>
          <w:szCs w:val="20"/>
          <w:color w:val="auto"/>
        </w:rPr>
      </w:pPr>
    </w:p>
    <w:p>
      <w:pPr>
        <w:ind w:left="640" w:right="6760" w:hanging="632"/>
        <w:spacing w:after="0" w:line="498" w:lineRule="auto"/>
        <w:tabs>
          <w:tab w:leader="none" w:pos="488" w:val="left"/>
        </w:tabs>
        <w:numPr>
          <w:ilvl w:val="0"/>
          <w:numId w:val="2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Disapplication of certain provisions of Plan </w:t>
      </w:r>
      <w:r>
        <w:rPr>
          <w:rFonts w:ascii="Times New Roman" w:cs="Times New Roman" w:eastAsia="Times New Roman" w:hAnsi="Times New Roman"/>
          <w:sz w:val="21"/>
          <w:szCs w:val="21"/>
          <w:color w:val="auto"/>
        </w:rPr>
        <w:t>The provisions of the Plan dealing with:</w:t>
      </w:r>
    </w:p>
    <w:p>
      <w:pPr>
        <w:ind w:left="1040" w:hanging="394"/>
        <w:spacing w:after="0"/>
        <w:tabs>
          <w:tab w:leader="none" w:pos="1040" w:val="left"/>
        </w:tabs>
        <w:numPr>
          <w:ilvl w:val="1"/>
          <w:numId w:val="2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Rights;</w:t>
      </w:r>
    </w:p>
    <w:p>
      <w:pPr>
        <w:spacing w:after="0" w:line="246" w:lineRule="exact"/>
        <w:rPr>
          <w:rFonts w:ascii="Times New Roman" w:cs="Times New Roman" w:eastAsia="Times New Roman" w:hAnsi="Times New Roman"/>
          <w:sz w:val="22"/>
          <w:szCs w:val="22"/>
          <w:color w:val="auto"/>
        </w:rPr>
      </w:pPr>
    </w:p>
    <w:p>
      <w:pPr>
        <w:ind w:left="1040" w:hanging="394"/>
        <w:spacing w:after="0"/>
        <w:tabs>
          <w:tab w:leader="none" w:pos="1040" w:val="left"/>
        </w:tabs>
        <w:numPr>
          <w:ilvl w:val="1"/>
          <w:numId w:val="2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 Units; and</w:t>
      </w:r>
    </w:p>
    <w:p>
      <w:pPr>
        <w:spacing w:after="0" w:line="260" w:lineRule="exact"/>
        <w:rPr>
          <w:rFonts w:ascii="Times New Roman" w:cs="Times New Roman" w:eastAsia="Times New Roman" w:hAnsi="Times New Roman"/>
          <w:sz w:val="22"/>
          <w:szCs w:val="22"/>
          <w:color w:val="auto"/>
        </w:rPr>
      </w:pPr>
    </w:p>
    <w:p>
      <w:pPr>
        <w:ind w:left="1040" w:hanging="394"/>
        <w:spacing w:after="0"/>
        <w:tabs>
          <w:tab w:leader="none" w:pos="1040" w:val="left"/>
        </w:tabs>
        <w:numPr>
          <w:ilvl w:val="1"/>
          <w:numId w:val="2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loans to Participants</w:t>
      </w:r>
    </w:p>
    <w:p>
      <w:pPr>
        <w:spacing w:after="0" w:line="24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shall not form part of, and no such rights may be granted under, the Sub-Plan.</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22"/>
          <w:szCs w:val="22"/>
          <w:color w:val="auto"/>
        </w:rPr>
        <w:t>__________</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w:t>
      </w:r>
    </w:p>
    <w:p>
      <w:pPr>
        <w:spacing w:after="0" w:line="18" w:lineRule="exact"/>
        <w:rPr>
          <w:sz w:val="20"/>
          <w:szCs w:val="20"/>
          <w:color w:val="auto"/>
        </w:rPr>
      </w:pPr>
    </w:p>
    <w:p>
      <w:pPr>
        <w:ind w:right="60" w:firstLine="8"/>
        <w:spacing w:after="0" w:line="224" w:lineRule="auto"/>
        <w:tabs>
          <w:tab w:leader="none" w:pos="62" w:val="left"/>
        </w:tabs>
        <w:numPr>
          <w:ilvl w:val="0"/>
          <w:numId w:val="21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Company is the “grantor” as defined in paragraph 1 of Schedule 9 to ICTA 1988 because it has established the Sub-Plan. In most cases, it will also be the Company which grants options under the Sub-Plan, although this is not a requirement of UK tax legislation.</w:t>
      </w:r>
    </w:p>
    <w:p>
      <w:pPr>
        <w:spacing w:after="0" w:line="1" w:lineRule="exact"/>
        <w:rPr>
          <w:rFonts w:ascii="Times New Roman" w:cs="Times New Roman" w:eastAsia="Times New Roman" w:hAnsi="Times New Roman"/>
          <w:sz w:val="23"/>
          <w:szCs w:val="23"/>
          <w:color w:val="auto"/>
          <w:vertAlign w:val="superscript"/>
        </w:rPr>
      </w:pPr>
    </w:p>
    <w:p>
      <w:pPr>
        <w:spacing w:after="0" w:line="237" w:lineRule="auto"/>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23"/>
          <w:szCs w:val="23"/>
          <w:color w:val="auto"/>
          <w:vertAlign w:val="superscript"/>
        </w:rPr>
        <w:t>ii</w:t>
      </w:r>
      <w:r>
        <w:rPr>
          <w:rFonts w:ascii="Times New Roman" w:cs="Times New Roman" w:eastAsia="Times New Roman" w:hAnsi="Times New Roman"/>
          <w:sz w:val="18"/>
          <w:szCs w:val="18"/>
          <w:color w:val="auto"/>
        </w:rPr>
        <w:t xml:space="preserve"> A company is treated as another’s “associated company” at a given time if, at that time or at any other time within one year previously, one of the two has control of the other, or both are under the control of the same person or persons. A person is taken to have control of a company if he exercises, or is able to exercise or is entitled to acquire, direct or indirect control over the company’s affairs and, in particular, if he possesses or is entitled to acquire the greater part of the company’s issued share capital or the voting power in the company. UK tax legislation contains two definitions of control: the definition of control here is different from that in paragraph 4 below.</w:t>
      </w:r>
    </w:p>
    <w:p>
      <w:pPr>
        <w:spacing w:after="0" w:line="1" w:lineRule="exact"/>
        <w:rPr>
          <w:rFonts w:ascii="Times New Roman" w:cs="Times New Roman" w:eastAsia="Times New Roman" w:hAnsi="Times New Roman"/>
          <w:sz w:val="23"/>
          <w:szCs w:val="23"/>
          <w:color w:val="auto"/>
          <w:vertAlign w:val="superscript"/>
        </w:rPr>
      </w:pPr>
    </w:p>
    <w:p>
      <w:pPr>
        <w:spacing w:after="0" w:line="239" w:lineRule="auto"/>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23"/>
          <w:szCs w:val="23"/>
          <w:color w:val="auto"/>
          <w:vertAlign w:val="superscript"/>
        </w:rPr>
        <w:t>iii</w:t>
      </w:r>
      <w:r>
        <w:rPr>
          <w:rFonts w:ascii="Times New Roman" w:cs="Times New Roman" w:eastAsia="Times New Roman" w:hAnsi="Times New Roman"/>
          <w:sz w:val="18"/>
          <w:szCs w:val="18"/>
          <w:color w:val="auto"/>
        </w:rPr>
        <w:t xml:space="preserve"> A close company is a company which is under the control (as defined in paragraph 1 above) of five or fewer participators (eg shareholders) or of any number of participators who are directors. There are attributed to a participator all the rights and powers (eg shares, voting power) of, inter alia, a company which he controls or of an “associate” (eg relative) of his. Ordinarily, a company is excluded from being a close company if it is non UK resident or 35% of the voting power in the company is held by the public and its shares have been listed, and the subject of dealings, on a recognised stock exchange within the preceding 12 months. However, for the purpose of the material interest test (see paragraph 5 below), this exclusion does not apply with the result that the normal definition of a “close company” is extended.</w:t>
      </w:r>
    </w:p>
    <w:p>
      <w:pPr>
        <w:spacing w:after="0" w:line="2" w:lineRule="exact"/>
        <w:rPr>
          <w:rFonts w:ascii="Times New Roman" w:cs="Times New Roman" w:eastAsia="Times New Roman" w:hAnsi="Times New Roman"/>
          <w:sz w:val="23"/>
          <w:szCs w:val="23"/>
          <w:color w:val="auto"/>
          <w:vertAlign w:val="superscript"/>
        </w:rPr>
      </w:pPr>
    </w:p>
    <w:p>
      <w:pPr>
        <w:ind w:right="200"/>
        <w:spacing w:after="0" w:line="219" w:lineRule="auto"/>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23"/>
          <w:szCs w:val="23"/>
          <w:color w:val="auto"/>
          <w:vertAlign w:val="superscript"/>
        </w:rPr>
        <w:t>iv</w:t>
      </w:r>
      <w:r>
        <w:rPr>
          <w:rFonts w:ascii="Times New Roman" w:cs="Times New Roman" w:eastAsia="Times New Roman" w:hAnsi="Times New Roman"/>
          <w:sz w:val="18"/>
          <w:szCs w:val="18"/>
          <w:color w:val="auto"/>
        </w:rPr>
        <w:t xml:space="preserve"> A company is a member of a consortium owning another company if it is one of a number of companies which between them beneficially own not less than three-quarters of the other company’s ordinary share capital and each of which beneficially owns not less than one-twentieth of that capital.</w:t>
      </w:r>
    </w:p>
    <w:p>
      <w:pPr>
        <w:spacing w:after="0" w:line="1" w:lineRule="exact"/>
        <w:rPr>
          <w:rFonts w:ascii="Times New Roman" w:cs="Times New Roman" w:eastAsia="Times New Roman" w:hAnsi="Times New Roman"/>
          <w:sz w:val="23"/>
          <w:szCs w:val="23"/>
          <w:color w:val="auto"/>
          <w:vertAlign w:val="superscript"/>
        </w:rPr>
      </w:pPr>
    </w:p>
    <w:p>
      <w:pPr>
        <w:spacing w:after="0" w:line="197" w:lineRule="auto"/>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23"/>
          <w:szCs w:val="23"/>
          <w:color w:val="auto"/>
          <w:vertAlign w:val="superscript"/>
        </w:rPr>
        <w:t>v</w:t>
      </w:r>
      <w:r>
        <w:rPr>
          <w:rFonts w:ascii="Times New Roman" w:cs="Times New Roman" w:eastAsia="Times New Roman" w:hAnsi="Times New Roman"/>
          <w:sz w:val="18"/>
          <w:szCs w:val="18"/>
          <w:color w:val="auto"/>
        </w:rPr>
        <w:t xml:space="preserve"> Control means the power of a person to secure:</w:t>
      </w:r>
    </w:p>
    <w:p>
      <w:pPr>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 by means of the holding of shares or the possession of voting power in or in relation to that or any other body corporate; or</w:t>
      </w:r>
    </w:p>
    <w:p>
      <w:pPr>
        <w:sectPr>
          <w:pgSz w:w="11900" w:h="16838" w:orient="portrait"/>
          <w:cols w:equalWidth="0" w:num="1">
            <w:col w:w="11220"/>
          </w:cols>
          <w:pgMar w:left="320" w:top="126" w:right="359" w:bottom="1440" w:gutter="0" w:footer="0" w:header="0"/>
        </w:sectPr>
      </w:pPr>
    </w:p>
    <w:bookmarkStart w:id="240" w:name="page241"/>
    <w:bookmarkEnd w:id="240"/>
    <w:p>
      <w:pPr>
        <w:jc w:val="center"/>
        <w:ind w:right="-19"/>
        <w:spacing w:after="0"/>
        <w:rPr>
          <w:sz w:val="20"/>
          <w:szCs w:val="20"/>
          <w:color w:val="auto"/>
        </w:rPr>
      </w:pPr>
      <w:r>
        <w:rPr>
          <w:rFonts w:ascii="Times New Roman" w:cs="Times New Roman" w:eastAsia="Times New Roman" w:hAnsi="Times New Roman"/>
          <w:sz w:val="22"/>
          <w:szCs w:val="22"/>
          <w:color w:val="auto"/>
        </w:rPr>
        <w:t>- A10 -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1920" w:firstLine="8"/>
        <w:spacing w:after="0" w:line="261" w:lineRule="auto"/>
        <w:tabs>
          <w:tab w:leader="none" w:pos="255"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virtue of any powers conferred by the articles of association or other document regulating that or any other body corporate that the affairs of the first-mentioned body corporate are conducted in accordance with the wishes of that person.</w:t>
      </w:r>
    </w:p>
    <w:p>
      <w:pPr>
        <w:spacing w:after="0" w:line="237" w:lineRule="auto"/>
        <w:rPr>
          <w:rFonts w:ascii="Times New Roman" w:cs="Times New Roman" w:eastAsia="Times New Roman" w:hAnsi="Times New Roman"/>
          <w:sz w:val="18"/>
          <w:szCs w:val="18"/>
          <w:color w:val="auto"/>
        </w:rPr>
      </w:pPr>
      <w:r>
        <w:rPr>
          <w:rFonts w:ascii="Times New Roman" w:cs="Times New Roman" w:eastAsia="Times New Roman" w:hAnsi="Times New Roman"/>
          <w:sz w:val="23"/>
          <w:szCs w:val="23"/>
          <w:color w:val="auto"/>
          <w:vertAlign w:val="superscript"/>
        </w:rPr>
        <w:t>vi</w:t>
      </w:r>
      <w:r>
        <w:rPr>
          <w:rFonts w:ascii="Times New Roman" w:cs="Times New Roman" w:eastAsia="Times New Roman" w:hAnsi="Times New Roman"/>
          <w:sz w:val="18"/>
          <w:szCs w:val="18"/>
          <w:color w:val="auto"/>
        </w:rPr>
        <w:t xml:space="preserve"> The expression “recognised stock exchange” is defined in section 841 of ICTA 1988. “Recognised stock exchange” means the London Stock Exchange Limited and any stock exchange outside the UK which has been designated by the Inland Revenue as a recognised stock exchange. This includes, inter alia, the New York Stock Exchange, NASDAQ and any exchange registered with the US Securities and Exchange Commission as a national securities exchange. However, clearance is required from the Shares Valuation Division before the NASDAQ price may be used to determine the market price of a NASDAQ listed share.</w:t>
      </w:r>
    </w:p>
    <w:p>
      <w:pPr>
        <w:spacing w:after="0" w:line="1" w:lineRule="exact"/>
        <w:rPr>
          <w:rFonts w:ascii="Times New Roman" w:cs="Times New Roman" w:eastAsia="Times New Roman" w:hAnsi="Times New Roman"/>
          <w:sz w:val="18"/>
          <w:szCs w:val="18"/>
          <w:color w:val="auto"/>
        </w:rPr>
      </w:pPr>
    </w:p>
    <w:p>
      <w:pPr>
        <w:ind w:right="20"/>
        <w:spacing w:after="0" w:line="219" w:lineRule="auto"/>
        <w:rPr>
          <w:rFonts w:ascii="Times New Roman" w:cs="Times New Roman" w:eastAsia="Times New Roman" w:hAnsi="Times New Roman"/>
          <w:sz w:val="18"/>
          <w:szCs w:val="18"/>
          <w:color w:val="auto"/>
        </w:rPr>
      </w:pPr>
      <w:r>
        <w:rPr>
          <w:rFonts w:ascii="Times New Roman" w:cs="Times New Roman" w:eastAsia="Times New Roman" w:hAnsi="Times New Roman"/>
          <w:sz w:val="23"/>
          <w:szCs w:val="23"/>
          <w:color w:val="auto"/>
          <w:vertAlign w:val="superscript"/>
        </w:rPr>
        <w:t>vii</w:t>
      </w:r>
      <w:r>
        <w:rPr>
          <w:rFonts w:ascii="Times New Roman" w:cs="Times New Roman" w:eastAsia="Times New Roman" w:hAnsi="Times New Roman"/>
          <w:sz w:val="18"/>
          <w:szCs w:val="18"/>
          <w:color w:val="auto"/>
        </w:rPr>
        <w:t xml:space="preserve"> A person has a material interest in a company if he, either on his own or with one or more associates, or if any associate of his with or without such other associates:</w:t>
      </w:r>
    </w:p>
    <w:p>
      <w:pPr>
        <w:spacing w:after="0" w:line="1" w:lineRule="exact"/>
        <w:rPr>
          <w:rFonts w:ascii="Times New Roman" w:cs="Times New Roman" w:eastAsia="Times New Roman" w:hAnsi="Times New Roman"/>
          <w:sz w:val="18"/>
          <w:szCs w:val="18"/>
          <w:color w:val="auto"/>
        </w:rPr>
      </w:pPr>
    </w:p>
    <w:p>
      <w:pPr>
        <w:ind w:right="120" w:firstLine="8"/>
        <w:spacing w:after="0" w:line="250" w:lineRule="auto"/>
        <w:tabs>
          <w:tab w:leader="none" w:pos="244"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the beneficial owner of, or able, directly or through the medium of other companies, or by any other indirect means to control, more than 10 per cent of the ordinary share capital of the company; or</w:t>
      </w:r>
    </w:p>
    <w:p>
      <w:pPr>
        <w:ind w:right="260" w:firstLine="8"/>
        <w:spacing w:after="0" w:line="246" w:lineRule="auto"/>
        <w:tabs>
          <w:tab w:leader="none" w:pos="255"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company is a close company, possesses, or is entitled to acquire, such rights as would, in the event of the winding-up of the company or in any other circumstances, give an entitlement to receive more than 10 per cent of the assets which would then be available for distribution among the participators.</w:t>
      </w:r>
    </w:p>
    <w:p>
      <w:pPr>
        <w:spacing w:after="0" w:line="1" w:lineRule="exact"/>
        <w:rPr>
          <w:rFonts w:ascii="Times New Roman" w:cs="Times New Roman" w:eastAsia="Times New Roman" w:hAnsi="Times New Roman"/>
          <w:sz w:val="18"/>
          <w:szCs w:val="18"/>
          <w:color w:val="auto"/>
        </w:rPr>
      </w:pPr>
    </w:p>
    <w:p>
      <w:pPr>
        <w:spacing w:after="0" w:line="206" w:lineRule="auto"/>
        <w:rPr>
          <w:rFonts w:ascii="Times New Roman" w:cs="Times New Roman" w:eastAsia="Times New Roman" w:hAnsi="Times New Roman"/>
          <w:sz w:val="18"/>
          <w:szCs w:val="18"/>
          <w:color w:val="auto"/>
        </w:rPr>
      </w:pPr>
      <w:r>
        <w:rPr>
          <w:rFonts w:ascii="Times New Roman" w:cs="Times New Roman" w:eastAsia="Times New Roman" w:hAnsi="Times New Roman"/>
          <w:sz w:val="23"/>
          <w:szCs w:val="23"/>
          <w:color w:val="auto"/>
          <w:vertAlign w:val="superscript"/>
        </w:rPr>
        <w:t>viii</w:t>
      </w:r>
      <w:r>
        <w:rPr>
          <w:rFonts w:ascii="Times New Roman" w:cs="Times New Roman" w:eastAsia="Times New Roman" w:hAnsi="Times New Roman"/>
          <w:sz w:val="18"/>
          <w:szCs w:val="18"/>
          <w:color w:val="auto"/>
        </w:rPr>
        <w:t xml:space="preserve"> The shares used in the scheme must be:</w:t>
      </w:r>
    </w:p>
    <w:p>
      <w:pPr>
        <w:ind w:left="260" w:hanging="252"/>
        <w:spacing w:after="0"/>
        <w:tabs>
          <w:tab w:leader="none" w:pos="26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shares;</w:t>
      </w:r>
    </w:p>
    <w:p>
      <w:pPr>
        <w:spacing w:after="0" w:line="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fully paid up;</w:t>
      </w:r>
    </w:p>
    <w:p>
      <w:pPr>
        <w:spacing w:after="0" w:line="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redeemable; and</w:t>
      </w:r>
    </w:p>
    <w:p>
      <w:pPr>
        <w:spacing w:after="0" w:line="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save for certain limited exceptions, not subject to any restrictions which do not apply to all shares of the same class.</w:t>
      </w:r>
    </w:p>
    <w:p>
      <w:pPr>
        <w:spacing w:after="0" w:line="207" w:lineRule="exact"/>
        <w:rPr>
          <w:sz w:val="20"/>
          <w:szCs w:val="20"/>
          <w:color w:val="auto"/>
        </w:rPr>
      </w:pPr>
    </w:p>
    <w:p>
      <w:pPr>
        <w:ind w:left="260" w:hanging="252"/>
        <w:spacing w:after="0"/>
        <w:tabs>
          <w:tab w:leader="none" w:pos="260"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a class listed on a recognised stock exchange; or</w:t>
      </w:r>
    </w:p>
    <w:p>
      <w:pPr>
        <w:spacing w:after="0" w:line="2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in a company which is not under the control of another company; or</w:t>
      </w:r>
    </w:p>
    <w:p>
      <w:pPr>
        <w:spacing w:after="0" w:line="9" w:lineRule="exact"/>
        <w:rPr>
          <w:rFonts w:ascii="Times New Roman" w:cs="Times New Roman" w:eastAsia="Times New Roman" w:hAnsi="Times New Roman"/>
          <w:sz w:val="18"/>
          <w:szCs w:val="18"/>
          <w:color w:val="auto"/>
        </w:rPr>
      </w:pPr>
    </w:p>
    <w:p>
      <w:pPr>
        <w:ind w:right="720" w:firstLine="8"/>
        <w:spacing w:after="0" w:line="250" w:lineRule="auto"/>
        <w:tabs>
          <w:tab w:leader="none" w:pos="244"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in a company which is under the control of another company (other than a company which is, or would if resident in the UK be, a close company) whose shares are listed on a recognised stock exchange.</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used in the scheme form part of the ordinary share capital of:</w:t>
      </w:r>
    </w:p>
    <w:p>
      <w:pPr>
        <w:spacing w:after="0" w:line="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grantor (ie the company which has established the scheme); or</w:t>
      </w:r>
    </w:p>
    <w:p>
      <w:pPr>
        <w:spacing w:after="0" w:line="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which has control of the grantor; or</w:t>
      </w:r>
    </w:p>
    <w:p>
      <w:pPr>
        <w:spacing w:after="0" w:line="9" w:lineRule="exact"/>
        <w:rPr>
          <w:rFonts w:ascii="Times New Roman" w:cs="Times New Roman" w:eastAsia="Times New Roman" w:hAnsi="Times New Roman"/>
          <w:sz w:val="18"/>
          <w:szCs w:val="18"/>
          <w:color w:val="auto"/>
        </w:rPr>
      </w:pPr>
    </w:p>
    <w:p>
      <w:pPr>
        <w:ind w:right="160" w:firstLine="8"/>
        <w:spacing w:after="0" w:line="250" w:lineRule="auto"/>
        <w:tabs>
          <w:tab w:leader="none" w:pos="244"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which either is, or has control of, a company which is a member of a consortium owning either the grantor or a company having control of the grantor.</w:t>
      </w:r>
    </w:p>
    <w:p>
      <w:pPr>
        <w:ind w:right="12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company whose shares are to be used in a scheme has more than one class of ordinary share, the majority of the issued shares of the same class as those which are to be used must be either employee control shares (see below) or:</w:t>
      </w:r>
    </w:p>
    <w:p>
      <w:pPr>
        <w:ind w:right="20" w:firstLine="8"/>
        <w:spacing w:after="0" w:line="250" w:lineRule="auto"/>
        <w:tabs>
          <w:tab w:leader="none" w:pos="244"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must not be held by persons (including trustees holding shares on behalf of such persons) who acquired their shares in pursuance of a right conferred on them or opportunity offered to them as directors or employees of any company, and not in pursuance of an offer to the public; and</w:t>
      </w:r>
    </w:p>
    <w:p>
      <w:pPr>
        <w:ind w:right="240" w:firstLine="8"/>
        <w:spacing w:after="0" w:line="250" w:lineRule="auto"/>
        <w:tabs>
          <w:tab w:leader="none" w:pos="255"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shares are not listed on a recognised stock exchange and the company is under the control of another company whose shares are so listed, must not be held by companies which have control of the company whose shares are in question or of which that company is an associated company.</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are employee control shares if:</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(a)the persons holding them are, by virtue of their holding of shares of that class, together able to control the company; and</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persons are, or have been, employees or directors of the company or of another company which is under the control of the company</w:t>
      </w:r>
    </w:p>
    <w:p>
      <w:pPr>
        <w:spacing w:after="0" w:line="9" w:lineRule="exact"/>
        <w:rPr>
          <w:rFonts w:ascii="Times New Roman" w:cs="Times New Roman" w:eastAsia="Times New Roman" w:hAnsi="Times New Roman"/>
          <w:sz w:val="18"/>
          <w:szCs w:val="18"/>
          <w:color w:val="auto"/>
        </w:rPr>
      </w:pPr>
    </w:p>
    <w:p>
      <w:pPr>
        <w:ind w:right="320"/>
        <w:spacing w:after="0" w:line="219" w:lineRule="auto"/>
        <w:rPr>
          <w:rFonts w:ascii="Times New Roman" w:cs="Times New Roman" w:eastAsia="Times New Roman" w:hAnsi="Times New Roman"/>
          <w:sz w:val="18"/>
          <w:szCs w:val="18"/>
          <w:color w:val="auto"/>
        </w:rPr>
      </w:pPr>
      <w:r>
        <w:rPr>
          <w:rFonts w:ascii="Times New Roman" w:cs="Times New Roman" w:eastAsia="Times New Roman" w:hAnsi="Times New Roman"/>
          <w:sz w:val="23"/>
          <w:szCs w:val="23"/>
          <w:color w:val="auto"/>
          <w:vertAlign w:val="superscript"/>
        </w:rPr>
        <w:t>ix</w:t>
      </w:r>
      <w:r>
        <w:rPr>
          <w:rFonts w:ascii="Times New Roman" w:cs="Times New Roman" w:eastAsia="Times New Roman" w:hAnsi="Times New Roman"/>
          <w:sz w:val="18"/>
          <w:szCs w:val="18"/>
          <w:color w:val="auto"/>
        </w:rPr>
        <w:t xml:space="preserve"> UK tax legislation imposes a limit (currently £30,000) on the “value” of the outstanding options which may be held by an individual participant in an Inland Revenue approved executive share option scheme</w:t>
      </w:r>
    </w:p>
    <w:p>
      <w:pPr>
        <w:sectPr>
          <w:pgSz w:w="11900" w:h="16838" w:orient="portrait"/>
          <w:cols w:equalWidth="0" w:num="1">
            <w:col w:w="11220"/>
          </w:cols>
          <w:pgMar w:left="320" w:top="126" w:right="359" w:bottom="1440" w:gutter="0" w:footer="0" w:header="0"/>
        </w:sectPr>
      </w:pPr>
    </w:p>
    <w:bookmarkStart w:id="241" w:name="page242"/>
    <w:bookmarkEnd w:id="241"/>
    <w:p>
      <w:pPr>
        <w:jc w:val="right"/>
        <w:spacing w:after="0"/>
        <w:rPr>
          <w:sz w:val="20"/>
          <w:szCs w:val="20"/>
          <w:color w:val="auto"/>
        </w:rPr>
      </w:pPr>
      <w:r>
        <w:rPr>
          <w:rFonts w:ascii="Times New Roman" w:cs="Times New Roman" w:eastAsia="Times New Roman" w:hAnsi="Times New Roman"/>
          <w:sz w:val="18"/>
          <w:szCs w:val="18"/>
          <w:b w:val="1"/>
          <w:bCs w:val="1"/>
          <w:color w:val="auto"/>
        </w:rPr>
        <w:t>Exhibit 10.11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722630</wp:posOffset>
            </wp:positionV>
            <wp:extent cx="7132320" cy="260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9">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-83185</wp:posOffset>
            </wp:positionH>
            <wp:positionV relativeFrom="paragraph">
              <wp:posOffset>774065</wp:posOffset>
            </wp:positionV>
            <wp:extent cx="7132320" cy="254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0">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2"/>
          <w:szCs w:val="22"/>
          <w:b w:val="1"/>
          <w:bCs w:val="1"/>
          <w:color w:val="auto"/>
        </w:rPr>
        <w:t>CELESTICA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2"/>
          <w:szCs w:val="22"/>
          <w:b w:val="1"/>
          <w:bCs w:val="1"/>
          <w:color w:val="auto"/>
        </w:rPr>
        <w:t>CELESTICA SHARE UNIT PLAN</w:t>
      </w:r>
    </w:p>
    <w:p>
      <w:pPr>
        <w:spacing w:after="0" w:line="200" w:lineRule="exact"/>
        <w:rPr>
          <w:sz w:val="20"/>
          <w:szCs w:val="20"/>
          <w:color w:val="auto"/>
        </w:rPr>
      </w:pPr>
    </w:p>
    <w:p>
      <w:pPr>
        <w:spacing w:after="0" w:line="263"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2"/>
          <w:szCs w:val="22"/>
          <w:b w:val="1"/>
          <w:bCs w:val="1"/>
          <w:color w:val="auto"/>
        </w:rPr>
        <w:t>December 9, 2004</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As amended and restated as of July 26, 2006, July 26, 2007, April 19, 2011, January 29, 2014, July 22, 2015, October 19, 2015</w:t>
      </w:r>
    </w:p>
    <w:p>
      <w:pPr>
        <w:spacing w:after="0" w:line="39"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2"/>
          <w:szCs w:val="22"/>
          <w:color w:val="auto"/>
        </w:rPr>
        <w:t>and July 25,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313055</wp:posOffset>
            </wp:positionV>
            <wp:extent cx="7132320" cy="260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1">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-83185</wp:posOffset>
            </wp:positionH>
            <wp:positionV relativeFrom="paragraph">
              <wp:posOffset>364490</wp:posOffset>
            </wp:positionV>
            <wp:extent cx="7132320" cy="260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2">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100"/>
          </w:cols>
          <w:pgMar w:left="460" w:top="117" w:right="339" w:bottom="1440" w:gutter="0" w:footer="0" w:header="0"/>
        </w:sectPr>
      </w:pPr>
    </w:p>
    <w:bookmarkStart w:id="242" w:name="page243"/>
    <w:bookmarkEnd w:id="242"/>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CELESTICA INC.</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CELESTICA SHARE UNIT PLAN</w:t>
      </w:r>
    </w:p>
    <w:p>
      <w:pPr>
        <w:spacing w:after="0" w:line="224" w:lineRule="exact"/>
        <w:rPr>
          <w:sz w:val="20"/>
          <w:szCs w:val="20"/>
          <w:color w:val="auto"/>
        </w:rPr>
      </w:pPr>
    </w:p>
    <w:p>
      <w:pPr>
        <w:ind w:left="380" w:hanging="372"/>
        <w:spacing w:after="0"/>
        <w:tabs>
          <w:tab w:leader="none" w:pos="380" w:val="left"/>
        </w:tabs>
        <w:numPr>
          <w:ilvl w:val="0"/>
          <w:numId w:val="2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PURPOSE</w:t>
      </w:r>
    </w:p>
    <w:p>
      <w:pPr>
        <w:spacing w:after="0" w:line="23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1.1 This Share Unit Plan has been established by the Company to provide incentives to certain of its employees and consultants and its directors, to foster a responsible balance between short term and long term results, and to build and maintain a strong spirit of performance and entrepreneurship.</w:t>
      </w:r>
    </w:p>
    <w:p>
      <w:pPr>
        <w:spacing w:after="0" w:line="173" w:lineRule="exact"/>
        <w:rPr>
          <w:sz w:val="20"/>
          <w:szCs w:val="20"/>
          <w:color w:val="auto"/>
        </w:rPr>
      </w:pPr>
    </w:p>
    <w:p>
      <w:pPr>
        <w:ind w:left="380" w:hanging="372"/>
        <w:spacing w:after="0"/>
        <w:tabs>
          <w:tab w:leader="none" w:pos="380" w:val="left"/>
        </w:tabs>
        <w:numPr>
          <w:ilvl w:val="0"/>
          <w:numId w:val="2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DEFINITIONS AND INTERPRETATION</w:t>
      </w:r>
    </w:p>
    <w:p>
      <w:pPr>
        <w:spacing w:after="0" w:line="220"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2.1</w:t>
      </w:r>
      <w:r>
        <w:rPr>
          <w:sz w:val="20"/>
          <w:szCs w:val="20"/>
          <w:color w:val="auto"/>
        </w:rPr>
        <w:tab/>
      </w:r>
      <w:r>
        <w:rPr>
          <w:rFonts w:ascii="Times New Roman" w:cs="Times New Roman" w:eastAsia="Times New Roman" w:hAnsi="Times New Roman"/>
          <w:sz w:val="21"/>
          <w:szCs w:val="21"/>
          <w:color w:val="auto"/>
        </w:rPr>
        <w:t>In this Share Unit Plan, the following terms have the following meanings:</w:t>
      </w:r>
    </w:p>
    <w:p>
      <w:pPr>
        <w:spacing w:after="0" w:line="233" w:lineRule="exact"/>
        <w:rPr>
          <w:sz w:val="20"/>
          <w:szCs w:val="20"/>
          <w:color w:val="auto"/>
        </w:rPr>
      </w:pPr>
    </w:p>
    <w:p>
      <w:pPr>
        <w:jc w:val="both"/>
        <w:ind w:left="1300"/>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Applicable Law</w:t>
      </w:r>
      <w:r>
        <w:rPr>
          <w:rFonts w:ascii="Times New Roman" w:cs="Times New Roman" w:eastAsia="Times New Roman" w:hAnsi="Times New Roman"/>
          <w:sz w:val="22"/>
          <w:szCs w:val="22"/>
          <w:color w:val="auto"/>
        </w:rPr>
        <w:t xml:space="preserve">” means any applicable provision of law, domestic or foreign, including, without limitation, the </w:t>
      </w:r>
      <w:r>
        <w:rPr>
          <w:rFonts w:ascii="Times New Roman" w:cs="Times New Roman" w:eastAsia="Times New Roman" w:hAnsi="Times New Roman"/>
          <w:sz w:val="22"/>
          <w:szCs w:val="22"/>
          <w:i w:val="1"/>
          <w:iCs w:val="1"/>
          <w:color w:val="auto"/>
        </w:rPr>
        <w:t xml:space="preserve">Securities Act </w:t>
      </w:r>
      <w:r>
        <w:rPr>
          <w:rFonts w:ascii="Times New Roman" w:cs="Times New Roman" w:eastAsia="Times New Roman" w:hAnsi="Times New Roman"/>
          <w:sz w:val="22"/>
          <w:szCs w:val="22"/>
          <w:color w:val="auto"/>
        </w:rPr>
        <w:t>(Ontario), the U.S.</w:t>
      </w:r>
      <w:r>
        <w:rPr>
          <w:rFonts w:ascii="Times New Roman" w:cs="Times New Roman" w:eastAsia="Times New Roman" w:hAnsi="Times New Roman"/>
          <w:sz w:val="22"/>
          <w:szCs w:val="22"/>
          <w:i w:val="1"/>
          <w:iCs w:val="1"/>
          <w:color w:val="auto"/>
        </w:rPr>
        <w:t xml:space="preserve"> Securities Act of 1933</w:t>
      </w:r>
      <w:r>
        <w:rPr>
          <w:rFonts w:ascii="Times New Roman" w:cs="Times New Roman" w:eastAsia="Times New Roman" w:hAnsi="Times New Roman"/>
          <w:sz w:val="22"/>
          <w:szCs w:val="22"/>
          <w:color w:val="auto"/>
        </w:rPr>
        <w:t>, as amended, and the U.S.</w:t>
      </w:r>
      <w:r>
        <w:rPr>
          <w:rFonts w:ascii="Times New Roman" w:cs="Times New Roman" w:eastAsia="Times New Roman" w:hAnsi="Times New Roman"/>
          <w:sz w:val="22"/>
          <w:szCs w:val="22"/>
          <w:i w:val="1"/>
          <w:iCs w:val="1"/>
          <w:color w:val="auto"/>
        </w:rPr>
        <w:t xml:space="preserve"> Securities Exchange Act 1934</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as amended, together with all regulations, rules, policy statements, rulings, notices, orders or other instruments promulgated thereunder and Stock Exchange Rules;</w:t>
      </w:r>
    </w:p>
    <w:p>
      <w:pPr>
        <w:spacing w:after="0" w:line="179" w:lineRule="exact"/>
        <w:rPr>
          <w:sz w:val="20"/>
          <w:szCs w:val="20"/>
          <w:color w:val="auto"/>
        </w:rPr>
      </w:pPr>
    </w:p>
    <w:p>
      <w:pPr>
        <w:jc w:val="both"/>
        <w:ind w:left="1300"/>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Beneficiary</w:t>
      </w:r>
      <w:r>
        <w:rPr>
          <w:rFonts w:ascii="Times New Roman" w:cs="Times New Roman" w:eastAsia="Times New Roman" w:hAnsi="Times New Roman"/>
          <w:sz w:val="22"/>
          <w:szCs w:val="22"/>
          <w:color w:val="auto"/>
        </w:rPr>
        <w:t>” means any person designated by the Participant by written instrument filed with the Company to receive any amount, securities or property payable under the Plan in the event of a Participant’s death or, failing any such effective designation, the Participant’s estate;</w:t>
      </w:r>
    </w:p>
    <w:p>
      <w:pPr>
        <w:spacing w:after="0" w:line="16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means the Board of Directors of the Company;</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Change of Control</w:t>
      </w:r>
      <w:r>
        <w:rPr>
          <w:rFonts w:ascii="Times New Roman" w:cs="Times New Roman" w:eastAsia="Times New Roman" w:hAnsi="Times New Roman"/>
          <w:sz w:val="22"/>
          <w:szCs w:val="22"/>
          <w:color w:val="auto"/>
        </w:rPr>
        <w:t>” means the occurrence of any of the following after the date hereof:</w:t>
      </w:r>
    </w:p>
    <w:p>
      <w:pPr>
        <w:spacing w:after="0" w:line="220" w:lineRule="exact"/>
        <w:rPr>
          <w:sz w:val="20"/>
          <w:szCs w:val="20"/>
          <w:color w:val="auto"/>
        </w:rPr>
      </w:pPr>
    </w:p>
    <w:p>
      <w:pPr>
        <w:ind w:left="2600" w:hanging="648"/>
        <w:spacing w:after="0" w:line="268" w:lineRule="auto"/>
        <w:tabs>
          <w:tab w:leader="none" w:pos="2405" w:val="left"/>
        </w:tabs>
        <w:numPr>
          <w:ilvl w:val="0"/>
          <w:numId w:val="2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acquisition by any person (or more than one person acting as a group) of beneficial ownership of securities of the Company which, directly or following conversion or exercise thereof, would entitle the holder thereof to cast more than 50% of the votes attaching to all securities of the Company which may be cast to elect directors of the Company, other than the additional acquisition of securities by a person beneficially owning such number of securities on the date hereof;</w:t>
      </w:r>
    </w:p>
    <w:p>
      <w:pPr>
        <w:spacing w:after="0" w:line="163" w:lineRule="exact"/>
        <w:rPr>
          <w:rFonts w:ascii="Times New Roman" w:cs="Times New Roman" w:eastAsia="Times New Roman" w:hAnsi="Times New Roman"/>
          <w:sz w:val="21"/>
          <w:szCs w:val="21"/>
          <w:color w:val="auto"/>
        </w:rPr>
      </w:pPr>
    </w:p>
    <w:p>
      <w:pPr>
        <w:jc w:val="both"/>
        <w:ind w:left="2600" w:hanging="648"/>
        <w:spacing w:after="0" w:line="263" w:lineRule="auto"/>
        <w:tabs>
          <w:tab w:leader="none" w:pos="2629" w:val="left"/>
        </w:tabs>
        <w:numPr>
          <w:ilvl w:val="0"/>
          <w:numId w:val="2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majority of the Directors are replaced during any twelve-month period by Directors whose appointment or election was not endorsed by a majority of the Directors before the date of the appointment or election, including, without limitation, as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40" w:right="339" w:bottom="1440" w:gutter="0" w:footer="0" w:header="0"/>
        </w:sectPr>
      </w:pPr>
    </w:p>
    <w:bookmarkStart w:id="243" w:name="page244"/>
    <w:bookmarkEnd w:id="243"/>
    <w:p>
      <w:pPr>
        <w:spacing w:after="0" w:line="198" w:lineRule="exact"/>
        <w:rPr>
          <w:sz w:val="20"/>
          <w:szCs w:val="20"/>
          <w:color w:val="auto"/>
        </w:rPr>
      </w:pPr>
    </w:p>
    <w:p>
      <w:pPr>
        <w:ind w:left="2380"/>
        <w:spacing w:after="0" w:line="271" w:lineRule="auto"/>
        <w:rPr>
          <w:sz w:val="20"/>
          <w:szCs w:val="20"/>
          <w:color w:val="auto"/>
        </w:rPr>
      </w:pPr>
      <w:r>
        <w:rPr>
          <w:rFonts w:ascii="Times New Roman" w:cs="Times New Roman" w:eastAsia="Times New Roman" w:hAnsi="Times New Roman"/>
          <w:sz w:val="22"/>
          <w:szCs w:val="22"/>
          <w:color w:val="auto"/>
        </w:rPr>
        <w:t>consequence of the solicitation of proxies through a proxy circular by persons other than management; or</w:t>
      </w:r>
    </w:p>
    <w:p>
      <w:pPr>
        <w:spacing w:after="0" w:line="158" w:lineRule="exact"/>
        <w:rPr>
          <w:sz w:val="20"/>
          <w:szCs w:val="20"/>
          <w:color w:val="auto"/>
        </w:rPr>
      </w:pPr>
    </w:p>
    <w:p>
      <w:pPr>
        <w:ind w:left="2380" w:hanging="648"/>
        <w:spacing w:after="0" w:line="250" w:lineRule="auto"/>
        <w:tabs>
          <w:tab w:leader="none" w:pos="2292" w:val="left"/>
        </w:tabs>
        <w:numPr>
          <w:ilvl w:val="0"/>
          <w:numId w:val="2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consummation of an amalgamation, arrangement, merger or other consolidation of the Company with another company or a sale of all or substantially all of the assets of the Company to another company pursuant to which, and such that, all the persons who, immediately prior to such consummation, beneficially owned all of the securities of the Company which could be cast to elect directors of the Company, immediately thereafter do not beneficially own securities of the successor or continuing company or company acquiring the assets which would entitle such persons, directly or following conversion or exercise thereof, to cast more than 50% of the votes attaching to all securities of such company which may be cast to elect directors of that company;</w:t>
      </w:r>
    </w:p>
    <w:p>
      <w:pPr>
        <w:spacing w:after="0" w:line="18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means the United States Internal Revenue Code of 1986;</w:t>
      </w:r>
    </w:p>
    <w:p>
      <w:pPr>
        <w:spacing w:after="0" w:line="220" w:lineRule="exact"/>
        <w:rPr>
          <w:sz w:val="20"/>
          <w:szCs w:val="20"/>
          <w:color w:val="auto"/>
        </w:rPr>
      </w:pPr>
    </w:p>
    <w:p>
      <w:pPr>
        <w:jc w:val="both"/>
        <w:ind w:left="1080"/>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Committee</w:t>
      </w:r>
      <w:r>
        <w:rPr>
          <w:rFonts w:ascii="Times New Roman" w:cs="Times New Roman" w:eastAsia="Times New Roman" w:hAnsi="Times New Roman"/>
          <w:sz w:val="22"/>
          <w:szCs w:val="22"/>
          <w:color w:val="auto"/>
        </w:rPr>
        <w:t xml:space="preserve">” means the committee of the Board, as constituted from time to time, which may be appointed by the Board to, </w:t>
      </w:r>
      <w:r>
        <w:rPr>
          <w:rFonts w:ascii="Times New Roman" w:cs="Times New Roman" w:eastAsia="Times New Roman" w:hAnsi="Times New Roman"/>
          <w:sz w:val="22"/>
          <w:szCs w:val="22"/>
          <w:i w:val="1"/>
          <w:iCs w:val="1"/>
          <w:color w:val="auto"/>
        </w:rPr>
        <w:t>inter alia</w:t>
      </w:r>
      <w:r>
        <w:rPr>
          <w:rFonts w:ascii="Times New Roman" w:cs="Times New Roman" w:eastAsia="Times New Roman" w:hAnsi="Times New Roman"/>
          <w:sz w:val="22"/>
          <w:szCs w:val="22"/>
          <w:color w:val="auto"/>
        </w:rPr>
        <w:t>, interpret, administer and implement the Plan, and includes any successor committee appointed by the Board for such purposes;</w:t>
      </w:r>
    </w:p>
    <w:p>
      <w:pPr>
        <w:spacing w:after="0" w:line="186" w:lineRule="exact"/>
        <w:rPr>
          <w:sz w:val="20"/>
          <w:szCs w:val="20"/>
          <w:color w:val="auto"/>
        </w:rPr>
      </w:pPr>
    </w:p>
    <w:p>
      <w:pPr>
        <w:jc w:val="both"/>
        <w:ind w:left="1080"/>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means Celestica Inc. and its respective successors and assigns, and any reference in the Plan to action by the Company means action by or under the authority of the Board or any person or committee that has been designated for the purpose by the Company including, without limitation, the Committee;</w:t>
      </w:r>
    </w:p>
    <w:p>
      <w:pPr>
        <w:spacing w:after="0" w:line="173" w:lineRule="exact"/>
        <w:rPr>
          <w:sz w:val="20"/>
          <w:szCs w:val="20"/>
          <w:color w:val="auto"/>
        </w:rPr>
      </w:pPr>
    </w:p>
    <w:p>
      <w:pPr>
        <w:jc w:val="both"/>
        <w:ind w:left="1080"/>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Consultant</w:t>
      </w:r>
      <w:r>
        <w:rPr>
          <w:rFonts w:ascii="Times New Roman" w:cs="Times New Roman" w:eastAsia="Times New Roman" w:hAnsi="Times New Roman"/>
          <w:sz w:val="22"/>
          <w:szCs w:val="22"/>
          <w:color w:val="auto"/>
        </w:rPr>
        <w:t>” means a consultant as defined in the Rule excluding investor relations persons and associated consultants as defined in the Rule;</w:t>
      </w:r>
    </w:p>
    <w:p>
      <w:pPr>
        <w:spacing w:after="0" w:line="171"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Date of Grant</w:t>
      </w:r>
      <w:r>
        <w:rPr>
          <w:rFonts w:ascii="Times New Roman" w:cs="Times New Roman" w:eastAsia="Times New Roman" w:hAnsi="Times New Roman"/>
          <w:sz w:val="22"/>
          <w:szCs w:val="22"/>
          <w:color w:val="auto"/>
        </w:rPr>
        <w:t>” of a Share Unit means the date the Share Unit is granted to a Participant under the Plan;</w:t>
      </w:r>
    </w:p>
    <w:p>
      <w:pPr>
        <w:spacing w:after="0" w:line="220" w:lineRule="exact"/>
        <w:rPr>
          <w:sz w:val="20"/>
          <w:szCs w:val="20"/>
          <w:color w:val="auto"/>
        </w:rPr>
      </w:pPr>
    </w:p>
    <w:p>
      <w:pPr>
        <w:jc w:val="both"/>
        <w:ind w:left="1080"/>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Designated Affiliated Entity</w:t>
      </w:r>
      <w:r>
        <w:rPr>
          <w:rFonts w:ascii="Times New Roman" w:cs="Times New Roman" w:eastAsia="Times New Roman" w:hAnsi="Times New Roman"/>
          <w:sz w:val="22"/>
          <w:szCs w:val="22"/>
          <w:color w:val="auto"/>
        </w:rPr>
        <w:t>” means a person (including a trust or a partnership) or company in which the Company has a significant investment and which the Company designates as such for the purposes of this Plan;</w:t>
      </w:r>
    </w:p>
    <w:p>
      <w:pPr>
        <w:spacing w:after="0" w:line="15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Director</w:t>
      </w:r>
      <w:r>
        <w:rPr>
          <w:rFonts w:ascii="Times New Roman" w:cs="Times New Roman" w:eastAsia="Times New Roman" w:hAnsi="Times New Roman"/>
          <w:sz w:val="22"/>
          <w:szCs w:val="22"/>
          <w:color w:val="auto"/>
        </w:rPr>
        <w:t>” means a member of the Board;</w:t>
      </w:r>
    </w:p>
    <w:p>
      <w:pPr>
        <w:spacing w:after="0" w:line="220"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Fiscal Year</w:t>
      </w:r>
      <w:r>
        <w:rPr>
          <w:rFonts w:ascii="Times New Roman" w:cs="Times New Roman" w:eastAsia="Times New Roman" w:hAnsi="Times New Roman"/>
          <w:sz w:val="22"/>
          <w:szCs w:val="22"/>
          <w:color w:val="auto"/>
        </w:rPr>
        <w:t>” means the financial year of the Company;</w:t>
      </w:r>
    </w:p>
    <w:p>
      <w:pPr>
        <w:spacing w:after="0" w:line="233"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Good Reason</w:t>
      </w:r>
      <w:r>
        <w:rPr>
          <w:rFonts w:ascii="Times New Roman" w:cs="Times New Roman" w:eastAsia="Times New Roman" w:hAnsi="Times New Roman"/>
          <w:sz w:val="22"/>
          <w:szCs w:val="22"/>
          <w:color w:val="auto"/>
        </w:rPr>
        <w:t>” means any of the following:</w:t>
      </w:r>
    </w:p>
    <w:p>
      <w:pPr>
        <w:spacing w:after="0" w:line="220" w:lineRule="exact"/>
        <w:rPr>
          <w:sz w:val="20"/>
          <w:szCs w:val="20"/>
          <w:color w:val="auto"/>
        </w:rPr>
      </w:pPr>
    </w:p>
    <w:p>
      <w:pPr>
        <w:jc w:val="both"/>
        <w:ind w:left="2380" w:hanging="648"/>
        <w:spacing w:after="0" w:line="295" w:lineRule="auto"/>
        <w:tabs>
          <w:tab w:leader="none" w:pos="2337" w:val="left"/>
        </w:tabs>
        <w:numPr>
          <w:ilvl w:val="0"/>
          <w:numId w:val="2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without the express written consent of the Participant, any change or series of changes in the responsibilities, authority, status or reporting relationship of the Participant with the Company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020"/>
          </w:cols>
          <w:pgMar w:left="540" w:top="1440" w:right="339" w:bottom="1440" w:gutter="0" w:footer="0" w:header="0"/>
        </w:sectPr>
      </w:pPr>
    </w:p>
    <w:bookmarkStart w:id="244" w:name="page245"/>
    <w:bookmarkEnd w:id="244"/>
    <w:p>
      <w:pPr>
        <w:spacing w:after="0" w:line="198" w:lineRule="exact"/>
        <w:rPr>
          <w:sz w:val="20"/>
          <w:szCs w:val="20"/>
          <w:color w:val="auto"/>
        </w:rPr>
      </w:pPr>
    </w:p>
    <w:p>
      <w:pPr>
        <w:jc w:val="both"/>
        <w:ind w:left="2380"/>
        <w:spacing w:after="0" w:line="253" w:lineRule="auto"/>
        <w:rPr>
          <w:sz w:val="20"/>
          <w:szCs w:val="20"/>
          <w:color w:val="auto"/>
        </w:rPr>
      </w:pPr>
      <w:r>
        <w:rPr>
          <w:rFonts w:ascii="Times New Roman" w:cs="Times New Roman" w:eastAsia="Times New Roman" w:hAnsi="Times New Roman"/>
          <w:sz w:val="22"/>
          <w:szCs w:val="22"/>
          <w:color w:val="auto"/>
        </w:rPr>
        <w:t>that immediately after such change or series of changes, the responsibilities, authority, status or reporting relationship of the Participant, taken as a whole, are not at least substantially equivalent to those assigned to the Participant immediately prior to such change or series of changes, excluding for this purpose an isolated and inadvertent action not taken in bad faith and which is remedied by the Company promptly after receipt of notice thereof given by the Participant; or</w:t>
      </w:r>
    </w:p>
    <w:p>
      <w:pPr>
        <w:spacing w:after="0" w:line="179" w:lineRule="exact"/>
        <w:rPr>
          <w:sz w:val="20"/>
          <w:szCs w:val="20"/>
          <w:color w:val="auto"/>
        </w:rPr>
      </w:pPr>
    </w:p>
    <w:p>
      <w:pPr>
        <w:ind w:left="2220" w:hanging="488"/>
        <w:spacing w:after="0"/>
        <w:tabs>
          <w:tab w:leader="none" w:pos="2220" w:val="left"/>
        </w:tabs>
        <w:numPr>
          <w:ilvl w:val="0"/>
          <w:numId w:val="2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reduction by the Company in the Participant’s annual base salary except:</w:t>
      </w:r>
    </w:p>
    <w:p>
      <w:pPr>
        <w:spacing w:after="0" w:line="219" w:lineRule="exact"/>
        <w:rPr>
          <w:rFonts w:ascii="Times New Roman" w:cs="Times New Roman" w:eastAsia="Times New Roman" w:hAnsi="Times New Roman"/>
          <w:sz w:val="22"/>
          <w:szCs w:val="22"/>
          <w:color w:val="auto"/>
        </w:rPr>
      </w:pPr>
    </w:p>
    <w:p>
      <w:pPr>
        <w:jc w:val="both"/>
        <w:ind w:left="3680" w:hanging="652"/>
        <w:spacing w:after="0" w:line="263" w:lineRule="auto"/>
        <w:tabs>
          <w:tab w:leader="none" w:pos="3688" w:val="left"/>
        </w:tabs>
        <w:numPr>
          <w:ilvl w:val="1"/>
          <w:numId w:val="2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part of a general reduction in the base salary of all or substantially all of the employees of the Company which affects the Participant in substantially the same manner as the other employees who are also affected by such general reduction; or</w:t>
      </w:r>
    </w:p>
    <w:p>
      <w:pPr>
        <w:spacing w:after="0" w:line="167" w:lineRule="exact"/>
        <w:rPr>
          <w:rFonts w:ascii="Times New Roman" w:cs="Times New Roman" w:eastAsia="Times New Roman" w:hAnsi="Times New Roman"/>
          <w:sz w:val="22"/>
          <w:szCs w:val="22"/>
          <w:color w:val="auto"/>
        </w:rPr>
      </w:pPr>
    </w:p>
    <w:p>
      <w:pPr>
        <w:ind w:left="3540" w:hanging="512"/>
        <w:spacing w:after="0"/>
        <w:tabs>
          <w:tab w:leader="none" w:pos="3540" w:val="left"/>
        </w:tabs>
        <w:numPr>
          <w:ilvl w:val="1"/>
          <w:numId w:val="2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which does not constitute more than ten percent (10%) of his or her base salary; or</w:t>
      </w:r>
    </w:p>
    <w:p>
      <w:pPr>
        <w:spacing w:after="0" w:line="219" w:lineRule="exact"/>
        <w:rPr>
          <w:rFonts w:ascii="Times New Roman" w:cs="Times New Roman" w:eastAsia="Times New Roman" w:hAnsi="Times New Roman"/>
          <w:sz w:val="22"/>
          <w:szCs w:val="22"/>
          <w:color w:val="auto"/>
        </w:rPr>
      </w:pPr>
    </w:p>
    <w:p>
      <w:pPr>
        <w:jc w:val="both"/>
        <w:ind w:left="2380" w:hanging="648"/>
        <w:spacing w:after="0" w:line="251" w:lineRule="auto"/>
        <w:tabs>
          <w:tab w:leader="none" w:pos="2326" w:val="left"/>
        </w:tabs>
        <w:numPr>
          <w:ilvl w:val="0"/>
          <w:numId w:val="2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taking of any action by the Company which would materially adversely affect the Participant’s participation in or materially reduce his or her incentive compensation, pension, stock option, life insurance, health, accident, disability benefits or other benefit plans in which the Participant is participating, except in any such cases as part of the general reduction in benefits of all or substantially all of the employees of the Company which affects the Participant in substantially the same manner as the other employees who are also affected by such reduction.</w:t>
      </w:r>
    </w:p>
    <w:p>
      <w:pPr>
        <w:spacing w:after="0" w:line="181"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Grant</w:t>
      </w:r>
      <w:r>
        <w:rPr>
          <w:rFonts w:ascii="Times New Roman" w:cs="Times New Roman" w:eastAsia="Times New Roman" w:hAnsi="Times New Roman"/>
          <w:sz w:val="22"/>
          <w:szCs w:val="22"/>
          <w:color w:val="auto"/>
        </w:rPr>
        <w:t>” means a PSU Grant or a RSU Grant;</w:t>
      </w:r>
    </w:p>
    <w:p>
      <w:pPr>
        <w:spacing w:after="0" w:line="220"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including</w:t>
      </w:r>
      <w:r>
        <w:rPr>
          <w:rFonts w:ascii="Times New Roman" w:cs="Times New Roman" w:eastAsia="Times New Roman" w:hAnsi="Times New Roman"/>
          <w:sz w:val="22"/>
          <w:szCs w:val="22"/>
          <w:color w:val="auto"/>
        </w:rPr>
        <w:t>” means including without limitation;</w:t>
      </w:r>
    </w:p>
    <w:p>
      <w:pPr>
        <w:spacing w:after="0" w:line="220" w:lineRule="exact"/>
        <w:rPr>
          <w:sz w:val="20"/>
          <w:szCs w:val="20"/>
          <w:color w:val="auto"/>
        </w:rPr>
      </w:pPr>
    </w:p>
    <w:p>
      <w:pPr>
        <w:jc w:val="both"/>
        <w:ind w:left="1080"/>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Incumbent Director</w:t>
      </w:r>
      <w:r>
        <w:rPr>
          <w:rFonts w:ascii="Times New Roman" w:cs="Times New Roman" w:eastAsia="Times New Roman" w:hAnsi="Times New Roman"/>
          <w:sz w:val="22"/>
          <w:szCs w:val="22"/>
          <w:color w:val="auto"/>
        </w:rPr>
        <w:t>” means any member of the Board who was a member of the Board immediately prior to the occurrence of a transaction, transactions or elections giving rise to a Change in Control (other than a transaction approved by the Board) and any successor to an Incumbent Director who is recommended or elected or appointed to succeed an Incumbent Director by the affirmative vote of a majority of the Incumbent Directors then on the Board;</w:t>
      </w:r>
    </w:p>
    <w:p>
      <w:pPr>
        <w:spacing w:after="0" w:line="17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Independent Broker</w:t>
      </w:r>
      <w:r>
        <w:rPr>
          <w:rFonts w:ascii="Times New Roman" w:cs="Times New Roman" w:eastAsia="Times New Roman" w:hAnsi="Times New Roman"/>
          <w:sz w:val="22"/>
          <w:szCs w:val="22"/>
          <w:color w:val="auto"/>
        </w:rPr>
        <w:t>” means a registered broker which is independent under Stock Exchange Rules;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020"/>
          </w:cols>
          <w:pgMar w:left="540" w:top="1440" w:right="339" w:bottom="1440" w:gutter="0" w:footer="0" w:header="0"/>
        </w:sectPr>
      </w:pPr>
    </w:p>
    <w:bookmarkStart w:id="245" w:name="page246"/>
    <w:bookmarkEnd w:id="245"/>
    <w:p>
      <w:pPr>
        <w:spacing w:after="0" w:line="198" w:lineRule="exact"/>
        <w:rPr>
          <w:sz w:val="20"/>
          <w:szCs w:val="20"/>
          <w:color w:val="auto"/>
        </w:rPr>
      </w:pPr>
    </w:p>
    <w:p>
      <w:pPr>
        <w:jc w:val="both"/>
        <w:ind w:left="1080"/>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Market Price</w:t>
      </w:r>
      <w:r>
        <w:rPr>
          <w:rFonts w:ascii="Times New Roman" w:cs="Times New Roman" w:eastAsia="Times New Roman" w:hAnsi="Times New Roman"/>
          <w:sz w:val="22"/>
          <w:szCs w:val="22"/>
          <w:color w:val="auto"/>
        </w:rPr>
        <w:t>” shall mean the weighted average price per Share (or the mean of the closing bid and ask prices, if not traded) on the TSX or NYSE, as selected by the Company on the Date of Grant, during the period five trading days preceding the date of the determination;</w:t>
      </w:r>
    </w:p>
    <w:p>
      <w:pPr>
        <w:spacing w:after="0" w:line="18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NYSE</w:t>
      </w:r>
      <w:r>
        <w:rPr>
          <w:rFonts w:ascii="Times New Roman" w:cs="Times New Roman" w:eastAsia="Times New Roman" w:hAnsi="Times New Roman"/>
          <w:sz w:val="22"/>
          <w:szCs w:val="22"/>
          <w:color w:val="auto"/>
        </w:rPr>
        <w:t>” means The New York Stock Exchange;</w:t>
      </w:r>
    </w:p>
    <w:p>
      <w:pPr>
        <w:spacing w:after="0" w:line="220"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Participant</w:t>
      </w:r>
      <w:r>
        <w:rPr>
          <w:rFonts w:ascii="Times New Roman" w:cs="Times New Roman" w:eastAsia="Times New Roman" w:hAnsi="Times New Roman"/>
          <w:sz w:val="22"/>
          <w:szCs w:val="22"/>
          <w:color w:val="auto"/>
        </w:rPr>
        <w:t>” means</w:t>
      </w:r>
    </w:p>
    <w:p>
      <w:pPr>
        <w:spacing w:after="0" w:line="220" w:lineRule="exact"/>
        <w:rPr>
          <w:sz w:val="20"/>
          <w:szCs w:val="20"/>
          <w:color w:val="auto"/>
        </w:rPr>
      </w:pPr>
    </w:p>
    <w:p>
      <w:pPr>
        <w:ind w:left="2160" w:hanging="428"/>
        <w:spacing w:after="0"/>
        <w:tabs>
          <w:tab w:leader="none" w:pos="2160" w:val="left"/>
        </w:tabs>
        <w:numPr>
          <w:ilvl w:val="0"/>
          <w:numId w:val="2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Director,</w:t>
      </w:r>
    </w:p>
    <w:p>
      <w:pPr>
        <w:spacing w:after="0" w:line="219" w:lineRule="exact"/>
        <w:rPr>
          <w:rFonts w:ascii="Times New Roman" w:cs="Times New Roman" w:eastAsia="Times New Roman" w:hAnsi="Times New Roman"/>
          <w:sz w:val="22"/>
          <w:szCs w:val="22"/>
          <w:color w:val="auto"/>
        </w:rPr>
      </w:pPr>
    </w:p>
    <w:p>
      <w:pPr>
        <w:ind w:left="2220" w:hanging="488"/>
        <w:spacing w:after="0"/>
        <w:tabs>
          <w:tab w:leader="none" w:pos="2220" w:val="left"/>
        </w:tabs>
        <w:numPr>
          <w:ilvl w:val="0"/>
          <w:numId w:val="2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permanent employee of the Company, a Subsidiary or a Designated Affiliated Entity, or</w:t>
      </w:r>
    </w:p>
    <w:p>
      <w:pPr>
        <w:spacing w:after="0" w:line="219" w:lineRule="exact"/>
        <w:rPr>
          <w:rFonts w:ascii="Times New Roman" w:cs="Times New Roman" w:eastAsia="Times New Roman" w:hAnsi="Times New Roman"/>
          <w:sz w:val="22"/>
          <w:szCs w:val="22"/>
          <w:color w:val="auto"/>
        </w:rPr>
      </w:pPr>
    </w:p>
    <w:p>
      <w:pPr>
        <w:ind w:left="2280" w:hanging="548"/>
        <w:spacing w:after="0"/>
        <w:tabs>
          <w:tab w:leader="none" w:pos="2280" w:val="left"/>
        </w:tabs>
        <w:numPr>
          <w:ilvl w:val="0"/>
          <w:numId w:val="2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Consultant of the Company, a Subsidiary, or a Designated Affiliated Entity,</w:t>
      </w:r>
    </w:p>
    <w:p>
      <w:pPr>
        <w:spacing w:after="0" w:line="233" w:lineRule="exact"/>
        <w:rPr>
          <w:sz w:val="20"/>
          <w:szCs w:val="20"/>
          <w:color w:val="auto"/>
        </w:rPr>
      </w:pPr>
    </w:p>
    <w:p>
      <w:pPr>
        <w:jc w:val="both"/>
        <w:ind w:left="1080"/>
        <w:spacing w:after="0" w:line="271" w:lineRule="auto"/>
        <w:rPr>
          <w:sz w:val="20"/>
          <w:szCs w:val="20"/>
          <w:color w:val="auto"/>
        </w:rPr>
      </w:pPr>
      <w:r>
        <w:rPr>
          <w:rFonts w:ascii="Times New Roman" w:cs="Times New Roman" w:eastAsia="Times New Roman" w:hAnsi="Times New Roman"/>
          <w:sz w:val="22"/>
          <w:szCs w:val="22"/>
          <w:color w:val="auto"/>
        </w:rPr>
        <w:t>who has been designated by the Company for participation in the Plan and who has agreed to participate in the Plan on such terms as the Company may specify;</w:t>
      </w:r>
    </w:p>
    <w:p>
      <w:pPr>
        <w:spacing w:after="0" w:line="158" w:lineRule="exact"/>
        <w:rPr>
          <w:sz w:val="20"/>
          <w:szCs w:val="20"/>
          <w:color w:val="auto"/>
        </w:rPr>
      </w:pPr>
    </w:p>
    <w:p>
      <w:pPr>
        <w:jc w:val="both"/>
        <w:ind w:left="1080"/>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Performance Criteria</w:t>
      </w:r>
      <w:r>
        <w:rPr>
          <w:rFonts w:ascii="Times New Roman" w:cs="Times New Roman" w:eastAsia="Times New Roman" w:hAnsi="Times New Roman"/>
          <w:sz w:val="22"/>
          <w:szCs w:val="22"/>
          <w:color w:val="auto"/>
        </w:rPr>
        <w:t>” means conditions in respect of such financial, business, and/or personal performance criteria as may be determined by the Company in respect of a Grant of PSUs to any Participant or Participants. Performance Criteria may be applied to either the Company and its Subsidiaries as a whole or to a Subsidiary, a Designated Affiliated Entity or a business unit or a group of the Company and selected Subsidiaries, either individually, alternatively or in any combination, and measured either in total, incrementally or cumulatively over a specified period, on an absolute basis or relative to a pre-established target, to previous years’ results or to a designated comparison group and may include:</w:t>
      </w:r>
    </w:p>
    <w:p>
      <w:pPr>
        <w:spacing w:after="0" w:line="180" w:lineRule="exact"/>
        <w:rPr>
          <w:sz w:val="20"/>
          <w:szCs w:val="20"/>
          <w:color w:val="auto"/>
        </w:rPr>
      </w:pPr>
    </w:p>
    <w:p>
      <w:pPr>
        <w:ind w:left="2160" w:hanging="428"/>
        <w:spacing w:after="0"/>
        <w:tabs>
          <w:tab w:leader="none" w:pos="2160" w:val="left"/>
        </w:tabs>
        <w:numPr>
          <w:ilvl w:val="0"/>
          <w:numId w:val="2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market value of the Shares;</w:t>
      </w:r>
    </w:p>
    <w:p>
      <w:pPr>
        <w:spacing w:after="0" w:line="219" w:lineRule="exact"/>
        <w:rPr>
          <w:rFonts w:ascii="Times New Roman" w:cs="Times New Roman" w:eastAsia="Times New Roman" w:hAnsi="Times New Roman"/>
          <w:sz w:val="22"/>
          <w:szCs w:val="22"/>
          <w:color w:val="auto"/>
        </w:rPr>
      </w:pPr>
    </w:p>
    <w:p>
      <w:pPr>
        <w:ind w:left="2220" w:hanging="488"/>
        <w:spacing w:after="0"/>
        <w:tabs>
          <w:tab w:leader="none" w:pos="2220" w:val="left"/>
        </w:tabs>
        <w:numPr>
          <w:ilvl w:val="0"/>
          <w:numId w:val="2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return to holders of Shares, with or without reference to other comparable companies;</w:t>
      </w:r>
    </w:p>
    <w:p>
      <w:pPr>
        <w:spacing w:after="0" w:line="233" w:lineRule="exact"/>
        <w:rPr>
          <w:rFonts w:ascii="Times New Roman" w:cs="Times New Roman" w:eastAsia="Times New Roman" w:hAnsi="Times New Roman"/>
          <w:sz w:val="22"/>
          <w:szCs w:val="22"/>
          <w:color w:val="auto"/>
        </w:rPr>
      </w:pPr>
    </w:p>
    <w:p>
      <w:pPr>
        <w:ind w:left="2380" w:hanging="648"/>
        <w:spacing w:after="0" w:line="271" w:lineRule="auto"/>
        <w:tabs>
          <w:tab w:leader="none" w:pos="2302" w:val="left"/>
        </w:tabs>
        <w:numPr>
          <w:ilvl w:val="0"/>
          <w:numId w:val="2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financial performance or results of the Company, a Subsidiary, a Designated Affiliated Entity or a business unit thereof,</w:t>
      </w:r>
    </w:p>
    <w:p>
      <w:pPr>
        <w:spacing w:after="0" w:line="158" w:lineRule="exact"/>
        <w:rPr>
          <w:sz w:val="20"/>
          <w:szCs w:val="20"/>
          <w:color w:val="auto"/>
        </w:rPr>
      </w:pPr>
    </w:p>
    <w:p>
      <w:pPr>
        <w:jc w:val="both"/>
        <w:ind w:left="1080"/>
        <w:spacing w:after="0" w:line="257" w:lineRule="auto"/>
        <w:rPr>
          <w:sz w:val="20"/>
          <w:szCs w:val="20"/>
          <w:color w:val="auto"/>
        </w:rPr>
      </w:pPr>
      <w:r>
        <w:rPr>
          <w:rFonts w:ascii="Times New Roman" w:cs="Times New Roman" w:eastAsia="Times New Roman" w:hAnsi="Times New Roman"/>
          <w:sz w:val="22"/>
          <w:szCs w:val="22"/>
          <w:color w:val="auto"/>
        </w:rPr>
        <w:t>and the Performance Criteria may relate to all or a portion of the PSUs in a Grant and may be graduated such that different percentages (which may be greater or lesser than 100%) of the PSUs in a Grant will become Vested depending on the extent of satisfaction of one or more such conditions;</w:t>
      </w:r>
    </w:p>
    <w:p>
      <w:pPr>
        <w:spacing w:after="0" w:line="186" w:lineRule="exact"/>
        <w:rPr>
          <w:sz w:val="20"/>
          <w:szCs w:val="20"/>
          <w:color w:val="auto"/>
        </w:rPr>
      </w:pPr>
    </w:p>
    <w:p>
      <w:pPr>
        <w:jc w:val="both"/>
        <w:ind w:left="1080"/>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PSU Grant</w:t>
      </w:r>
      <w:r>
        <w:rPr>
          <w:rFonts w:ascii="Times New Roman" w:cs="Times New Roman" w:eastAsia="Times New Roman" w:hAnsi="Times New Roman"/>
          <w:sz w:val="22"/>
          <w:szCs w:val="22"/>
          <w:color w:val="auto"/>
        </w:rPr>
        <w:t>” means a grant to a Participant, under this Plan pursuant to Article 5, of PSUs determined with reference to a notional dollar amount;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020"/>
          </w:cols>
          <w:pgMar w:left="540" w:top="1440" w:right="339" w:bottom="1440" w:gutter="0" w:footer="0" w:header="0"/>
        </w:sectPr>
      </w:pPr>
    </w:p>
    <w:bookmarkStart w:id="246" w:name="page247"/>
    <w:bookmarkEnd w:id="246"/>
    <w:p>
      <w:pPr>
        <w:spacing w:after="0" w:line="198" w:lineRule="exact"/>
        <w:rPr>
          <w:sz w:val="20"/>
          <w:szCs w:val="20"/>
          <w:color w:val="auto"/>
        </w:rPr>
      </w:pPr>
    </w:p>
    <w:p>
      <w:pPr>
        <w:jc w:val="both"/>
        <w:ind w:left="1080"/>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PSU</w:t>
      </w:r>
      <w:r>
        <w:rPr>
          <w:rFonts w:ascii="Times New Roman" w:cs="Times New Roman" w:eastAsia="Times New Roman" w:hAnsi="Times New Roman"/>
          <w:sz w:val="22"/>
          <w:szCs w:val="22"/>
          <w:color w:val="auto"/>
        </w:rPr>
        <w:t>” means a unit allocated to a Participant under this Plan in accordance with Article 5, the Vesting terms of which will be specified and identified at the Date of Grant and include the achievement of certain Performance Criteria specified on the Date of Grant;</w:t>
      </w:r>
    </w:p>
    <w:p>
      <w:pPr>
        <w:spacing w:after="0" w:line="18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means this Share Unit Plan, as amended and restated from time to time;</w:t>
      </w:r>
    </w:p>
    <w:p>
      <w:pPr>
        <w:spacing w:after="0" w:line="220" w:lineRule="exact"/>
        <w:rPr>
          <w:sz w:val="20"/>
          <w:szCs w:val="20"/>
          <w:color w:val="auto"/>
        </w:rPr>
      </w:pPr>
    </w:p>
    <w:p>
      <w:pPr>
        <w:jc w:val="both"/>
        <w:ind w:left="1080"/>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Release Date</w:t>
      </w:r>
      <w:r>
        <w:rPr>
          <w:rFonts w:ascii="Times New Roman" w:cs="Times New Roman" w:eastAsia="Times New Roman" w:hAnsi="Times New Roman"/>
          <w:sz w:val="22"/>
          <w:szCs w:val="22"/>
          <w:color w:val="auto"/>
        </w:rPr>
        <w:t>” means, for a Grant, the date or dates on which Vested Share Units shall be satisfied in the form of Shares or cash;</w:t>
      </w:r>
    </w:p>
    <w:p>
      <w:pPr>
        <w:spacing w:after="0" w:line="158" w:lineRule="exact"/>
        <w:rPr>
          <w:sz w:val="20"/>
          <w:szCs w:val="20"/>
          <w:color w:val="auto"/>
        </w:rPr>
      </w:pPr>
    </w:p>
    <w:p>
      <w:pPr>
        <w:jc w:val="both"/>
        <w:ind w:left="1080"/>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Reorganization</w:t>
      </w:r>
      <w:r>
        <w:rPr>
          <w:rFonts w:ascii="Times New Roman" w:cs="Times New Roman" w:eastAsia="Times New Roman" w:hAnsi="Times New Roman"/>
          <w:sz w:val="22"/>
          <w:szCs w:val="22"/>
          <w:color w:val="auto"/>
        </w:rPr>
        <w:t>” means any (i) capital reorganization, (ii) merger, (iii) amalgamation, (iv) offer for shares of the Company which if successful would entitle the offeror to acquire all of the shares of the Company or all of one or more particular class(es) of shares of the Company to which the offer relates, (v) sale of a material portion of the assets of the Company, or (vi) arrangement or other scheme of reorganization;</w:t>
      </w:r>
    </w:p>
    <w:p>
      <w:pPr>
        <w:spacing w:after="0" w:line="176" w:lineRule="exact"/>
        <w:rPr>
          <w:sz w:val="20"/>
          <w:szCs w:val="20"/>
          <w:color w:val="auto"/>
        </w:rPr>
      </w:pPr>
    </w:p>
    <w:p>
      <w:pPr>
        <w:jc w:val="both"/>
        <w:ind w:left="1080"/>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RSU</w:t>
      </w:r>
      <w:r>
        <w:rPr>
          <w:rFonts w:ascii="Times New Roman" w:cs="Times New Roman" w:eastAsia="Times New Roman" w:hAnsi="Times New Roman"/>
          <w:sz w:val="22"/>
          <w:szCs w:val="22"/>
          <w:color w:val="auto"/>
        </w:rPr>
        <w:t>” means a unit allocated to a Participant, under this Plan in accordance with Article 5, the Vesting terms of which will be specified and identified at the Date of Grant and which do not include the achievement of Performance Criteria;</w:t>
      </w:r>
    </w:p>
    <w:p>
      <w:pPr>
        <w:spacing w:after="0" w:line="173"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Retirement</w:t>
      </w:r>
      <w:r>
        <w:rPr>
          <w:rFonts w:ascii="Times New Roman" w:cs="Times New Roman" w:eastAsia="Times New Roman" w:hAnsi="Times New Roman"/>
          <w:sz w:val="22"/>
          <w:szCs w:val="22"/>
          <w:color w:val="auto"/>
        </w:rPr>
        <w:t>” means, with respect to any Participant, when:</w:t>
      </w:r>
    </w:p>
    <w:p>
      <w:pPr>
        <w:spacing w:after="0" w:line="233" w:lineRule="exact"/>
        <w:rPr>
          <w:sz w:val="20"/>
          <w:szCs w:val="20"/>
          <w:color w:val="auto"/>
        </w:rPr>
      </w:pPr>
    </w:p>
    <w:p>
      <w:pPr>
        <w:ind w:left="2380" w:hanging="648"/>
        <w:spacing w:after="0" w:line="257" w:lineRule="auto"/>
        <w:tabs>
          <w:tab w:leader="none" w:pos="2265" w:val="left"/>
        </w:tabs>
        <w:numPr>
          <w:ilvl w:val="0"/>
          <w:numId w:val="2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Participant is no longer an employee as a result of a voluntary resignation or as a result of a termination action by the Company, a Subsidiary or Designated Affiliated Entity on a not for cause basis;</w:t>
      </w:r>
    </w:p>
    <w:p>
      <w:pPr>
        <w:spacing w:after="0" w:line="172" w:lineRule="exact"/>
        <w:rPr>
          <w:rFonts w:ascii="Times New Roman" w:cs="Times New Roman" w:eastAsia="Times New Roman" w:hAnsi="Times New Roman"/>
          <w:sz w:val="22"/>
          <w:szCs w:val="22"/>
          <w:color w:val="auto"/>
        </w:rPr>
      </w:pPr>
    </w:p>
    <w:p>
      <w:pPr>
        <w:ind w:left="2380" w:hanging="648"/>
        <w:spacing w:after="0" w:line="271" w:lineRule="auto"/>
        <w:tabs>
          <w:tab w:leader="none" w:pos="2260" w:val="left"/>
        </w:tabs>
        <w:numPr>
          <w:ilvl w:val="0"/>
          <w:numId w:val="2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Participant has completed his or her last day of employment with the Company, a Subsidiary or Designated Affiliated Entity, as applicable; and</w:t>
      </w:r>
    </w:p>
    <w:p>
      <w:pPr>
        <w:spacing w:after="0" w:line="171" w:lineRule="exact"/>
        <w:rPr>
          <w:rFonts w:ascii="Times New Roman" w:cs="Times New Roman" w:eastAsia="Times New Roman" w:hAnsi="Times New Roman"/>
          <w:sz w:val="22"/>
          <w:szCs w:val="22"/>
          <w:color w:val="auto"/>
        </w:rPr>
      </w:pPr>
    </w:p>
    <w:p>
      <w:pPr>
        <w:ind w:left="2280" w:hanging="548"/>
        <w:spacing w:after="0"/>
        <w:tabs>
          <w:tab w:leader="none" w:pos="2280" w:val="left"/>
        </w:tabs>
        <w:numPr>
          <w:ilvl w:val="0"/>
          <w:numId w:val="2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either:</w:t>
      </w:r>
    </w:p>
    <w:p>
      <w:pPr>
        <w:spacing w:after="0" w:line="219" w:lineRule="exact"/>
        <w:rPr>
          <w:rFonts w:ascii="Times New Roman" w:cs="Times New Roman" w:eastAsia="Times New Roman" w:hAnsi="Times New Roman"/>
          <w:sz w:val="22"/>
          <w:szCs w:val="22"/>
          <w:color w:val="auto"/>
        </w:rPr>
      </w:pPr>
    </w:p>
    <w:p>
      <w:pPr>
        <w:jc w:val="both"/>
        <w:ind w:left="3680" w:hanging="652"/>
        <w:spacing w:after="0" w:line="257" w:lineRule="auto"/>
        <w:tabs>
          <w:tab w:leader="none" w:pos="3677" w:val="left"/>
        </w:tabs>
        <w:numPr>
          <w:ilvl w:val="1"/>
          <w:numId w:val="2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sum of the Participant’s age and years of service equals 65 provided that the Participant’s age shall be at least 55 years and that the Participant has been employed for a minimum of five years; or</w:t>
      </w:r>
    </w:p>
    <w:p>
      <w:pPr>
        <w:spacing w:after="0" w:line="172" w:lineRule="exact"/>
        <w:rPr>
          <w:rFonts w:ascii="Times New Roman" w:cs="Times New Roman" w:eastAsia="Times New Roman" w:hAnsi="Times New Roman"/>
          <w:sz w:val="22"/>
          <w:szCs w:val="22"/>
          <w:color w:val="auto"/>
        </w:rPr>
      </w:pPr>
    </w:p>
    <w:p>
      <w:pPr>
        <w:ind w:left="3540" w:hanging="512"/>
        <w:spacing w:after="0"/>
        <w:tabs>
          <w:tab w:leader="none" w:pos="3540" w:val="left"/>
        </w:tabs>
        <w:numPr>
          <w:ilvl w:val="1"/>
          <w:numId w:val="2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Participant has 30 years of service or more; and</w:t>
      </w:r>
    </w:p>
    <w:p>
      <w:pPr>
        <w:spacing w:after="0" w:line="233" w:lineRule="exact"/>
        <w:rPr>
          <w:sz w:val="20"/>
          <w:szCs w:val="20"/>
          <w:color w:val="auto"/>
        </w:rPr>
      </w:pPr>
    </w:p>
    <w:p>
      <w:pPr>
        <w:jc w:val="both"/>
        <w:ind w:left="1080"/>
        <w:spacing w:after="0" w:line="257" w:lineRule="auto"/>
        <w:rPr>
          <w:sz w:val="20"/>
          <w:szCs w:val="20"/>
          <w:color w:val="auto"/>
        </w:rPr>
      </w:pPr>
      <w:r>
        <w:rPr>
          <w:rFonts w:ascii="Times New Roman" w:cs="Times New Roman" w:eastAsia="Times New Roman" w:hAnsi="Times New Roman"/>
          <w:sz w:val="22"/>
          <w:szCs w:val="22"/>
          <w:color w:val="auto"/>
        </w:rPr>
        <w:t>for greater certainty, a Participant who is no longer an employee by reason of death or as a result of termination action by the Company, a Subsidiary or Designated Affiliated Entity on a for cause basis shall not be eligible for Retirement treatment under the Plan;</w:t>
      </w:r>
    </w:p>
    <w:p>
      <w:pPr>
        <w:spacing w:after="0" w:line="173" w:lineRule="exact"/>
        <w:rPr>
          <w:sz w:val="20"/>
          <w:szCs w:val="20"/>
          <w:color w:val="auto"/>
        </w:rPr>
      </w:pPr>
    </w:p>
    <w:p>
      <w:pPr>
        <w:jc w:val="both"/>
        <w:ind w:left="1080"/>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RSU Grant</w:t>
      </w:r>
      <w:r>
        <w:rPr>
          <w:rFonts w:ascii="Times New Roman" w:cs="Times New Roman" w:eastAsia="Times New Roman" w:hAnsi="Times New Roman"/>
          <w:sz w:val="22"/>
          <w:szCs w:val="22"/>
          <w:color w:val="auto"/>
        </w:rPr>
        <w:t>” means a grant to a Participant, under this Plan pursuant to Article 5, of RSUs determined with reference to a notional dollar amount;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020"/>
          </w:cols>
          <w:pgMar w:left="540" w:top="1440" w:right="339" w:bottom="1440" w:gutter="0" w:footer="0" w:header="0"/>
        </w:sectPr>
      </w:pPr>
    </w:p>
    <w:bookmarkStart w:id="247" w:name="page248"/>
    <w:bookmarkEnd w:id="247"/>
    <w:p>
      <w:pPr>
        <w:spacing w:after="0" w:line="194" w:lineRule="exact"/>
        <w:rPr>
          <w:sz w:val="20"/>
          <w:szCs w:val="20"/>
          <w:color w:val="auto"/>
        </w:rPr>
      </w:pPr>
    </w:p>
    <w:p>
      <w:pPr>
        <w:jc w:val="both"/>
        <w:ind w:left="1300" w:right="20"/>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Rule</w:t>
      </w:r>
      <w:r>
        <w:rPr>
          <w:rFonts w:ascii="Times New Roman" w:cs="Times New Roman" w:eastAsia="Times New Roman" w:hAnsi="Times New Roman"/>
          <w:sz w:val="22"/>
          <w:szCs w:val="22"/>
          <w:color w:val="auto"/>
        </w:rPr>
        <w:t xml:space="preserve">” means Part 2, Division 4 of National Instrument 45-106 - </w:t>
      </w:r>
      <w:r>
        <w:rPr>
          <w:rFonts w:ascii="Times New Roman" w:cs="Times New Roman" w:eastAsia="Times New Roman" w:hAnsi="Times New Roman"/>
          <w:sz w:val="22"/>
          <w:szCs w:val="22"/>
          <w:i w:val="1"/>
          <w:iCs w:val="1"/>
          <w:color w:val="auto"/>
        </w:rPr>
        <w:t>Prospectus and Registration Exemptions</w:t>
      </w:r>
      <w:r>
        <w:rPr>
          <w:rFonts w:ascii="Times New Roman" w:cs="Times New Roman" w:eastAsia="Times New Roman" w:hAnsi="Times New Roman"/>
          <w:sz w:val="22"/>
          <w:szCs w:val="22"/>
          <w:color w:val="auto"/>
        </w:rPr>
        <w:t>, as it may be amended or replaced;</w:t>
      </w:r>
    </w:p>
    <w:p>
      <w:pPr>
        <w:spacing w:after="0" w:line="15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Share Unit</w:t>
      </w:r>
      <w:r>
        <w:rPr>
          <w:rFonts w:ascii="Times New Roman" w:cs="Times New Roman" w:eastAsia="Times New Roman" w:hAnsi="Times New Roman"/>
          <w:sz w:val="22"/>
          <w:szCs w:val="22"/>
          <w:color w:val="auto"/>
        </w:rPr>
        <w:t>” means a RSU or a PSU;</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Share Unit Grant Agreement</w:t>
      </w:r>
      <w:r>
        <w:rPr>
          <w:rFonts w:ascii="Times New Roman" w:cs="Times New Roman" w:eastAsia="Times New Roman" w:hAnsi="Times New Roman"/>
          <w:sz w:val="22"/>
          <w:szCs w:val="22"/>
          <w:color w:val="auto"/>
        </w:rPr>
        <w:t>” has the meaning set forth in section 5.2;</w:t>
      </w:r>
    </w:p>
    <w:p>
      <w:pPr>
        <w:spacing w:after="0" w:line="220" w:lineRule="exact"/>
        <w:rPr>
          <w:sz w:val="20"/>
          <w:szCs w:val="20"/>
          <w:color w:val="auto"/>
        </w:rPr>
      </w:pPr>
    </w:p>
    <w:p>
      <w:pPr>
        <w:jc w:val="both"/>
        <w:ind w:left="1300"/>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Shares</w:t>
      </w:r>
      <w:r>
        <w:rPr>
          <w:rFonts w:ascii="Times New Roman" w:cs="Times New Roman" w:eastAsia="Times New Roman" w:hAnsi="Times New Roman"/>
          <w:sz w:val="22"/>
          <w:szCs w:val="22"/>
          <w:color w:val="auto"/>
        </w:rPr>
        <w:t>” means the Subordinate Voting Shares in the capital of the Company, and includes any shares of the Company into which such shares may be converted, reclassified, redesignated, subdivided, consolidated, exchanged or otherwise changed, pursuant to a Reorganization or otherwise;</w:t>
      </w:r>
    </w:p>
    <w:p>
      <w:pPr>
        <w:spacing w:after="0" w:line="173" w:lineRule="exact"/>
        <w:rPr>
          <w:sz w:val="20"/>
          <w:szCs w:val="20"/>
          <w:color w:val="auto"/>
        </w:rPr>
      </w:pPr>
    </w:p>
    <w:p>
      <w:pPr>
        <w:jc w:val="both"/>
        <w:ind w:left="1300"/>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Stock Exchange Rules</w:t>
      </w:r>
      <w:r>
        <w:rPr>
          <w:rFonts w:ascii="Times New Roman" w:cs="Times New Roman" w:eastAsia="Times New Roman" w:hAnsi="Times New Roman"/>
          <w:sz w:val="22"/>
          <w:szCs w:val="22"/>
          <w:color w:val="auto"/>
        </w:rPr>
        <w:t>” means the applicable rules of any stock exchange upon which shares of the Company are listed;</w:t>
      </w:r>
    </w:p>
    <w:p>
      <w:pPr>
        <w:spacing w:after="0" w:line="140" w:lineRule="exact"/>
        <w:rPr>
          <w:sz w:val="20"/>
          <w:szCs w:val="20"/>
          <w:color w:val="auto"/>
        </w:rPr>
      </w:pPr>
    </w:p>
    <w:p>
      <w:pPr>
        <w:ind w:left="1300" w:right="860"/>
        <w:spacing w:after="0" w:line="4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Subsidiary</w:t>
      </w:r>
      <w:r>
        <w:rPr>
          <w:rFonts w:ascii="Times New Roman" w:cs="Times New Roman" w:eastAsia="Times New Roman" w:hAnsi="Times New Roman"/>
          <w:sz w:val="22"/>
          <w:szCs w:val="22"/>
          <w:color w:val="auto"/>
        </w:rPr>
        <w:t xml:space="preserve">” means a subsidiary of the Company as defined by the </w:t>
      </w:r>
      <w:r>
        <w:rPr>
          <w:rFonts w:ascii="Times New Roman" w:cs="Times New Roman" w:eastAsia="Times New Roman" w:hAnsi="Times New Roman"/>
          <w:sz w:val="22"/>
          <w:szCs w:val="22"/>
          <w:i w:val="1"/>
          <w:iCs w:val="1"/>
          <w:color w:val="auto"/>
        </w:rPr>
        <w:t>Business Corporations Act</w:t>
      </w:r>
      <w:r>
        <w:rPr>
          <w:rFonts w:ascii="Times New Roman" w:cs="Times New Roman" w:eastAsia="Times New Roman" w:hAnsi="Times New Roman"/>
          <w:sz w:val="22"/>
          <w:szCs w:val="22"/>
          <w:color w:val="auto"/>
        </w:rPr>
        <w:t xml:space="preserve"> (Ontario); “</w:t>
      </w:r>
      <w:r>
        <w:rPr>
          <w:rFonts w:ascii="Times New Roman" w:cs="Times New Roman" w:eastAsia="Times New Roman" w:hAnsi="Times New Roman"/>
          <w:sz w:val="22"/>
          <w:szCs w:val="22"/>
          <w:u w:val="single" w:color="auto"/>
          <w:color w:val="auto"/>
        </w:rPr>
        <w:t>TSX</w:t>
      </w:r>
      <w:r>
        <w:rPr>
          <w:rFonts w:ascii="Times New Roman" w:cs="Times New Roman" w:eastAsia="Times New Roman" w:hAnsi="Times New Roman"/>
          <w:sz w:val="22"/>
          <w:szCs w:val="22"/>
          <w:color w:val="auto"/>
        </w:rPr>
        <w:t>” means The Toronto Stock Exchange;</w:t>
      </w:r>
    </w:p>
    <w:p>
      <w:pPr>
        <w:jc w:val="both"/>
        <w:ind w:left="1300"/>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Vested</w:t>
      </w:r>
      <w:r>
        <w:rPr>
          <w:rFonts w:ascii="Times New Roman" w:cs="Times New Roman" w:eastAsia="Times New Roman" w:hAnsi="Times New Roman"/>
          <w:sz w:val="22"/>
          <w:szCs w:val="22"/>
          <w:color w:val="auto"/>
        </w:rPr>
        <w:t>” (or any applicable derivative term) shall mean, with respect to a Grant, that the applicable conditions with respect to continued employment, passage of time, achievement of Performance Criteria and/or any other conditions established by the Committee have been satisfied or, to the extent permitted under the Plan, waived, whether or not the Participant’s rights with respect to such Grant may be conditioned upon prior or subsequent compliance with any confidentiality, non-competition or non-solicitation obligations;</w:t>
      </w:r>
    </w:p>
    <w:p>
      <w:pPr>
        <w:spacing w:after="0" w:line="179" w:lineRule="exact"/>
        <w:rPr>
          <w:sz w:val="20"/>
          <w:szCs w:val="20"/>
          <w:color w:val="auto"/>
        </w:rPr>
      </w:pPr>
    </w:p>
    <w:p>
      <w:pPr>
        <w:jc w:val="both"/>
        <w:ind w:left="1300"/>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Withholding Obligations</w:t>
      </w:r>
      <w:r>
        <w:rPr>
          <w:rFonts w:ascii="Times New Roman" w:cs="Times New Roman" w:eastAsia="Times New Roman" w:hAnsi="Times New Roman"/>
          <w:sz w:val="22"/>
          <w:szCs w:val="22"/>
          <w:color w:val="auto"/>
        </w:rPr>
        <w:t>” means any federal, provincial, state or local law relating to withholding of tax or other required deductions, including the amount, if any, includable in the income of a Participant; and</w:t>
      </w:r>
    </w:p>
    <w:p>
      <w:pPr>
        <w:spacing w:after="0" w:line="158" w:lineRule="exact"/>
        <w:rPr>
          <w:sz w:val="20"/>
          <w:szCs w:val="20"/>
          <w:color w:val="auto"/>
        </w:rPr>
      </w:pPr>
    </w:p>
    <w:p>
      <w:pPr>
        <w:jc w:val="both"/>
        <w:ind w:left="1300"/>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Year</w:t>
      </w:r>
      <w:r>
        <w:rPr>
          <w:rFonts w:ascii="Times New Roman" w:cs="Times New Roman" w:eastAsia="Times New Roman" w:hAnsi="Times New Roman"/>
          <w:sz w:val="22"/>
          <w:szCs w:val="22"/>
          <w:color w:val="auto"/>
        </w:rPr>
        <w:t>” in respect of a Share Unit means a calendar year commencing on the Date of Grant of the Share Unit or on any anniversary of such date.</w:t>
      </w:r>
    </w:p>
    <w:p>
      <w:pPr>
        <w:spacing w:after="0" w:line="14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2.2 In this Plan, unless the context requires otherwise, words importing the singular number may be construed to extend to and include the plural number, and words importing the plural number may be construed to extend to and include the singular number.</w:t>
      </w:r>
    </w:p>
    <w:p>
      <w:pPr>
        <w:spacing w:after="0" w:line="17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2.3 This Plan is established under the laws of the Province of Ontario and the rights of all parties and the construction of each and every provision of the Plan and any Share Units granted hereunder shall be construed according to the laws of the Province of Ontario.</w:t>
      </w:r>
    </w:p>
    <w:p>
      <w:pPr>
        <w:spacing w:after="0" w:line="167" w:lineRule="exact"/>
        <w:rPr>
          <w:sz w:val="20"/>
          <w:szCs w:val="20"/>
          <w:color w:val="auto"/>
        </w:rPr>
      </w:pPr>
    </w:p>
    <w:p>
      <w:pPr>
        <w:ind w:left="380" w:hanging="372"/>
        <w:spacing w:after="0"/>
        <w:tabs>
          <w:tab w:leader="none" w:pos="380" w:val="left"/>
        </w:tabs>
        <w:numPr>
          <w:ilvl w:val="0"/>
          <w:numId w:val="2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GENERAL</w:t>
      </w:r>
    </w:p>
    <w:p>
      <w:pPr>
        <w:spacing w:after="0" w:line="220"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3.1 The transfer of an employee from the Company to a Subsidiary or a Designated Affiliated Entity, from a Subsidiary or a Designated Affiliated Entity to the Company, or 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440" w:right="339" w:bottom="1440" w:gutter="0" w:footer="0" w:header="0"/>
        </w:sectPr>
      </w:pPr>
    </w:p>
    <w:bookmarkStart w:id="248" w:name="page249"/>
    <w:bookmarkEnd w:id="248"/>
    <w:p>
      <w:pPr>
        <w:spacing w:after="0" w:line="19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one Subsidiary or Designated Affiliated Entity to another Subsidiary or Designated Affiliated Entity, shall not be considered a termination of employment for the purposes of the Plan, nor shall it be considered a termination of employment if a Participant is placed on such other leave of absence which is considered by the Company as continuing intact the employment relationship; in such a case, the employment relationship shall be continued until the later of the date when the leave equals ninety days or the date when a Participant’s right to reemployment shall no longer be guaranteed either by law or by contract, except that in the event active employment is not renewed at the end of the leave of absence, the employment relationship shall be deemed to have ceased at the beginning of the leave of absence.</w:t>
      </w:r>
    </w:p>
    <w:p>
      <w:pPr>
        <w:spacing w:after="0" w:line="180"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3.2</w:t>
      </w:r>
      <w:r>
        <w:rPr>
          <w:sz w:val="20"/>
          <w:szCs w:val="20"/>
          <w:color w:val="auto"/>
        </w:rPr>
        <w:tab/>
      </w:r>
      <w:r>
        <w:rPr>
          <w:rFonts w:ascii="Times New Roman" w:cs="Times New Roman" w:eastAsia="Times New Roman" w:hAnsi="Times New Roman"/>
          <w:sz w:val="21"/>
          <w:szCs w:val="21"/>
          <w:color w:val="auto"/>
        </w:rPr>
        <w:t>No Shares may be issued from the treasury of the Company under this Plan.</w:t>
      </w:r>
    </w:p>
    <w:p>
      <w:pPr>
        <w:spacing w:after="0" w:line="23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3.3 Subject to any Applicable Law, the Company will acquire issued and outstanding Shares in the market for the purposes of satisfying its obligation to provide Shares to Participants under the Plan. If it does so, the Company shall utilize the services of an Independent Broker.</w:t>
      </w:r>
    </w:p>
    <w:p>
      <w:pPr>
        <w:spacing w:after="0" w:line="17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3.4 From time to time the Company may, in addition to its powers under the Plan, add to or amend any of the provisions of the Plan or terminate the Plan or amend the terms of any Share Unit granted under the Plan; provided, however, that (i) any approvals required under any Applicable Law or Stock Exchange Rules are obtained, and (ii) no such amendment or termination shall be made at any time which has the effect of adversely affecting the existing rights of a Participant under the Plan without his or her consent in writing unless the Company, at its option, acquires such existing rights at an amount equal to the fair market value of such rights at such time as verified by an independent valuator.</w:t>
      </w:r>
    </w:p>
    <w:p>
      <w:pPr>
        <w:spacing w:after="0" w:line="181"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3.5 The determination by the Company of any question which may arise as to the interpretation or implementation of the Plan or any of the Share Units granted hereunder shall be final and binding on all Participants and other persons claiming or deriving rights through any of them.</w:t>
      </w:r>
    </w:p>
    <w:p>
      <w:pPr>
        <w:spacing w:after="0" w:line="167"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3.6 The Plan shall enure to the benefit of and be binding upon the Company, its successors and assigns. The interest of any Participant under the Plan or in any Unit shall not be transferable or alienable by him or her either by pledge, assignment or in any other manner, except to a spouse or a personal holding company or family trust controlled by a Participant, the shareholders or beneficiaries of which, as the case may be, are any combination of the Participant, the Participant’s spouse, the Participant’s minor children or the Participant’s minor grandchildren, and after his or her lifetime shall enure to the benefit of and be binding upon the Participant’s Beneficiary.</w:t>
      </w:r>
    </w:p>
    <w:p>
      <w:pPr>
        <w:spacing w:after="0" w:line="18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3.7 The Company’s obligation to provide Shares in accordance with the terms of the Plan and any Share Units granted hereunder is subject to compliance with Applicable Law applicable to the distribution of such Shares. As a condition of participating in the Plan, each Participant agrees to comply with all such Applicable Law and agrees to furnish to the Company all information and undertakings as may be required to permit compliance with such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440" w:right="339" w:bottom="1440" w:gutter="0" w:footer="0" w:header="0"/>
        </w:sectPr>
      </w:pPr>
    </w:p>
    <w:bookmarkStart w:id="249" w:name="page250"/>
    <w:bookmarkEnd w:id="249"/>
    <w:p>
      <w:pPr>
        <w:spacing w:after="0" w:line="198"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3.8 The Company, a Subsidiary or a Designated Affiliated Entity may withhold from any amount payable to a Participant, either under this Plan, or otherwise, such amount as may be necessary so as to ensure that the Company, the Subsidiary or Designated Affiliated Entity will be able to comply with the applicable provisions of any Withholding Obligations. The Company shall also have the right in its discretion to satisfy any liability for any Withholding Obligations by selling, or causing a broker to sell, on behalf of any Participant or causing any Participant to sell such number of Shares issued or provided to the Participant sufficient to fund the Withholding Obligations (after deducting any commissions payable to the broker), or retaining any amount payable which would otherwise be delivered, provided or paid to the Participant hereunder. The Company may require a Participant, as a condition to being provided Shares hereunder, to make such arrangements as the Company may require so that the Company can satisfy applicable Withholding Obligations on terms and conditions determined by the Company in its sole discretion, including, without limitation, requiring the Participant to (i) remit the amount of any such Withholding Obligations to the Company in advance; (ii) reimburse the Company for any such Withholding Obligations; or (iii) cause a broker who sells Shares acquired by the Participant under the Plan on behalf of the Participant to withhold from the proceeds realized from such sale the amount required to satisfy any such Withholding Obligations and to remit such amount directly to the Company.</w:t>
      </w:r>
    </w:p>
    <w:p>
      <w:pPr>
        <w:spacing w:after="0" w:line="20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3.9 A Participant shall not have the right or be entitled to exercise any voting rights, receive dividends or have or be entitled to any other rights as a shareholder in respect of any Share Units unless and until satisfied in the form of Shares.</w:t>
      </w:r>
    </w:p>
    <w:p>
      <w:pPr>
        <w:spacing w:after="0" w:line="15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3.10 Neither designation of an employee as a Participant nor the grant of any Share Units to any Participant entitles any Participant to the grant, or any additional grant, as the case may be, of any Share Units under the Plan. Neither the Plan nor any action taken thereunder shall interfere with the right of the employer of a Participant to terminate a Participant’s employment at any time. Neither the period of notice, if any, nor any payment in lieu thereof, upon termination of employment shall be considered as extending the period of employment for the purposes of the Plan.</w:t>
      </w:r>
    </w:p>
    <w:p>
      <w:pPr>
        <w:spacing w:after="0" w:line="179" w:lineRule="exact"/>
        <w:rPr>
          <w:sz w:val="20"/>
          <w:szCs w:val="20"/>
          <w:color w:val="auto"/>
        </w:rPr>
      </w:pPr>
    </w:p>
    <w:p>
      <w:pPr>
        <w:jc w:val="both"/>
        <w:ind w:right="20" w:firstLine="648"/>
        <w:spacing w:after="0" w:line="257" w:lineRule="auto"/>
        <w:rPr>
          <w:sz w:val="20"/>
          <w:szCs w:val="20"/>
          <w:color w:val="auto"/>
        </w:rPr>
      </w:pPr>
      <w:r>
        <w:rPr>
          <w:rFonts w:ascii="Times New Roman" w:cs="Times New Roman" w:eastAsia="Times New Roman" w:hAnsi="Times New Roman"/>
          <w:sz w:val="22"/>
          <w:szCs w:val="22"/>
          <w:color w:val="auto"/>
        </w:rPr>
        <w:t>3.11 No member of the Board or the Committee shall be liable for any action or determination made in good faith in connection with the Plan and members of the Board and the Committee shall be entitled to indemnification and reimbursement from the Company in respect of any claim relating thereto.</w:t>
      </w:r>
    </w:p>
    <w:p>
      <w:pPr>
        <w:spacing w:after="0" w:line="18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3.12 Participation in the Plan shall be entirely voluntary and any decision not to participate shall not affect any employee’s employment with, or any Consultant’s engagement by, the Company, a Subsidiary or Designated Affiliated Entity.</w:t>
      </w:r>
    </w:p>
    <w:p>
      <w:pPr>
        <w:spacing w:after="0" w:line="15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3.13 If any provision of this Plan is determined to be invalid or unenforceable in whole or in part, such invalidity or unenforceability shall attach only to such provision or part thereof and the remaining part, if any, of such provision and all other provisions hereof shall continue in full force and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440" w:right="339" w:bottom="1440" w:gutter="0" w:footer="0" w:header="0"/>
        </w:sectPr>
      </w:pPr>
    </w:p>
    <w:bookmarkStart w:id="250" w:name="page251"/>
    <w:bookmarkEnd w:id="250"/>
    <w:p>
      <w:pPr>
        <w:spacing w:after="0" w:line="19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3.14 Neither the establishment of the Plan nor the grant of any Share Units or the setting aside of any funds by the Company (if, in its sole discretion, it chooses to do so) shall be deemed to create a trust. Legal and equitable title to any funds set aside for the purposes of the Plan shall remain in the Company and no Participant shall have any security or other interest in such funds. Any funds so set aside shall remain subject to the claims of creditors of the Company present or future. Amounts payable to any Participant under the Plan shall be a general, unsecured obligation of the Company. The right of the Participant or Beneficiary to receive payment pursuant to the Plan shall be no greater than the right of other unsecured creditors of the Company.</w:t>
      </w:r>
    </w:p>
    <w:p>
      <w:pPr>
        <w:spacing w:after="0" w:line="180" w:lineRule="exact"/>
        <w:rPr>
          <w:sz w:val="20"/>
          <w:szCs w:val="20"/>
          <w:color w:val="auto"/>
        </w:rPr>
      </w:pPr>
    </w:p>
    <w:p>
      <w:pPr>
        <w:ind w:left="660"/>
        <w:spacing w:after="0"/>
        <w:tabs>
          <w:tab w:leader="none" w:pos="1220" w:val="left"/>
        </w:tabs>
        <w:rPr>
          <w:sz w:val="20"/>
          <w:szCs w:val="20"/>
          <w:color w:val="auto"/>
        </w:rPr>
      </w:pPr>
      <w:r>
        <w:rPr>
          <w:rFonts w:ascii="Times New Roman" w:cs="Times New Roman" w:eastAsia="Times New Roman" w:hAnsi="Times New Roman"/>
          <w:sz w:val="22"/>
          <w:szCs w:val="22"/>
          <w:color w:val="auto"/>
        </w:rPr>
        <w:t>3.15</w:t>
      </w:r>
      <w:r>
        <w:rPr>
          <w:sz w:val="20"/>
          <w:szCs w:val="20"/>
          <w:color w:val="auto"/>
        </w:rPr>
        <w:tab/>
      </w:r>
      <w:r>
        <w:rPr>
          <w:rFonts w:ascii="Times New Roman" w:cs="Times New Roman" w:eastAsia="Times New Roman" w:hAnsi="Times New Roman"/>
          <w:sz w:val="21"/>
          <w:szCs w:val="21"/>
          <w:color w:val="auto"/>
        </w:rPr>
        <w:t>This Plan is hereby instituted as of the 9</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day of December, 2004.</w:t>
      </w:r>
    </w:p>
    <w:p>
      <w:pPr>
        <w:spacing w:after="0" w:line="176" w:lineRule="exact"/>
        <w:rPr>
          <w:sz w:val="20"/>
          <w:szCs w:val="20"/>
          <w:color w:val="auto"/>
        </w:rPr>
      </w:pPr>
    </w:p>
    <w:p>
      <w:pPr>
        <w:ind w:left="380" w:hanging="372"/>
        <w:spacing w:after="0"/>
        <w:tabs>
          <w:tab w:leader="none" w:pos="380" w:val="left"/>
        </w:tabs>
        <w:numPr>
          <w:ilvl w:val="0"/>
          <w:numId w:val="2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ADMINISTRATION</w:t>
      </w:r>
    </w:p>
    <w:p>
      <w:pPr>
        <w:spacing w:after="0" w:line="220"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4.1 The Plan shall be administered by the Company in accordance with its provisions. All costs and expenses of administering the Plan will be paid by the Company, but the Company shall not be responsible for the payment of any fees or expenses in respect of the re-sale by a Participant of Shares acquired by him or her under the Plan. The Company, may from time to time, establish administrative rules and regulations and prescribe forms or documents relating to the operation of the Plan as it may deem necessary to implement or further the purpose of the Plan and amend or repeal such rules and regulations or forms or documents. The Company, in its discretion, may appoint a Committee for the purpose of interpreting, administering and implementing the Plan. In administering the Plan, the Company or the Committee may seek recommendations from the chief executive officer of the Company. The Company may also delegate to the Committee or any director, officer or employee of the Company such duties and powers, relating to the Plan as it may see fit. The Company may also appoint or engage a trustee, custodian or administrator to administer or implement the Plan.</w:t>
      </w:r>
    </w:p>
    <w:p>
      <w:pPr>
        <w:spacing w:after="0" w:line="204"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4.2 The Company shall keep or cause to be kept such records and accounts as may be necessary or appropriate in connection with the administration of the Plan and the discharge of its duties. At such times as the Company shall determine, the Company shall furnish the Participant with a statement setting forth the details of his or her Share Units, including Date of Grant and the number and type of Share Units held by each Participant. Such statement shall be deemed to have been accepted by the Participant as correct unless written notice to the contrary is given to the Company within 30 days after such statement is given to the Participant.</w:t>
      </w:r>
    </w:p>
    <w:p>
      <w:pPr>
        <w:spacing w:after="0" w:line="181" w:lineRule="exact"/>
        <w:rPr>
          <w:sz w:val="20"/>
          <w:szCs w:val="20"/>
          <w:color w:val="auto"/>
        </w:rPr>
      </w:pPr>
    </w:p>
    <w:p>
      <w:pPr>
        <w:ind w:left="660"/>
        <w:spacing w:after="0"/>
        <w:tabs>
          <w:tab w:leader="none" w:pos="1280" w:val="left"/>
          <w:tab w:leader="none" w:pos="1900" w:val="left"/>
        </w:tabs>
        <w:rPr>
          <w:sz w:val="20"/>
          <w:szCs w:val="20"/>
          <w:color w:val="auto"/>
        </w:rPr>
      </w:pPr>
      <w:r>
        <w:rPr>
          <w:rFonts w:ascii="Times New Roman" w:cs="Times New Roman" w:eastAsia="Times New Roman" w:hAnsi="Times New Roman"/>
          <w:sz w:val="22"/>
          <w:szCs w:val="22"/>
          <w:color w:val="auto"/>
        </w:rPr>
        <w:t>4.3</w:t>
      </w:r>
      <w:r>
        <w:rPr>
          <w:sz w:val="20"/>
          <w:szCs w:val="20"/>
          <w:color w:val="auto"/>
        </w:rPr>
        <w:tab/>
      </w:r>
      <w:r>
        <w:rPr>
          <w:rFonts w:ascii="Times New Roman" w:cs="Times New Roman" w:eastAsia="Times New Roman" w:hAnsi="Times New Roman"/>
          <w:sz w:val="22"/>
          <w:szCs w:val="22"/>
          <w:color w:val="auto"/>
        </w:rPr>
        <w:t>(a)</w:t>
      </w:r>
      <w:r>
        <w:rPr>
          <w:sz w:val="20"/>
          <w:szCs w:val="20"/>
          <w:color w:val="auto"/>
        </w:rPr>
        <w:tab/>
      </w:r>
      <w:r>
        <w:rPr>
          <w:rFonts w:ascii="Times New Roman" w:cs="Times New Roman" w:eastAsia="Times New Roman" w:hAnsi="Times New Roman"/>
          <w:sz w:val="22"/>
          <w:szCs w:val="22"/>
          <w:color w:val="auto"/>
        </w:rPr>
        <w:t>Any payment, notice, statement, certificate or other instrument required or permitted to be given to a</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Participant or any person claiming or deriving any rights through him or her shall be given by:</w:t>
      </w:r>
    </w:p>
    <w:p>
      <w:pPr>
        <w:spacing w:after="0" w:line="196" w:lineRule="exact"/>
        <w:rPr>
          <w:sz w:val="20"/>
          <w:szCs w:val="20"/>
          <w:color w:val="auto"/>
        </w:rPr>
      </w:pPr>
    </w:p>
    <w:p>
      <w:pPr>
        <w:ind w:left="2600" w:hanging="648"/>
        <w:spacing w:after="0" w:line="271" w:lineRule="auto"/>
        <w:tabs>
          <w:tab w:leader="none" w:pos="2415" w:val="left"/>
        </w:tabs>
        <w:numPr>
          <w:ilvl w:val="0"/>
          <w:numId w:val="2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delivering it personally to the Participant or to the person claiming or deriving rights through him or her, as the case may be, or</w:t>
      </w:r>
    </w:p>
    <w:p>
      <w:pPr>
        <w:spacing w:after="0" w:line="157" w:lineRule="exact"/>
        <w:rPr>
          <w:rFonts w:ascii="Times New Roman" w:cs="Times New Roman" w:eastAsia="Times New Roman" w:hAnsi="Times New Roman"/>
          <w:sz w:val="22"/>
          <w:szCs w:val="22"/>
          <w:color w:val="auto"/>
        </w:rPr>
      </w:pPr>
    </w:p>
    <w:p>
      <w:pPr>
        <w:ind w:left="2600" w:hanging="648"/>
        <w:spacing w:after="0" w:line="284" w:lineRule="auto"/>
        <w:tabs>
          <w:tab w:leader="none" w:pos="2496" w:val="left"/>
        </w:tabs>
        <w:numPr>
          <w:ilvl w:val="0"/>
          <w:numId w:val="2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mailing it postage paid (provided that the postal service is then in operation) or delivering it to the address which is maintained for the Participant in the Company’s personnel records or (other than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440" w:right="339" w:bottom="1440" w:gutter="0" w:footer="0" w:header="0"/>
        </w:sectPr>
      </w:pPr>
    </w:p>
    <w:bookmarkStart w:id="251" w:name="page252"/>
    <w:bookmarkEnd w:id="251"/>
    <w:p>
      <w:pPr>
        <w:spacing w:after="0" w:line="198" w:lineRule="exact"/>
        <w:rPr>
          <w:sz w:val="20"/>
          <w:szCs w:val="20"/>
          <w:color w:val="auto"/>
        </w:rPr>
      </w:pPr>
    </w:p>
    <w:p>
      <w:pPr>
        <w:ind w:left="2600"/>
        <w:spacing w:after="0" w:line="271" w:lineRule="auto"/>
        <w:rPr>
          <w:sz w:val="20"/>
          <w:szCs w:val="20"/>
          <w:color w:val="auto"/>
        </w:rPr>
      </w:pPr>
      <w:r>
        <w:rPr>
          <w:rFonts w:ascii="Times New Roman" w:cs="Times New Roman" w:eastAsia="Times New Roman" w:hAnsi="Times New Roman"/>
          <w:sz w:val="22"/>
          <w:szCs w:val="22"/>
          <w:color w:val="auto"/>
        </w:rPr>
        <w:t>in the case of a payment) sending it by means of facsimile or similar means of electronic transmission (including e-mail).</w:t>
      </w:r>
    </w:p>
    <w:p>
      <w:pPr>
        <w:spacing w:after="0" w:line="158" w:lineRule="exact"/>
        <w:rPr>
          <w:sz w:val="20"/>
          <w:szCs w:val="20"/>
          <w:color w:val="auto"/>
        </w:rPr>
      </w:pPr>
    </w:p>
    <w:p>
      <w:pPr>
        <w:jc w:val="both"/>
        <w:ind w:left="1960" w:hanging="656"/>
        <w:spacing w:after="0" w:line="253" w:lineRule="auto"/>
        <w:tabs>
          <w:tab w:leader="none" w:pos="1896" w:val="left"/>
        </w:tabs>
        <w:numPr>
          <w:ilvl w:val="1"/>
          <w:numId w:val="2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payment, notice, statement, certificate or other instrument required or permitted to be given to the Company shall be given by mailing it postage paid (provided that the postal service is then in operation), delivering it to the Company at its principal address, or (other than in the case of a payment) sending it by means of facsimile or similar means of electronic transmission (including e-mail), to the attention of the Company Secretary.</w:t>
      </w:r>
    </w:p>
    <w:p>
      <w:pPr>
        <w:spacing w:after="0" w:line="178" w:lineRule="exact"/>
        <w:rPr>
          <w:rFonts w:ascii="Times New Roman" w:cs="Times New Roman" w:eastAsia="Times New Roman" w:hAnsi="Times New Roman"/>
          <w:sz w:val="22"/>
          <w:szCs w:val="22"/>
          <w:color w:val="auto"/>
        </w:rPr>
      </w:pPr>
    </w:p>
    <w:p>
      <w:pPr>
        <w:ind w:left="1960" w:hanging="656"/>
        <w:spacing w:after="0" w:line="253" w:lineRule="auto"/>
        <w:tabs>
          <w:tab w:leader="none" w:pos="1884" w:val="left"/>
        </w:tabs>
        <w:numPr>
          <w:ilvl w:val="1"/>
          <w:numId w:val="2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payment, notice, statement, certificate or other instrument referred to in section 4.3(a) or 4.3(b), if delivered, shall be deemed to have been given or delivered on the date on which it was delivered, if mailed (provided that the postal service is then in operation), shall be deemed to have been given or delivered on the second business day following the date on which it was mailed and if by facsimile or similar means of electronic transmission, on the next business day following transmission.</w:t>
      </w:r>
    </w:p>
    <w:p>
      <w:pPr>
        <w:spacing w:after="0" w:line="178" w:lineRule="exact"/>
        <w:rPr>
          <w:rFonts w:ascii="Times New Roman" w:cs="Times New Roman" w:eastAsia="Times New Roman" w:hAnsi="Times New Roman"/>
          <w:sz w:val="22"/>
          <w:szCs w:val="22"/>
          <w:color w:val="auto"/>
        </w:rPr>
      </w:pPr>
    </w:p>
    <w:p>
      <w:pPr>
        <w:ind w:left="380" w:hanging="372"/>
        <w:spacing w:after="0"/>
        <w:tabs>
          <w:tab w:leader="none" w:pos="380" w:val="left"/>
        </w:tabs>
        <w:numPr>
          <w:ilvl w:val="0"/>
          <w:numId w:val="2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GRANTS AND ALLOCATION OF SHARE UNITS</w:t>
      </w:r>
    </w:p>
    <w:p>
      <w:pPr>
        <w:spacing w:after="0" w:line="22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5.1 The Company may, in its sole discretion, determine whether Grants will be made to a particular Participant, the notional dollar amount of any such Grant, the Vesting conditions and Release Dates for the Grant and whether the Grant will be a PSU Grant or a RSU Grant. In making such determinations, the Company may take into account such criteria as it deems appropriate, including the Participant’s: (i) level of responsibility; (ii) rate of compensation; (iii) individual performance and contribution; and/or (iv) agreement to become a permanent employee of the Company, a Subsidiary or a Designated Affiliated Entity.</w:t>
      </w:r>
    </w:p>
    <w:p>
      <w:pPr>
        <w:spacing w:after="0" w:line="19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5.2 On the Date of Grant, each Participant who receives a Grant shall be allocated Share Units reflecting such Grant. The Company will provide to the Participant a Share Unit Grant Agreement setting out the terms of the Grant contemplated by section 5.1.</w:t>
      </w:r>
    </w:p>
    <w:p>
      <w:pPr>
        <w:spacing w:after="0" w:line="17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5.3 The number of Share Units to be allocated to a particular Participant shall be obtained by dividing the amount of the Grant of such Participant by the closing price of the Shares on the trading day preceding the Date of Grant on the TSX or NYSE, as selected by the Company on the Date of Grant. Each such Share Unit shall represent the right to receive, subject to Vesting, one Share or a cash payment at the time, in the manner and subject to the restrictions set forth in this Plan.</w:t>
      </w:r>
    </w:p>
    <w:p>
      <w:pPr>
        <w:spacing w:after="0" w:line="176"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5.4 Subject to the terms of the Plan, the Company may determine other terms or conditions of any Share Units, including</w:t>
      </w:r>
    </w:p>
    <w:p>
      <w:pPr>
        <w:spacing w:after="0" w:line="158" w:lineRule="exact"/>
        <w:rPr>
          <w:sz w:val="20"/>
          <w:szCs w:val="20"/>
          <w:color w:val="auto"/>
        </w:rPr>
      </w:pPr>
    </w:p>
    <w:p>
      <w:pPr>
        <w:ind w:left="1300"/>
        <w:spacing w:after="0"/>
        <w:tabs>
          <w:tab w:leader="none" w:pos="1740" w:val="left"/>
        </w:tabs>
        <w:rPr>
          <w:sz w:val="20"/>
          <w:szCs w:val="20"/>
          <w:color w:val="auto"/>
        </w:rPr>
      </w:pPr>
      <w:r>
        <w:rPr>
          <w:rFonts w:ascii="Times New Roman" w:cs="Times New Roman" w:eastAsia="Times New Roman" w:hAnsi="Times New Roman"/>
          <w:sz w:val="22"/>
          <w:szCs w:val="22"/>
          <w:color w:val="auto"/>
        </w:rPr>
        <w:t>(a)</w:t>
      </w:r>
      <w:r>
        <w:rPr>
          <w:sz w:val="20"/>
          <w:szCs w:val="20"/>
          <w:color w:val="auto"/>
        </w:rPr>
        <w:tab/>
      </w:r>
      <w:r>
        <w:rPr>
          <w:rFonts w:ascii="Times New Roman" w:cs="Times New Roman" w:eastAsia="Times New Roman" w:hAnsi="Times New Roman"/>
          <w:sz w:val="21"/>
          <w:szCs w:val="21"/>
          <w:color w:val="auto"/>
        </w:rPr>
        <w:t>restrictions on the re-sale of Shares acquired under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1440" w:right="339" w:bottom="1440" w:gutter="0" w:footer="0" w:header="0"/>
        </w:sectPr>
      </w:pPr>
    </w:p>
    <w:bookmarkStart w:id="252" w:name="page253"/>
    <w:bookmarkEnd w:id="252"/>
    <w:p>
      <w:pPr>
        <w:spacing w:after="0" w:line="198" w:lineRule="exact"/>
        <w:rPr>
          <w:sz w:val="20"/>
          <w:szCs w:val="20"/>
          <w:color w:val="auto"/>
        </w:rPr>
      </w:pPr>
    </w:p>
    <w:p>
      <w:pPr>
        <w:ind w:left="1780" w:hanging="476"/>
        <w:spacing w:after="0"/>
        <w:tabs>
          <w:tab w:leader="none" w:pos="1780" w:val="left"/>
        </w:tabs>
        <w:numPr>
          <w:ilvl w:val="0"/>
          <w:numId w:val="2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conditions relating to non-competition, non-solicitation and confidentiality; and</w:t>
      </w:r>
    </w:p>
    <w:p>
      <w:pPr>
        <w:spacing w:after="0" w:line="219" w:lineRule="exact"/>
        <w:rPr>
          <w:rFonts w:ascii="Times New Roman" w:cs="Times New Roman" w:eastAsia="Times New Roman" w:hAnsi="Times New Roman"/>
          <w:sz w:val="22"/>
          <w:szCs w:val="22"/>
          <w:color w:val="auto"/>
        </w:rPr>
      </w:pPr>
    </w:p>
    <w:p>
      <w:pPr>
        <w:ind w:left="1760" w:hanging="456"/>
        <w:spacing w:after="0"/>
        <w:tabs>
          <w:tab w:leader="none" w:pos="1760" w:val="left"/>
        </w:tabs>
        <w:numPr>
          <w:ilvl w:val="0"/>
          <w:numId w:val="2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terms and conditions the Company may in its discretion determine.</w:t>
      </w:r>
    </w:p>
    <w:p>
      <w:pPr>
        <w:spacing w:after="0" w:line="22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5.5 No certificates shall be issued with respect to such Grants or Share Units, but the Company shall maintain records in the name of each Participant showing the number and type of Share Units to which such Participant is entitled in accordance with this Plan.</w:t>
      </w:r>
    </w:p>
    <w:p>
      <w:pPr>
        <w:spacing w:after="0" w:line="167" w:lineRule="exact"/>
        <w:rPr>
          <w:sz w:val="20"/>
          <w:szCs w:val="20"/>
          <w:color w:val="auto"/>
        </w:rPr>
      </w:pPr>
    </w:p>
    <w:p>
      <w:pPr>
        <w:ind w:left="380" w:hanging="372"/>
        <w:spacing w:after="0"/>
        <w:tabs>
          <w:tab w:leader="none" w:pos="380" w:val="left"/>
        </w:tabs>
        <w:numPr>
          <w:ilvl w:val="0"/>
          <w:numId w:val="2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 OF PSUs AND RSUs</w:t>
      </w:r>
    </w:p>
    <w:p>
      <w:pPr>
        <w:spacing w:after="0" w:line="22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6.1 Subject to Articles 7 and 8, and unless otherwise determined by the Company at the Date of Grant, the Share Units may be satisfied in the form of Shares or cash, at the Company’s option, in each case to the extent Vested in accordance with the Vesting conditions for the Grant as determined under Article 5.</w:t>
      </w:r>
    </w:p>
    <w:p>
      <w:pPr>
        <w:spacing w:after="0" w:line="16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6.2 Subject to Articles 7 and 8, and unless otherwise determined by the Company at the Date of Grant, RSUs and PSUs may be satisfied in the form of Shares or cash, on such date as determined by the Company in its sole discretion, which date shall be on or in no event later than 90 days, following the applicable Release Date(s) for the Grant, as determined under Article 5, subject to the provisions of section 3.8 relating to withholding obligations.</w:t>
      </w:r>
    </w:p>
    <w:p>
      <w:pPr>
        <w:spacing w:after="0" w:line="179" w:lineRule="exact"/>
        <w:rPr>
          <w:sz w:val="20"/>
          <w:szCs w:val="20"/>
          <w:color w:val="auto"/>
        </w:rPr>
      </w:pPr>
    </w:p>
    <w:p>
      <w:pPr>
        <w:ind w:left="380" w:hanging="372"/>
        <w:spacing w:after="0"/>
        <w:tabs>
          <w:tab w:leader="none" w:pos="380" w:val="left"/>
        </w:tabs>
        <w:numPr>
          <w:ilvl w:val="0"/>
          <w:numId w:val="2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OF EMPLOYMENT AND FORFEITURES</w:t>
      </w:r>
    </w:p>
    <w:p>
      <w:pPr>
        <w:spacing w:after="0" w:line="23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7.1 Unless otherwise determined by the Company at any time, if a Participant ceases to be employed by the Company, a Subsidiary or Designated Affiliated Entity for any reason other than death, long-term disability, Retirement or termination without cause, there shall be forfeited as of such termination of employment all Share Units as have not been satisfied in the form of Shares or cash in accordance with the Plan. No cash or other compensation shall at any time be paid in lieu of any such Share Units which have been forfeited under this Plan.</w:t>
      </w:r>
    </w:p>
    <w:p>
      <w:pPr>
        <w:spacing w:after="0" w:line="194"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7.2 Unless otherwise determined by the Company at any time, if a Participant ceases to be an employee of the Company, a Subsidiary or a Designated Affiliated Entity by reason of death or long-term disability, the Participant’s right to be paid in respect of RSUs in a Grant previously granted to the Participant will be prorated based on the ratio of (a) the number of days of employment completed by the Participant between the Date of Grant of the RSUs and the date of death or long-term disability bears to (b) the number of days between the Date of Grant and the scheduled Release Date for such Share Units. Such payment shall be satisfied in the form of Shares or cash to the Participant or his or her Beneficiary, as applicable, and paid on a date as determined in the sole discretion of the Company which date shall be on or in no event later than 90 days after such termination event.</w:t>
      </w:r>
    </w:p>
    <w:p>
      <w:pPr>
        <w:spacing w:after="0" w:line="18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7.3 Unless otherwise determined by the Company at any time, if a Participant’s employment with the Company, a Subsidiary or a Designated Affiliate is terminated without cause, the Participant’s right to be paid in respect of any RSUs in a Grant previously granted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40"/>
          </w:cols>
          <w:pgMar w:left="320" w:top="1440" w:right="339" w:bottom="1440" w:gutter="0" w:footer="0" w:header="0"/>
        </w:sectPr>
      </w:pPr>
    </w:p>
    <w:bookmarkStart w:id="253" w:name="page254"/>
    <w:bookmarkEnd w:id="253"/>
    <w:p>
      <w:pPr>
        <w:spacing w:after="0" w:line="19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the Participant will be prorated based on the ratio of (a) the number of full years (with no credit for partial years) of employment completed by the Participant between the Date of Grant of the RSUs and termination of employment bears to (b) the number of full years, whether calendar or fiscal, between the Date of Grant and the scheduled Release Date for such Share Units. Such payment shall be satisfied in the form of Shares or cash and paid on a date as determined in the sole discretion of the Company within 90 days after such termination of employment.</w:t>
      </w:r>
    </w:p>
    <w:p>
      <w:pPr>
        <w:spacing w:after="0" w:line="179"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7.4 Unless otherwise determined by the Company at any time, if a Participant’s employment with the Company, a Subsidiary or a Designated Affiliate is terminated without cause, the PSUs in a Grant of such Participant shall Vest on the scheduled Release Date based on the achievement of the performance level specified in the conditions attaching to the Grant of the PSUs. The number of Shares to which the Participant is entitled in respect thereof will be prorated based on the ratio of (a) the number of full years (with no credit for partial years) of employment completed by the Participant between the Date of Grant of the PSUs and termination of employment bears to (b) the number of full years, whether calendar or fiscal, between the Date of Grant and the scheduled Release Date for such Share Units. Payment with respect to such PSUs shall otherwise be made at the time specified in section 6.2 hereof.</w:t>
      </w:r>
    </w:p>
    <w:p>
      <w:pPr>
        <w:spacing w:after="0" w:line="18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7.5 Unless otherwise determined by the Company at any time, if a Participant ceases to be employed by the Company, a Subsidiary or Designated Affiliated Entity by reason of death, the PSUs in a Grant of such Participant shall Vest as if the median level of performance specified in the conditions attaching to the Grant of the PSUs had been achieved as of the date of death but the number of Shares to which the Participant is entitled in respect thereof shall be prorated based on the number of days of completed employment from the Date of Grant for the PSUs to the date of death as a percentage of the total number of days between the Date of Grant and the scheduled Release Date for the PSUs. Such Shares or cash shall be distributed on a date determined in the sole discretion of the Company within 90 days after the date of death.</w:t>
      </w:r>
    </w:p>
    <w:p>
      <w:pPr>
        <w:spacing w:after="0" w:line="17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7.6 Unless otherwise determined by the Company at any time, if a Participant ceases to be employed by the Company, a Subsidiary or Designated Affiliated Entity by reason of Retirement or long-term disability, Vesting for PSUs in a Grant shall be determined on the scheduled Release Date for such PSUs on the basis of the actual performance achieved during the period specified for the Grant by the Company. The number of Shares to which the Participant shall be entitled to in respect thereof shall be prorated based on the number of days of completed employment from the Date of Grant for the PSUs to the date of Retirement or long-term disability as a percentage of the total number of days between the Date of Grant and the scheduled Release Date for the PSUs and shall be paid at the time specified in section 6.2 hereof.</w:t>
      </w:r>
    </w:p>
    <w:p>
      <w:pPr>
        <w:spacing w:after="0" w:line="18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7.7 Unless otherwise determined by the Company at any time, if a Participant ceases to be employed by the Company, a Subsidiary or Designated Affiliated Entity by reason of Retirement, RSUs that have not been satisfied as of the date of Retirement shall vest on the scheduled Release Date and shall be paid at the time specified in section 6.2 hereof.</w:t>
      </w:r>
    </w:p>
    <w:p>
      <w:pPr>
        <w:spacing w:after="0" w:line="18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7.8 Notwithstanding Articles 5 and 7, if there is a Change of Control, and a Participant ceases to be employed by the Company, a Subsidiary or Designated Affiliated Entity, by reason of a termination without cause or for Good Reason, either (x) within the earlier of six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240"/>
          </w:cols>
          <w:pgMar w:left="320" w:top="1440" w:right="339" w:bottom="1440" w:gutter="0" w:footer="0" w:header="0"/>
        </w:sectPr>
      </w:pPr>
    </w:p>
    <w:bookmarkStart w:id="254" w:name="page255"/>
    <w:bookmarkEnd w:id="254"/>
    <w:p>
      <w:pPr>
        <w:spacing w:after="0" w:line="19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months preceding the Change of Control or the public disclosure of a transaction, which, if completed, would give rise to a Change of Control and (y) the two years following the Change of Control, the Participant’s Share Units shall be fully Vested on, and the Release Date for all Share Units shall be, the later of (a) the date of the Change of Control; and (b) the date of termination of the Participant’s employment (the “</w:t>
      </w:r>
      <w:r>
        <w:rPr>
          <w:rFonts w:ascii="Times New Roman" w:cs="Times New Roman" w:eastAsia="Times New Roman" w:hAnsi="Times New Roman"/>
          <w:sz w:val="22"/>
          <w:szCs w:val="22"/>
          <w:b w:val="1"/>
          <w:bCs w:val="1"/>
          <w:color w:val="auto"/>
        </w:rPr>
        <w:t>Determination Date</w:t>
      </w:r>
      <w:r>
        <w:rPr>
          <w:rFonts w:ascii="Times New Roman" w:cs="Times New Roman" w:eastAsia="Times New Roman" w:hAnsi="Times New Roman"/>
          <w:sz w:val="22"/>
          <w:szCs w:val="22"/>
          <w:color w:val="auto"/>
        </w:rPr>
        <w:t>”). For this purpose, for PSUs, the number of Share Units shall be determined on the basis that: (i) for Share Units that were granted within 12 months of the Determination Date, based on the target level of performance specified for Vesting in the conditions attaching to the Grant of PSUs unless actual performance at the time of Change of Control has exceeded the target performance in which case actual performance shall apply; and (ii) for Share Units that were granted within 13 to 36 months of the Determination Date, based on a performance factor of at least 100% of actual performance. Actual performance of the Share Units will be defined by evaluating the metrics associated with the PSU grant, as determined in accordance with this Plan. The Board will approve the performance factor based on the provisions of this Section 7.8 and may also consider other appropriate factors in its sole discretion.</w:t>
      </w:r>
    </w:p>
    <w:p>
      <w:pPr>
        <w:spacing w:after="0" w:line="189"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7.9 This Plan is intended to comply in all respects with, or be exempt from, Section 409A of the Code. The foregoing notwithstanding, in no event whatsoever shall the Company or any of its affiliates be liable for any additional tax, interest or penalty that may be imposed on a Participant by Section 409A of the Code or damages for failing to comply with Section 409A of the Code. In case any one or more provisions of this Plan needs to be interpreted to comply with, or be exempt from, Section 409A of the Code, then such provision shall be so interpreted. If at the time of a Participant’s termination of employment with the Company, the Participant is a “specified employee” as defined in Section 409A of the Code as determined by the Company in accordance with Section 409A of the Code, and the deferral of the commencement of any payments or benefits otherwise payable hereunder as a result of such termination of employment is necessary in order to prevent any accelerated or additional tax under Section 409A of the Code, then the Company will defer the commencement of the payment of any such payments or benefits hereunder (without any reduction in payments or benefits ultimately paid or provided to the Participant) until the date that is at least six (6) months following the Participant’s termination of employment with the Company (or the earliest date permitted under Section 409A of the Code).</w:t>
      </w:r>
    </w:p>
    <w:p>
      <w:pPr>
        <w:spacing w:after="0" w:line="184" w:lineRule="exact"/>
        <w:rPr>
          <w:sz w:val="20"/>
          <w:szCs w:val="20"/>
          <w:color w:val="auto"/>
        </w:rPr>
      </w:pPr>
    </w:p>
    <w:p>
      <w:pPr>
        <w:ind w:left="380" w:hanging="372"/>
        <w:spacing w:after="0"/>
        <w:tabs>
          <w:tab w:leader="none" w:pos="380" w:val="left"/>
        </w:tabs>
        <w:numPr>
          <w:ilvl w:val="0"/>
          <w:numId w:val="2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FRACTIONAL SHARE UNITS AND SHARES</w:t>
      </w:r>
    </w:p>
    <w:p>
      <w:pPr>
        <w:spacing w:after="0" w:line="23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8.1 Where, under section 5.3, the number of Share Units allocated would result in a fractional Share Unit, the number of Share Units shall be rounded down to the next whole number of Share Units. No fractional Shares shall be provided nor shall cash be paid at any time in lieu of any such fractional interest. Where the Vesting of Share Units would result in a fractional Share, the number of Shares to be issued or provided shall be rounded down to the next whole number of Shares.</w:t>
      </w:r>
    </w:p>
    <w:p>
      <w:pPr>
        <w:spacing w:after="0" w:line="17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8.2 If so determined by the Company, in lieu of the provision of Shares in respect of Vested Share Units, the Company may, at its option, satisfy its obligation to provide Shares under the Plan, in whole or in part, by the payment of a cash amount to a Participant 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240"/>
          </w:cols>
          <w:pgMar w:left="320" w:top="1440" w:right="339" w:bottom="1440" w:gutter="0" w:footer="0" w:header="0"/>
        </w:sectPr>
      </w:pPr>
    </w:p>
    <w:bookmarkStart w:id="255" w:name="page256"/>
    <w:bookmarkEnd w:id="255"/>
    <w:p>
      <w:pPr>
        <w:spacing w:after="0" w:line="19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Release Date. The amount of such payment shall be equal to the number of Shares in respect of which the Company makes such a determination, multiplied by the closing price of the Shares on the trading day before the Release Date on the TSX or the NYSE, as selected by the Company, subject to any applicable withholding tax.</w:t>
      </w:r>
    </w:p>
    <w:p>
      <w:pPr>
        <w:spacing w:after="0" w:line="186" w:lineRule="exact"/>
        <w:rPr>
          <w:sz w:val="20"/>
          <w:szCs w:val="20"/>
          <w:color w:val="auto"/>
        </w:rPr>
      </w:pPr>
    </w:p>
    <w:p>
      <w:pPr>
        <w:ind w:left="380" w:hanging="372"/>
        <w:spacing w:after="0"/>
        <w:tabs>
          <w:tab w:leader="none" w:pos="380" w:val="left"/>
        </w:tabs>
        <w:numPr>
          <w:ilvl w:val="0"/>
          <w:numId w:val="2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CHANGES IN SHARE CAPITAL</w:t>
      </w:r>
    </w:p>
    <w:p>
      <w:pPr>
        <w:spacing w:after="0" w:line="22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9.1 If the number of outstanding Shares shall be increased or decreased as a result of a stock split, consolidation, subdivision, reclassification or recapitalization and not as a result of the issuance of Shares for additional consideration or by way of a stock dividend in the ordinary course, the Company may make appropriate adjustments to the number of Share Units granted to each Participant. Any determinations by the Company as to the adjustments shall be made in its sole discretion and all such adjustments shall be conclusive and binding for all purposes under this Plan.</w:t>
      </w:r>
    </w:p>
    <w:p>
      <w:pPr>
        <w:spacing w:after="0" w:line="179" w:lineRule="exact"/>
        <w:rPr>
          <w:sz w:val="20"/>
          <w:szCs w:val="20"/>
          <w:color w:val="auto"/>
        </w:rPr>
      </w:pPr>
    </w:p>
    <w:p>
      <w:pPr>
        <w:ind w:left="500" w:hanging="492"/>
        <w:spacing w:after="0"/>
        <w:tabs>
          <w:tab w:leader="none" w:pos="500" w:val="left"/>
        </w:tabs>
        <w:numPr>
          <w:ilvl w:val="0"/>
          <w:numId w:val="2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REORGANIZATION</w:t>
      </w:r>
    </w:p>
    <w:p>
      <w:pPr>
        <w:spacing w:after="0" w:line="220"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10.1 In the event of a Reorganization or proposed Reorganization, the Company, at its option, may, subject to Stock Exchange Rules, do either of the following:</w:t>
      </w:r>
    </w:p>
    <w:p>
      <w:pPr>
        <w:spacing w:after="0" w:line="158" w:lineRule="exact"/>
        <w:rPr>
          <w:sz w:val="20"/>
          <w:szCs w:val="20"/>
          <w:color w:val="auto"/>
        </w:rPr>
      </w:pPr>
    </w:p>
    <w:p>
      <w:pPr>
        <w:ind w:left="1960" w:hanging="656"/>
        <w:spacing w:after="0" w:line="253" w:lineRule="auto"/>
        <w:tabs>
          <w:tab w:leader="none" w:pos="1796" w:val="left"/>
        </w:tabs>
        <w:numPr>
          <w:ilvl w:val="0"/>
          <w:numId w:val="2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irrevocably commute for or into any other security or other property or cash any unsatisfied Share Unit held by a Participant upon giving to such Participant at least 30 days’ written notice of its intention to commute the Unit on a specified date, and during the period to such date, the Participant may elect to require the Company to distribute Shares to him or her equal to such unsatisfied Share Units, without regard to the limitations contained in Article 6, or</w:t>
      </w:r>
    </w:p>
    <w:p>
      <w:pPr>
        <w:spacing w:after="0" w:line="178" w:lineRule="exact"/>
        <w:rPr>
          <w:rFonts w:ascii="Times New Roman" w:cs="Times New Roman" w:eastAsia="Times New Roman" w:hAnsi="Times New Roman"/>
          <w:sz w:val="22"/>
          <w:szCs w:val="22"/>
          <w:color w:val="auto"/>
        </w:rPr>
      </w:pPr>
    </w:p>
    <w:p>
      <w:pPr>
        <w:ind w:left="1960" w:hanging="656"/>
        <w:spacing w:after="0" w:line="250" w:lineRule="auto"/>
        <w:tabs>
          <w:tab w:leader="none" w:pos="1851" w:val="left"/>
        </w:tabs>
        <w:numPr>
          <w:ilvl w:val="0"/>
          <w:numId w:val="2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or any corporation which is or would be the successor to the Company or which may issue securities in exchange for Shares upon the Reorganization becoming effective, may offer any Participant in writing the opportunity to obtain the securities into which the Shares are changed or are convertible or exchangeable, on a basis proportionate to the number of unsatisfied Share Units held by such Participant or some other appropriate basis, or some other property. If a Participant accepts such offer, he or she shall be deemed to have released his or her rights relating to the Share Units and such Share Units shall be deemed to have terminated.</w:t>
      </w:r>
    </w:p>
    <w:p>
      <w:pPr>
        <w:spacing w:after="0" w:line="194" w:lineRule="exact"/>
        <w:rPr>
          <w:sz w:val="20"/>
          <w:szCs w:val="20"/>
          <w:color w:val="auto"/>
        </w:rPr>
      </w:pPr>
    </w:p>
    <w:p>
      <w:pPr>
        <w:jc w:val="both"/>
        <w:ind w:left="1960"/>
        <w:spacing w:after="0" w:line="275" w:lineRule="auto"/>
        <w:rPr>
          <w:sz w:val="20"/>
          <w:szCs w:val="20"/>
          <w:color w:val="auto"/>
        </w:rPr>
      </w:pPr>
      <w:r>
        <w:rPr>
          <w:rFonts w:ascii="Times New Roman" w:cs="Times New Roman" w:eastAsia="Times New Roman" w:hAnsi="Times New Roman"/>
          <w:sz w:val="21"/>
          <w:szCs w:val="21"/>
          <w:color w:val="auto"/>
        </w:rPr>
        <w:t>For this purpose, the cash amount will be determined on the basis of being not less for each Share Unit than the Market Price, and, for PSUs, on the basis that the target level of performance for Vesting specified in the conditions attached to the Grant of PSUs has been achieved as at the date of the Change of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240"/>
          </w:cols>
          <w:pgMar w:left="320" w:top="1440" w:right="339" w:bottom="1440" w:gutter="0" w:footer="0" w:header="0"/>
        </w:sectPr>
      </w:pPr>
    </w:p>
    <w:bookmarkStart w:id="256" w:name="page257"/>
    <w:bookmarkEnd w:id="256"/>
    <w:p>
      <w:pPr>
        <w:spacing w:after="0" w:line="19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10.2 The Company may specify in any notice or offer made under section 10.1, that, if for any reason, the Reorganization is not completed, the Company may revoke such notice or offer. The Company may exercise such right by further notice in writing to the Participant and the Share Unit shall thereafter continue to be allocated to the Participant in accordance with its terms.</w:t>
      </w:r>
    </w:p>
    <w:p>
      <w:pPr>
        <w:spacing w:after="0" w:line="17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10.3 Subsections (a) and (b) of section 10.1 are intended to be permissive and may be utilized independently or successively or in combination or otherwise, and nothing therein contained shall be construed as limiting or affecting the ability of the Company to deal with Share Units in any other manner.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240"/>
          </w:cols>
          <w:pgMar w:left="320" w:top="1440" w:right="339" w:bottom="1440" w:gutter="0" w:footer="0" w:header="0"/>
        </w:sectPr>
      </w:pPr>
    </w:p>
    <w:bookmarkStart w:id="257" w:name="page258"/>
    <w:bookmarkEnd w:id="257"/>
    <w:p>
      <w:pPr>
        <w:spacing w:after="0" w:line="1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10.12</w:t>
      </w:r>
    </w:p>
    <w:p>
      <w:pPr>
        <w:spacing w:after="0" w:line="22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Form of Long Term Incentive Grant Notification</w:t>
      </w:r>
    </w:p>
    <w:p>
      <w:pPr>
        <w:spacing w:after="0" w:line="6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Celestica [Long Term Incentive] [Share Unit] Plan – Restricted Share Units (RSUs)</w:t>
      </w:r>
    </w:p>
    <w:p>
      <w:pPr>
        <w:spacing w:after="0" w:line="200" w:lineRule="exact"/>
        <w:rPr>
          <w:sz w:val="20"/>
          <w:szCs w:val="20"/>
          <w:color w:val="auto"/>
        </w:rPr>
      </w:pPr>
    </w:p>
    <w:p>
      <w:pPr>
        <w:spacing w:after="0" w:line="379" w:lineRule="exact"/>
        <w:rPr>
          <w:sz w:val="20"/>
          <w:szCs w:val="20"/>
          <w:color w:val="auto"/>
        </w:rPr>
      </w:pPr>
    </w:p>
    <w:p>
      <w:pPr>
        <w:ind w:left="80"/>
        <w:spacing w:after="0"/>
        <w:rPr>
          <w:sz w:val="20"/>
          <w:szCs w:val="20"/>
          <w:color w:val="auto"/>
        </w:rPr>
      </w:pPr>
      <w:r>
        <w:rPr>
          <w:rFonts w:ascii="Arial" w:cs="Arial" w:eastAsia="Arial" w:hAnsi="Arial"/>
          <w:sz w:val="20"/>
          <w:szCs w:val="20"/>
          <w:color w:val="auto"/>
        </w:rPr>
        <w:t>Participant Name:</w:t>
      </w:r>
    </w:p>
    <w:p>
      <w:pPr>
        <w:spacing w:after="0" w:line="31" w:lineRule="exact"/>
        <w:rPr>
          <w:sz w:val="20"/>
          <w:szCs w:val="20"/>
          <w:color w:val="auto"/>
        </w:rPr>
      </w:pPr>
    </w:p>
    <w:p>
      <w:pPr>
        <w:ind w:left="80"/>
        <w:spacing w:after="0"/>
        <w:rPr>
          <w:sz w:val="20"/>
          <w:szCs w:val="20"/>
          <w:color w:val="auto"/>
        </w:rPr>
      </w:pPr>
      <w:r>
        <w:rPr>
          <w:rFonts w:ascii="Arial" w:cs="Arial" w:eastAsia="Arial" w:hAnsi="Arial"/>
          <w:sz w:val="20"/>
          <w:szCs w:val="20"/>
          <w:color w:val="auto"/>
        </w:rPr>
        <w:t>Employee Number:</w:t>
      </w:r>
    </w:p>
    <w:p>
      <w:pPr>
        <w:spacing w:after="0" w:line="27" w:lineRule="exact"/>
        <w:rPr>
          <w:sz w:val="20"/>
          <w:szCs w:val="20"/>
          <w:color w:val="auto"/>
        </w:rPr>
      </w:pPr>
    </w:p>
    <w:p>
      <w:pPr>
        <w:ind w:left="80"/>
        <w:spacing w:after="0"/>
        <w:rPr>
          <w:sz w:val="20"/>
          <w:szCs w:val="20"/>
          <w:color w:val="auto"/>
        </w:rPr>
      </w:pPr>
      <w:r>
        <w:rPr>
          <w:rFonts w:ascii="Arial" w:cs="Arial" w:eastAsia="Arial" w:hAnsi="Arial"/>
          <w:sz w:val="20"/>
          <w:szCs w:val="20"/>
          <w:color w:val="auto"/>
        </w:rPr>
        <w:t>Grant Name:</w:t>
      </w:r>
    </w:p>
    <w:p>
      <w:pPr>
        <w:spacing w:after="0" w:line="27" w:lineRule="exact"/>
        <w:rPr>
          <w:sz w:val="20"/>
          <w:szCs w:val="20"/>
          <w:color w:val="auto"/>
        </w:rPr>
      </w:pPr>
    </w:p>
    <w:p>
      <w:pPr>
        <w:ind w:left="80"/>
        <w:spacing w:after="0"/>
        <w:rPr>
          <w:sz w:val="20"/>
          <w:szCs w:val="20"/>
          <w:color w:val="auto"/>
        </w:rPr>
      </w:pPr>
      <w:r>
        <w:rPr>
          <w:rFonts w:ascii="Arial" w:cs="Arial" w:eastAsia="Arial" w:hAnsi="Arial"/>
          <w:sz w:val="20"/>
          <w:szCs w:val="20"/>
          <w:color w:val="auto"/>
        </w:rPr>
        <w:t>Issue Date:</w:t>
      </w:r>
    </w:p>
    <w:p>
      <w:pPr>
        <w:spacing w:after="0" w:line="200" w:lineRule="exact"/>
        <w:rPr>
          <w:sz w:val="20"/>
          <w:szCs w:val="20"/>
          <w:color w:val="auto"/>
        </w:rPr>
      </w:pPr>
    </w:p>
    <w:p>
      <w:pPr>
        <w:spacing w:after="0" w:line="254" w:lineRule="exact"/>
        <w:rPr>
          <w:sz w:val="20"/>
          <w:szCs w:val="20"/>
          <w:color w:val="auto"/>
        </w:rPr>
      </w:pPr>
    </w:p>
    <w:p>
      <w:pPr>
        <w:ind w:left="80"/>
        <w:spacing w:after="0"/>
        <w:rPr>
          <w:sz w:val="20"/>
          <w:szCs w:val="20"/>
          <w:color w:val="auto"/>
        </w:rPr>
      </w:pPr>
      <w:r>
        <w:rPr>
          <w:rFonts w:ascii="Arial" w:cs="Arial" w:eastAsia="Arial" w:hAnsi="Arial"/>
          <w:sz w:val="20"/>
          <w:szCs w:val="20"/>
          <w:color w:val="auto"/>
        </w:rPr>
        <w:t>Total Number of RSUs Granted:</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100"/>
        <w:spacing w:after="0" w:line="286" w:lineRule="auto"/>
        <w:rPr>
          <w:sz w:val="20"/>
          <w:szCs w:val="20"/>
          <w:color w:val="auto"/>
        </w:rPr>
      </w:pPr>
      <w:r>
        <w:rPr>
          <w:rFonts w:ascii="Arial" w:cs="Arial" w:eastAsia="Arial" w:hAnsi="Arial"/>
          <w:sz w:val="20"/>
          <w:szCs w:val="20"/>
          <w:color w:val="auto"/>
        </w:rPr>
        <w:t>The particulars of the RSUs granted to you under the Celestica [Long Term Incentive Plan (LTIP)] [Share Unit Plan (CSUP)] are outlined on this notification statement.</w:t>
      </w:r>
    </w:p>
    <w:p>
      <w:pPr>
        <w:spacing w:after="0" w:line="154" w:lineRule="exact"/>
        <w:rPr>
          <w:sz w:val="20"/>
          <w:szCs w:val="20"/>
          <w:color w:val="auto"/>
        </w:rPr>
      </w:pPr>
    </w:p>
    <w:p>
      <w:pPr>
        <w:ind w:right="700"/>
        <w:spacing w:after="0" w:line="227" w:lineRule="auto"/>
        <w:rPr>
          <w:sz w:val="20"/>
          <w:szCs w:val="20"/>
          <w:color w:val="auto"/>
        </w:rPr>
      </w:pPr>
      <w:r>
        <w:rPr>
          <w:rFonts w:ascii="Arial" w:cs="Arial" w:eastAsia="Arial" w:hAnsi="Arial"/>
          <w:sz w:val="20"/>
          <w:szCs w:val="20"/>
          <w:color w:val="auto"/>
        </w:rPr>
        <w:t>One-third of the RSUs will vest on each of the first two anniversaries of the Grant and December 1</w:t>
      </w:r>
      <w:r>
        <w:rPr>
          <w:rFonts w:ascii="Arial" w:cs="Arial" w:eastAsia="Arial" w:hAnsi="Arial"/>
          <w:sz w:val="25"/>
          <w:szCs w:val="25"/>
          <w:color w:val="auto"/>
          <w:vertAlign w:val="superscript"/>
        </w:rPr>
        <w:t>st</w:t>
      </w:r>
      <w:r>
        <w:rPr>
          <w:rFonts w:ascii="Arial" w:cs="Arial" w:eastAsia="Arial" w:hAnsi="Arial"/>
          <w:sz w:val="20"/>
          <w:szCs w:val="20"/>
          <w:color w:val="auto"/>
        </w:rPr>
        <w:t xml:space="preserve"> following the second anniversary and become payable on the corresponding Release Date.</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Acknowledgement</w:t>
      </w:r>
    </w:p>
    <w:p>
      <w:pPr>
        <w:spacing w:after="0" w:line="51" w:lineRule="exact"/>
        <w:rPr>
          <w:sz w:val="20"/>
          <w:szCs w:val="20"/>
          <w:color w:val="auto"/>
        </w:rPr>
      </w:pPr>
    </w:p>
    <w:p>
      <w:pPr>
        <w:ind w:right="580"/>
        <w:spacing w:after="0" w:line="254" w:lineRule="auto"/>
        <w:rPr>
          <w:sz w:val="20"/>
          <w:szCs w:val="20"/>
          <w:color w:val="auto"/>
        </w:rPr>
      </w:pPr>
      <w:r>
        <w:rPr>
          <w:rFonts w:ascii="Arial" w:cs="Arial" w:eastAsia="Arial" w:hAnsi="Arial"/>
          <w:sz w:val="20"/>
          <w:szCs w:val="20"/>
          <w:color w:val="auto"/>
        </w:rPr>
        <w:t>You acknowledge and agree that your RSUs shall terminate in certain circumstances as set out in the [LTIP] [CSUP]. As a condition of this Grant of RSUs to you, you agree that in addition, such RSUs shall terminate immediately if you accept employment with an employer, or accept an engagement to supply services, directly or indirectly, to a third party that is in competition with the Company or any of its subsidiaries. You also agree that if at any time during the period of twelve (12) months from the vesting date of these RSUs:</w:t>
      </w:r>
    </w:p>
    <w:p>
      <w:pPr>
        <w:spacing w:after="0" w:line="187" w:lineRule="exact"/>
        <w:rPr>
          <w:sz w:val="20"/>
          <w:szCs w:val="20"/>
          <w:color w:val="auto"/>
        </w:rPr>
      </w:pPr>
    </w:p>
    <w:p>
      <w:pPr>
        <w:ind w:left="660" w:right="320" w:hanging="652"/>
        <w:spacing w:after="0" w:line="286" w:lineRule="auto"/>
        <w:tabs>
          <w:tab w:leader="none" w:pos="647" w:val="left"/>
        </w:tabs>
        <w:numPr>
          <w:ilvl w:val="0"/>
          <w:numId w:val="242"/>
        </w:numPr>
        <w:rPr>
          <w:rFonts w:ascii="Arial" w:cs="Arial" w:eastAsia="Arial" w:hAnsi="Arial"/>
          <w:sz w:val="20"/>
          <w:szCs w:val="20"/>
          <w:color w:val="auto"/>
        </w:rPr>
      </w:pPr>
      <w:r>
        <w:rPr>
          <w:rFonts w:ascii="Arial" w:cs="Arial" w:eastAsia="Arial" w:hAnsi="Arial"/>
          <w:sz w:val="20"/>
          <w:szCs w:val="20"/>
          <w:color w:val="auto"/>
        </w:rPr>
        <w:t>you accept employment with an employer, or accept an engagement to supply services, directly or indirectly, to a third party that is in competition with the Company or any of its subsidiaries;</w:t>
      </w:r>
    </w:p>
    <w:p>
      <w:pPr>
        <w:spacing w:after="0" w:line="140" w:lineRule="exact"/>
        <w:rPr>
          <w:rFonts w:ascii="Arial" w:cs="Arial" w:eastAsia="Arial" w:hAnsi="Arial"/>
          <w:sz w:val="20"/>
          <w:szCs w:val="20"/>
          <w:color w:val="auto"/>
        </w:rPr>
      </w:pPr>
    </w:p>
    <w:p>
      <w:pPr>
        <w:ind w:left="660" w:right="440" w:hanging="652"/>
        <w:spacing w:after="0" w:line="286" w:lineRule="auto"/>
        <w:tabs>
          <w:tab w:leader="none" w:pos="650" w:val="left"/>
        </w:tabs>
        <w:numPr>
          <w:ilvl w:val="0"/>
          <w:numId w:val="242"/>
        </w:numPr>
        <w:rPr>
          <w:rFonts w:ascii="Arial" w:cs="Arial" w:eastAsia="Arial" w:hAnsi="Arial"/>
          <w:sz w:val="20"/>
          <w:szCs w:val="20"/>
          <w:color w:val="auto"/>
        </w:rPr>
      </w:pPr>
      <w:r>
        <w:rPr>
          <w:rFonts w:ascii="Arial" w:cs="Arial" w:eastAsia="Arial" w:hAnsi="Arial"/>
          <w:sz w:val="20"/>
          <w:szCs w:val="20"/>
          <w:color w:val="auto"/>
        </w:rPr>
        <w:t>you fail to comply with or otherwise breach the terms and conditions of a confidentiality agreement or non-disclosure agreement with, or your confidentiality obligations to, the Company or any of its subsidiaries; or</w:t>
      </w:r>
    </w:p>
    <w:p>
      <w:pPr>
        <w:spacing w:after="0" w:line="140" w:lineRule="exact"/>
        <w:rPr>
          <w:rFonts w:ascii="Arial" w:cs="Arial" w:eastAsia="Arial" w:hAnsi="Arial"/>
          <w:sz w:val="20"/>
          <w:szCs w:val="20"/>
          <w:color w:val="auto"/>
        </w:rPr>
      </w:pPr>
    </w:p>
    <w:p>
      <w:pPr>
        <w:ind w:left="660" w:right="100" w:hanging="652"/>
        <w:spacing w:after="0" w:line="286" w:lineRule="auto"/>
        <w:tabs>
          <w:tab w:leader="none" w:pos="653" w:val="left"/>
        </w:tabs>
        <w:numPr>
          <w:ilvl w:val="0"/>
          <w:numId w:val="242"/>
        </w:numPr>
        <w:rPr>
          <w:rFonts w:ascii="Arial" w:cs="Arial" w:eastAsia="Arial" w:hAnsi="Arial"/>
          <w:sz w:val="20"/>
          <w:szCs w:val="20"/>
          <w:color w:val="auto"/>
        </w:rPr>
      </w:pPr>
      <w:r>
        <w:rPr>
          <w:rFonts w:ascii="Arial" w:cs="Arial" w:eastAsia="Arial" w:hAnsi="Arial"/>
          <w:sz w:val="20"/>
          <w:szCs w:val="20"/>
          <w:color w:val="auto"/>
        </w:rPr>
        <w:t>you, on your own behalf or on others’ behalf, directly or indirectly recruit, induce or solicit, or attempt to recruit, induce or solicit any current employee or other</w:t>
      </w:r>
    </w:p>
    <w:p>
      <w:pPr>
        <w:sectPr>
          <w:pgSz w:w="11900" w:h="16838" w:orient="portrait"/>
          <w:cols w:equalWidth="0" w:num="1">
            <w:col w:w="11240"/>
          </w:cols>
          <w:pgMar w:left="320" w:top="1440" w:right="339" w:bottom="1440" w:gutter="0" w:footer="0" w:header="0"/>
        </w:sectPr>
      </w:pPr>
    </w:p>
    <w:bookmarkStart w:id="258" w:name="page259"/>
    <w:bookmarkEnd w:id="258"/>
    <w:p>
      <w:pPr>
        <w:spacing w:after="0" w:line="190" w:lineRule="exact"/>
        <w:rPr>
          <w:sz w:val="20"/>
          <w:szCs w:val="20"/>
          <w:color w:val="auto"/>
        </w:rPr>
      </w:pPr>
    </w:p>
    <w:p>
      <w:pPr>
        <w:ind w:left="660" w:right="440"/>
        <w:spacing w:after="0" w:line="286" w:lineRule="auto"/>
        <w:rPr>
          <w:sz w:val="20"/>
          <w:szCs w:val="20"/>
          <w:color w:val="auto"/>
        </w:rPr>
      </w:pPr>
      <w:r>
        <w:rPr>
          <w:rFonts w:ascii="Arial" w:cs="Arial" w:eastAsia="Arial" w:hAnsi="Arial"/>
          <w:sz w:val="20"/>
          <w:szCs w:val="20"/>
          <w:color w:val="auto"/>
        </w:rPr>
        <w:t>individual who is/was supplying services to the Company or any of its subsidiaries, to terminate their employment or contractual arrangements with the Company or any of its subsidiaries;</w:t>
      </w:r>
    </w:p>
    <w:p>
      <w:pPr>
        <w:spacing w:after="0" w:line="140" w:lineRule="exact"/>
        <w:rPr>
          <w:sz w:val="20"/>
          <w:szCs w:val="20"/>
          <w:color w:val="auto"/>
        </w:rPr>
      </w:pPr>
    </w:p>
    <w:p>
      <w:pPr>
        <w:spacing w:after="0" w:line="259" w:lineRule="auto"/>
        <w:rPr>
          <w:sz w:val="20"/>
          <w:szCs w:val="20"/>
          <w:color w:val="auto"/>
        </w:rPr>
      </w:pPr>
      <w:r>
        <w:rPr>
          <w:rFonts w:ascii="Arial" w:cs="Arial" w:eastAsia="Arial" w:hAnsi="Arial"/>
          <w:sz w:val="20"/>
          <w:szCs w:val="20"/>
          <w:color w:val="auto"/>
        </w:rPr>
        <w:t>you will, if required by the Company, pay to the Company within ten (10) days of written demand, an amount equal to the market value of the shares at the time of release, net of any tax paid by you. You also agree that this provision is not an exclusive remedy, and the Company may also seek other remedies in respect of any breach of your obligations to the Company and its subsidiaries.</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Terms and Conditions</w:t>
      </w:r>
    </w:p>
    <w:p>
      <w:pPr>
        <w:spacing w:after="0" w:line="51" w:lineRule="exact"/>
        <w:rPr>
          <w:sz w:val="20"/>
          <w:szCs w:val="20"/>
          <w:color w:val="auto"/>
        </w:rPr>
      </w:pPr>
    </w:p>
    <w:p>
      <w:pPr>
        <w:spacing w:after="0" w:line="252" w:lineRule="auto"/>
        <w:rPr>
          <w:sz w:val="20"/>
          <w:szCs w:val="20"/>
          <w:color w:val="auto"/>
        </w:rPr>
      </w:pPr>
      <w:r>
        <w:rPr>
          <w:rFonts w:ascii="Arial" w:cs="Arial" w:eastAsia="Arial" w:hAnsi="Arial"/>
          <w:sz w:val="20"/>
          <w:szCs w:val="20"/>
          <w:color w:val="auto"/>
        </w:rPr>
        <w:t xml:space="preserve">The RSU Grant is subject to all terms and conditions set out in the [LTIP] [CSUP], </w:t>
      </w:r>
      <w:r>
        <w:rPr>
          <w:rFonts w:ascii="Arial" w:cs="Arial" w:eastAsia="Arial" w:hAnsi="Arial"/>
          <w:sz w:val="20"/>
          <w:szCs w:val="20"/>
          <w:color w:val="222222"/>
        </w:rPr>
        <w:t>and as may be amended from time to time to</w:t>
      </w:r>
      <w:r>
        <w:rPr>
          <w:rFonts w:ascii="Arial" w:cs="Arial" w:eastAsia="Arial" w:hAnsi="Arial"/>
          <w:sz w:val="20"/>
          <w:szCs w:val="20"/>
          <w:color w:val="auto"/>
        </w:rPr>
        <w:t xml:space="preserve"> </w:t>
      </w:r>
      <w:r>
        <w:rPr>
          <w:rFonts w:ascii="Arial" w:cs="Arial" w:eastAsia="Arial" w:hAnsi="Arial"/>
          <w:sz w:val="20"/>
          <w:szCs w:val="20"/>
          <w:color w:val="222222"/>
        </w:rPr>
        <w:t>which further amendments you consent by accepting this Grant as set forth below</w:t>
      </w:r>
      <w:r>
        <w:rPr>
          <w:rFonts w:ascii="Arial" w:cs="Arial" w:eastAsia="Arial" w:hAnsi="Arial"/>
          <w:sz w:val="20"/>
          <w:szCs w:val="20"/>
          <w:color w:val="000000"/>
        </w:rPr>
        <w:t>. Capitalized terms not defined in this</w:t>
      </w:r>
      <w:r>
        <w:rPr>
          <w:rFonts w:ascii="Arial" w:cs="Arial" w:eastAsia="Arial" w:hAnsi="Arial"/>
          <w:sz w:val="20"/>
          <w:szCs w:val="20"/>
          <w:color w:val="222222"/>
        </w:rPr>
        <w:t xml:space="preserve"> </w:t>
      </w:r>
      <w:r>
        <w:rPr>
          <w:rFonts w:ascii="Arial" w:cs="Arial" w:eastAsia="Arial" w:hAnsi="Arial"/>
          <w:sz w:val="20"/>
          <w:szCs w:val="20"/>
          <w:color w:val="000000"/>
        </w:rPr>
        <w:t xml:space="preserve">notification statement are as defined in the [LTIP] [CSUP]. In addition, by such acceptance you consent to such amendments in respect of all past and future RSU grants under the CSUP. A copy of the current plan text is available to you on the Celestica Intranet in the Human Resources section as well as in your personal account with Shareworks under the document tab. </w:t>
      </w:r>
      <w:r>
        <w:rPr>
          <w:rFonts w:ascii="Arial" w:cs="Arial" w:eastAsia="Arial" w:hAnsi="Arial"/>
          <w:sz w:val="20"/>
          <w:szCs w:val="20"/>
          <w:b w:val="1"/>
          <w:bCs w:val="1"/>
          <w:color w:val="000000"/>
        </w:rPr>
        <w:t>You are</w:t>
      </w:r>
      <w:r>
        <w:rPr>
          <w:rFonts w:ascii="Arial" w:cs="Arial" w:eastAsia="Arial" w:hAnsi="Arial"/>
          <w:sz w:val="20"/>
          <w:szCs w:val="20"/>
          <w:color w:val="000000"/>
        </w:rPr>
        <w:t xml:space="preserve"> </w:t>
      </w:r>
      <w:r>
        <w:rPr>
          <w:rFonts w:ascii="Arial" w:cs="Arial" w:eastAsia="Arial" w:hAnsi="Arial"/>
          <w:sz w:val="20"/>
          <w:szCs w:val="20"/>
          <w:b w:val="1"/>
          <w:bCs w:val="1"/>
          <w:color w:val="000000"/>
        </w:rPr>
        <w:t>strongly encouraged to review the [LTIP] [CSUP] plan documents and in particular sections dealing with the circumstance under which your RSU’s may be terminated</w:t>
      </w:r>
      <w:r>
        <w:rPr>
          <w:rFonts w:ascii="Arial" w:cs="Arial" w:eastAsia="Arial" w:hAnsi="Arial"/>
          <w:sz w:val="20"/>
          <w:szCs w:val="20"/>
          <w:color w:val="000000"/>
        </w:rPr>
        <w:t>. If required, further clarification may be obtained from the</w:t>
      </w:r>
      <w:r>
        <w:rPr>
          <w:rFonts w:ascii="Arial" w:cs="Arial" w:eastAsia="Arial" w:hAnsi="Arial"/>
          <w:sz w:val="20"/>
          <w:szCs w:val="20"/>
          <w:b w:val="1"/>
          <w:bCs w:val="1"/>
          <w:color w:val="000000"/>
        </w:rPr>
        <w:t xml:space="preserve"> </w:t>
      </w:r>
      <w:r>
        <w:rPr>
          <w:rFonts w:ascii="Arial" w:cs="Arial" w:eastAsia="Arial" w:hAnsi="Arial"/>
          <w:sz w:val="20"/>
          <w:szCs w:val="20"/>
          <w:color w:val="000000"/>
        </w:rPr>
        <w:t>Corporate Human Resources Department.</w:t>
      </w:r>
    </w:p>
    <w:p>
      <w:pPr>
        <w:spacing w:after="0" w:line="188" w:lineRule="exact"/>
        <w:rPr>
          <w:sz w:val="20"/>
          <w:szCs w:val="20"/>
          <w:color w:val="auto"/>
        </w:rPr>
      </w:pPr>
    </w:p>
    <w:p>
      <w:pPr>
        <w:ind w:right="120"/>
        <w:spacing w:after="0" w:line="271" w:lineRule="auto"/>
        <w:rPr>
          <w:sz w:val="20"/>
          <w:szCs w:val="20"/>
          <w:color w:val="auto"/>
        </w:rPr>
      </w:pPr>
      <w:r>
        <w:rPr>
          <w:rFonts w:ascii="Arial" w:cs="Arial" w:eastAsia="Arial" w:hAnsi="Arial"/>
          <w:sz w:val="20"/>
          <w:szCs w:val="20"/>
          <w:color w:val="auto"/>
        </w:rPr>
        <w:t>You understand that in order to validate the RSUs granted to you, you must accept the Grant within 30 days of notification from the plan administrator. Failure to do so within 30 days will result in cancellation of the RSU Grant.</w:t>
      </w:r>
    </w:p>
    <w:p>
      <w:pPr>
        <w:spacing w:after="0" w:line="169" w:lineRule="exact"/>
        <w:rPr>
          <w:sz w:val="20"/>
          <w:szCs w:val="20"/>
          <w:color w:val="auto"/>
        </w:rPr>
      </w:pPr>
    </w:p>
    <w:p>
      <w:pPr>
        <w:ind w:right="80"/>
        <w:spacing w:after="0" w:line="262" w:lineRule="auto"/>
        <w:rPr>
          <w:sz w:val="20"/>
          <w:szCs w:val="20"/>
          <w:color w:val="auto"/>
        </w:rPr>
      </w:pPr>
      <w:r>
        <w:rPr>
          <w:rFonts w:ascii="Arial" w:cs="Arial" w:eastAsia="Arial" w:hAnsi="Arial"/>
          <w:sz w:val="20"/>
          <w:szCs w:val="20"/>
          <w:color w:val="auto"/>
        </w:rPr>
        <w:t>You acknowledge that you have reviewed the provisions of this Grant and the terms and conditions under which it is made. You confirm your acceptance of the Grant under these provisions and agree to the foregoing terms and conditions by clicking the “Accept” button below which shall constitute or be equivalent to your signature in writing.</w:t>
      </w:r>
    </w:p>
    <w:p>
      <w:pPr>
        <w:spacing w:after="0" w:line="165" w:lineRule="exact"/>
        <w:rPr>
          <w:sz w:val="20"/>
          <w:szCs w:val="20"/>
          <w:color w:val="auto"/>
        </w:rPr>
      </w:pPr>
    </w:p>
    <w:p>
      <w:pPr>
        <w:jc w:val="both"/>
        <w:ind w:right="60"/>
        <w:spacing w:after="0" w:line="269" w:lineRule="auto"/>
        <w:rPr>
          <w:sz w:val="20"/>
          <w:szCs w:val="20"/>
          <w:color w:val="auto"/>
        </w:rPr>
      </w:pPr>
      <w:r>
        <w:rPr>
          <w:rFonts w:ascii="Arial" w:cs="Arial" w:eastAsia="Arial" w:hAnsi="Arial"/>
          <w:sz w:val="20"/>
          <w:szCs w:val="20"/>
          <w:color w:val="auto"/>
        </w:rPr>
        <w:t xml:space="preserve">The most recent Celestica Annual Report on Form 20-F covering your award can be found on Celestica.com/Investor relations tab: </w:t>
      </w:r>
      <w:r>
        <w:rPr>
          <w:rFonts w:ascii="Arial" w:cs="Arial" w:eastAsia="Arial" w:hAnsi="Arial"/>
          <w:sz w:val="20"/>
          <w:szCs w:val="20"/>
          <w:u w:val="single" w:color="auto"/>
          <w:color w:val="0000FF"/>
        </w:rPr>
        <w:t>https://corporate.celestica.com/financial-information/sec-filings</w:t>
      </w:r>
      <w:r>
        <w:rPr>
          <w:rFonts w:ascii="Arial" w:cs="Arial" w:eastAsia="Arial" w:hAnsi="Arial"/>
          <w:sz w:val="20"/>
          <w:szCs w:val="20"/>
          <w:color w:val="auto"/>
        </w:rPr>
        <w:t>, and the prospectuses can be found in the documents tab of your Shareworks account.</w:t>
      </w:r>
    </w:p>
    <w:p>
      <w:pPr>
        <w:spacing w:after="0" w:line="158" w:lineRule="exact"/>
        <w:rPr>
          <w:sz w:val="20"/>
          <w:szCs w:val="20"/>
          <w:color w:val="auto"/>
        </w:rPr>
      </w:pPr>
    </w:p>
    <w:p>
      <w:pPr>
        <w:ind w:right="140"/>
        <w:spacing w:after="0" w:line="286" w:lineRule="auto"/>
        <w:rPr>
          <w:sz w:val="20"/>
          <w:szCs w:val="20"/>
          <w:color w:val="auto"/>
        </w:rPr>
      </w:pPr>
      <w:r>
        <w:rPr>
          <w:rFonts w:ascii="Arial" w:cs="Arial" w:eastAsia="Arial" w:hAnsi="Arial"/>
          <w:sz w:val="20"/>
          <w:szCs w:val="20"/>
          <w:color w:val="auto"/>
        </w:rPr>
        <w:t>As this special incentive is not being provided to all employees, please respect the confidentiality of the award and refrain from discussing this opportunity with others.</w:t>
      </w:r>
    </w:p>
    <w:p>
      <w:pPr>
        <w:spacing w:after="0" w:line="14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 the event of a discrepancy between this document and company records, company records shall prevail.</w:t>
      </w:r>
    </w:p>
    <w:p>
      <w:pPr>
        <w:sectPr>
          <w:pgSz w:w="11900" w:h="16838" w:orient="portrait"/>
          <w:cols w:equalWidth="0" w:num="1">
            <w:col w:w="11200"/>
          </w:cols>
          <w:pgMar w:left="320" w:top="1440" w:right="379" w:bottom="1440" w:gutter="0" w:footer="0" w:header="0"/>
        </w:sectPr>
      </w:pPr>
    </w:p>
    <w:bookmarkStart w:id="259" w:name="page260"/>
    <w:bookmarkEnd w:id="259"/>
    <w:p>
      <w:pPr>
        <w:spacing w:after="0" w:line="1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10.13</w:t>
      </w:r>
    </w:p>
    <w:p>
      <w:pPr>
        <w:spacing w:after="0" w:line="22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Form of Long Term Incentive Grant Notification</w:t>
      </w:r>
    </w:p>
    <w:p>
      <w:pPr>
        <w:spacing w:after="0" w:line="6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Celestica [Long Term Incentive] [Share Unit] Plan – Performance Share Units (PSUs)</w:t>
      </w:r>
    </w:p>
    <w:p>
      <w:pPr>
        <w:spacing w:after="0" w:line="200" w:lineRule="exact"/>
        <w:rPr>
          <w:sz w:val="20"/>
          <w:szCs w:val="20"/>
          <w:color w:val="auto"/>
        </w:rPr>
      </w:pPr>
    </w:p>
    <w:p>
      <w:pPr>
        <w:spacing w:after="0" w:line="387" w:lineRule="exact"/>
        <w:rPr>
          <w:sz w:val="20"/>
          <w:szCs w:val="20"/>
          <w:color w:val="auto"/>
        </w:rPr>
      </w:pPr>
    </w:p>
    <w:p>
      <w:pPr>
        <w:ind w:left="80"/>
        <w:spacing w:after="0"/>
        <w:rPr>
          <w:sz w:val="20"/>
          <w:szCs w:val="20"/>
          <w:color w:val="auto"/>
        </w:rPr>
      </w:pPr>
      <w:r>
        <w:rPr>
          <w:rFonts w:ascii="Arial" w:cs="Arial" w:eastAsia="Arial" w:hAnsi="Arial"/>
          <w:sz w:val="19"/>
          <w:szCs w:val="19"/>
          <w:color w:val="auto"/>
        </w:rPr>
        <w:t>Participant Name:</w:t>
      </w:r>
    </w:p>
    <w:p>
      <w:pPr>
        <w:spacing w:after="0" w:line="31" w:lineRule="exact"/>
        <w:rPr>
          <w:sz w:val="20"/>
          <w:szCs w:val="20"/>
          <w:color w:val="auto"/>
        </w:rPr>
      </w:pPr>
    </w:p>
    <w:p>
      <w:pPr>
        <w:ind w:left="80"/>
        <w:spacing w:after="0"/>
        <w:rPr>
          <w:sz w:val="20"/>
          <w:szCs w:val="20"/>
          <w:color w:val="auto"/>
        </w:rPr>
      </w:pPr>
      <w:r>
        <w:rPr>
          <w:rFonts w:ascii="Arial" w:cs="Arial" w:eastAsia="Arial" w:hAnsi="Arial"/>
          <w:sz w:val="19"/>
          <w:szCs w:val="19"/>
          <w:color w:val="auto"/>
        </w:rPr>
        <w:t>Employee Number:</w:t>
      </w:r>
    </w:p>
    <w:p>
      <w:pPr>
        <w:spacing w:after="0" w:line="25" w:lineRule="exact"/>
        <w:rPr>
          <w:sz w:val="20"/>
          <w:szCs w:val="20"/>
          <w:color w:val="auto"/>
        </w:rPr>
      </w:pPr>
    </w:p>
    <w:p>
      <w:pPr>
        <w:ind w:left="80"/>
        <w:spacing w:after="0"/>
        <w:rPr>
          <w:sz w:val="20"/>
          <w:szCs w:val="20"/>
          <w:color w:val="auto"/>
        </w:rPr>
      </w:pPr>
      <w:r>
        <w:rPr>
          <w:rFonts w:ascii="Arial" w:cs="Arial" w:eastAsia="Arial" w:hAnsi="Arial"/>
          <w:sz w:val="19"/>
          <w:szCs w:val="19"/>
          <w:color w:val="auto"/>
        </w:rPr>
        <w:t>Grant Name:</w:t>
      </w:r>
    </w:p>
    <w:p>
      <w:pPr>
        <w:spacing w:after="0" w:line="25" w:lineRule="exact"/>
        <w:rPr>
          <w:sz w:val="20"/>
          <w:szCs w:val="20"/>
          <w:color w:val="auto"/>
        </w:rPr>
      </w:pPr>
    </w:p>
    <w:p>
      <w:pPr>
        <w:ind w:left="80"/>
        <w:spacing w:after="0"/>
        <w:rPr>
          <w:sz w:val="20"/>
          <w:szCs w:val="20"/>
          <w:color w:val="auto"/>
        </w:rPr>
      </w:pPr>
      <w:r>
        <w:rPr>
          <w:rFonts w:ascii="Arial" w:cs="Arial" w:eastAsia="Arial" w:hAnsi="Arial"/>
          <w:sz w:val="19"/>
          <w:szCs w:val="19"/>
          <w:color w:val="auto"/>
        </w:rPr>
        <w:t>Issue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80"/>
        <w:spacing w:after="0"/>
        <w:rPr>
          <w:sz w:val="20"/>
          <w:szCs w:val="20"/>
          <w:color w:val="auto"/>
        </w:rPr>
      </w:pPr>
      <w:r>
        <w:rPr>
          <w:rFonts w:ascii="Arial" w:cs="Arial" w:eastAsia="Arial" w:hAnsi="Arial"/>
          <w:sz w:val="19"/>
          <w:szCs w:val="19"/>
          <w:color w:val="auto"/>
        </w:rPr>
        <w:t>Number of PSUs Granted:</w:t>
      </w:r>
    </w:p>
    <w:p>
      <w:pPr>
        <w:spacing w:after="0" w:line="31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Please note that the Total Maximum Units shown above and in your Shareworks account are at 100% of target.</w:t>
      </w:r>
    </w:p>
    <w:p>
      <w:pPr>
        <w:spacing w:after="0" w:line="225" w:lineRule="exact"/>
        <w:rPr>
          <w:sz w:val="20"/>
          <w:szCs w:val="20"/>
          <w:color w:val="auto"/>
        </w:rPr>
      </w:pPr>
    </w:p>
    <w:p>
      <w:pPr>
        <w:ind w:right="620"/>
        <w:spacing w:after="0" w:line="285" w:lineRule="auto"/>
        <w:rPr>
          <w:sz w:val="20"/>
          <w:szCs w:val="20"/>
          <w:color w:val="auto"/>
        </w:rPr>
      </w:pPr>
      <w:r>
        <w:rPr>
          <w:rFonts w:ascii="Arial" w:cs="Arial" w:eastAsia="Arial" w:hAnsi="Arial"/>
          <w:sz w:val="19"/>
          <w:szCs w:val="19"/>
          <w:color w:val="auto"/>
        </w:rPr>
        <w:t>The particulars of the PSUs granted to you under the Celestica [Long Term Incentive Plan (LTIP)] [Share Unit Plan (CSUP)] are outlined on this notification statement (the “Grant”).</w:t>
      </w:r>
    </w:p>
    <w:p>
      <w:pPr>
        <w:spacing w:after="0" w:line="15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Vesting Conditions</w:t>
      </w:r>
    </w:p>
    <w:p>
      <w:pPr>
        <w:spacing w:after="0" w:line="65" w:lineRule="exact"/>
        <w:rPr>
          <w:sz w:val="20"/>
          <w:szCs w:val="20"/>
          <w:color w:val="auto"/>
        </w:rPr>
      </w:pPr>
    </w:p>
    <w:p>
      <w:pPr>
        <w:spacing w:after="0"/>
        <w:rPr>
          <w:sz w:val="20"/>
          <w:szCs w:val="20"/>
          <w:color w:val="auto"/>
        </w:rPr>
      </w:pPr>
      <w:r>
        <w:rPr>
          <w:rFonts w:ascii="Arial" w:cs="Arial" w:eastAsia="Arial" w:hAnsi="Arial"/>
          <w:sz w:val="19"/>
          <w:szCs w:val="19"/>
          <w:color w:val="auto"/>
        </w:rPr>
        <w:t>All defined terms shall have the meanings set out under the [LTIP] [CSUP], except as otherwise defined below:</w:t>
      </w:r>
    </w:p>
    <w:p>
      <w:pPr>
        <w:spacing w:after="0" w:line="214" w:lineRule="exact"/>
        <w:rPr>
          <w:sz w:val="20"/>
          <w:szCs w:val="20"/>
          <w:color w:val="auto"/>
        </w:rPr>
      </w:pPr>
    </w:p>
    <w:p>
      <w:pPr>
        <w:ind w:left="700" w:hanging="692"/>
        <w:spacing w:after="0"/>
        <w:tabs>
          <w:tab w:leader="none" w:pos="700" w:val="left"/>
        </w:tabs>
        <w:numPr>
          <w:ilvl w:val="0"/>
          <w:numId w:val="243"/>
        </w:numPr>
        <w:rPr>
          <w:rFonts w:ascii="Arial" w:cs="Arial" w:eastAsia="Arial" w:hAnsi="Arial"/>
          <w:sz w:val="19"/>
          <w:szCs w:val="19"/>
          <w:color w:val="auto"/>
        </w:rPr>
      </w:pPr>
      <w:r>
        <w:rPr>
          <w:rFonts w:ascii="Arial" w:cs="Arial" w:eastAsia="Arial" w:hAnsi="Arial"/>
          <w:sz w:val="19"/>
          <w:szCs w:val="19"/>
          <w:color w:val="auto"/>
        </w:rPr>
        <w:t>Adjusted EPS – Non-GAAP Earnings per Share</w:t>
      </w:r>
    </w:p>
    <w:p>
      <w:pPr>
        <w:spacing w:after="0" w:line="227" w:lineRule="exact"/>
        <w:rPr>
          <w:rFonts w:ascii="Arial" w:cs="Arial" w:eastAsia="Arial" w:hAnsi="Arial"/>
          <w:sz w:val="19"/>
          <w:szCs w:val="19"/>
          <w:color w:val="auto"/>
        </w:rPr>
      </w:pPr>
    </w:p>
    <w:p>
      <w:pPr>
        <w:ind w:left="640" w:hanging="632"/>
        <w:spacing w:after="0"/>
        <w:tabs>
          <w:tab w:leader="none" w:pos="640" w:val="left"/>
        </w:tabs>
        <w:numPr>
          <w:ilvl w:val="0"/>
          <w:numId w:val="243"/>
        </w:numPr>
        <w:rPr>
          <w:rFonts w:ascii="Arial" w:cs="Arial" w:eastAsia="Arial" w:hAnsi="Arial"/>
          <w:sz w:val="19"/>
          <w:szCs w:val="19"/>
          <w:color w:val="auto"/>
        </w:rPr>
      </w:pPr>
      <w:r>
        <w:rPr>
          <w:rFonts w:ascii="Arial" w:cs="Arial" w:eastAsia="Arial" w:hAnsi="Arial"/>
          <w:sz w:val="19"/>
          <w:szCs w:val="19"/>
          <w:color w:val="auto"/>
        </w:rPr>
        <w:t xml:space="preserve">“TSR Comparator(s)” </w:t>
      </w:r>
      <w:r>
        <w:rPr>
          <w:rFonts w:ascii="Arial" w:cs="Arial" w:eastAsia="Arial" w:hAnsi="Arial"/>
          <w:sz w:val="19"/>
          <w:szCs w:val="19"/>
          <w:color w:val="222222"/>
        </w:rPr>
        <w:t>mean Celestica Inc. and those companies represented in the S&amp;P Americas BMI Technology Hardware</w:t>
      </w:r>
    </w:p>
    <w:p>
      <w:pPr>
        <w:spacing w:after="0" w:line="29" w:lineRule="exact"/>
        <w:rPr>
          <w:rFonts w:ascii="Arial" w:cs="Arial" w:eastAsia="Arial" w:hAnsi="Arial"/>
          <w:sz w:val="19"/>
          <w:szCs w:val="19"/>
          <w:color w:val="auto"/>
        </w:rPr>
      </w:pPr>
    </w:p>
    <w:p>
      <w:pPr>
        <w:ind w:left="660" w:right="80" w:hanging="4"/>
        <w:spacing w:after="0" w:line="265" w:lineRule="auto"/>
        <w:tabs>
          <w:tab w:leader="none" w:pos="839" w:val="left"/>
        </w:tabs>
        <w:numPr>
          <w:ilvl w:val="1"/>
          <w:numId w:val="243"/>
        </w:numPr>
        <w:rPr>
          <w:rFonts w:ascii="Arial" w:cs="Arial" w:eastAsia="Arial" w:hAnsi="Arial"/>
          <w:sz w:val="19"/>
          <w:szCs w:val="19"/>
          <w:color w:val="222222"/>
        </w:rPr>
      </w:pPr>
      <w:r>
        <w:rPr>
          <w:rFonts w:ascii="Arial" w:cs="Arial" w:eastAsia="Arial" w:hAnsi="Arial"/>
          <w:sz w:val="19"/>
          <w:szCs w:val="19"/>
          <w:color w:val="222222"/>
        </w:rPr>
        <w:t xml:space="preserve">Equipment Index as at [Insert], </w:t>
      </w:r>
      <w:r>
        <w:rPr>
          <w:rFonts w:ascii="Arial" w:cs="Arial" w:eastAsia="Arial" w:hAnsi="Arial"/>
          <w:sz w:val="19"/>
          <w:szCs w:val="19"/>
          <w:color w:val="000000"/>
        </w:rPr>
        <w:t>provided those companies remain publicly traded on an established U.S. stock exchange for</w:t>
      </w:r>
      <w:r>
        <w:rPr>
          <w:rFonts w:ascii="Arial" w:cs="Arial" w:eastAsia="Arial" w:hAnsi="Arial"/>
          <w:sz w:val="19"/>
          <w:szCs w:val="19"/>
          <w:color w:val="222222"/>
        </w:rPr>
        <w:t xml:space="preserve"> </w:t>
      </w:r>
      <w:r>
        <w:rPr>
          <w:rFonts w:ascii="Arial" w:cs="Arial" w:eastAsia="Arial" w:hAnsi="Arial"/>
          <w:sz w:val="19"/>
          <w:szCs w:val="19"/>
          <w:color w:val="000000"/>
        </w:rPr>
        <w:t>the entire performance period.</w:t>
      </w:r>
    </w:p>
    <w:p>
      <w:pPr>
        <w:spacing w:after="0" w:line="174" w:lineRule="exact"/>
        <w:rPr>
          <w:rFonts w:ascii="Arial" w:cs="Arial" w:eastAsia="Arial" w:hAnsi="Arial"/>
          <w:sz w:val="19"/>
          <w:szCs w:val="19"/>
          <w:color w:val="222222"/>
        </w:rPr>
      </w:pPr>
    </w:p>
    <w:p>
      <w:pPr>
        <w:ind w:left="660" w:right="60" w:hanging="652"/>
        <w:spacing w:after="0" w:line="270" w:lineRule="auto"/>
        <w:tabs>
          <w:tab w:leader="none" w:pos="703" w:val="left"/>
        </w:tabs>
        <w:numPr>
          <w:ilvl w:val="0"/>
          <w:numId w:val="243"/>
        </w:numPr>
        <w:rPr>
          <w:rFonts w:ascii="Arial" w:cs="Arial" w:eastAsia="Arial" w:hAnsi="Arial"/>
          <w:sz w:val="19"/>
          <w:szCs w:val="19"/>
          <w:color w:val="auto"/>
        </w:rPr>
      </w:pPr>
      <w:r>
        <w:rPr>
          <w:rFonts w:ascii="Arial" w:cs="Arial" w:eastAsia="Arial" w:hAnsi="Arial"/>
          <w:sz w:val="19"/>
          <w:szCs w:val="19"/>
          <w:color w:val="auto"/>
        </w:rPr>
        <w:t>“Share Price” means, with respect to each of the TSR Comparators, the average closing share price of the common shares of that TSR Comparator on the NYSE or NASDAQ, as applicable, in each of the months of [Insert].</w:t>
      </w:r>
    </w:p>
    <w:p>
      <w:pPr>
        <w:spacing w:after="0" w:line="169" w:lineRule="exact"/>
        <w:rPr>
          <w:rFonts w:ascii="Arial" w:cs="Arial" w:eastAsia="Arial" w:hAnsi="Arial"/>
          <w:sz w:val="19"/>
          <w:szCs w:val="19"/>
          <w:color w:val="auto"/>
        </w:rPr>
      </w:pPr>
    </w:p>
    <w:p>
      <w:pPr>
        <w:ind w:left="640" w:hanging="632"/>
        <w:spacing w:after="0"/>
        <w:tabs>
          <w:tab w:leader="none" w:pos="640" w:val="left"/>
        </w:tabs>
        <w:numPr>
          <w:ilvl w:val="0"/>
          <w:numId w:val="243"/>
        </w:numPr>
        <w:rPr>
          <w:rFonts w:ascii="Arial" w:cs="Arial" w:eastAsia="Arial" w:hAnsi="Arial"/>
          <w:sz w:val="19"/>
          <w:szCs w:val="19"/>
          <w:color w:val="auto"/>
        </w:rPr>
      </w:pPr>
      <w:r>
        <w:rPr>
          <w:rFonts w:ascii="Arial" w:cs="Arial" w:eastAsia="Arial" w:hAnsi="Arial"/>
          <w:sz w:val="19"/>
          <w:szCs w:val="19"/>
          <w:color w:val="auto"/>
        </w:rPr>
        <w:t>"Target Number" means the target number of PSUs granted, which is shown in Participant’s Shareworks account.</w:t>
      </w:r>
    </w:p>
    <w:p>
      <w:pPr>
        <w:spacing w:after="0" w:line="227" w:lineRule="exact"/>
        <w:rPr>
          <w:rFonts w:ascii="Arial" w:cs="Arial" w:eastAsia="Arial" w:hAnsi="Arial"/>
          <w:sz w:val="19"/>
          <w:szCs w:val="19"/>
          <w:color w:val="auto"/>
        </w:rPr>
      </w:pPr>
    </w:p>
    <w:p>
      <w:pPr>
        <w:ind w:left="640" w:hanging="632"/>
        <w:spacing w:after="0"/>
        <w:tabs>
          <w:tab w:leader="none" w:pos="640" w:val="left"/>
        </w:tabs>
        <w:numPr>
          <w:ilvl w:val="0"/>
          <w:numId w:val="243"/>
        </w:numPr>
        <w:rPr>
          <w:rFonts w:ascii="Arial" w:cs="Arial" w:eastAsia="Arial" w:hAnsi="Arial"/>
          <w:sz w:val="19"/>
          <w:szCs w:val="19"/>
          <w:color w:val="auto"/>
        </w:rPr>
      </w:pPr>
      <w:r>
        <w:rPr>
          <w:rFonts w:ascii="Arial" w:cs="Arial" w:eastAsia="Arial" w:hAnsi="Arial"/>
          <w:sz w:val="19"/>
          <w:szCs w:val="19"/>
          <w:color w:val="auto"/>
        </w:rPr>
        <w:t>“Total Shareholder Return" or “TSR” means, with respect to each TSR Comparator:</w:t>
      </w:r>
    </w:p>
    <w:p>
      <w:pPr>
        <w:spacing w:after="0" w:line="227" w:lineRule="exact"/>
        <w:rPr>
          <w:sz w:val="20"/>
          <w:szCs w:val="20"/>
          <w:color w:val="auto"/>
        </w:rPr>
      </w:pPr>
    </w:p>
    <w:p>
      <w:pPr>
        <w:ind w:left="1300" w:right="680" w:hanging="94"/>
        <w:spacing w:after="0" w:line="285" w:lineRule="auto"/>
        <w:rPr>
          <w:sz w:val="20"/>
          <w:szCs w:val="20"/>
          <w:color w:val="auto"/>
        </w:rPr>
      </w:pPr>
      <w:r>
        <w:rPr>
          <w:rFonts w:ascii="Arial" w:cs="Arial" w:eastAsia="Arial" w:hAnsi="Arial"/>
          <w:sz w:val="19"/>
          <w:szCs w:val="19"/>
          <w:color w:val="auto"/>
        </w:rPr>
        <w:t>the sum of (i) the change in Share Price from [Insert] plus (ii) any dividends paid on a common share of the TSR Comparator from [Insert].</w:t>
      </w:r>
    </w:p>
    <w:p>
      <w:pPr>
        <w:sectPr>
          <w:pgSz w:w="11900" w:h="16838" w:orient="portrait"/>
          <w:cols w:equalWidth="0" w:num="1">
            <w:col w:w="11240"/>
          </w:cols>
          <w:pgMar w:left="320" w:top="1440" w:right="339" w:bottom="1440" w:gutter="0" w:footer="0" w:header="0"/>
        </w:sectPr>
      </w:pPr>
    </w:p>
    <w:bookmarkStart w:id="260" w:name="page261"/>
    <w:bookmarkEnd w:id="260"/>
    <w:p>
      <w:pPr>
        <w:spacing w:after="0" w:line="199" w:lineRule="exact"/>
        <w:rPr>
          <w:sz w:val="20"/>
          <w:szCs w:val="20"/>
          <w:color w:val="auto"/>
        </w:rPr>
      </w:pPr>
    </w:p>
    <w:p>
      <w:pPr>
        <w:ind w:left="980"/>
        <w:spacing w:after="0"/>
        <w:rPr>
          <w:sz w:val="20"/>
          <w:szCs w:val="20"/>
          <w:color w:val="auto"/>
        </w:rPr>
      </w:pPr>
      <w:r>
        <w:rPr>
          <w:rFonts w:ascii="Arial" w:cs="Arial" w:eastAsia="Arial" w:hAnsi="Arial"/>
          <w:sz w:val="19"/>
          <w:szCs w:val="19"/>
          <w:color w:val="auto"/>
        </w:rPr>
        <w:t>divided by:</w:t>
      </w:r>
    </w:p>
    <w:p>
      <w:pPr>
        <w:spacing w:after="0" w:line="227" w:lineRule="exact"/>
        <w:rPr>
          <w:sz w:val="20"/>
          <w:szCs w:val="20"/>
          <w:color w:val="auto"/>
        </w:rPr>
      </w:pPr>
    </w:p>
    <w:p>
      <w:pPr>
        <w:ind w:left="1200"/>
        <w:spacing w:after="0"/>
        <w:rPr>
          <w:sz w:val="20"/>
          <w:szCs w:val="20"/>
          <w:color w:val="auto"/>
        </w:rPr>
      </w:pPr>
      <w:r>
        <w:rPr>
          <w:rFonts w:ascii="Arial" w:cs="Arial" w:eastAsia="Arial" w:hAnsi="Arial"/>
          <w:sz w:val="19"/>
          <w:szCs w:val="19"/>
          <w:color w:val="auto"/>
        </w:rPr>
        <w:t>the Share Price for that TSR Comparator in [Insert]</w:t>
      </w:r>
    </w:p>
    <w:p>
      <w:pPr>
        <w:spacing w:after="0" w:line="227" w:lineRule="exact"/>
        <w:rPr>
          <w:sz w:val="20"/>
          <w:szCs w:val="20"/>
          <w:color w:val="auto"/>
        </w:rPr>
      </w:pPr>
    </w:p>
    <w:p>
      <w:pPr>
        <w:ind w:left="660"/>
        <w:spacing w:after="0"/>
        <w:rPr>
          <w:sz w:val="20"/>
          <w:szCs w:val="20"/>
          <w:color w:val="auto"/>
        </w:rPr>
      </w:pPr>
      <w:r>
        <w:rPr>
          <w:rFonts w:ascii="Arial" w:cs="Arial" w:eastAsia="Arial" w:hAnsi="Arial"/>
          <w:sz w:val="19"/>
          <w:szCs w:val="19"/>
          <w:color w:val="auto"/>
        </w:rPr>
        <w:t>expressed as a percentage.</w:t>
      </w:r>
    </w:p>
    <w:p>
      <w:pPr>
        <w:spacing w:after="0" w:line="214" w:lineRule="exact"/>
        <w:rPr>
          <w:sz w:val="20"/>
          <w:szCs w:val="20"/>
          <w:color w:val="auto"/>
        </w:rPr>
      </w:pPr>
    </w:p>
    <w:p>
      <w:pPr>
        <w:spacing w:after="0" w:line="285" w:lineRule="auto"/>
        <w:rPr>
          <w:sz w:val="20"/>
          <w:szCs w:val="20"/>
          <w:color w:val="auto"/>
        </w:rPr>
      </w:pPr>
      <w:r>
        <w:rPr>
          <w:rFonts w:ascii="Arial" w:cs="Arial" w:eastAsia="Arial" w:hAnsi="Arial"/>
          <w:sz w:val="19"/>
          <w:szCs w:val="19"/>
          <w:color w:val="auto"/>
        </w:rPr>
        <w:t>The extent to which each Participant's PSUs vest shall be determined by the Compensation Committee of the Board of Directors, in its sole discretion as follows:</w:t>
      </w:r>
    </w:p>
    <w:p>
      <w:pPr>
        <w:spacing w:after="0" w:line="156" w:lineRule="exact"/>
        <w:rPr>
          <w:sz w:val="20"/>
          <w:szCs w:val="20"/>
          <w:color w:val="auto"/>
        </w:rPr>
      </w:pPr>
    </w:p>
    <w:p>
      <w:pPr>
        <w:ind w:left="640" w:hanging="632"/>
        <w:spacing w:after="0"/>
        <w:tabs>
          <w:tab w:leader="none" w:pos="640" w:val="left"/>
        </w:tabs>
        <w:numPr>
          <w:ilvl w:val="0"/>
          <w:numId w:val="244"/>
        </w:numPr>
        <w:rPr>
          <w:rFonts w:ascii="Arial" w:cs="Arial" w:eastAsia="Arial" w:hAnsi="Arial"/>
          <w:sz w:val="19"/>
          <w:szCs w:val="19"/>
          <w:color w:val="auto"/>
        </w:rPr>
      </w:pPr>
      <w:r>
        <w:rPr>
          <w:rFonts w:ascii="Arial" w:cs="Arial" w:eastAsia="Arial" w:hAnsi="Arial"/>
          <w:sz w:val="19"/>
          <w:szCs w:val="19"/>
          <w:color w:val="auto"/>
        </w:rPr>
        <w:t>The main performance measure is Adjusted EPS growth over the performance period.</w:t>
      </w:r>
    </w:p>
    <w:p>
      <w:pPr>
        <w:spacing w:after="0" w:line="227" w:lineRule="exact"/>
        <w:rPr>
          <w:rFonts w:ascii="Arial" w:cs="Arial" w:eastAsia="Arial" w:hAnsi="Arial"/>
          <w:sz w:val="19"/>
          <w:szCs w:val="19"/>
          <w:color w:val="auto"/>
        </w:rPr>
      </w:pPr>
    </w:p>
    <w:p>
      <w:pPr>
        <w:ind w:left="660" w:right="520" w:hanging="652"/>
        <w:spacing w:after="0" w:line="285" w:lineRule="auto"/>
        <w:tabs>
          <w:tab w:leader="none" w:pos="648" w:val="left"/>
        </w:tabs>
        <w:numPr>
          <w:ilvl w:val="0"/>
          <w:numId w:val="244"/>
        </w:numPr>
        <w:rPr>
          <w:rFonts w:ascii="Arial" w:cs="Arial" w:eastAsia="Arial" w:hAnsi="Arial"/>
          <w:sz w:val="19"/>
          <w:szCs w:val="19"/>
          <w:color w:val="auto"/>
        </w:rPr>
      </w:pPr>
      <w:r>
        <w:rPr>
          <w:rFonts w:ascii="Arial" w:cs="Arial" w:eastAsia="Arial" w:hAnsi="Arial"/>
          <w:sz w:val="19"/>
          <w:szCs w:val="19"/>
          <w:color w:val="auto"/>
        </w:rPr>
        <w:t>The Adjusted EPS will be measured on an annual basis for each of the three years of the performance period i.e.,[Insert] respectively.</w:t>
      </w:r>
    </w:p>
    <w:p>
      <w:pPr>
        <w:spacing w:after="0" w:line="142" w:lineRule="exact"/>
        <w:rPr>
          <w:rFonts w:ascii="Arial" w:cs="Arial" w:eastAsia="Arial" w:hAnsi="Arial"/>
          <w:sz w:val="19"/>
          <w:szCs w:val="19"/>
          <w:color w:val="auto"/>
        </w:rPr>
      </w:pPr>
    </w:p>
    <w:p>
      <w:pPr>
        <w:ind w:left="660" w:right="340" w:hanging="652"/>
        <w:spacing w:after="0" w:line="285" w:lineRule="auto"/>
        <w:tabs>
          <w:tab w:leader="none" w:pos="651" w:val="left"/>
        </w:tabs>
        <w:numPr>
          <w:ilvl w:val="0"/>
          <w:numId w:val="244"/>
        </w:numPr>
        <w:rPr>
          <w:rFonts w:ascii="Arial" w:cs="Arial" w:eastAsia="Arial" w:hAnsi="Arial"/>
          <w:sz w:val="19"/>
          <w:szCs w:val="19"/>
          <w:color w:val="auto"/>
        </w:rPr>
      </w:pPr>
      <w:r>
        <w:rPr>
          <w:rFonts w:ascii="Arial" w:cs="Arial" w:eastAsia="Arial" w:hAnsi="Arial"/>
          <w:sz w:val="19"/>
          <w:szCs w:val="19"/>
          <w:color w:val="auto"/>
        </w:rPr>
        <w:t>The Adjusted EPS target for each year will be based on Celestica’s final Annual Operating Plan “AOP” for the performance period.</w:t>
      </w:r>
    </w:p>
    <w:p>
      <w:pPr>
        <w:spacing w:after="0" w:line="156" w:lineRule="exact"/>
        <w:rPr>
          <w:rFonts w:ascii="Arial" w:cs="Arial" w:eastAsia="Arial" w:hAnsi="Arial"/>
          <w:sz w:val="19"/>
          <w:szCs w:val="19"/>
          <w:color w:val="auto"/>
        </w:rPr>
      </w:pPr>
    </w:p>
    <w:p>
      <w:pPr>
        <w:ind w:left="660" w:right="760" w:hanging="652"/>
        <w:spacing w:after="0" w:line="314" w:lineRule="auto"/>
        <w:tabs>
          <w:tab w:leader="none" w:pos="648" w:val="left"/>
        </w:tabs>
        <w:numPr>
          <w:ilvl w:val="0"/>
          <w:numId w:val="244"/>
        </w:numPr>
        <w:rPr>
          <w:rFonts w:ascii="Arial" w:cs="Arial" w:eastAsia="Arial" w:hAnsi="Arial"/>
          <w:sz w:val="18"/>
          <w:szCs w:val="18"/>
          <w:color w:val="auto"/>
        </w:rPr>
      </w:pPr>
      <w:r>
        <w:rPr>
          <w:rFonts w:ascii="Arial" w:cs="Arial" w:eastAsia="Arial" w:hAnsi="Arial"/>
          <w:sz w:val="18"/>
          <w:szCs w:val="18"/>
          <w:color w:val="auto"/>
        </w:rPr>
        <w:t>The Adjusted EPS target and final achievement will be based on the compounded annual Growth Rate “CAGR” of the Adjusted EPS of the full 3 year performance period (i.e., [Insert] Adjusted EPS compared to [Insert] Adjusted EPS)</w:t>
      </w:r>
    </w:p>
    <w:p>
      <w:pPr>
        <w:spacing w:after="0" w:line="133" w:lineRule="exact"/>
        <w:rPr>
          <w:rFonts w:ascii="Arial" w:cs="Arial" w:eastAsia="Arial" w:hAnsi="Arial"/>
          <w:sz w:val="18"/>
          <w:szCs w:val="18"/>
          <w:color w:val="auto"/>
        </w:rPr>
      </w:pPr>
    </w:p>
    <w:p>
      <w:pPr>
        <w:ind w:left="660" w:right="260" w:hanging="652"/>
        <w:spacing w:after="0" w:line="270" w:lineRule="auto"/>
        <w:tabs>
          <w:tab w:leader="none" w:pos="648" w:val="left"/>
        </w:tabs>
        <w:numPr>
          <w:ilvl w:val="0"/>
          <w:numId w:val="244"/>
        </w:numPr>
        <w:rPr>
          <w:rFonts w:ascii="Arial" w:cs="Arial" w:eastAsia="Arial" w:hAnsi="Arial"/>
          <w:sz w:val="19"/>
          <w:szCs w:val="19"/>
          <w:color w:val="auto"/>
        </w:rPr>
      </w:pPr>
      <w:r>
        <w:rPr>
          <w:rFonts w:ascii="Arial" w:cs="Arial" w:eastAsia="Arial" w:hAnsi="Arial"/>
          <w:sz w:val="19"/>
          <w:szCs w:val="19"/>
          <w:color w:val="auto"/>
        </w:rPr>
        <w:t>The percentage of PSUs that will vest as determined by the Adjusted EPS growth can range between zero and 200% of the target number of PSUs issued. The Adjusted EPS growth will then be impacted by the TSR Factor as described below</w:t>
      </w:r>
    </w:p>
    <w:p>
      <w:pPr>
        <w:spacing w:after="0" w:line="169" w:lineRule="exact"/>
        <w:rPr>
          <w:rFonts w:ascii="Arial" w:cs="Arial" w:eastAsia="Arial" w:hAnsi="Arial"/>
          <w:sz w:val="19"/>
          <w:szCs w:val="19"/>
          <w:color w:val="auto"/>
        </w:rPr>
      </w:pPr>
    </w:p>
    <w:p>
      <w:pPr>
        <w:ind w:left="660" w:right="40" w:hanging="652"/>
        <w:spacing w:after="0" w:line="268" w:lineRule="auto"/>
        <w:tabs>
          <w:tab w:leader="none" w:pos="649" w:val="left"/>
        </w:tabs>
        <w:numPr>
          <w:ilvl w:val="0"/>
          <w:numId w:val="244"/>
        </w:numPr>
        <w:rPr>
          <w:rFonts w:ascii="Arial" w:cs="Arial" w:eastAsia="Arial" w:hAnsi="Arial"/>
          <w:sz w:val="19"/>
          <w:szCs w:val="19"/>
          <w:color w:val="auto"/>
        </w:rPr>
      </w:pPr>
      <w:r>
        <w:rPr>
          <w:rFonts w:ascii="Arial" w:cs="Arial" w:eastAsia="Arial" w:hAnsi="Arial"/>
          <w:sz w:val="19"/>
          <w:szCs w:val="19"/>
          <w:color w:val="auto"/>
        </w:rPr>
        <w:t>Celestica’s TSR will be ranked against that of each of the TSR Comparators. The total percentage of PSUs that will vest on [Insert], as determined by the Adjusted EPS growth result will be modified by the TSR factor. For positioning that falls between values listed in the table below, the TSR factor will be pro-rated.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750570</wp:posOffset>
            </wp:positionH>
            <wp:positionV relativeFrom="paragraph">
              <wp:posOffset>426720</wp:posOffset>
            </wp:positionV>
            <wp:extent cx="3120390" cy="120904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3">
                      <a:extLst>
                        <a:ext uri="{28A0092B-C50C-407E-A947-70E740481C1C}"/>
                      </a:extLst>
                    </a:blip>
                    <a:srcRect/>
                    <a:stretch>
                      <a:fillRect/>
                    </a:stretch>
                  </pic:blipFill>
                  <pic:spPr bwMode="auto">
                    <a:xfrm>
                      <a:off x="0" y="0"/>
                      <a:ext cx="3120390" cy="1209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4340"/>
        <w:spacing w:after="0"/>
        <w:rPr>
          <w:sz w:val="20"/>
          <w:szCs w:val="20"/>
          <w:color w:val="auto"/>
        </w:rPr>
      </w:pPr>
      <w:r>
        <w:rPr>
          <w:rFonts w:ascii="Arial" w:cs="Arial" w:eastAsia="Arial" w:hAnsi="Arial"/>
          <w:sz w:val="16"/>
          <w:szCs w:val="16"/>
          <w:b w:val="1"/>
          <w:bCs w:val="1"/>
          <w:color w:val="auto"/>
        </w:rPr>
        <w:t xml:space="preserve">TSR Modifier </w:t>
      </w:r>
      <w:r>
        <w:rPr>
          <w:rFonts w:ascii="Arial" w:cs="Arial" w:eastAsia="Arial" w:hAnsi="Arial"/>
          <w:sz w:val="21"/>
          <w:szCs w:val="21"/>
          <w:b w:val="1"/>
          <w:bCs w:val="1"/>
          <w:color w:val="auto"/>
          <w:vertAlign w:val="superscript"/>
        </w:rPr>
        <w:t>(1)</w:t>
      </w:r>
    </w:p>
    <w:p>
      <w:pPr>
        <w:spacing w:after="0" w:line="14" w:lineRule="exact"/>
        <w:rPr>
          <w:sz w:val="20"/>
          <w:szCs w:val="20"/>
          <w:color w:val="auto"/>
        </w:rPr>
      </w:pPr>
    </w:p>
    <w:p>
      <w:pPr>
        <w:jc w:val="center"/>
        <w:ind w:right="6260"/>
        <w:spacing w:after="0"/>
        <w:rPr>
          <w:sz w:val="20"/>
          <w:szCs w:val="20"/>
          <w:color w:val="auto"/>
        </w:rPr>
      </w:pPr>
      <w:r>
        <w:rPr>
          <w:rFonts w:ascii="Arial" w:cs="Arial" w:eastAsia="Arial" w:hAnsi="Arial"/>
          <w:sz w:val="16"/>
          <w:szCs w:val="16"/>
          <w:b w:val="1"/>
          <w:bCs w:val="1"/>
          <w:color w:val="auto"/>
        </w:rPr>
        <w:t>CLS Positioning</w:t>
      </w:r>
    </w:p>
    <w:p>
      <w:pPr>
        <w:spacing w:after="0" w:line="33" w:lineRule="exact"/>
        <w:rPr>
          <w:sz w:val="20"/>
          <w:szCs w:val="20"/>
          <w:color w:val="auto"/>
        </w:rPr>
      </w:pPr>
    </w:p>
    <w:p>
      <w:pPr>
        <w:jc w:val="center"/>
        <w:ind w:right="6260"/>
        <w:spacing w:after="0"/>
        <w:rPr>
          <w:sz w:val="20"/>
          <w:szCs w:val="20"/>
          <w:color w:val="auto"/>
        </w:rPr>
      </w:pPr>
      <w:r>
        <w:rPr>
          <w:rFonts w:ascii="Arial" w:cs="Arial" w:eastAsia="Arial" w:hAnsi="Arial"/>
          <w:sz w:val="16"/>
          <w:szCs w:val="16"/>
          <w:color w:val="auto"/>
        </w:rPr>
        <w:t>75</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Percentile</w:t>
      </w:r>
    </w:p>
    <w:p>
      <w:pPr>
        <w:spacing w:after="0" w:line="14" w:lineRule="exact"/>
        <w:rPr>
          <w:sz w:val="20"/>
          <w:szCs w:val="20"/>
          <w:color w:val="auto"/>
        </w:rPr>
      </w:pPr>
    </w:p>
    <w:p>
      <w:pPr>
        <w:ind w:left="4720"/>
        <w:spacing w:after="0"/>
        <w:rPr>
          <w:sz w:val="20"/>
          <w:szCs w:val="20"/>
          <w:color w:val="auto"/>
        </w:rPr>
      </w:pPr>
      <w:r>
        <w:rPr>
          <w:rFonts w:ascii="Arial" w:cs="Arial" w:eastAsia="Arial" w:hAnsi="Arial"/>
          <w:sz w:val="16"/>
          <w:szCs w:val="16"/>
          <w:color w:val="auto"/>
        </w:rPr>
        <w:t>+30%</w:t>
      </w:r>
    </w:p>
    <w:p>
      <w:pPr>
        <w:spacing w:after="0" w:line="33" w:lineRule="exact"/>
        <w:rPr>
          <w:sz w:val="20"/>
          <w:szCs w:val="20"/>
          <w:color w:val="auto"/>
        </w:rPr>
      </w:pPr>
    </w:p>
    <w:p>
      <w:pPr>
        <w:ind w:left="1960"/>
        <w:spacing w:after="0"/>
        <w:rPr>
          <w:sz w:val="20"/>
          <w:szCs w:val="20"/>
          <w:color w:val="auto"/>
        </w:rPr>
      </w:pPr>
      <w:r>
        <w:rPr>
          <w:rFonts w:ascii="Arial" w:cs="Arial" w:eastAsia="Arial" w:hAnsi="Arial"/>
          <w:sz w:val="16"/>
          <w:szCs w:val="16"/>
          <w:color w:val="auto"/>
        </w:rPr>
        <w:t>50</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Percentile</w:t>
      </w:r>
    </w:p>
    <w:p>
      <w:pPr>
        <w:spacing w:after="0" w:line="14" w:lineRule="exact"/>
        <w:rPr>
          <w:sz w:val="20"/>
          <w:szCs w:val="20"/>
          <w:color w:val="auto"/>
        </w:rPr>
      </w:pPr>
    </w:p>
    <w:p>
      <w:pPr>
        <w:ind w:left="4820"/>
        <w:spacing w:after="0"/>
        <w:rPr>
          <w:sz w:val="20"/>
          <w:szCs w:val="20"/>
          <w:color w:val="auto"/>
        </w:rPr>
      </w:pPr>
      <w:r>
        <w:rPr>
          <w:rFonts w:ascii="Arial" w:cs="Arial" w:eastAsia="Arial" w:hAnsi="Arial"/>
          <w:sz w:val="16"/>
          <w:szCs w:val="16"/>
          <w:color w:val="auto"/>
        </w:rPr>
        <w:t>0%</w:t>
      </w:r>
    </w:p>
    <w:p>
      <w:pPr>
        <w:spacing w:after="0" w:line="33" w:lineRule="exact"/>
        <w:rPr>
          <w:sz w:val="20"/>
          <w:szCs w:val="20"/>
          <w:color w:val="auto"/>
        </w:rPr>
      </w:pPr>
    </w:p>
    <w:p>
      <w:pPr>
        <w:ind w:left="1960"/>
        <w:spacing w:after="0"/>
        <w:rPr>
          <w:sz w:val="20"/>
          <w:szCs w:val="20"/>
          <w:color w:val="auto"/>
        </w:rPr>
      </w:pPr>
      <w:r>
        <w:rPr>
          <w:rFonts w:ascii="Arial" w:cs="Arial" w:eastAsia="Arial" w:hAnsi="Arial"/>
          <w:sz w:val="16"/>
          <w:szCs w:val="16"/>
          <w:color w:val="auto"/>
        </w:rPr>
        <w:t>10</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Percentile</w:t>
      </w:r>
    </w:p>
    <w:p>
      <w:pPr>
        <w:spacing w:after="0" w:line="14"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-30%</w:t>
      </w:r>
    </w:p>
    <w:p>
      <w:pPr>
        <w:spacing w:after="0" w:line="19" w:lineRule="exact"/>
        <w:rPr>
          <w:sz w:val="20"/>
          <w:szCs w:val="20"/>
          <w:color w:val="auto"/>
        </w:rPr>
      </w:pPr>
    </w:p>
    <w:p>
      <w:pPr>
        <w:ind w:left="1240"/>
        <w:spacing w:after="0"/>
        <w:rPr>
          <w:sz w:val="20"/>
          <w:szCs w:val="20"/>
          <w:color w:val="auto"/>
        </w:rPr>
      </w:pPr>
      <w:r>
        <w:rPr>
          <w:rFonts w:ascii="Arial" w:cs="Arial" w:eastAsia="Arial" w:hAnsi="Arial"/>
          <w:sz w:val="21"/>
          <w:szCs w:val="21"/>
          <w:color w:val="auto"/>
          <w:vertAlign w:val="superscript"/>
        </w:rPr>
        <w:t>(1)</w:t>
      </w:r>
      <w:r>
        <w:rPr>
          <w:rFonts w:ascii="Arial" w:cs="Arial" w:eastAsia="Arial" w:hAnsi="Arial"/>
          <w:sz w:val="14"/>
          <w:szCs w:val="14"/>
          <w:i w:val="1"/>
          <w:iCs w:val="1"/>
          <w:color w:val="auto"/>
        </w:rPr>
        <w:t>Percent means percent of (not percentage points)</w:t>
      </w:r>
    </w:p>
    <w:p>
      <w:pPr>
        <w:spacing w:after="0" w:line="200" w:lineRule="exact"/>
        <w:rPr>
          <w:sz w:val="20"/>
          <w:szCs w:val="20"/>
          <w:color w:val="auto"/>
        </w:rPr>
      </w:pPr>
    </w:p>
    <w:p>
      <w:pPr>
        <w:spacing w:after="0" w:line="298" w:lineRule="exact"/>
        <w:rPr>
          <w:sz w:val="20"/>
          <w:szCs w:val="20"/>
          <w:color w:val="auto"/>
        </w:rPr>
      </w:pPr>
    </w:p>
    <w:p>
      <w:pPr>
        <w:ind w:right="180"/>
        <w:spacing w:after="0" w:line="263" w:lineRule="auto"/>
        <w:rPr>
          <w:sz w:val="20"/>
          <w:szCs w:val="20"/>
          <w:color w:val="auto"/>
        </w:rPr>
      </w:pPr>
      <w:r>
        <w:rPr>
          <w:rFonts w:ascii="Arial" w:cs="Arial" w:eastAsia="Arial" w:hAnsi="Arial"/>
          <w:sz w:val="19"/>
          <w:szCs w:val="19"/>
          <w:color w:val="222222"/>
        </w:rPr>
        <w:t xml:space="preserve">Celestica’s percentile position will be calculated by first arranging the TSR results from highest to lowest for all TSR Comparators, excluding Celestica, and calculating the percentile position for each TSR Comparator. The </w:t>
      </w:r>
      <w:r>
        <w:rPr>
          <w:rFonts w:ascii="Arial" w:cs="Arial" w:eastAsia="Arial" w:hAnsi="Arial"/>
          <w:sz w:val="19"/>
          <w:szCs w:val="19"/>
          <w:color w:val="000000"/>
        </w:rPr>
        <w:t>percentage of PSUs that will actually vest</w:t>
      </w:r>
      <w:r>
        <w:rPr>
          <w:rFonts w:ascii="Arial" w:cs="Arial" w:eastAsia="Arial" w:hAnsi="Arial"/>
          <w:sz w:val="19"/>
          <w:szCs w:val="19"/>
          <w:color w:val="222222"/>
        </w:rPr>
        <w:t xml:space="preserve"> </w:t>
      </w:r>
      <w:r>
        <w:rPr>
          <w:rFonts w:ascii="Arial" w:cs="Arial" w:eastAsia="Arial" w:hAnsi="Arial"/>
          <w:sz w:val="19"/>
          <w:szCs w:val="19"/>
          <w:color w:val="000000"/>
        </w:rPr>
        <w:t xml:space="preserve">with respect to Celestica’s TSR positioning </w:t>
      </w:r>
      <w:r>
        <w:rPr>
          <w:rFonts w:ascii="Arial" w:cs="Arial" w:eastAsia="Arial" w:hAnsi="Arial"/>
          <w:sz w:val="19"/>
          <w:szCs w:val="19"/>
          <w:color w:val="222222"/>
        </w:rPr>
        <w:t>will be calculated by interpolating between the corresponding payout percentages</w:t>
      </w:r>
      <w:r>
        <w:rPr>
          <w:rFonts w:ascii="Arial" w:cs="Arial" w:eastAsia="Arial" w:hAnsi="Arial"/>
          <w:sz w:val="19"/>
          <w:szCs w:val="19"/>
          <w:color w:val="000000"/>
        </w:rPr>
        <w:t xml:space="preserve"> </w:t>
      </w:r>
      <w:r>
        <w:rPr>
          <w:rFonts w:ascii="Arial" w:cs="Arial" w:eastAsia="Arial" w:hAnsi="Arial"/>
          <w:sz w:val="19"/>
          <w:szCs w:val="19"/>
          <w:color w:val="222222"/>
        </w:rPr>
        <w:t>immediately above and immediately below Celestica’s percentile position.</w:t>
      </w:r>
    </w:p>
    <w:p>
      <w:pPr>
        <w:sectPr>
          <w:pgSz w:w="11900" w:h="16838" w:orient="portrait"/>
          <w:cols w:equalWidth="0" w:num="1">
            <w:col w:w="11220"/>
          </w:cols>
          <w:pgMar w:left="320" w:top="1440" w:right="359" w:bottom="1440" w:gutter="0" w:footer="0" w:header="0"/>
        </w:sectPr>
      </w:pPr>
    </w:p>
    <w:bookmarkStart w:id="261" w:name="page262"/>
    <w:bookmarkEnd w:id="261"/>
    <w:p>
      <w:pPr>
        <w:spacing w:after="0" w:line="199" w:lineRule="exact"/>
        <w:rPr>
          <w:sz w:val="20"/>
          <w:szCs w:val="20"/>
          <w:color w:val="auto"/>
        </w:rPr>
      </w:pPr>
    </w:p>
    <w:p>
      <w:pPr>
        <w:ind w:left="660" w:right="560" w:hanging="652"/>
        <w:spacing w:after="0" w:line="285" w:lineRule="auto"/>
        <w:tabs>
          <w:tab w:leader="none" w:pos="648" w:val="left"/>
        </w:tabs>
        <w:numPr>
          <w:ilvl w:val="0"/>
          <w:numId w:val="245"/>
        </w:numPr>
        <w:rPr>
          <w:rFonts w:ascii="Arial" w:cs="Arial" w:eastAsia="Arial" w:hAnsi="Arial"/>
          <w:sz w:val="19"/>
          <w:szCs w:val="19"/>
          <w:color w:val="auto"/>
        </w:rPr>
      </w:pPr>
      <w:r>
        <w:rPr>
          <w:rFonts w:ascii="Arial" w:cs="Arial" w:eastAsia="Arial" w:hAnsi="Arial"/>
          <w:sz w:val="19"/>
          <w:szCs w:val="19"/>
          <w:color w:val="auto"/>
        </w:rPr>
        <w:t>The maximum number of PSUs that may vest on [Insert] is 200% of the Target Number of PSUs issued. The TSR factor cannot increase the actual number of PSUs that vest to more than 200% of the Target Number.</w:t>
      </w:r>
    </w:p>
    <w:p>
      <w:pPr>
        <w:spacing w:after="0" w:line="156" w:lineRule="exact"/>
        <w:rPr>
          <w:rFonts w:ascii="Arial" w:cs="Arial" w:eastAsia="Arial" w:hAnsi="Arial"/>
          <w:sz w:val="19"/>
          <w:szCs w:val="19"/>
          <w:color w:val="auto"/>
        </w:rPr>
      </w:pPr>
    </w:p>
    <w:p>
      <w:pPr>
        <w:ind w:left="660" w:hanging="652"/>
        <w:spacing w:after="0" w:line="258" w:lineRule="auto"/>
        <w:tabs>
          <w:tab w:leader="none" w:pos="648" w:val="left"/>
        </w:tabs>
        <w:numPr>
          <w:ilvl w:val="0"/>
          <w:numId w:val="245"/>
        </w:numPr>
        <w:rPr>
          <w:rFonts w:ascii="Arial" w:cs="Arial" w:eastAsia="Arial" w:hAnsi="Arial"/>
          <w:sz w:val="19"/>
          <w:szCs w:val="19"/>
          <w:color w:val="auto"/>
        </w:rPr>
      </w:pPr>
      <w:r>
        <w:rPr>
          <w:rFonts w:ascii="Arial" w:cs="Arial" w:eastAsia="Arial" w:hAnsi="Arial"/>
          <w:sz w:val="19"/>
          <w:szCs w:val="19"/>
          <w:color w:val="auto"/>
        </w:rPr>
        <w:t>The total number of PSUs that will actually vest ranges from 0% to 200% of the target number and will be primarily determined by Celestica’s Adjusted EPS result and then modified by Celestica’s Relative TSR achievements (“TSR Factor”) over the performance period. The TSR modifier can be a factor from -30% up to +30%. Note that the TSR modifier is based on the percent of the EPS result.</w:t>
      </w:r>
    </w:p>
    <w:p>
      <w:pPr>
        <w:spacing w:after="0" w:line="181" w:lineRule="exact"/>
        <w:rPr>
          <w:rFonts w:ascii="Arial" w:cs="Arial" w:eastAsia="Arial" w:hAnsi="Arial"/>
          <w:sz w:val="19"/>
          <w:szCs w:val="19"/>
          <w:color w:val="auto"/>
        </w:rPr>
      </w:pPr>
    </w:p>
    <w:p>
      <w:pPr>
        <w:ind w:left="640" w:hanging="632"/>
        <w:spacing w:after="0"/>
        <w:tabs>
          <w:tab w:leader="none" w:pos="640" w:val="left"/>
        </w:tabs>
        <w:numPr>
          <w:ilvl w:val="0"/>
          <w:numId w:val="245"/>
        </w:numPr>
        <w:rPr>
          <w:rFonts w:ascii="Arial" w:cs="Arial" w:eastAsia="Arial" w:hAnsi="Arial"/>
          <w:sz w:val="19"/>
          <w:szCs w:val="19"/>
          <w:color w:val="auto"/>
        </w:rPr>
      </w:pPr>
      <w:r>
        <w:rPr>
          <w:rFonts w:ascii="Arial" w:cs="Arial" w:eastAsia="Arial" w:hAnsi="Arial"/>
          <w:sz w:val="19"/>
          <w:szCs w:val="19"/>
          <w:color w:val="auto"/>
        </w:rPr>
        <w:t>The total number of PSUs that will actually vest will also be subject to the following conditions:</w:t>
      </w:r>
    </w:p>
    <w:p>
      <w:pPr>
        <w:spacing w:after="0" w:line="227" w:lineRule="exact"/>
        <w:rPr>
          <w:rFonts w:ascii="Arial" w:cs="Arial" w:eastAsia="Arial" w:hAnsi="Arial"/>
          <w:sz w:val="19"/>
          <w:szCs w:val="19"/>
          <w:color w:val="auto"/>
        </w:rPr>
      </w:pPr>
    </w:p>
    <w:p>
      <w:pPr>
        <w:ind w:left="1300" w:right="60" w:hanging="320"/>
        <w:spacing w:after="0" w:line="270" w:lineRule="auto"/>
        <w:tabs>
          <w:tab w:leader="none" w:pos="1296" w:val="left"/>
        </w:tabs>
        <w:numPr>
          <w:ilvl w:val="1"/>
          <w:numId w:val="245"/>
        </w:numPr>
        <w:rPr>
          <w:rFonts w:ascii="Arial" w:cs="Arial" w:eastAsia="Arial" w:hAnsi="Arial"/>
          <w:sz w:val="19"/>
          <w:szCs w:val="19"/>
          <w:color w:val="auto"/>
        </w:rPr>
      </w:pPr>
      <w:r>
        <w:rPr>
          <w:rFonts w:ascii="Arial" w:cs="Arial" w:eastAsia="Arial" w:hAnsi="Arial"/>
          <w:sz w:val="19"/>
          <w:szCs w:val="19"/>
          <w:color w:val="auto"/>
        </w:rPr>
        <w:t>If Celestica’s absolute TSR is positive but below the median of the TSR Comparators, the modifier cannot be negative and will be set to zero (i.e. neutral impact).</w:t>
      </w:r>
    </w:p>
    <w:p>
      <w:pPr>
        <w:spacing w:after="0" w:line="169" w:lineRule="exact"/>
        <w:rPr>
          <w:rFonts w:ascii="Arial" w:cs="Arial" w:eastAsia="Arial" w:hAnsi="Arial"/>
          <w:sz w:val="19"/>
          <w:szCs w:val="19"/>
          <w:color w:val="auto"/>
        </w:rPr>
      </w:pPr>
    </w:p>
    <w:p>
      <w:pPr>
        <w:ind w:left="1300" w:right="280" w:hanging="320"/>
        <w:spacing w:after="0" w:line="285" w:lineRule="auto"/>
        <w:tabs>
          <w:tab w:leader="none" w:pos="1296" w:val="left"/>
        </w:tabs>
        <w:numPr>
          <w:ilvl w:val="1"/>
          <w:numId w:val="245"/>
        </w:numPr>
        <w:rPr>
          <w:rFonts w:ascii="Arial" w:cs="Arial" w:eastAsia="Arial" w:hAnsi="Arial"/>
          <w:sz w:val="19"/>
          <w:szCs w:val="19"/>
          <w:color w:val="auto"/>
        </w:rPr>
      </w:pPr>
      <w:r>
        <w:rPr>
          <w:rFonts w:ascii="Arial" w:cs="Arial" w:eastAsia="Arial" w:hAnsi="Arial"/>
          <w:sz w:val="19"/>
          <w:szCs w:val="19"/>
          <w:color w:val="auto"/>
        </w:rPr>
        <w:t>If Celestica’s absolute TSR is negative yet beats the median of the TSR Comparators that is a deeper negative, the relative TSR modifier cannot be positive and therefore is set at zero (i.e. neutral impact).</w:t>
      </w:r>
    </w:p>
    <w:p>
      <w:pPr>
        <w:spacing w:after="0" w:line="156" w:lineRule="exact"/>
        <w:rPr>
          <w:rFonts w:ascii="Arial" w:cs="Arial" w:eastAsia="Arial" w:hAnsi="Arial"/>
          <w:sz w:val="19"/>
          <w:szCs w:val="19"/>
          <w:color w:val="auto"/>
        </w:rPr>
      </w:pPr>
    </w:p>
    <w:p>
      <w:pPr>
        <w:ind w:left="1300" w:right="280" w:hanging="320"/>
        <w:spacing w:after="0" w:line="261" w:lineRule="auto"/>
        <w:tabs>
          <w:tab w:leader="none" w:pos="1298" w:val="left"/>
        </w:tabs>
        <w:numPr>
          <w:ilvl w:val="1"/>
          <w:numId w:val="245"/>
        </w:numPr>
        <w:rPr>
          <w:rFonts w:ascii="Arial" w:cs="Arial" w:eastAsia="Arial" w:hAnsi="Arial"/>
          <w:sz w:val="19"/>
          <w:szCs w:val="19"/>
          <w:color w:val="auto"/>
        </w:rPr>
      </w:pPr>
      <w:r>
        <w:rPr>
          <w:rFonts w:ascii="Arial" w:cs="Arial" w:eastAsia="Arial" w:hAnsi="Arial"/>
          <w:sz w:val="19"/>
          <w:szCs w:val="19"/>
          <w:color w:val="auto"/>
        </w:rPr>
        <w:t>If Celestica’s absolute TSR is positive and the relative TSR is above the median of the TSR Comparators, while the EPS threshold is not met, a portion of the PSUs will vest in line with the calculated relative TSR modifier which is capped at 30%.</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9"/>
          <w:szCs w:val="19"/>
          <w:color w:val="auto"/>
        </w:rPr>
        <w:t>The Board may amend these provisions at any time and from time to time without the consent of any Participant.</w:t>
      </w:r>
    </w:p>
    <w:p>
      <w:pPr>
        <w:spacing w:after="0" w:line="22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Acknowledgement</w:t>
      </w:r>
    </w:p>
    <w:p>
      <w:pPr>
        <w:spacing w:after="0" w:line="65" w:lineRule="exact"/>
        <w:rPr>
          <w:sz w:val="20"/>
          <w:szCs w:val="20"/>
          <w:color w:val="auto"/>
        </w:rPr>
      </w:pPr>
    </w:p>
    <w:p>
      <w:pPr>
        <w:ind w:right="20"/>
        <w:spacing w:after="0" w:line="256" w:lineRule="auto"/>
        <w:rPr>
          <w:sz w:val="20"/>
          <w:szCs w:val="20"/>
          <w:color w:val="auto"/>
        </w:rPr>
      </w:pPr>
      <w:r>
        <w:rPr>
          <w:rFonts w:ascii="Arial" w:cs="Arial" w:eastAsia="Arial" w:hAnsi="Arial"/>
          <w:sz w:val="19"/>
          <w:szCs w:val="19"/>
          <w:color w:val="auto"/>
        </w:rPr>
        <w:t>You acknowledge and agree that the PSUs evidenced hereby shall terminate in certain circumstances as set out in the [LTIP] [CSUP]. As a condition of this Grant of PSUs to you, you agree, as evidenced by your acceptance of this Grant, that in addition, such PSUs shall terminate immediately if you accept employment with an employer, or accept an engagement to supply services, directly or indirectly, to a third party, that is in competition with the Corporation or any of its subsidiaries. You also agree that in the event that, at any time during the period of twelve (12) months from the vesting date of these PSUs:</w:t>
      </w:r>
    </w:p>
    <w:p>
      <w:pPr>
        <w:spacing w:after="0" w:line="185" w:lineRule="exact"/>
        <w:rPr>
          <w:sz w:val="20"/>
          <w:szCs w:val="20"/>
          <w:color w:val="auto"/>
        </w:rPr>
      </w:pPr>
    </w:p>
    <w:p>
      <w:pPr>
        <w:ind w:left="660" w:right="220" w:hanging="652"/>
        <w:spacing w:after="0" w:line="285" w:lineRule="auto"/>
        <w:tabs>
          <w:tab w:leader="none" w:pos="652" w:val="left"/>
        </w:tabs>
        <w:numPr>
          <w:ilvl w:val="0"/>
          <w:numId w:val="246"/>
        </w:numPr>
        <w:rPr>
          <w:rFonts w:ascii="Arial" w:cs="Arial" w:eastAsia="Arial" w:hAnsi="Arial"/>
          <w:sz w:val="19"/>
          <w:szCs w:val="19"/>
          <w:color w:val="auto"/>
        </w:rPr>
      </w:pPr>
      <w:r>
        <w:rPr>
          <w:rFonts w:ascii="Arial" w:cs="Arial" w:eastAsia="Arial" w:hAnsi="Arial"/>
          <w:sz w:val="19"/>
          <w:szCs w:val="19"/>
          <w:color w:val="auto"/>
        </w:rPr>
        <w:t>you accept employment with an employer, or accept an engagement to supply services, directly or indirectly, to a third party, that is in competition with the Corporation or any of its subsidiaries;</w:t>
      </w:r>
    </w:p>
    <w:p>
      <w:pPr>
        <w:spacing w:after="0" w:line="142" w:lineRule="exact"/>
        <w:rPr>
          <w:rFonts w:ascii="Arial" w:cs="Arial" w:eastAsia="Arial" w:hAnsi="Arial"/>
          <w:sz w:val="19"/>
          <w:szCs w:val="19"/>
          <w:color w:val="auto"/>
        </w:rPr>
      </w:pPr>
    </w:p>
    <w:p>
      <w:pPr>
        <w:ind w:left="660" w:right="860" w:hanging="652"/>
        <w:spacing w:after="0" w:line="285" w:lineRule="auto"/>
        <w:tabs>
          <w:tab w:leader="none" w:pos="654" w:val="left"/>
        </w:tabs>
        <w:numPr>
          <w:ilvl w:val="0"/>
          <w:numId w:val="246"/>
        </w:numPr>
        <w:rPr>
          <w:rFonts w:ascii="Arial" w:cs="Arial" w:eastAsia="Arial" w:hAnsi="Arial"/>
          <w:sz w:val="19"/>
          <w:szCs w:val="19"/>
          <w:color w:val="auto"/>
        </w:rPr>
      </w:pPr>
      <w:r>
        <w:rPr>
          <w:rFonts w:ascii="Arial" w:cs="Arial" w:eastAsia="Arial" w:hAnsi="Arial"/>
          <w:sz w:val="19"/>
          <w:szCs w:val="19"/>
          <w:color w:val="auto"/>
        </w:rPr>
        <w:t>you fail to comply with or otherwise breach the terms and conditions of a confidentiality agreement or non-disclosure agreement with, or your confidentiality obligations to, the Corporation or any of its subsidiaries; or</w:t>
      </w:r>
    </w:p>
    <w:p>
      <w:pPr>
        <w:spacing w:after="0" w:line="156" w:lineRule="exact"/>
        <w:rPr>
          <w:rFonts w:ascii="Arial" w:cs="Arial" w:eastAsia="Arial" w:hAnsi="Arial"/>
          <w:sz w:val="19"/>
          <w:szCs w:val="19"/>
          <w:color w:val="auto"/>
        </w:rPr>
      </w:pPr>
    </w:p>
    <w:p>
      <w:pPr>
        <w:ind w:left="660" w:right="20" w:hanging="652"/>
        <w:spacing w:after="0" w:line="285" w:lineRule="auto"/>
        <w:tabs>
          <w:tab w:leader="none" w:pos="655" w:val="left"/>
        </w:tabs>
        <w:numPr>
          <w:ilvl w:val="0"/>
          <w:numId w:val="246"/>
        </w:numPr>
        <w:rPr>
          <w:rFonts w:ascii="Arial" w:cs="Arial" w:eastAsia="Arial" w:hAnsi="Arial"/>
          <w:sz w:val="19"/>
          <w:szCs w:val="19"/>
          <w:color w:val="auto"/>
        </w:rPr>
      </w:pPr>
      <w:r>
        <w:rPr>
          <w:rFonts w:ascii="Arial" w:cs="Arial" w:eastAsia="Arial" w:hAnsi="Arial"/>
          <w:sz w:val="19"/>
          <w:szCs w:val="19"/>
          <w:color w:val="auto"/>
        </w:rPr>
        <w:t>you, on your own behalf or on others’ behalf, directly or indirectly recruit, induce or solicit, or attempt to recruit, induce or solicit any current employee or other individual who is/was supplying services to the Corporation or any of its subsidiaries, to</w:t>
      </w:r>
    </w:p>
    <w:p>
      <w:pPr>
        <w:sectPr>
          <w:pgSz w:w="11900" w:h="16838" w:orient="portrait"/>
          <w:cols w:equalWidth="0" w:num="1">
            <w:col w:w="11200"/>
          </w:cols>
          <w:pgMar w:left="320" w:top="1440" w:right="379" w:bottom="1440" w:gutter="0" w:footer="0" w:header="0"/>
        </w:sectPr>
      </w:pPr>
    </w:p>
    <w:bookmarkStart w:id="262" w:name="page263"/>
    <w:bookmarkEnd w:id="262"/>
    <w:p>
      <w:pPr>
        <w:spacing w:after="0" w:line="199"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terminate their employment or contractual arrangements with the Corporation or any of its subsidiaries;</w:t>
      </w:r>
    </w:p>
    <w:p>
      <w:pPr>
        <w:spacing w:after="0" w:line="227" w:lineRule="exact"/>
        <w:rPr>
          <w:sz w:val="20"/>
          <w:szCs w:val="20"/>
          <w:color w:val="auto"/>
        </w:rPr>
      </w:pPr>
    </w:p>
    <w:p>
      <w:pPr>
        <w:ind w:right="80"/>
        <w:spacing w:after="0" w:line="258" w:lineRule="auto"/>
        <w:rPr>
          <w:sz w:val="20"/>
          <w:szCs w:val="20"/>
          <w:color w:val="auto"/>
        </w:rPr>
      </w:pPr>
      <w:r>
        <w:rPr>
          <w:rFonts w:ascii="Arial" w:cs="Arial" w:eastAsia="Arial" w:hAnsi="Arial"/>
          <w:sz w:val="19"/>
          <w:szCs w:val="19"/>
          <w:color w:val="auto"/>
        </w:rPr>
        <w:t>you will, if required by the Corporation, pay to the Corporation within ten (10) days of written demand for payment from the Corporation, an amount equal to the market value of the shares at the time of release, net of any tax paid by you. You also agree that this provision is not an exclusive remedy, and the Corporation may also seek other remedies in respect of any breach of your obligations to the Corporation and its subsidiaries.</w:t>
      </w:r>
    </w:p>
    <w:p>
      <w:pPr>
        <w:spacing w:after="0" w:line="18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Terms and Conditions</w:t>
      </w:r>
    </w:p>
    <w:p>
      <w:pPr>
        <w:spacing w:after="0" w:line="65" w:lineRule="exact"/>
        <w:rPr>
          <w:sz w:val="20"/>
          <w:szCs w:val="20"/>
          <w:color w:val="auto"/>
        </w:rPr>
      </w:pPr>
    </w:p>
    <w:p>
      <w:pPr>
        <w:ind w:right="60"/>
        <w:spacing w:after="0" w:line="267" w:lineRule="auto"/>
        <w:rPr>
          <w:sz w:val="20"/>
          <w:szCs w:val="20"/>
          <w:color w:val="auto"/>
        </w:rPr>
      </w:pPr>
      <w:r>
        <w:rPr>
          <w:rFonts w:ascii="Arial" w:cs="Arial" w:eastAsia="Arial" w:hAnsi="Arial"/>
          <w:sz w:val="18"/>
          <w:szCs w:val="18"/>
          <w:color w:val="auto"/>
        </w:rPr>
        <w:t xml:space="preserve">The PSU Grant is subject to all terms and conditions set out in the [LTIP] [CSUP], </w:t>
      </w:r>
      <w:r>
        <w:rPr>
          <w:rFonts w:ascii="Arial" w:cs="Arial" w:eastAsia="Arial" w:hAnsi="Arial"/>
          <w:sz w:val="18"/>
          <w:szCs w:val="18"/>
          <w:color w:val="222222"/>
        </w:rPr>
        <w:t>and as may be amended from time to time</w:t>
      </w:r>
      <w:r>
        <w:rPr>
          <w:rFonts w:ascii="Arial" w:cs="Arial" w:eastAsia="Arial" w:hAnsi="Arial"/>
          <w:sz w:val="18"/>
          <w:szCs w:val="18"/>
          <w:color w:val="auto"/>
        </w:rPr>
        <w:t xml:space="preserve"> to which further amendments you consent by accepting this Award as set forth below. In addition, by such acceptance you consent to such amendments in respect of all past and future PSU grants under the [LTIP] [CSUP]. A copy of the current plan text is available to you</w:t>
      </w:r>
    </w:p>
    <w:p>
      <w:pPr>
        <w:spacing w:after="0" w:line="2" w:lineRule="exact"/>
        <w:rPr>
          <w:sz w:val="20"/>
          <w:szCs w:val="20"/>
          <w:color w:val="auto"/>
        </w:rPr>
      </w:pPr>
    </w:p>
    <w:p>
      <w:pPr>
        <w:ind w:right="240"/>
        <w:spacing w:after="0" w:line="272" w:lineRule="auto"/>
        <w:rPr>
          <w:sz w:val="20"/>
          <w:szCs w:val="20"/>
          <w:color w:val="auto"/>
        </w:rPr>
      </w:pPr>
      <w:r>
        <w:rPr>
          <w:rFonts w:ascii="Arial" w:cs="Arial" w:eastAsia="Arial" w:hAnsi="Arial"/>
          <w:sz w:val="18"/>
          <w:szCs w:val="18"/>
          <w:color w:val="auto"/>
        </w:rPr>
        <w:t xml:space="preserve">on the Celestica Worldwide Intranet in the Human Resources section. </w:t>
      </w:r>
      <w:r>
        <w:rPr>
          <w:rFonts w:ascii="Arial" w:cs="Arial" w:eastAsia="Arial" w:hAnsi="Arial"/>
          <w:sz w:val="18"/>
          <w:szCs w:val="18"/>
          <w:b w:val="1"/>
          <w:bCs w:val="1"/>
          <w:color w:val="auto"/>
        </w:rPr>
        <w:t>You are strongly encouraged to review the [LTIP] [CSUP]</w:t>
      </w:r>
      <w:r>
        <w:rPr>
          <w:rFonts w:ascii="Arial" w:cs="Arial" w:eastAsia="Arial" w:hAnsi="Arial"/>
          <w:sz w:val="18"/>
          <w:szCs w:val="18"/>
          <w:color w:val="auto"/>
        </w:rPr>
        <w:t xml:space="preserve"> </w:t>
      </w:r>
      <w:r>
        <w:rPr>
          <w:rFonts w:ascii="Arial" w:cs="Arial" w:eastAsia="Arial" w:hAnsi="Arial"/>
          <w:sz w:val="18"/>
          <w:szCs w:val="18"/>
          <w:b w:val="1"/>
          <w:bCs w:val="1"/>
          <w:color w:val="auto"/>
        </w:rPr>
        <w:t>plan documents and in particular sections dealing with the circumstance under which your PSU’s may be terminated</w:t>
      </w:r>
      <w:r>
        <w:rPr>
          <w:rFonts w:ascii="Arial" w:cs="Arial" w:eastAsia="Arial" w:hAnsi="Arial"/>
          <w:sz w:val="18"/>
          <w:szCs w:val="18"/>
          <w:color w:val="auto"/>
        </w:rPr>
        <w:t>. In</w:t>
      </w:r>
    </w:p>
    <w:p>
      <w:pPr>
        <w:spacing w:after="0" w:line="1" w:lineRule="exact"/>
        <w:rPr>
          <w:sz w:val="20"/>
          <w:szCs w:val="20"/>
          <w:color w:val="auto"/>
        </w:rPr>
      </w:pPr>
    </w:p>
    <w:p>
      <w:pPr>
        <w:ind w:right="20"/>
        <w:spacing w:after="0" w:line="252" w:lineRule="auto"/>
        <w:rPr>
          <w:sz w:val="20"/>
          <w:szCs w:val="20"/>
          <w:color w:val="auto"/>
        </w:rPr>
      </w:pPr>
      <w:r>
        <w:rPr>
          <w:rFonts w:ascii="Arial" w:cs="Arial" w:eastAsia="Arial" w:hAnsi="Arial"/>
          <w:sz w:val="19"/>
          <w:szCs w:val="19"/>
          <w:color w:val="auto"/>
        </w:rPr>
        <w:t>addition to the vesting and performance criteria determined by the Human Resources Committee, the Company has determined that PSUs shall be issued or provided in the form of Shares on the Release Date. If required, further clarification may be obtained from the Corporate Human Resources Department.</w:t>
      </w:r>
    </w:p>
    <w:p>
      <w:pPr>
        <w:spacing w:after="0" w:line="179" w:lineRule="exact"/>
        <w:rPr>
          <w:sz w:val="20"/>
          <w:szCs w:val="20"/>
          <w:color w:val="auto"/>
        </w:rPr>
      </w:pPr>
    </w:p>
    <w:p>
      <w:pPr>
        <w:ind w:right="60"/>
        <w:spacing w:after="0" w:line="270" w:lineRule="auto"/>
        <w:rPr>
          <w:sz w:val="20"/>
          <w:szCs w:val="20"/>
          <w:color w:val="auto"/>
        </w:rPr>
      </w:pPr>
      <w:r>
        <w:rPr>
          <w:rFonts w:ascii="Arial" w:cs="Arial" w:eastAsia="Arial" w:hAnsi="Arial"/>
          <w:sz w:val="19"/>
          <w:szCs w:val="19"/>
          <w:color w:val="auto"/>
        </w:rPr>
        <w:t>As an Executive, you are also subject to Celestica’s Incentive Compensation Recoupment Policy (Recoupment Policy) which provides for the recoupment of incentive compensation in the event of a material breach of certain post-employment provisions. Under the Recoupment Policy, Celestica may clawback incentive compensation (short-term cash incentives, equity based incentives, any other cash compensation or special payments) and/or you may be required to reimburse the Company of any proceeds realized from the sale of any such award or grant, from you for a period of up to two years prior to the breach. Further details may be obtained from the Corporate Human Resources Department or by consulting the Recoupment Policy.</w:t>
      </w:r>
    </w:p>
    <w:p>
      <w:pPr>
        <w:spacing w:after="0" w:line="180" w:lineRule="exact"/>
        <w:rPr>
          <w:sz w:val="20"/>
          <w:szCs w:val="20"/>
          <w:color w:val="auto"/>
        </w:rPr>
      </w:pPr>
    </w:p>
    <w:p>
      <w:pPr>
        <w:ind w:right="300"/>
        <w:spacing w:after="0" w:line="270" w:lineRule="auto"/>
        <w:rPr>
          <w:sz w:val="20"/>
          <w:szCs w:val="20"/>
          <w:color w:val="auto"/>
        </w:rPr>
      </w:pPr>
      <w:r>
        <w:rPr>
          <w:rFonts w:ascii="Arial" w:cs="Arial" w:eastAsia="Arial" w:hAnsi="Arial"/>
          <w:sz w:val="19"/>
          <w:szCs w:val="19"/>
          <w:color w:val="auto"/>
        </w:rPr>
        <w:t>You understand that in order to validate the PSUs granted to you, you must accept the Grant within 30 days of notification from the plan administrator. Failure to do so within 30 days will result in cancellation of the PSU Grant.</w:t>
      </w:r>
    </w:p>
    <w:p>
      <w:pPr>
        <w:spacing w:after="0" w:line="170" w:lineRule="exact"/>
        <w:rPr>
          <w:sz w:val="20"/>
          <w:szCs w:val="20"/>
          <w:color w:val="auto"/>
        </w:rPr>
      </w:pPr>
    </w:p>
    <w:p>
      <w:pPr>
        <w:spacing w:after="0" w:line="268" w:lineRule="auto"/>
        <w:rPr>
          <w:sz w:val="20"/>
          <w:szCs w:val="20"/>
          <w:color w:val="auto"/>
        </w:rPr>
      </w:pPr>
      <w:r>
        <w:rPr>
          <w:rFonts w:ascii="Arial" w:cs="Arial" w:eastAsia="Arial" w:hAnsi="Arial"/>
          <w:sz w:val="19"/>
          <w:szCs w:val="19"/>
          <w:color w:val="auto"/>
        </w:rPr>
        <w:t>You acknowledge that you have reviewed the provisions of this Grant and the terms and conditions under which it is made. You confirm your acceptance of the Award under these provisions and agree to the foregoing terms and conditions by clicking the “Accept” button below which shall constitute or be equivalent to your signature in writing.</w:t>
      </w:r>
    </w:p>
    <w:p>
      <w:pPr>
        <w:spacing w:after="0" w:line="165" w:lineRule="exact"/>
        <w:rPr>
          <w:sz w:val="20"/>
          <w:szCs w:val="20"/>
          <w:color w:val="auto"/>
        </w:rPr>
      </w:pPr>
    </w:p>
    <w:p>
      <w:pPr>
        <w:ind w:right="60"/>
        <w:spacing w:after="0" w:line="262" w:lineRule="auto"/>
        <w:rPr>
          <w:sz w:val="20"/>
          <w:szCs w:val="20"/>
          <w:color w:val="auto"/>
        </w:rPr>
      </w:pPr>
      <w:r>
        <w:rPr>
          <w:rFonts w:ascii="Arial" w:cs="Arial" w:eastAsia="Arial" w:hAnsi="Arial"/>
          <w:sz w:val="20"/>
          <w:szCs w:val="20"/>
          <w:color w:val="auto"/>
        </w:rPr>
        <w:t xml:space="preserve">The most recent Celestica Annual Report on Form 20-F covering your Grant can be found on Celestica.com/Investor relations tab: </w:t>
      </w:r>
      <w:r>
        <w:rPr>
          <w:rFonts w:ascii="Arial" w:cs="Arial" w:eastAsia="Arial" w:hAnsi="Arial"/>
          <w:sz w:val="20"/>
          <w:szCs w:val="20"/>
          <w:u w:val="single" w:color="auto"/>
          <w:color w:val="0000FF"/>
        </w:rPr>
        <w:t>https://corporate.celestica.com/financial-information/sec-filings</w:t>
      </w:r>
      <w:r>
        <w:rPr>
          <w:rFonts w:ascii="Arial" w:cs="Arial" w:eastAsia="Arial" w:hAnsi="Arial"/>
          <w:sz w:val="20"/>
          <w:szCs w:val="20"/>
          <w:color w:val="auto"/>
        </w:rPr>
        <w:t>, and the prospectuses can be found in the documents tab of your Shareworks account.</w:t>
      </w:r>
    </w:p>
    <w:p>
      <w:pPr>
        <w:spacing w:after="0" w:line="173" w:lineRule="exact"/>
        <w:rPr>
          <w:sz w:val="20"/>
          <w:szCs w:val="20"/>
          <w:color w:val="auto"/>
        </w:rPr>
      </w:pPr>
    </w:p>
    <w:p>
      <w:pPr>
        <w:ind w:right="640"/>
        <w:spacing w:after="0" w:line="285" w:lineRule="auto"/>
        <w:rPr>
          <w:sz w:val="20"/>
          <w:szCs w:val="20"/>
          <w:color w:val="auto"/>
        </w:rPr>
      </w:pPr>
      <w:r>
        <w:rPr>
          <w:rFonts w:ascii="Arial" w:cs="Arial" w:eastAsia="Arial" w:hAnsi="Arial"/>
          <w:sz w:val="19"/>
          <w:szCs w:val="19"/>
          <w:color w:val="auto"/>
        </w:rPr>
        <w:t>As this special incentive is not being provided to all employees, please respect the confidentiality of the award and refrain from discussing this opportunity with others.</w:t>
      </w:r>
    </w:p>
    <w:p>
      <w:pPr>
        <w:sectPr>
          <w:pgSz w:w="11900" w:h="16838" w:orient="portrait"/>
          <w:cols w:equalWidth="0" w:num="1">
            <w:col w:w="11200"/>
          </w:cols>
          <w:pgMar w:left="320" w:top="1440" w:right="379" w:bottom="1440" w:gutter="0" w:footer="0" w:header="0"/>
        </w:sectPr>
      </w:pPr>
    </w:p>
    <w:bookmarkStart w:id="263" w:name="page264"/>
    <w:bookmarkEnd w:id="263"/>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 the event of a discrepancy between this document and company records, company records shall prevail.</w:t>
      </w:r>
    </w:p>
    <w:p>
      <w:pPr>
        <w:sectPr>
          <w:pgSz w:w="11900" w:h="16838" w:orient="portrait"/>
          <w:cols w:equalWidth="0" w:num="1">
            <w:col w:w="10139"/>
          </w:cols>
          <w:pgMar w:left="320" w:top="1440" w:right="1440" w:bottom="1440" w:gutter="0" w:footer="0" w:header="0"/>
        </w:sectPr>
      </w:pPr>
    </w:p>
    <w:bookmarkStart w:id="264" w:name="page265"/>
    <w:bookmarkEnd w:id="26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19.1</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Celestica</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Insider Trading Policy</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 Effective January 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624903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4">
                      <a:extLst>
                        <a:ext uri="{28A0092B-C50C-407E-A947-70E740481C1C}"/>
                      </a:extLst>
                    </a:blip>
                    <a:srcRect/>
                    <a:stretch>
                      <a:fillRect/>
                    </a:stretch>
                  </pic:blipFill>
                  <pic:spPr bwMode="auto">
                    <a:xfrm>
                      <a:off x="0" y="0"/>
                      <a:ext cx="6249035" cy="825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jc w:val="both"/>
        <w:spacing w:after="0" w:line="252" w:lineRule="auto"/>
        <w:rPr>
          <w:sz w:val="20"/>
          <w:szCs w:val="20"/>
          <w:color w:val="auto"/>
        </w:rPr>
      </w:pPr>
      <w:r>
        <w:rPr>
          <w:rFonts w:ascii="Arial" w:cs="Arial" w:eastAsia="Arial" w:hAnsi="Arial"/>
          <w:sz w:val="22"/>
          <w:szCs w:val="22"/>
          <w:color w:val="auto"/>
        </w:rPr>
        <w:t>As Celestica Inc. (“</w:t>
      </w:r>
      <w:r>
        <w:rPr>
          <w:rFonts w:ascii="Arial" w:cs="Arial" w:eastAsia="Arial" w:hAnsi="Arial"/>
          <w:sz w:val="22"/>
          <w:szCs w:val="22"/>
          <w:b w:val="1"/>
          <w:bCs w:val="1"/>
          <w:color w:val="auto"/>
        </w:rPr>
        <w:t>Celestica</w:t>
      </w:r>
      <w:r>
        <w:rPr>
          <w:rFonts w:ascii="Arial" w:cs="Arial" w:eastAsia="Arial" w:hAnsi="Arial"/>
          <w:sz w:val="22"/>
          <w:szCs w:val="22"/>
          <w:color w:val="auto"/>
        </w:rPr>
        <w:t>”) is a public company, members of its Board of Directors (“</w:t>
      </w:r>
      <w:r>
        <w:rPr>
          <w:rFonts w:ascii="Arial" w:cs="Arial" w:eastAsia="Arial" w:hAnsi="Arial"/>
          <w:sz w:val="22"/>
          <w:szCs w:val="22"/>
          <w:b w:val="1"/>
          <w:bCs w:val="1"/>
          <w:color w:val="auto"/>
        </w:rPr>
        <w:t>Directors</w:t>
      </w:r>
      <w:r>
        <w:rPr>
          <w:rFonts w:ascii="Arial" w:cs="Arial" w:eastAsia="Arial" w:hAnsi="Arial"/>
          <w:sz w:val="22"/>
          <w:szCs w:val="22"/>
          <w:color w:val="auto"/>
        </w:rPr>
        <w:t>”), its officers, its other employees, and employees of its subsidiaries (collectively with Directors, “</w:t>
      </w:r>
      <w:r>
        <w:rPr>
          <w:rFonts w:ascii="Arial" w:cs="Arial" w:eastAsia="Arial" w:hAnsi="Arial"/>
          <w:sz w:val="22"/>
          <w:szCs w:val="22"/>
          <w:b w:val="1"/>
          <w:bCs w:val="1"/>
          <w:color w:val="auto"/>
        </w:rPr>
        <w:t>Company Personnel</w:t>
      </w:r>
      <w:r>
        <w:rPr>
          <w:rFonts w:ascii="Arial" w:cs="Arial" w:eastAsia="Arial" w:hAnsi="Arial"/>
          <w:sz w:val="22"/>
          <w:szCs w:val="22"/>
          <w:color w:val="auto"/>
        </w:rPr>
        <w:t>”), among others, have certain legal responsibilities concerning the disclosure and use of undisclosed “material information”. The purpose behind this Insider Trading Policy is to assist Company Personnel in complying with the prohibitions under applicable securities laws against tipping and insider trading in securities of Celestica and other public companies in certain instances.</w:t>
      </w:r>
    </w:p>
    <w:p>
      <w:pPr>
        <w:spacing w:after="0" w:line="150"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Because Company Personnel may have, in the ordinary course, access to material information concerning Celestica (and other public companies) before it is disclosed to the general public, this Insider Trading Policy imposes certain obligations and restrictions on Company Personnel (and certain related parties) to ensure that any transaction in securities occurs without any actual or perceived violation of applicable securities laws and that our reputation in the marketplace is above reproach.</w:t>
      </w:r>
    </w:p>
    <w:p>
      <w:pPr>
        <w:spacing w:after="0" w:line="154" w:lineRule="exact"/>
        <w:rPr>
          <w:sz w:val="20"/>
          <w:szCs w:val="20"/>
          <w:color w:val="auto"/>
        </w:rPr>
      </w:pPr>
    </w:p>
    <w:p>
      <w:pPr>
        <w:jc w:val="both"/>
        <w:spacing w:after="0" w:line="272" w:lineRule="auto"/>
        <w:rPr>
          <w:sz w:val="20"/>
          <w:szCs w:val="20"/>
          <w:color w:val="auto"/>
        </w:rPr>
      </w:pPr>
      <w:r>
        <w:rPr>
          <w:rFonts w:ascii="Arial" w:cs="Arial" w:eastAsia="Arial" w:hAnsi="Arial"/>
          <w:sz w:val="22"/>
          <w:szCs w:val="22"/>
          <w:color w:val="auto"/>
        </w:rPr>
        <w:t>For purposes of this Insider Trading Policy, all references to “securities” should be read broadly and interpreted as including related derivatives, whether issued by the applicable public company or another third party.</w:t>
      </w:r>
    </w:p>
    <w:p>
      <w:pPr>
        <w:spacing w:after="0" w:line="129" w:lineRule="exact"/>
        <w:rPr>
          <w:sz w:val="20"/>
          <w:szCs w:val="20"/>
          <w:color w:val="auto"/>
        </w:rPr>
      </w:pPr>
    </w:p>
    <w:p>
      <w:pPr>
        <w:jc w:val="both"/>
        <w:ind w:right="20"/>
        <w:spacing w:after="0" w:line="272" w:lineRule="auto"/>
        <w:rPr>
          <w:sz w:val="20"/>
          <w:szCs w:val="20"/>
          <w:color w:val="auto"/>
        </w:rPr>
      </w:pPr>
      <w:r>
        <w:rPr>
          <w:rFonts w:ascii="Arial" w:cs="Arial" w:eastAsia="Arial" w:hAnsi="Arial"/>
          <w:sz w:val="22"/>
          <w:szCs w:val="22"/>
          <w:color w:val="auto"/>
        </w:rPr>
        <w:t>This document is intended to (a) summarize the trading restrictions and reporting requirements imposed upon you by law and (b) outline our trading policy.</w:t>
      </w:r>
    </w:p>
    <w:p>
      <w:pPr>
        <w:spacing w:after="0" w:line="11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Company Personnel are responsible for making sure that they comply with this Insider Trading Policy, and that any family or household member, or person or entity over which such Company Personnel exerts significant influence or controls, as discussed in Section 1 below, also comply with this Insider Trading Policy. In all cases, the responsibility for determining whether an individual is in possession of undisclosed material information rests with that individual, and any action on the part of Celestica or its executive officers, employees or Directors (or those of its subsidiaries) pursuant to this Insider Trading Policy (or otherwise) does not in any way constitute legal advice or insulate an individual from liability under applicable securities laws.</w:t>
      </w:r>
    </w:p>
    <w:p>
      <w:pPr>
        <w:spacing w:after="0" w:line="151" w:lineRule="exact"/>
        <w:rPr>
          <w:sz w:val="20"/>
          <w:szCs w:val="20"/>
          <w:color w:val="auto"/>
        </w:rPr>
      </w:pPr>
    </w:p>
    <w:p>
      <w:pPr>
        <w:ind w:left="640" w:hanging="632"/>
        <w:spacing w:after="0"/>
        <w:tabs>
          <w:tab w:leader="none" w:pos="640" w:val="left"/>
        </w:tabs>
        <w:numPr>
          <w:ilvl w:val="0"/>
          <w:numId w:val="247"/>
        </w:numPr>
        <w:rPr>
          <w:rFonts w:ascii="Arial" w:cs="Arial" w:eastAsia="Arial" w:hAnsi="Arial"/>
          <w:sz w:val="22"/>
          <w:szCs w:val="22"/>
          <w:b w:val="1"/>
          <w:bCs w:val="1"/>
          <w:color w:val="auto"/>
        </w:rPr>
      </w:pPr>
      <w:r>
        <w:rPr>
          <w:rFonts w:ascii="Arial" w:cs="Arial" w:eastAsia="Arial" w:hAnsi="Arial"/>
          <w:sz w:val="22"/>
          <w:szCs w:val="22"/>
          <w:b w:val="1"/>
          <w:bCs w:val="1"/>
          <w:color w:val="auto"/>
        </w:rPr>
        <w:t>Insider Trading Obligations on Company Personnel And Related Persons</w:t>
      </w:r>
    </w:p>
    <w:p>
      <w:pPr>
        <w:spacing w:after="0" w:line="181" w:lineRule="exact"/>
        <w:rPr>
          <w:sz w:val="20"/>
          <w:szCs w:val="20"/>
          <w:color w:val="auto"/>
        </w:rPr>
      </w:pPr>
    </w:p>
    <w:p>
      <w:pPr>
        <w:spacing w:after="0" w:line="285" w:lineRule="auto"/>
        <w:rPr>
          <w:sz w:val="20"/>
          <w:szCs w:val="20"/>
          <w:color w:val="auto"/>
        </w:rPr>
      </w:pPr>
      <w:r>
        <w:rPr>
          <w:rFonts w:ascii="Arial" w:cs="Arial" w:eastAsia="Arial" w:hAnsi="Arial"/>
          <w:sz w:val="22"/>
          <w:szCs w:val="22"/>
          <w:color w:val="auto"/>
        </w:rPr>
        <w:t>As Company Personnel you are considered, for securities law purposes, to be in a “special relationship” with Celestica. As a result of your position, you may from time-to-</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40"/>
          </w:cols>
          <w:pgMar w:left="320" w:top="1440" w:right="339" w:bottom="1440" w:gutter="0" w:footer="0" w:header="0"/>
        </w:sectPr>
      </w:pPr>
    </w:p>
    <w:bookmarkStart w:id="265" w:name="page266"/>
    <w:bookmarkEnd w:id="265"/>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time have access to information that is not available to the general public. It is illegal (and against the provisions of this Insider Trading Policy) for persons in a special relationship with a public company (in Canada, the United States (“</w:t>
      </w:r>
      <w:r>
        <w:rPr>
          <w:rFonts w:ascii="Arial" w:cs="Arial" w:eastAsia="Arial" w:hAnsi="Arial"/>
          <w:sz w:val="22"/>
          <w:szCs w:val="22"/>
          <w:b w:val="1"/>
          <w:bCs w:val="1"/>
          <w:color w:val="auto"/>
        </w:rPr>
        <w:t>U.S.</w:t>
      </w:r>
      <w:r>
        <w:rPr>
          <w:rFonts w:ascii="Arial" w:cs="Arial" w:eastAsia="Arial" w:hAnsi="Arial"/>
          <w:sz w:val="22"/>
          <w:szCs w:val="22"/>
          <w:color w:val="auto"/>
        </w:rPr>
        <w:t>”) or elsewhere) to do any of the following:</w:t>
      </w:r>
    </w:p>
    <w:p>
      <w:pPr>
        <w:spacing w:after="0" w:line="181" w:lineRule="exact"/>
        <w:rPr>
          <w:sz w:val="20"/>
          <w:szCs w:val="20"/>
          <w:color w:val="auto"/>
        </w:rPr>
      </w:pPr>
    </w:p>
    <w:p>
      <w:pPr>
        <w:jc w:val="both"/>
        <w:ind w:left="340" w:hanging="332"/>
        <w:spacing w:after="0" w:line="247" w:lineRule="auto"/>
        <w:tabs>
          <w:tab w:leader="none" w:pos="335" w:val="left"/>
        </w:tabs>
        <w:numPr>
          <w:ilvl w:val="0"/>
          <w:numId w:val="248"/>
        </w:numPr>
        <w:rPr>
          <w:rFonts w:ascii="Times New Roman" w:cs="Times New Roman" w:eastAsia="Times New Roman" w:hAnsi="Times New Roman"/>
          <w:sz w:val="22"/>
          <w:szCs w:val="22"/>
          <w:color w:val="auto"/>
        </w:rPr>
      </w:pPr>
      <w:r>
        <w:rPr>
          <w:rFonts w:ascii="Arial" w:cs="Arial" w:eastAsia="Arial" w:hAnsi="Arial"/>
          <w:sz w:val="22"/>
          <w:szCs w:val="22"/>
          <w:color w:val="auto"/>
        </w:rPr>
        <w:t>buy or sell securities of that company, or offer to buy or sell such securities (directly or through another), with knowledge of material information before such information has been disclosed to the public, and sufficient time has elapsed for such information to have been adequately disseminated to and absorbed by the public (“</w:t>
      </w:r>
      <w:r>
        <w:rPr>
          <w:rFonts w:ascii="Arial" w:cs="Arial" w:eastAsia="Arial" w:hAnsi="Arial"/>
          <w:sz w:val="22"/>
          <w:szCs w:val="22"/>
          <w:b w:val="1"/>
          <w:bCs w:val="1"/>
          <w:color w:val="auto"/>
        </w:rPr>
        <w:t>generally disclosed</w:t>
      </w:r>
      <w:r>
        <w:rPr>
          <w:rFonts w:ascii="Arial" w:cs="Arial" w:eastAsia="Arial" w:hAnsi="Arial"/>
          <w:sz w:val="22"/>
          <w:szCs w:val="22"/>
          <w:color w:val="auto"/>
        </w:rPr>
        <w:t>”), except pursuant to an approved Automatic Trading Plan, as defined in Section 7;</w:t>
      </w:r>
    </w:p>
    <w:p>
      <w:pPr>
        <w:spacing w:after="0" w:line="64" w:lineRule="exact"/>
        <w:rPr>
          <w:rFonts w:ascii="Times New Roman" w:cs="Times New Roman" w:eastAsia="Times New Roman" w:hAnsi="Times New Roman"/>
          <w:sz w:val="22"/>
          <w:szCs w:val="22"/>
          <w:color w:val="auto"/>
        </w:rPr>
      </w:pPr>
    </w:p>
    <w:p>
      <w:pPr>
        <w:ind w:left="340" w:hanging="332"/>
        <w:spacing w:after="0" w:line="309" w:lineRule="auto"/>
        <w:tabs>
          <w:tab w:leader="none" w:pos="335" w:val="left"/>
        </w:tabs>
        <w:numPr>
          <w:ilvl w:val="0"/>
          <w:numId w:val="248"/>
        </w:numPr>
        <w:rPr>
          <w:rFonts w:ascii="Times New Roman" w:cs="Times New Roman" w:eastAsia="Times New Roman" w:hAnsi="Times New Roman"/>
          <w:sz w:val="21"/>
          <w:szCs w:val="21"/>
          <w:color w:val="auto"/>
        </w:rPr>
      </w:pPr>
      <w:r>
        <w:rPr>
          <w:rFonts w:ascii="Arial" w:cs="Arial" w:eastAsia="Arial" w:hAnsi="Arial"/>
          <w:sz w:val="21"/>
          <w:szCs w:val="21"/>
          <w:color w:val="auto"/>
        </w:rPr>
        <w:t>inform another person other than in the necessary course of business, of material information relating to that company before such information has been generally disclosed – this prohibited practice is known as “tipping”; or</w:t>
      </w:r>
    </w:p>
    <w:p>
      <w:pPr>
        <w:spacing w:after="0" w:line="11" w:lineRule="exact"/>
        <w:rPr>
          <w:rFonts w:ascii="Times New Roman" w:cs="Times New Roman" w:eastAsia="Times New Roman" w:hAnsi="Times New Roman"/>
          <w:sz w:val="21"/>
          <w:szCs w:val="21"/>
          <w:color w:val="auto"/>
        </w:rPr>
      </w:pPr>
    </w:p>
    <w:p>
      <w:pPr>
        <w:ind w:left="340" w:hanging="332"/>
        <w:spacing w:after="0" w:line="271" w:lineRule="auto"/>
        <w:tabs>
          <w:tab w:leader="none" w:pos="335" w:val="left"/>
        </w:tabs>
        <w:numPr>
          <w:ilvl w:val="0"/>
          <w:numId w:val="248"/>
        </w:numPr>
        <w:rPr>
          <w:rFonts w:ascii="Times New Roman" w:cs="Times New Roman" w:eastAsia="Times New Roman" w:hAnsi="Times New Roman"/>
          <w:sz w:val="22"/>
          <w:szCs w:val="22"/>
          <w:color w:val="auto"/>
        </w:rPr>
      </w:pPr>
      <w:r>
        <w:rPr>
          <w:rFonts w:ascii="Arial" w:cs="Arial" w:eastAsia="Arial" w:hAnsi="Arial"/>
          <w:sz w:val="22"/>
          <w:szCs w:val="22"/>
          <w:color w:val="auto"/>
        </w:rPr>
        <w:t>with knowledge of material information with respect to the company that has not been generally disclosed, advise, recommend or encourage another person to purchase or sell securities of the company.</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22"/>
          <w:szCs w:val="22"/>
          <w:color w:val="auto"/>
        </w:rPr>
        <w:t>To help prevent inadvertent violations of securities laws and to avoid even the appearance of impropriety, gifts or donations of Celestica’s securities are deemed “trades” and are only permitted when you are not in possession of material information that has not been generally disclosed.</w:t>
      </w:r>
    </w:p>
    <w:p>
      <w:pPr>
        <w:spacing w:after="0" w:line="124"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In some circumstances, you might also be considered to be in a “special relationship” with a public company with which Celestica has business dealings. For example, if you were privy to non-public material information regarding another public company that is a supplier or customer of Celestica, that Celestica is considering, evaluating or proposing to acquire, until the material information has been generally disclosed, you are prohibited from (a) directly or indirectly trading in securities of such public company, (b) other than in the necessary course of business, communicating to another person such information, or (c) advising, recommending or encouraging another person to purchase or sell securities of the company.</w:t>
      </w:r>
    </w:p>
    <w:p>
      <w:pPr>
        <w:spacing w:after="0" w:line="153"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In order to establish that material information has been generally disclosed, it may be necessary to demonstrate that the information has been widely disseminated and public investors have been given a reasonable amount of time to analyze the information. Information generally would be considered widely disseminated if it has been disclosed through a widely circulated news or wire service such as major newswire services, national news services and financial news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40" w:right="339" w:bottom="1440" w:gutter="0" w:footer="0" w:header="0"/>
        </w:sectPr>
      </w:pPr>
    </w:p>
    <w:bookmarkStart w:id="266" w:name="page267"/>
    <w:bookmarkEnd w:id="266"/>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Family Members and Others</w:t>
      </w:r>
    </w:p>
    <w:p>
      <w:pPr>
        <w:spacing w:after="0" w:line="179"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Your spouse, children and other persons residing in your home, persons financially supported by you, relatives whose transactions in Celestica securities are directed by you or are subject to your influence or control, trusts with respect to which you are a trustee, and any other person or entity over which you have control or significant influence (your “</w:t>
      </w:r>
      <w:r>
        <w:rPr>
          <w:rFonts w:ascii="Arial" w:cs="Arial" w:eastAsia="Arial" w:hAnsi="Arial"/>
          <w:sz w:val="22"/>
          <w:szCs w:val="22"/>
          <w:b w:val="1"/>
          <w:bCs w:val="1"/>
          <w:color w:val="auto"/>
        </w:rPr>
        <w:t>Related Persons</w:t>
      </w:r>
      <w:r>
        <w:rPr>
          <w:rFonts w:ascii="Arial" w:cs="Arial" w:eastAsia="Arial" w:hAnsi="Arial"/>
          <w:sz w:val="22"/>
          <w:szCs w:val="22"/>
          <w:color w:val="auto"/>
        </w:rPr>
        <w:t>”), are also considered to be in a special relationship with Celestica. Accordingly, they are also prohibited from trading in any securities, as outlined above, if they are in possession of material information that has not been generally disclosed, and you should make them aware of the need to confer with you before they trade in Celestica’s securities. Similarly, they must not pass such information along to another party or advise, recommend or encourage another party to purchase or sell the applicable securities, each as outlined above. You should not provide undisclosed material information to your family members.</w:t>
      </w:r>
    </w:p>
    <w:p>
      <w:pPr>
        <w:spacing w:after="0" w:line="137" w:lineRule="exact"/>
        <w:rPr>
          <w:sz w:val="20"/>
          <w:szCs w:val="20"/>
          <w:color w:val="auto"/>
        </w:rPr>
      </w:pPr>
    </w:p>
    <w:p>
      <w:pPr>
        <w:jc w:val="both"/>
        <w:spacing w:after="0" w:line="257" w:lineRule="auto"/>
        <w:rPr>
          <w:sz w:val="20"/>
          <w:szCs w:val="20"/>
          <w:color w:val="auto"/>
        </w:rPr>
      </w:pPr>
      <w:r>
        <w:rPr>
          <w:rFonts w:ascii="Arial" w:cs="Arial" w:eastAsia="Arial" w:hAnsi="Arial"/>
          <w:sz w:val="22"/>
          <w:szCs w:val="22"/>
          <w:color w:val="auto"/>
        </w:rPr>
        <w:t xml:space="preserve">Note, however, that family members are </w:t>
      </w:r>
      <w:r>
        <w:rPr>
          <w:rFonts w:ascii="Arial" w:cs="Arial" w:eastAsia="Arial" w:hAnsi="Arial"/>
          <w:sz w:val="22"/>
          <w:szCs w:val="22"/>
          <w:b w:val="1"/>
          <w:bCs w:val="1"/>
          <w:color w:val="auto"/>
        </w:rPr>
        <w:t>not</w:t>
      </w:r>
      <w:r>
        <w:rPr>
          <w:rFonts w:ascii="Arial" w:cs="Arial" w:eastAsia="Arial" w:hAnsi="Arial"/>
          <w:sz w:val="22"/>
          <w:szCs w:val="22"/>
          <w:color w:val="auto"/>
        </w:rPr>
        <w:t xml:space="preserve"> required to file Insider Trading Reports or Section 16 Reports (defined below), although, in certain circumstances (as discussed below), you may be required to file your own Insider Trading Report or Section 16 Report in respect of trading activity by your family member or other Related Person and you and/or your Related Persons may be subject to Rule 144 under the U.S. Securities Act of 1933, as amended (“</w:t>
      </w:r>
      <w:r>
        <w:rPr>
          <w:rFonts w:ascii="Arial" w:cs="Arial" w:eastAsia="Arial" w:hAnsi="Arial"/>
          <w:sz w:val="22"/>
          <w:szCs w:val="22"/>
          <w:b w:val="1"/>
          <w:bCs w:val="1"/>
          <w:color w:val="auto"/>
        </w:rPr>
        <w:t>U.S.</w:t>
      </w:r>
      <w:r>
        <w:rPr>
          <w:rFonts w:ascii="Arial" w:cs="Arial" w:eastAsia="Arial" w:hAnsi="Arial"/>
          <w:sz w:val="22"/>
          <w:szCs w:val="22"/>
          <w:color w:val="auto"/>
        </w:rPr>
        <w:t xml:space="preserve"> </w:t>
      </w:r>
      <w:r>
        <w:rPr>
          <w:rFonts w:ascii="Arial" w:cs="Arial" w:eastAsia="Arial" w:hAnsi="Arial"/>
          <w:sz w:val="22"/>
          <w:szCs w:val="22"/>
          <w:b w:val="1"/>
          <w:bCs w:val="1"/>
          <w:color w:val="auto"/>
        </w:rPr>
        <w:t>Securities Act</w:t>
      </w:r>
      <w:r>
        <w:rPr>
          <w:rFonts w:ascii="Arial" w:cs="Arial" w:eastAsia="Arial" w:hAnsi="Arial"/>
          <w:sz w:val="22"/>
          <w:szCs w:val="22"/>
          <w:color w:val="auto"/>
        </w:rPr>
        <w:t>”).</w:t>
      </w:r>
    </w:p>
    <w:p>
      <w:pPr>
        <w:spacing w:after="0" w:line="131" w:lineRule="exact"/>
        <w:rPr>
          <w:sz w:val="20"/>
          <w:szCs w:val="20"/>
          <w:color w:val="auto"/>
        </w:rPr>
      </w:pPr>
    </w:p>
    <w:p>
      <w:pPr>
        <w:ind w:left="640" w:hanging="632"/>
        <w:spacing w:after="0"/>
        <w:tabs>
          <w:tab w:leader="none" w:pos="640" w:val="left"/>
        </w:tabs>
        <w:numPr>
          <w:ilvl w:val="0"/>
          <w:numId w:val="249"/>
        </w:numPr>
        <w:rPr>
          <w:rFonts w:ascii="Arial" w:cs="Arial" w:eastAsia="Arial" w:hAnsi="Arial"/>
          <w:sz w:val="22"/>
          <w:szCs w:val="22"/>
          <w:b w:val="1"/>
          <w:bCs w:val="1"/>
          <w:color w:val="auto"/>
        </w:rPr>
      </w:pPr>
      <w:r>
        <w:rPr>
          <w:rFonts w:ascii="Arial" w:cs="Arial" w:eastAsia="Arial" w:hAnsi="Arial"/>
          <w:sz w:val="22"/>
          <w:szCs w:val="22"/>
          <w:b w:val="1"/>
          <w:bCs w:val="1"/>
          <w:color w:val="auto"/>
        </w:rPr>
        <w:t>Material Information</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color w:val="auto"/>
        </w:rPr>
        <w:t>“Material information” concerning a public company (such as Celestica) is:</w:t>
      </w:r>
    </w:p>
    <w:p>
      <w:pPr>
        <w:spacing w:after="0" w:line="112" w:lineRule="exact"/>
        <w:rPr>
          <w:sz w:val="20"/>
          <w:szCs w:val="20"/>
          <w:color w:val="auto"/>
        </w:rPr>
      </w:pPr>
    </w:p>
    <w:p>
      <w:pPr>
        <w:jc w:val="both"/>
        <w:ind w:left="340" w:hanging="332"/>
        <w:spacing w:after="0" w:line="256" w:lineRule="auto"/>
        <w:tabs>
          <w:tab w:leader="none" w:pos="335" w:val="left"/>
        </w:tabs>
        <w:numPr>
          <w:ilvl w:val="0"/>
          <w:numId w:val="250"/>
        </w:numPr>
        <w:rPr>
          <w:rFonts w:ascii="Times New Roman" w:cs="Times New Roman" w:eastAsia="Times New Roman" w:hAnsi="Times New Roman"/>
          <w:sz w:val="22"/>
          <w:szCs w:val="22"/>
          <w:color w:val="auto"/>
        </w:rPr>
      </w:pPr>
      <w:r>
        <w:rPr>
          <w:rFonts w:ascii="Arial" w:cs="Arial" w:eastAsia="Arial" w:hAnsi="Arial"/>
          <w:sz w:val="22"/>
          <w:szCs w:val="22"/>
          <w:color w:val="auto"/>
        </w:rPr>
        <w:t>a change in the business, operations or capital of the company that would reasonably be expected to have a significant effect on the market price or value of securities of the company (which includes any decision to implement such a change by the board of directors of the company or by senior management of the company who believe that confirmation of the decision by the board is probable);</w:t>
      </w:r>
    </w:p>
    <w:p>
      <w:pPr>
        <w:spacing w:after="0" w:line="67" w:lineRule="exact"/>
        <w:rPr>
          <w:rFonts w:ascii="Times New Roman" w:cs="Times New Roman" w:eastAsia="Times New Roman" w:hAnsi="Times New Roman"/>
          <w:sz w:val="22"/>
          <w:szCs w:val="22"/>
          <w:color w:val="auto"/>
        </w:rPr>
      </w:pPr>
    </w:p>
    <w:p>
      <w:pPr>
        <w:ind w:left="340" w:hanging="332"/>
        <w:spacing w:after="0" w:line="271" w:lineRule="auto"/>
        <w:tabs>
          <w:tab w:leader="none" w:pos="335" w:val="left"/>
        </w:tabs>
        <w:numPr>
          <w:ilvl w:val="0"/>
          <w:numId w:val="250"/>
        </w:numPr>
        <w:rPr>
          <w:rFonts w:ascii="Times New Roman" w:cs="Times New Roman" w:eastAsia="Times New Roman" w:hAnsi="Times New Roman"/>
          <w:sz w:val="22"/>
          <w:szCs w:val="22"/>
          <w:color w:val="auto"/>
        </w:rPr>
      </w:pPr>
      <w:r>
        <w:rPr>
          <w:rFonts w:ascii="Arial" w:cs="Arial" w:eastAsia="Arial" w:hAnsi="Arial"/>
          <w:sz w:val="22"/>
          <w:szCs w:val="22"/>
          <w:color w:val="auto"/>
        </w:rPr>
        <w:t>a fact that would reasonably be expected to have a significant effect on the market price or value of securities of the company; or</w:t>
      </w:r>
    </w:p>
    <w:p>
      <w:pPr>
        <w:spacing w:after="0" w:line="62" w:lineRule="exact"/>
        <w:rPr>
          <w:rFonts w:ascii="Times New Roman" w:cs="Times New Roman" w:eastAsia="Times New Roman" w:hAnsi="Times New Roman"/>
          <w:sz w:val="22"/>
          <w:szCs w:val="22"/>
          <w:color w:val="auto"/>
        </w:rPr>
      </w:pPr>
    </w:p>
    <w:p>
      <w:pPr>
        <w:jc w:val="both"/>
        <w:ind w:left="340" w:hanging="332"/>
        <w:spacing w:after="0" w:line="257" w:lineRule="auto"/>
        <w:tabs>
          <w:tab w:leader="none" w:pos="335" w:val="left"/>
        </w:tabs>
        <w:numPr>
          <w:ilvl w:val="0"/>
          <w:numId w:val="250"/>
        </w:numPr>
        <w:rPr>
          <w:rFonts w:ascii="Times New Roman" w:cs="Times New Roman" w:eastAsia="Times New Roman" w:hAnsi="Times New Roman"/>
          <w:sz w:val="22"/>
          <w:szCs w:val="22"/>
          <w:color w:val="auto"/>
        </w:rPr>
      </w:pPr>
      <w:r>
        <w:rPr>
          <w:rFonts w:ascii="Arial" w:cs="Arial" w:eastAsia="Arial" w:hAnsi="Arial"/>
          <w:sz w:val="22"/>
          <w:szCs w:val="22"/>
          <w:color w:val="auto"/>
        </w:rPr>
        <w:t>any information that a reasonable investor would be likely to consider important in deciding whether to buy, hold or sell securities of the company or would view as significantly altering the total mix of information available in the marketplace about the company.</w:t>
      </w:r>
    </w:p>
    <w:p>
      <w:pPr>
        <w:spacing w:after="0" w:line="131" w:lineRule="exact"/>
        <w:rPr>
          <w:sz w:val="20"/>
          <w:szCs w:val="20"/>
          <w:color w:val="auto"/>
        </w:rPr>
      </w:pPr>
    </w:p>
    <w:p>
      <w:pPr>
        <w:spacing w:after="0"/>
        <w:rPr>
          <w:sz w:val="20"/>
          <w:szCs w:val="20"/>
          <w:color w:val="auto"/>
        </w:rPr>
      </w:pPr>
      <w:r>
        <w:rPr>
          <w:rFonts w:ascii="Arial" w:cs="Arial" w:eastAsia="Arial" w:hAnsi="Arial"/>
          <w:sz w:val="22"/>
          <w:szCs w:val="22"/>
          <w:color w:val="auto"/>
        </w:rPr>
        <w:t>Examples of information that would ordinarily be regarded as material include:</w:t>
      </w:r>
    </w:p>
    <w:p>
      <w:pPr>
        <w:spacing w:after="0" w:line="125" w:lineRule="exact"/>
        <w:rPr>
          <w:sz w:val="20"/>
          <w:szCs w:val="20"/>
          <w:color w:val="auto"/>
        </w:rPr>
      </w:pPr>
    </w:p>
    <w:p>
      <w:pPr>
        <w:ind w:left="340" w:hanging="332"/>
        <w:spacing w:after="0" w:line="271" w:lineRule="auto"/>
        <w:tabs>
          <w:tab w:leader="none" w:pos="335" w:val="left"/>
        </w:tabs>
        <w:numPr>
          <w:ilvl w:val="0"/>
          <w:numId w:val="251"/>
        </w:numPr>
        <w:rPr>
          <w:rFonts w:ascii="Times New Roman" w:cs="Times New Roman" w:eastAsia="Times New Roman" w:hAnsi="Times New Roman"/>
          <w:sz w:val="22"/>
          <w:szCs w:val="22"/>
          <w:color w:val="auto"/>
        </w:rPr>
      </w:pPr>
      <w:r>
        <w:rPr>
          <w:rFonts w:ascii="Arial" w:cs="Arial" w:eastAsia="Arial" w:hAnsi="Arial"/>
          <w:sz w:val="22"/>
          <w:szCs w:val="22"/>
          <w:color w:val="auto"/>
        </w:rPr>
        <w:t>annual or quarterly financial results or financial outlook, including projections of future earnings or losses or other earnings guidance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40" w:right="339" w:bottom="1440" w:gutter="0" w:footer="0" w:header="0"/>
        </w:sectPr>
      </w:pPr>
    </w:p>
    <w:bookmarkStart w:id="267" w:name="page268"/>
    <w:bookmarkEnd w:id="267"/>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ind w:left="340" w:right="20" w:hanging="332"/>
        <w:spacing w:after="0" w:line="257" w:lineRule="auto"/>
        <w:tabs>
          <w:tab w:leader="none" w:pos="335" w:val="left"/>
        </w:tabs>
        <w:numPr>
          <w:ilvl w:val="0"/>
          <w:numId w:val="252"/>
        </w:numPr>
        <w:rPr>
          <w:rFonts w:ascii="Times New Roman" w:cs="Times New Roman" w:eastAsia="Times New Roman" w:hAnsi="Times New Roman"/>
          <w:sz w:val="22"/>
          <w:szCs w:val="22"/>
          <w:color w:val="auto"/>
        </w:rPr>
      </w:pPr>
      <w:r>
        <w:rPr>
          <w:rFonts w:ascii="Arial" w:cs="Arial" w:eastAsia="Arial" w:hAnsi="Arial"/>
          <w:sz w:val="22"/>
          <w:szCs w:val="22"/>
          <w:color w:val="auto"/>
        </w:rPr>
        <w:t>a significant shift in operating or financial circumstances or performance, such as: significant cash-flow increase or reduction, a major write-off or increase in reserves, or a significant change in earnings or earning projections or other guidance</w:t>
      </w:r>
    </w:p>
    <w:p>
      <w:pPr>
        <w:spacing w:after="0" w:line="77" w:lineRule="exact"/>
        <w:rPr>
          <w:rFonts w:ascii="Times New Roman" w:cs="Times New Roman" w:eastAsia="Times New Roman" w:hAnsi="Times New Roman"/>
          <w:sz w:val="22"/>
          <w:szCs w:val="22"/>
          <w:color w:val="auto"/>
        </w:rPr>
      </w:pPr>
    </w:p>
    <w:p>
      <w:pPr>
        <w:ind w:left="320" w:hanging="312"/>
        <w:spacing w:after="0"/>
        <w:tabs>
          <w:tab w:leader="none" w:pos="320" w:val="left"/>
        </w:tabs>
        <w:numPr>
          <w:ilvl w:val="0"/>
          <w:numId w:val="252"/>
        </w:numPr>
        <w:rPr>
          <w:rFonts w:ascii="Times New Roman" w:cs="Times New Roman" w:eastAsia="Times New Roman" w:hAnsi="Times New Roman"/>
          <w:sz w:val="22"/>
          <w:szCs w:val="22"/>
          <w:color w:val="auto"/>
        </w:rPr>
      </w:pPr>
      <w:r>
        <w:rPr>
          <w:rFonts w:ascii="Arial" w:cs="Arial" w:eastAsia="Arial" w:hAnsi="Arial"/>
          <w:sz w:val="22"/>
          <w:szCs w:val="22"/>
          <w:color w:val="auto"/>
        </w:rPr>
        <w:t>an unusual gain or loss in major operations</w:t>
      </w:r>
    </w:p>
    <w:p>
      <w:pPr>
        <w:spacing w:after="0" w:line="110" w:lineRule="exact"/>
        <w:rPr>
          <w:rFonts w:ascii="Times New Roman" w:cs="Times New Roman" w:eastAsia="Times New Roman" w:hAnsi="Times New Roman"/>
          <w:sz w:val="22"/>
          <w:szCs w:val="22"/>
          <w:color w:val="auto"/>
        </w:rPr>
      </w:pPr>
    </w:p>
    <w:p>
      <w:pPr>
        <w:ind w:left="320" w:hanging="312"/>
        <w:spacing w:after="0"/>
        <w:tabs>
          <w:tab w:leader="none" w:pos="320" w:val="left"/>
        </w:tabs>
        <w:numPr>
          <w:ilvl w:val="0"/>
          <w:numId w:val="252"/>
        </w:numPr>
        <w:rPr>
          <w:rFonts w:ascii="Times New Roman" w:cs="Times New Roman" w:eastAsia="Times New Roman" w:hAnsi="Times New Roman"/>
          <w:sz w:val="22"/>
          <w:szCs w:val="22"/>
          <w:color w:val="auto"/>
        </w:rPr>
      </w:pPr>
      <w:r>
        <w:rPr>
          <w:rFonts w:ascii="Arial" w:cs="Arial" w:eastAsia="Arial" w:hAnsi="Arial"/>
          <w:sz w:val="22"/>
          <w:szCs w:val="22"/>
          <w:color w:val="auto"/>
        </w:rPr>
        <w:t>borrowing a significant amount of funds</w:t>
      </w:r>
    </w:p>
    <w:p>
      <w:pPr>
        <w:spacing w:after="0" w:line="110" w:lineRule="exact"/>
        <w:rPr>
          <w:rFonts w:ascii="Times New Roman" w:cs="Times New Roman" w:eastAsia="Times New Roman" w:hAnsi="Times New Roman"/>
          <w:sz w:val="22"/>
          <w:szCs w:val="22"/>
          <w:color w:val="auto"/>
        </w:rPr>
      </w:pPr>
    </w:p>
    <w:p>
      <w:pPr>
        <w:ind w:left="320" w:hanging="312"/>
        <w:spacing w:after="0"/>
        <w:tabs>
          <w:tab w:leader="none" w:pos="320" w:val="left"/>
        </w:tabs>
        <w:numPr>
          <w:ilvl w:val="0"/>
          <w:numId w:val="252"/>
        </w:numPr>
        <w:rPr>
          <w:rFonts w:ascii="Times New Roman" w:cs="Times New Roman" w:eastAsia="Times New Roman" w:hAnsi="Times New Roman"/>
          <w:sz w:val="22"/>
          <w:szCs w:val="22"/>
          <w:color w:val="auto"/>
        </w:rPr>
      </w:pPr>
      <w:r>
        <w:rPr>
          <w:rFonts w:ascii="Arial" w:cs="Arial" w:eastAsia="Arial" w:hAnsi="Arial"/>
          <w:sz w:val="22"/>
          <w:szCs w:val="22"/>
          <w:color w:val="auto"/>
        </w:rPr>
        <w:t>a significant change in management</w:t>
      </w:r>
    </w:p>
    <w:p>
      <w:pPr>
        <w:spacing w:after="0" w:line="110" w:lineRule="exact"/>
        <w:rPr>
          <w:rFonts w:ascii="Times New Roman" w:cs="Times New Roman" w:eastAsia="Times New Roman" w:hAnsi="Times New Roman"/>
          <w:sz w:val="22"/>
          <w:szCs w:val="22"/>
          <w:color w:val="auto"/>
        </w:rPr>
      </w:pPr>
    </w:p>
    <w:p>
      <w:pPr>
        <w:ind w:left="320" w:hanging="312"/>
        <w:spacing w:after="0"/>
        <w:tabs>
          <w:tab w:leader="none" w:pos="320" w:val="left"/>
        </w:tabs>
        <w:numPr>
          <w:ilvl w:val="0"/>
          <w:numId w:val="252"/>
        </w:numPr>
        <w:rPr>
          <w:rFonts w:ascii="Times New Roman" w:cs="Times New Roman" w:eastAsia="Times New Roman" w:hAnsi="Times New Roman"/>
          <w:sz w:val="22"/>
          <w:szCs w:val="22"/>
          <w:color w:val="auto"/>
        </w:rPr>
      </w:pPr>
      <w:r>
        <w:rPr>
          <w:rFonts w:ascii="Arial" w:cs="Arial" w:eastAsia="Arial" w:hAnsi="Arial"/>
          <w:sz w:val="22"/>
          <w:szCs w:val="22"/>
          <w:color w:val="auto"/>
        </w:rPr>
        <w:t>a takeover bid or issuer bid</w:t>
      </w:r>
    </w:p>
    <w:p>
      <w:pPr>
        <w:spacing w:after="0" w:line="110" w:lineRule="exact"/>
        <w:rPr>
          <w:rFonts w:ascii="Times New Roman" w:cs="Times New Roman" w:eastAsia="Times New Roman" w:hAnsi="Times New Roman"/>
          <w:sz w:val="22"/>
          <w:szCs w:val="22"/>
          <w:color w:val="auto"/>
        </w:rPr>
      </w:pPr>
    </w:p>
    <w:p>
      <w:pPr>
        <w:ind w:left="320" w:hanging="312"/>
        <w:spacing w:after="0"/>
        <w:tabs>
          <w:tab w:leader="none" w:pos="320" w:val="left"/>
        </w:tabs>
        <w:numPr>
          <w:ilvl w:val="0"/>
          <w:numId w:val="252"/>
        </w:numPr>
        <w:rPr>
          <w:rFonts w:ascii="Times New Roman" w:cs="Times New Roman" w:eastAsia="Times New Roman" w:hAnsi="Times New Roman"/>
          <w:sz w:val="22"/>
          <w:szCs w:val="22"/>
          <w:color w:val="auto"/>
        </w:rPr>
      </w:pPr>
      <w:r>
        <w:rPr>
          <w:rFonts w:ascii="Arial" w:cs="Arial" w:eastAsia="Arial" w:hAnsi="Arial"/>
          <w:sz w:val="22"/>
          <w:szCs w:val="22"/>
          <w:color w:val="auto"/>
        </w:rPr>
        <w:t>plans or agreements, with respect to an acquisition of, or merger with, another company</w:t>
      </w:r>
    </w:p>
    <w:p>
      <w:pPr>
        <w:spacing w:after="0" w:line="110" w:lineRule="exact"/>
        <w:rPr>
          <w:rFonts w:ascii="Times New Roman" w:cs="Times New Roman" w:eastAsia="Times New Roman" w:hAnsi="Times New Roman"/>
          <w:sz w:val="22"/>
          <w:szCs w:val="22"/>
          <w:color w:val="auto"/>
        </w:rPr>
      </w:pPr>
    </w:p>
    <w:p>
      <w:pPr>
        <w:ind w:left="320" w:hanging="312"/>
        <w:spacing w:after="0"/>
        <w:tabs>
          <w:tab w:leader="none" w:pos="320" w:val="left"/>
        </w:tabs>
        <w:numPr>
          <w:ilvl w:val="0"/>
          <w:numId w:val="252"/>
        </w:numPr>
        <w:rPr>
          <w:rFonts w:ascii="Times New Roman" w:cs="Times New Roman" w:eastAsia="Times New Roman" w:hAnsi="Times New Roman"/>
          <w:sz w:val="22"/>
          <w:szCs w:val="22"/>
          <w:color w:val="auto"/>
        </w:rPr>
      </w:pPr>
      <w:r>
        <w:rPr>
          <w:rFonts w:ascii="Arial" w:cs="Arial" w:eastAsia="Arial" w:hAnsi="Arial"/>
          <w:sz w:val="22"/>
          <w:szCs w:val="22"/>
          <w:color w:val="auto"/>
        </w:rPr>
        <w:t>a significant new client or contract or a significant loss of business or revenue</w:t>
      </w:r>
    </w:p>
    <w:p>
      <w:pPr>
        <w:spacing w:after="0" w:line="124" w:lineRule="exact"/>
        <w:rPr>
          <w:rFonts w:ascii="Times New Roman" w:cs="Times New Roman" w:eastAsia="Times New Roman" w:hAnsi="Times New Roman"/>
          <w:sz w:val="22"/>
          <w:szCs w:val="22"/>
          <w:color w:val="auto"/>
        </w:rPr>
      </w:pPr>
    </w:p>
    <w:p>
      <w:pPr>
        <w:ind w:left="320" w:hanging="312"/>
        <w:spacing w:after="0"/>
        <w:tabs>
          <w:tab w:leader="none" w:pos="320" w:val="left"/>
        </w:tabs>
        <w:numPr>
          <w:ilvl w:val="0"/>
          <w:numId w:val="252"/>
        </w:numPr>
        <w:rPr>
          <w:rFonts w:ascii="Times New Roman" w:cs="Times New Roman" w:eastAsia="Times New Roman" w:hAnsi="Times New Roman"/>
          <w:sz w:val="22"/>
          <w:szCs w:val="22"/>
          <w:color w:val="auto"/>
        </w:rPr>
      </w:pPr>
      <w:r>
        <w:rPr>
          <w:rFonts w:ascii="Arial" w:cs="Arial" w:eastAsia="Arial" w:hAnsi="Arial"/>
          <w:sz w:val="22"/>
          <w:szCs w:val="22"/>
          <w:color w:val="auto"/>
        </w:rPr>
        <w:t>a major new product, service or patent</w:t>
      </w:r>
    </w:p>
    <w:p>
      <w:pPr>
        <w:spacing w:after="0" w:line="110" w:lineRule="exact"/>
        <w:rPr>
          <w:rFonts w:ascii="Times New Roman" w:cs="Times New Roman" w:eastAsia="Times New Roman" w:hAnsi="Times New Roman"/>
          <w:sz w:val="22"/>
          <w:szCs w:val="22"/>
          <w:color w:val="auto"/>
        </w:rPr>
      </w:pPr>
    </w:p>
    <w:p>
      <w:pPr>
        <w:ind w:left="340" w:hanging="332"/>
        <w:spacing w:after="0" w:line="271" w:lineRule="auto"/>
        <w:tabs>
          <w:tab w:leader="none" w:pos="335" w:val="left"/>
        </w:tabs>
        <w:numPr>
          <w:ilvl w:val="0"/>
          <w:numId w:val="252"/>
        </w:numPr>
        <w:rPr>
          <w:rFonts w:ascii="Times New Roman" w:cs="Times New Roman" w:eastAsia="Times New Roman" w:hAnsi="Times New Roman"/>
          <w:sz w:val="22"/>
          <w:szCs w:val="22"/>
          <w:color w:val="auto"/>
        </w:rPr>
      </w:pPr>
      <w:r>
        <w:rPr>
          <w:rFonts w:ascii="Arial" w:cs="Arial" w:eastAsia="Arial" w:hAnsi="Arial"/>
          <w:sz w:val="22"/>
          <w:szCs w:val="22"/>
          <w:color w:val="auto"/>
        </w:rPr>
        <w:t>actual or likely significant litigation or governmental investigation, or the resolution of such litigation or investigation</w:t>
      </w:r>
    </w:p>
    <w:p>
      <w:pPr>
        <w:spacing w:after="0" w:line="48" w:lineRule="exact"/>
        <w:rPr>
          <w:rFonts w:ascii="Times New Roman" w:cs="Times New Roman" w:eastAsia="Times New Roman" w:hAnsi="Times New Roman"/>
          <w:sz w:val="22"/>
          <w:szCs w:val="22"/>
          <w:color w:val="auto"/>
        </w:rPr>
      </w:pPr>
    </w:p>
    <w:p>
      <w:pPr>
        <w:ind w:left="320" w:hanging="312"/>
        <w:spacing w:after="0"/>
        <w:tabs>
          <w:tab w:leader="none" w:pos="320" w:val="left"/>
        </w:tabs>
        <w:numPr>
          <w:ilvl w:val="0"/>
          <w:numId w:val="252"/>
        </w:numPr>
        <w:rPr>
          <w:rFonts w:ascii="Times New Roman" w:cs="Times New Roman" w:eastAsia="Times New Roman" w:hAnsi="Times New Roman"/>
          <w:sz w:val="22"/>
          <w:szCs w:val="22"/>
          <w:color w:val="auto"/>
        </w:rPr>
      </w:pPr>
      <w:r>
        <w:rPr>
          <w:rFonts w:ascii="Arial" w:cs="Arial" w:eastAsia="Arial" w:hAnsi="Arial"/>
          <w:sz w:val="22"/>
          <w:szCs w:val="22"/>
          <w:color w:val="auto"/>
        </w:rPr>
        <w:t>plans or agreements, with respect to a major acquisition or disposition of assets, subsidiaries or units</w:t>
      </w:r>
    </w:p>
    <w:p>
      <w:pPr>
        <w:spacing w:after="0" w:line="191" w:lineRule="exact"/>
        <w:rPr>
          <w:rFonts w:ascii="Times New Roman" w:cs="Times New Roman" w:eastAsia="Times New Roman" w:hAnsi="Times New Roman"/>
          <w:sz w:val="22"/>
          <w:szCs w:val="22"/>
          <w:color w:val="auto"/>
        </w:rPr>
      </w:pPr>
    </w:p>
    <w:p>
      <w:pPr>
        <w:ind w:left="320" w:hanging="312"/>
        <w:spacing w:after="0"/>
        <w:tabs>
          <w:tab w:leader="none" w:pos="320" w:val="left"/>
        </w:tabs>
        <w:numPr>
          <w:ilvl w:val="0"/>
          <w:numId w:val="252"/>
        </w:numPr>
        <w:rPr>
          <w:rFonts w:ascii="Times New Roman" w:cs="Times New Roman" w:eastAsia="Times New Roman" w:hAnsi="Times New Roman"/>
          <w:sz w:val="22"/>
          <w:szCs w:val="22"/>
          <w:color w:val="auto"/>
        </w:rPr>
      </w:pPr>
      <w:r>
        <w:rPr>
          <w:rFonts w:ascii="Arial" w:cs="Arial" w:eastAsia="Arial" w:hAnsi="Arial"/>
          <w:sz w:val="22"/>
          <w:szCs w:val="22"/>
          <w:color w:val="auto"/>
        </w:rPr>
        <w:t>significant changes in sales volumes, market share, product pricing, mix of sales, strategic plans, or liquidity</w:t>
      </w:r>
    </w:p>
    <w:p>
      <w:pPr>
        <w:spacing w:after="0" w:line="178" w:lineRule="exact"/>
        <w:rPr>
          <w:rFonts w:ascii="Times New Roman" w:cs="Times New Roman" w:eastAsia="Times New Roman" w:hAnsi="Times New Roman"/>
          <w:sz w:val="22"/>
          <w:szCs w:val="22"/>
          <w:color w:val="auto"/>
        </w:rPr>
      </w:pPr>
    </w:p>
    <w:p>
      <w:pPr>
        <w:ind w:left="320" w:hanging="312"/>
        <w:spacing w:after="0"/>
        <w:tabs>
          <w:tab w:leader="none" w:pos="320" w:val="left"/>
        </w:tabs>
        <w:numPr>
          <w:ilvl w:val="0"/>
          <w:numId w:val="252"/>
        </w:numPr>
        <w:rPr>
          <w:rFonts w:ascii="Times New Roman" w:cs="Times New Roman" w:eastAsia="Times New Roman" w:hAnsi="Times New Roman"/>
          <w:sz w:val="22"/>
          <w:szCs w:val="22"/>
          <w:color w:val="auto"/>
        </w:rPr>
      </w:pPr>
      <w:r>
        <w:rPr>
          <w:rFonts w:ascii="Arial" w:cs="Arial" w:eastAsia="Arial" w:hAnsi="Arial"/>
          <w:sz w:val="22"/>
          <w:szCs w:val="22"/>
          <w:color w:val="auto"/>
        </w:rPr>
        <w:t>a significant cybersecurity incident</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color w:val="auto"/>
        </w:rPr>
        <w:t>This list is not exhaustive.</w:t>
      </w:r>
    </w:p>
    <w:p>
      <w:pPr>
        <w:spacing w:after="0" w:line="353" w:lineRule="exact"/>
        <w:rPr>
          <w:sz w:val="20"/>
          <w:szCs w:val="20"/>
          <w:color w:val="auto"/>
        </w:rPr>
      </w:pPr>
    </w:p>
    <w:p>
      <w:pPr>
        <w:ind w:left="640" w:hanging="632"/>
        <w:spacing w:after="0"/>
        <w:tabs>
          <w:tab w:leader="none" w:pos="640" w:val="left"/>
        </w:tabs>
        <w:numPr>
          <w:ilvl w:val="0"/>
          <w:numId w:val="253"/>
        </w:numPr>
        <w:rPr>
          <w:rFonts w:ascii="Arial" w:cs="Arial" w:eastAsia="Arial" w:hAnsi="Arial"/>
          <w:sz w:val="22"/>
          <w:szCs w:val="22"/>
          <w:b w:val="1"/>
          <w:bCs w:val="1"/>
          <w:color w:val="auto"/>
        </w:rPr>
      </w:pPr>
      <w:r>
        <w:rPr>
          <w:rFonts w:ascii="Arial" w:cs="Arial" w:eastAsia="Arial" w:hAnsi="Arial"/>
          <w:sz w:val="22"/>
          <w:szCs w:val="22"/>
          <w:b w:val="1"/>
          <w:bCs w:val="1"/>
          <w:color w:val="auto"/>
        </w:rPr>
        <w:t>Additional Insider Reporting Obligations</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color w:val="auto"/>
        </w:rPr>
        <w:t>Additional obligations are imposed on all Reporting Insiders and Section 16 Insiders of Celestica.</w:t>
      </w:r>
    </w:p>
    <w:p>
      <w:pPr>
        <w:spacing w:after="0" w:line="191" w:lineRule="exact"/>
        <w:rPr>
          <w:sz w:val="20"/>
          <w:szCs w:val="20"/>
          <w:color w:val="auto"/>
        </w:rPr>
      </w:pPr>
    </w:p>
    <w:p>
      <w:pPr>
        <w:ind w:left="660" w:hanging="328"/>
        <w:spacing w:after="0"/>
        <w:tabs>
          <w:tab w:leader="none" w:pos="660" w:val="left"/>
        </w:tabs>
        <w:numPr>
          <w:ilvl w:val="0"/>
          <w:numId w:val="254"/>
        </w:numPr>
        <w:rPr>
          <w:rFonts w:ascii="Arial" w:cs="Arial" w:eastAsia="Arial" w:hAnsi="Arial"/>
          <w:sz w:val="22"/>
          <w:szCs w:val="22"/>
          <w:b w:val="1"/>
          <w:bCs w:val="1"/>
          <w:color w:val="auto"/>
        </w:rPr>
      </w:pPr>
      <w:r>
        <w:rPr>
          <w:rFonts w:ascii="Arial" w:cs="Arial" w:eastAsia="Arial" w:hAnsi="Arial"/>
          <w:sz w:val="22"/>
          <w:szCs w:val="22"/>
          <w:b w:val="1"/>
          <w:bCs w:val="1"/>
          <w:color w:val="auto"/>
        </w:rPr>
        <w:t>Reporting Insiders</w:t>
      </w:r>
    </w:p>
    <w:p>
      <w:pPr>
        <w:spacing w:after="0" w:line="181" w:lineRule="exact"/>
        <w:rPr>
          <w:rFonts w:ascii="Arial" w:cs="Arial" w:eastAsia="Arial" w:hAnsi="Arial"/>
          <w:sz w:val="22"/>
          <w:szCs w:val="22"/>
          <w:b w:val="1"/>
          <w:bCs w:val="1"/>
          <w:color w:val="auto"/>
        </w:rPr>
      </w:pPr>
    </w:p>
    <w:p>
      <w:pPr>
        <w:ind w:left="660"/>
        <w:spacing w:after="0"/>
        <w:rPr>
          <w:rFonts w:ascii="Arial" w:cs="Arial" w:eastAsia="Arial" w:hAnsi="Arial"/>
          <w:sz w:val="22"/>
          <w:szCs w:val="22"/>
          <w:b w:val="1"/>
          <w:bCs w:val="1"/>
          <w:color w:val="auto"/>
        </w:rPr>
      </w:pPr>
      <w:r>
        <w:rPr>
          <w:rFonts w:ascii="Arial" w:cs="Arial" w:eastAsia="Arial" w:hAnsi="Arial"/>
          <w:sz w:val="22"/>
          <w:szCs w:val="22"/>
          <w:color w:val="auto"/>
        </w:rPr>
        <w:t>You are considered to be a Reporting Insider of Celestica if you:</w:t>
      </w:r>
    </w:p>
    <w:p>
      <w:pPr>
        <w:spacing w:after="0" w:line="190" w:lineRule="exact"/>
        <w:rPr>
          <w:rFonts w:ascii="Arial" w:cs="Arial" w:eastAsia="Arial" w:hAnsi="Arial"/>
          <w:sz w:val="22"/>
          <w:szCs w:val="22"/>
          <w:b w:val="1"/>
          <w:bCs w:val="1"/>
          <w:color w:val="auto"/>
        </w:rPr>
      </w:pPr>
    </w:p>
    <w:p>
      <w:pPr>
        <w:ind w:left="1300" w:hanging="644"/>
        <w:spacing w:after="0"/>
        <w:tabs>
          <w:tab w:leader="none" w:pos="1300" w:val="left"/>
        </w:tabs>
        <w:numPr>
          <w:ilvl w:val="1"/>
          <w:numId w:val="254"/>
        </w:numPr>
        <w:rPr>
          <w:rFonts w:ascii="Arial" w:cs="Arial" w:eastAsia="Arial" w:hAnsi="Arial"/>
          <w:sz w:val="22"/>
          <w:szCs w:val="22"/>
          <w:color w:val="auto"/>
        </w:rPr>
      </w:pPr>
      <w:r>
        <w:rPr>
          <w:rFonts w:ascii="Arial" w:cs="Arial" w:eastAsia="Arial" w:hAnsi="Arial"/>
          <w:sz w:val="22"/>
          <w:szCs w:val="22"/>
          <w:color w:val="auto"/>
        </w:rPr>
        <w:t>are an employee and report directly to the Chief Executive Officer (“</w:t>
      </w:r>
      <w:r>
        <w:rPr>
          <w:rFonts w:ascii="Arial" w:cs="Arial" w:eastAsia="Arial" w:hAnsi="Arial"/>
          <w:sz w:val="22"/>
          <w:szCs w:val="22"/>
          <w:b w:val="1"/>
          <w:bCs w:val="1"/>
          <w:color w:val="auto"/>
        </w:rPr>
        <w:t>CEO</w:t>
      </w:r>
      <w:r>
        <w:rPr>
          <w:rFonts w:ascii="Arial" w:cs="Arial" w:eastAsia="Arial" w:hAnsi="Arial"/>
          <w:sz w:val="22"/>
          <w:szCs w:val="22"/>
          <w:color w:val="auto"/>
        </w:rPr>
        <w:t>”);</w:t>
      </w:r>
    </w:p>
    <w:p>
      <w:pPr>
        <w:spacing w:after="0" w:line="25" w:lineRule="exact"/>
        <w:rPr>
          <w:rFonts w:ascii="Arial" w:cs="Arial" w:eastAsia="Arial" w:hAnsi="Arial"/>
          <w:sz w:val="22"/>
          <w:szCs w:val="22"/>
          <w:color w:val="auto"/>
        </w:rPr>
      </w:pPr>
    </w:p>
    <w:p>
      <w:pPr>
        <w:ind w:left="1300" w:hanging="644"/>
        <w:spacing w:after="0"/>
        <w:tabs>
          <w:tab w:leader="none" w:pos="1300" w:val="left"/>
        </w:tabs>
        <w:numPr>
          <w:ilvl w:val="1"/>
          <w:numId w:val="254"/>
        </w:numPr>
        <w:rPr>
          <w:rFonts w:ascii="Arial" w:cs="Arial" w:eastAsia="Arial" w:hAnsi="Arial"/>
          <w:sz w:val="22"/>
          <w:szCs w:val="22"/>
          <w:color w:val="auto"/>
        </w:rPr>
      </w:pPr>
      <w:r>
        <w:rPr>
          <w:rFonts w:ascii="Arial" w:cs="Arial" w:eastAsia="Arial" w:hAnsi="Arial"/>
          <w:sz w:val="22"/>
          <w:szCs w:val="22"/>
          <w:color w:val="auto"/>
        </w:rPr>
        <w:t>are a Director; or</w:t>
      </w:r>
    </w:p>
    <w:p>
      <w:pPr>
        <w:spacing w:after="0" w:line="3" w:lineRule="exact"/>
        <w:rPr>
          <w:rFonts w:ascii="Arial" w:cs="Arial" w:eastAsia="Arial" w:hAnsi="Arial"/>
          <w:sz w:val="22"/>
          <w:szCs w:val="22"/>
          <w:color w:val="auto"/>
        </w:rPr>
      </w:pPr>
    </w:p>
    <w:p>
      <w:pPr>
        <w:ind w:left="1300" w:right="20" w:hanging="644"/>
        <w:spacing w:after="0" w:line="266" w:lineRule="auto"/>
        <w:tabs>
          <w:tab w:leader="none" w:pos="1291" w:val="left"/>
        </w:tabs>
        <w:numPr>
          <w:ilvl w:val="1"/>
          <w:numId w:val="254"/>
        </w:numPr>
        <w:rPr>
          <w:rFonts w:ascii="Arial" w:cs="Arial" w:eastAsia="Arial" w:hAnsi="Arial"/>
          <w:sz w:val="22"/>
          <w:szCs w:val="22"/>
          <w:color w:val="auto"/>
        </w:rPr>
      </w:pPr>
      <w:r>
        <w:rPr>
          <w:rFonts w:ascii="Arial" w:cs="Arial" w:eastAsia="Arial" w:hAnsi="Arial"/>
          <w:sz w:val="22"/>
          <w:szCs w:val="22"/>
          <w:color w:val="auto"/>
        </w:rPr>
        <w:t>otherwise have been so designated by the Chief Legal Officer (“</w:t>
      </w:r>
      <w:r>
        <w:rPr>
          <w:rFonts w:ascii="Arial" w:cs="Arial" w:eastAsia="Arial" w:hAnsi="Arial"/>
          <w:sz w:val="22"/>
          <w:szCs w:val="22"/>
          <w:b w:val="1"/>
          <w:bCs w:val="1"/>
          <w:color w:val="auto"/>
        </w:rPr>
        <w:t>CLO</w:t>
      </w:r>
      <w:r>
        <w:rPr>
          <w:rFonts w:ascii="Arial" w:cs="Arial" w:eastAsia="Arial" w:hAnsi="Arial"/>
          <w:sz w:val="22"/>
          <w:szCs w:val="22"/>
          <w:color w:val="auto"/>
        </w:rPr>
        <w:t>”) in accordance with Canadian securities laws or otherwise decided by the CLO in his or her discretion.</w:t>
      </w:r>
    </w:p>
    <w:p>
      <w:pPr>
        <w:spacing w:after="0" w:line="121" w:lineRule="exact"/>
        <w:rPr>
          <w:sz w:val="20"/>
          <w:szCs w:val="20"/>
          <w:color w:val="auto"/>
        </w:rPr>
      </w:pPr>
    </w:p>
    <w:p>
      <w:pPr>
        <w:jc w:val="both"/>
        <w:ind w:left="660"/>
        <w:spacing w:after="0" w:line="257" w:lineRule="auto"/>
        <w:rPr>
          <w:sz w:val="20"/>
          <w:szCs w:val="20"/>
          <w:color w:val="auto"/>
        </w:rPr>
      </w:pPr>
      <w:r>
        <w:rPr>
          <w:rFonts w:ascii="Arial" w:cs="Arial" w:eastAsia="Arial" w:hAnsi="Arial"/>
          <w:sz w:val="22"/>
          <w:szCs w:val="22"/>
          <w:color w:val="auto"/>
        </w:rPr>
        <w:t>If you are a Reporting Insider and you acquire, dispose of, or otherwise make a change in your ownership of securities of Celestica, you must complete an Insider Trading Report and file it with the securities regulatory authorities in 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40" w:right="339" w:bottom="1440" w:gutter="0" w:footer="0" w:header="0"/>
        </w:sectPr>
      </w:pPr>
    </w:p>
    <w:bookmarkStart w:id="268" w:name="page269"/>
    <w:bookmarkEnd w:id="268"/>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ind w:left="328"/>
        <w:spacing w:after="0" w:line="272" w:lineRule="auto"/>
        <w:rPr>
          <w:sz w:val="20"/>
          <w:szCs w:val="20"/>
          <w:color w:val="auto"/>
        </w:rPr>
      </w:pPr>
      <w:r>
        <w:rPr>
          <w:rFonts w:ascii="Arial" w:cs="Arial" w:eastAsia="Arial" w:hAnsi="Arial"/>
          <w:sz w:val="22"/>
          <w:szCs w:val="22"/>
          <w:color w:val="auto"/>
        </w:rPr>
        <w:t xml:space="preserve">Province and Territory of Canada </w:t>
      </w:r>
      <w:r>
        <w:rPr>
          <w:rFonts w:ascii="Arial" w:cs="Arial" w:eastAsia="Arial" w:hAnsi="Arial"/>
          <w:sz w:val="22"/>
          <w:szCs w:val="22"/>
          <w:u w:val="single" w:color="auto"/>
          <w:color w:val="auto"/>
        </w:rPr>
        <w:t>within five (5) calendar days of the transaction</w:t>
      </w:r>
      <w:r>
        <w:rPr>
          <w:rFonts w:ascii="Arial" w:cs="Arial" w:eastAsia="Arial" w:hAnsi="Arial"/>
          <w:sz w:val="22"/>
          <w:szCs w:val="22"/>
          <w:color w:val="auto"/>
        </w:rPr>
        <w:t>. Note that the five (5) calendar day period commences on the date of the trade, not the settlement date.</w:t>
      </w:r>
    </w:p>
    <w:p>
      <w:pPr>
        <w:spacing w:after="0" w:line="129" w:lineRule="exact"/>
        <w:rPr>
          <w:sz w:val="20"/>
          <w:szCs w:val="20"/>
          <w:color w:val="auto"/>
        </w:rPr>
      </w:pPr>
    </w:p>
    <w:p>
      <w:pPr>
        <w:jc w:val="both"/>
        <w:ind w:left="328"/>
        <w:spacing w:after="0" w:line="257" w:lineRule="auto"/>
        <w:rPr>
          <w:sz w:val="20"/>
          <w:szCs w:val="20"/>
          <w:color w:val="auto"/>
        </w:rPr>
      </w:pPr>
      <w:r>
        <w:rPr>
          <w:rFonts w:ascii="Arial" w:cs="Arial" w:eastAsia="Arial" w:hAnsi="Arial"/>
          <w:sz w:val="22"/>
          <w:szCs w:val="22"/>
          <w:color w:val="auto"/>
        </w:rPr>
        <w:t>The reports are only filed in Canada (on the System for Electronic Disclosure by Insiders (SEDI) at www.sedi.ca). Please note, however, that Reporting Insiders in all countries in which Celestica operates are required to file the reports in Canada.</w:t>
      </w:r>
    </w:p>
    <w:p>
      <w:pPr>
        <w:spacing w:after="0" w:line="144" w:lineRule="exact"/>
        <w:rPr>
          <w:sz w:val="20"/>
          <w:szCs w:val="20"/>
          <w:color w:val="auto"/>
        </w:rPr>
      </w:pPr>
    </w:p>
    <w:p>
      <w:pPr>
        <w:ind w:left="328" w:hanging="328"/>
        <w:spacing w:after="0"/>
        <w:tabs>
          <w:tab w:leader="none" w:pos="328" w:val="left"/>
        </w:tabs>
        <w:numPr>
          <w:ilvl w:val="0"/>
          <w:numId w:val="255"/>
        </w:numPr>
        <w:rPr>
          <w:rFonts w:ascii="Arial" w:cs="Arial" w:eastAsia="Arial" w:hAnsi="Arial"/>
          <w:sz w:val="22"/>
          <w:szCs w:val="22"/>
          <w:b w:val="1"/>
          <w:bCs w:val="1"/>
          <w:color w:val="auto"/>
        </w:rPr>
      </w:pPr>
      <w:r>
        <w:rPr>
          <w:rFonts w:ascii="Arial" w:cs="Arial" w:eastAsia="Arial" w:hAnsi="Arial"/>
          <w:sz w:val="22"/>
          <w:szCs w:val="22"/>
          <w:b w:val="1"/>
          <w:bCs w:val="1"/>
          <w:color w:val="auto"/>
        </w:rPr>
        <w:t>Section 16 Insiders</w:t>
      </w:r>
    </w:p>
    <w:p>
      <w:pPr>
        <w:spacing w:after="0" w:line="179" w:lineRule="exact"/>
        <w:rPr>
          <w:rFonts w:ascii="Arial" w:cs="Arial" w:eastAsia="Arial" w:hAnsi="Arial"/>
          <w:sz w:val="22"/>
          <w:szCs w:val="22"/>
          <w:b w:val="1"/>
          <w:bCs w:val="1"/>
          <w:color w:val="auto"/>
        </w:rPr>
      </w:pPr>
    </w:p>
    <w:p>
      <w:pPr>
        <w:jc w:val="both"/>
        <w:ind w:left="328"/>
        <w:spacing w:after="0" w:line="264" w:lineRule="auto"/>
        <w:rPr>
          <w:rFonts w:ascii="Arial" w:cs="Arial" w:eastAsia="Arial" w:hAnsi="Arial"/>
          <w:sz w:val="22"/>
          <w:szCs w:val="22"/>
          <w:b w:val="1"/>
          <w:bCs w:val="1"/>
          <w:color w:val="auto"/>
        </w:rPr>
      </w:pPr>
      <w:r>
        <w:rPr>
          <w:rFonts w:ascii="Arial" w:cs="Arial" w:eastAsia="Arial" w:hAnsi="Arial"/>
          <w:sz w:val="22"/>
          <w:szCs w:val="22"/>
          <w:color w:val="auto"/>
        </w:rPr>
        <w:t>Section 16 Insiders include the Directors, the CEO, the Chief Financial Officer (“</w:t>
      </w:r>
      <w:r>
        <w:rPr>
          <w:rFonts w:ascii="Arial" w:cs="Arial" w:eastAsia="Arial" w:hAnsi="Arial"/>
          <w:sz w:val="22"/>
          <w:szCs w:val="22"/>
          <w:b w:val="1"/>
          <w:bCs w:val="1"/>
          <w:color w:val="auto"/>
        </w:rPr>
        <w:t>CFO</w:t>
      </w:r>
      <w:r>
        <w:rPr>
          <w:rFonts w:ascii="Arial" w:cs="Arial" w:eastAsia="Arial" w:hAnsi="Arial"/>
          <w:sz w:val="22"/>
          <w:szCs w:val="22"/>
          <w:color w:val="auto"/>
        </w:rPr>
        <w:t>”) and the other officers whom the Board of Directors has specifically designated as “Section 16 Officers” within the meaning of the U.S. Securities Exchange Act of 1934, as amended (the “</w:t>
      </w:r>
      <w:r>
        <w:rPr>
          <w:rFonts w:ascii="Arial" w:cs="Arial" w:eastAsia="Arial" w:hAnsi="Arial"/>
          <w:sz w:val="22"/>
          <w:szCs w:val="22"/>
          <w:b w:val="1"/>
          <w:bCs w:val="1"/>
          <w:color w:val="auto"/>
        </w:rPr>
        <w:t>Exchange Act</w:t>
      </w:r>
      <w:r>
        <w:rPr>
          <w:rFonts w:ascii="Arial" w:cs="Arial" w:eastAsia="Arial" w:hAnsi="Arial"/>
          <w:sz w:val="22"/>
          <w:szCs w:val="22"/>
          <w:color w:val="auto"/>
        </w:rPr>
        <w:t>”).</w:t>
      </w:r>
    </w:p>
    <w:p>
      <w:pPr>
        <w:spacing w:after="0" w:line="125" w:lineRule="exact"/>
        <w:rPr>
          <w:rFonts w:ascii="Arial" w:cs="Arial" w:eastAsia="Arial" w:hAnsi="Arial"/>
          <w:sz w:val="22"/>
          <w:szCs w:val="22"/>
          <w:b w:val="1"/>
          <w:bCs w:val="1"/>
          <w:color w:val="auto"/>
        </w:rPr>
      </w:pPr>
    </w:p>
    <w:p>
      <w:pPr>
        <w:jc w:val="both"/>
        <w:ind w:left="328"/>
        <w:spacing w:after="0" w:line="257" w:lineRule="auto"/>
        <w:rPr>
          <w:rFonts w:ascii="Arial" w:cs="Arial" w:eastAsia="Arial" w:hAnsi="Arial"/>
          <w:sz w:val="22"/>
          <w:szCs w:val="22"/>
          <w:b w:val="1"/>
          <w:bCs w:val="1"/>
          <w:color w:val="auto"/>
        </w:rPr>
      </w:pPr>
      <w:r>
        <w:rPr>
          <w:rFonts w:ascii="Arial" w:cs="Arial" w:eastAsia="Arial" w:hAnsi="Arial"/>
          <w:sz w:val="22"/>
          <w:szCs w:val="22"/>
          <w:color w:val="auto"/>
        </w:rPr>
        <w:t>The Exchange Act requires Section 16 Insiders to file forms with the U.S. Securities and Exchange Commission (“</w:t>
      </w:r>
      <w:r>
        <w:rPr>
          <w:rFonts w:ascii="Arial" w:cs="Arial" w:eastAsia="Arial" w:hAnsi="Arial"/>
          <w:sz w:val="22"/>
          <w:szCs w:val="22"/>
          <w:b w:val="1"/>
          <w:bCs w:val="1"/>
          <w:color w:val="auto"/>
        </w:rPr>
        <w:t>SEC</w:t>
      </w:r>
      <w:r>
        <w:rPr>
          <w:rFonts w:ascii="Arial" w:cs="Arial" w:eastAsia="Arial" w:hAnsi="Arial"/>
          <w:sz w:val="22"/>
          <w:szCs w:val="22"/>
          <w:color w:val="auto"/>
        </w:rPr>
        <w:t>”) reporting their transactions in Celestica’s securities (“</w:t>
      </w:r>
      <w:r>
        <w:rPr>
          <w:rFonts w:ascii="Arial" w:cs="Arial" w:eastAsia="Arial" w:hAnsi="Arial"/>
          <w:sz w:val="22"/>
          <w:szCs w:val="22"/>
          <w:b w:val="1"/>
          <w:bCs w:val="1"/>
          <w:color w:val="auto"/>
        </w:rPr>
        <w:t>Section 16 Reports</w:t>
      </w:r>
      <w:r>
        <w:rPr>
          <w:rFonts w:ascii="Arial" w:cs="Arial" w:eastAsia="Arial" w:hAnsi="Arial"/>
          <w:sz w:val="22"/>
          <w:szCs w:val="22"/>
          <w:color w:val="auto"/>
        </w:rPr>
        <w:t xml:space="preserve">”). Following an initial filing on Form 3, changes in beneficial ownership of Celestica’s securities must be reported on Form 4 </w:t>
      </w:r>
      <w:r>
        <w:rPr>
          <w:rFonts w:ascii="Arial" w:cs="Arial" w:eastAsia="Arial" w:hAnsi="Arial"/>
          <w:sz w:val="22"/>
          <w:szCs w:val="22"/>
          <w:u w:val="single" w:color="auto"/>
          <w:color w:val="auto"/>
        </w:rPr>
        <w:t>within two (2) business days after the date on which such change occurs</w:t>
      </w:r>
      <w:r>
        <w:rPr>
          <w:rFonts w:ascii="Arial" w:cs="Arial" w:eastAsia="Arial" w:hAnsi="Arial"/>
          <w:sz w:val="22"/>
          <w:szCs w:val="22"/>
          <w:color w:val="auto"/>
        </w:rPr>
        <w:t>. See Section D. below.</w:t>
      </w:r>
    </w:p>
    <w:p>
      <w:pPr>
        <w:spacing w:after="0" w:line="131" w:lineRule="exact"/>
        <w:rPr>
          <w:rFonts w:ascii="Arial" w:cs="Arial" w:eastAsia="Arial" w:hAnsi="Arial"/>
          <w:sz w:val="22"/>
          <w:szCs w:val="22"/>
          <w:b w:val="1"/>
          <w:bCs w:val="1"/>
          <w:color w:val="auto"/>
        </w:rPr>
      </w:pPr>
    </w:p>
    <w:p>
      <w:pPr>
        <w:jc w:val="both"/>
        <w:ind w:left="328"/>
        <w:spacing w:after="0" w:line="249" w:lineRule="auto"/>
        <w:rPr>
          <w:rFonts w:ascii="Arial" w:cs="Arial" w:eastAsia="Arial" w:hAnsi="Arial"/>
          <w:sz w:val="22"/>
          <w:szCs w:val="22"/>
          <w:b w:val="1"/>
          <w:bCs w:val="1"/>
          <w:color w:val="auto"/>
        </w:rPr>
      </w:pPr>
      <w:r>
        <w:rPr>
          <w:rFonts w:ascii="Arial" w:cs="Arial" w:eastAsia="Arial" w:hAnsi="Arial"/>
          <w:sz w:val="22"/>
          <w:szCs w:val="22"/>
          <w:color w:val="auto"/>
        </w:rPr>
        <w:t>For the purpose of preventing the unfair use of information which may have been obtained by a Section 16 Insider, any profits realized by any Section 16 Insider from any non-exempt matchable purchase and sale, or sale and purchase, of Celestica securities during a period of less than six-months (so called “short-swing profits”) are subject to recovery by Celestica. When such transactions occur, good faith is no defense. The Section 16 Insider is liable even if compelled to sell for personal reasons, and even if the sale takes place after full disclosure and without the use of any inside information. The liability of a Section 16 Insider under the short swing profit rules of the Exchange Act is only to Celestica. Celestica, however, cannot waive its right to short swing profits, and any Celestica shareholder can bring suit in Celestica’s name.</w:t>
      </w:r>
    </w:p>
    <w:p>
      <w:pPr>
        <w:spacing w:after="0" w:line="154" w:lineRule="exact"/>
        <w:rPr>
          <w:rFonts w:ascii="Arial" w:cs="Arial" w:eastAsia="Arial" w:hAnsi="Arial"/>
          <w:sz w:val="22"/>
          <w:szCs w:val="22"/>
          <w:b w:val="1"/>
          <w:bCs w:val="1"/>
          <w:color w:val="auto"/>
        </w:rPr>
      </w:pPr>
    </w:p>
    <w:p>
      <w:pPr>
        <w:ind w:left="328"/>
        <w:spacing w:after="0"/>
        <w:rPr>
          <w:rFonts w:ascii="Arial" w:cs="Arial" w:eastAsia="Arial" w:hAnsi="Arial"/>
          <w:sz w:val="22"/>
          <w:szCs w:val="22"/>
          <w:b w:val="1"/>
          <w:bCs w:val="1"/>
          <w:color w:val="auto"/>
        </w:rPr>
      </w:pPr>
      <w:r>
        <w:rPr>
          <w:rFonts w:ascii="Arial" w:cs="Arial" w:eastAsia="Arial" w:hAnsi="Arial"/>
          <w:sz w:val="22"/>
          <w:szCs w:val="22"/>
          <w:color w:val="auto"/>
        </w:rPr>
        <w:t>Section 16 Insiders are also subject to a prohibition on sales of stock which the insider does not own.</w:t>
      </w:r>
    </w:p>
    <w:p>
      <w:pPr>
        <w:spacing w:after="0" w:line="177" w:lineRule="exact"/>
        <w:rPr>
          <w:rFonts w:ascii="Arial" w:cs="Arial" w:eastAsia="Arial" w:hAnsi="Arial"/>
          <w:sz w:val="22"/>
          <w:szCs w:val="22"/>
          <w:b w:val="1"/>
          <w:bCs w:val="1"/>
          <w:color w:val="auto"/>
        </w:rPr>
      </w:pPr>
    </w:p>
    <w:p>
      <w:pPr>
        <w:ind w:left="328" w:hanging="328"/>
        <w:spacing w:after="0"/>
        <w:tabs>
          <w:tab w:leader="none" w:pos="328" w:val="left"/>
        </w:tabs>
        <w:numPr>
          <w:ilvl w:val="0"/>
          <w:numId w:val="255"/>
        </w:numPr>
        <w:rPr>
          <w:rFonts w:ascii="Arial" w:cs="Arial" w:eastAsia="Arial" w:hAnsi="Arial"/>
          <w:sz w:val="22"/>
          <w:szCs w:val="22"/>
          <w:b w:val="1"/>
          <w:bCs w:val="1"/>
          <w:color w:val="auto"/>
        </w:rPr>
      </w:pPr>
      <w:r>
        <w:rPr>
          <w:rFonts w:ascii="Arial" w:cs="Arial" w:eastAsia="Arial" w:hAnsi="Arial"/>
          <w:sz w:val="22"/>
          <w:szCs w:val="22"/>
          <w:b w:val="1"/>
          <w:bCs w:val="1"/>
          <w:color w:val="auto"/>
        </w:rPr>
        <w:t>Pre-Clear Trades</w:t>
      </w:r>
    </w:p>
    <w:p>
      <w:pPr>
        <w:spacing w:after="0" w:line="194" w:lineRule="exact"/>
        <w:rPr>
          <w:rFonts w:ascii="Arial" w:cs="Arial" w:eastAsia="Arial" w:hAnsi="Arial"/>
          <w:sz w:val="22"/>
          <w:szCs w:val="22"/>
          <w:b w:val="1"/>
          <w:bCs w:val="1"/>
          <w:color w:val="auto"/>
        </w:rPr>
      </w:pPr>
    </w:p>
    <w:p>
      <w:pPr>
        <w:jc w:val="both"/>
        <w:ind w:left="328"/>
        <w:spacing w:after="0" w:line="253" w:lineRule="auto"/>
        <w:rPr>
          <w:rFonts w:ascii="Arial" w:cs="Arial" w:eastAsia="Arial" w:hAnsi="Arial"/>
          <w:sz w:val="22"/>
          <w:szCs w:val="22"/>
          <w:b w:val="1"/>
          <w:bCs w:val="1"/>
          <w:color w:val="auto"/>
        </w:rPr>
      </w:pPr>
      <w:r>
        <w:rPr>
          <w:rFonts w:ascii="Arial" w:cs="Arial" w:eastAsia="Arial" w:hAnsi="Arial"/>
          <w:sz w:val="22"/>
          <w:szCs w:val="22"/>
          <w:color w:val="auto"/>
        </w:rPr>
        <w:t>Subject to Section 7 below, Reporting Insiders, Section 16 Insiders and any Celestica employees at the vice president level and above (“</w:t>
      </w:r>
      <w:r>
        <w:rPr>
          <w:rFonts w:ascii="Arial" w:cs="Arial" w:eastAsia="Arial" w:hAnsi="Arial"/>
          <w:sz w:val="22"/>
          <w:szCs w:val="22"/>
          <w:b w:val="1"/>
          <w:bCs w:val="1"/>
          <w:color w:val="auto"/>
        </w:rPr>
        <w:t>Executives</w:t>
      </w:r>
      <w:r>
        <w:rPr>
          <w:rFonts w:ascii="Arial" w:cs="Arial" w:eastAsia="Arial" w:hAnsi="Arial"/>
          <w:sz w:val="22"/>
          <w:szCs w:val="22"/>
          <w:color w:val="auto"/>
        </w:rPr>
        <w:t xml:space="preserve">”) are required to obtain the approval from the CLO </w:t>
      </w:r>
      <w:r>
        <w:rPr>
          <w:rFonts w:ascii="Arial" w:cs="Arial" w:eastAsia="Arial" w:hAnsi="Arial"/>
          <w:sz w:val="22"/>
          <w:szCs w:val="22"/>
          <w:u w:val="single" w:color="auto"/>
          <w:color w:val="auto"/>
        </w:rPr>
        <w:t>and</w:t>
      </w:r>
      <w:r>
        <w:rPr>
          <w:rFonts w:ascii="Arial" w:cs="Arial" w:eastAsia="Arial" w:hAnsi="Arial"/>
          <w:sz w:val="22"/>
          <w:szCs w:val="22"/>
          <w:color w:val="auto"/>
        </w:rPr>
        <w:t xml:space="preserve"> the CFO (or their respective designees), with notification to the CEO, of any intention by such persons (or their respective Related Persons) to trade in Celestica’s securities. There is no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312"/>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0908"/>
          </w:cols>
          <w:pgMar w:left="652" w:top="1440" w:right="339" w:bottom="1440" w:gutter="0" w:footer="0" w:header="0"/>
        </w:sectPr>
      </w:pPr>
    </w:p>
    <w:bookmarkStart w:id="269" w:name="page270"/>
    <w:bookmarkEnd w:id="269"/>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660"/>
        <w:spacing w:after="0" w:line="272" w:lineRule="auto"/>
        <w:rPr>
          <w:sz w:val="20"/>
          <w:szCs w:val="20"/>
          <w:color w:val="auto"/>
        </w:rPr>
      </w:pPr>
      <w:r>
        <w:rPr>
          <w:rFonts w:ascii="Arial" w:cs="Arial" w:eastAsia="Arial" w:hAnsi="Arial"/>
          <w:sz w:val="22"/>
          <w:szCs w:val="22"/>
          <w:color w:val="auto"/>
        </w:rPr>
        <w:t>obligation to approve a transaction submitted for pre-clearance, and the CLO and the CFO may determine not to permit the transaction.</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When a request for pre-clearance is made, the requestor </w:t>
      </w:r>
      <w:r>
        <w:rPr>
          <w:rFonts w:ascii="Arial" w:cs="Arial" w:eastAsia="Arial" w:hAnsi="Arial"/>
          <w:sz w:val="22"/>
          <w:szCs w:val="22"/>
          <w:b w:val="1"/>
          <w:bCs w:val="1"/>
          <w:u w:val="single" w:color="auto"/>
          <w:color w:val="auto"/>
        </w:rPr>
        <w:t>must</w:t>
      </w:r>
      <w:r>
        <w:rPr>
          <w:rFonts w:ascii="Arial" w:cs="Arial" w:eastAsia="Arial" w:hAnsi="Arial"/>
          <w:sz w:val="22"/>
          <w:szCs w:val="22"/>
          <w:b w:val="1"/>
          <w:bCs w:val="1"/>
          <w:color w:val="auto"/>
        </w:rPr>
        <w:t xml:space="preserve"> send an email to </w:t>
      </w:r>
      <w:r>
        <w:rPr>
          <w:rFonts w:ascii="Arial" w:cs="Arial" w:eastAsia="Arial" w:hAnsi="Arial"/>
          <w:sz w:val="22"/>
          <w:szCs w:val="22"/>
          <w:b w:val="1"/>
          <w:bCs w:val="1"/>
          <w:u w:val="single" w:color="auto"/>
          <w:color w:val="auto"/>
        </w:rPr>
        <w:t>both</w:t>
      </w:r>
      <w:r>
        <w:rPr>
          <w:rFonts w:ascii="Arial" w:cs="Arial" w:eastAsia="Arial" w:hAnsi="Arial"/>
          <w:sz w:val="22"/>
          <w:szCs w:val="22"/>
          <w:b w:val="1"/>
          <w:bCs w:val="1"/>
          <w:color w:val="auto"/>
        </w:rPr>
        <w:t xml:space="preserve"> the CLO and the</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CFO (with notification to the CEO)</w:t>
      </w:r>
      <w:r>
        <w:rPr>
          <w:rFonts w:ascii="Arial" w:cs="Arial" w:eastAsia="Arial" w:hAnsi="Arial"/>
          <w:sz w:val="22"/>
          <w:szCs w:val="22"/>
          <w:color w:val="auto"/>
        </w:rPr>
        <w:t>:</w:t>
      </w:r>
    </w:p>
    <w:p>
      <w:pPr>
        <w:spacing w:after="0" w:line="159" w:lineRule="exact"/>
        <w:rPr>
          <w:sz w:val="20"/>
          <w:szCs w:val="20"/>
          <w:color w:val="auto"/>
        </w:rPr>
      </w:pPr>
    </w:p>
    <w:p>
      <w:pPr>
        <w:ind w:left="980" w:hanging="324"/>
        <w:spacing w:after="0" w:line="258" w:lineRule="auto"/>
        <w:tabs>
          <w:tab w:leader="none" w:pos="975" w:val="left"/>
        </w:tabs>
        <w:numPr>
          <w:ilvl w:val="0"/>
          <w:numId w:val="256"/>
        </w:numPr>
        <w:rPr>
          <w:rFonts w:ascii="Times New Roman" w:cs="Times New Roman" w:eastAsia="Times New Roman" w:hAnsi="Times New Roman"/>
          <w:sz w:val="22"/>
          <w:szCs w:val="22"/>
          <w:color w:val="auto"/>
        </w:rPr>
      </w:pPr>
      <w:r>
        <w:rPr>
          <w:rFonts w:ascii="Arial" w:cs="Arial" w:eastAsia="Arial" w:hAnsi="Arial"/>
          <w:sz w:val="22"/>
          <w:szCs w:val="22"/>
          <w:color w:val="auto"/>
        </w:rPr>
        <w:t>summarize the details of the proposed transaction(s), including, but not limited to, purchases, sales, gifts or donations;</w:t>
      </w:r>
    </w:p>
    <w:p>
      <w:pPr>
        <w:spacing w:after="0" w:line="1" w:lineRule="exact"/>
        <w:rPr>
          <w:rFonts w:ascii="Times New Roman" w:cs="Times New Roman" w:eastAsia="Times New Roman" w:hAnsi="Times New Roman"/>
          <w:sz w:val="22"/>
          <w:szCs w:val="22"/>
          <w:color w:val="auto"/>
        </w:rPr>
      </w:pPr>
    </w:p>
    <w:p>
      <w:pPr>
        <w:ind w:left="980" w:hanging="324"/>
        <w:spacing w:after="0" w:line="242" w:lineRule="auto"/>
        <w:tabs>
          <w:tab w:leader="none" w:pos="975" w:val="left"/>
        </w:tabs>
        <w:numPr>
          <w:ilvl w:val="0"/>
          <w:numId w:val="256"/>
        </w:numPr>
        <w:rPr>
          <w:rFonts w:ascii="Times New Roman" w:cs="Times New Roman" w:eastAsia="Times New Roman" w:hAnsi="Times New Roman"/>
          <w:sz w:val="22"/>
          <w:szCs w:val="22"/>
          <w:color w:val="auto"/>
        </w:rPr>
      </w:pPr>
      <w:r>
        <w:rPr>
          <w:rFonts w:ascii="Arial" w:cs="Arial" w:eastAsia="Arial" w:hAnsi="Arial"/>
          <w:sz w:val="22"/>
          <w:szCs w:val="22"/>
          <w:color w:val="auto"/>
        </w:rPr>
        <w:t>confirm that they (and/or their Related Persons) are not aware of any undisclosed material information concerning Celestica;</w:t>
      </w:r>
    </w:p>
    <w:p>
      <w:pPr>
        <w:spacing w:after="0" w:line="1" w:lineRule="exact"/>
        <w:rPr>
          <w:rFonts w:ascii="Times New Roman" w:cs="Times New Roman" w:eastAsia="Times New Roman" w:hAnsi="Times New Roman"/>
          <w:sz w:val="22"/>
          <w:szCs w:val="22"/>
          <w:color w:val="auto"/>
        </w:rPr>
      </w:pPr>
    </w:p>
    <w:p>
      <w:pPr>
        <w:jc w:val="both"/>
        <w:ind w:left="980" w:hanging="324"/>
        <w:spacing w:after="0" w:line="245" w:lineRule="auto"/>
        <w:tabs>
          <w:tab w:leader="none" w:pos="975" w:val="left"/>
        </w:tabs>
        <w:numPr>
          <w:ilvl w:val="0"/>
          <w:numId w:val="256"/>
        </w:numPr>
        <w:rPr>
          <w:rFonts w:ascii="Times New Roman" w:cs="Times New Roman" w:eastAsia="Times New Roman" w:hAnsi="Times New Roman"/>
          <w:sz w:val="22"/>
          <w:szCs w:val="22"/>
          <w:color w:val="auto"/>
        </w:rPr>
      </w:pPr>
      <w:r>
        <w:rPr>
          <w:rFonts w:ascii="Arial" w:cs="Arial" w:eastAsia="Arial" w:hAnsi="Arial"/>
          <w:sz w:val="22"/>
          <w:szCs w:val="22"/>
          <w:color w:val="auto"/>
        </w:rPr>
        <w:t>if the requester (or their Related Person) is proposing to sell shares, they must also execute and return to the CLO and the CFO the Notice of Proposed Sale attached hereto as “Attachment A” (as amended from time to time) with the request for pre-clearance; and</w:t>
      </w:r>
    </w:p>
    <w:p>
      <w:pPr>
        <w:jc w:val="both"/>
        <w:ind w:left="980" w:hanging="324"/>
        <w:spacing w:after="0" w:line="248" w:lineRule="auto"/>
        <w:tabs>
          <w:tab w:leader="none" w:pos="975" w:val="left"/>
        </w:tabs>
        <w:numPr>
          <w:ilvl w:val="0"/>
          <w:numId w:val="256"/>
        </w:numPr>
        <w:rPr>
          <w:rFonts w:ascii="Times New Roman" w:cs="Times New Roman" w:eastAsia="Times New Roman" w:hAnsi="Times New Roman"/>
          <w:sz w:val="22"/>
          <w:szCs w:val="22"/>
          <w:color w:val="auto"/>
        </w:rPr>
      </w:pPr>
      <w:r>
        <w:rPr>
          <w:rFonts w:ascii="Arial" w:cs="Arial" w:eastAsia="Arial" w:hAnsi="Arial"/>
          <w:sz w:val="22"/>
          <w:szCs w:val="22"/>
          <w:color w:val="auto"/>
        </w:rPr>
        <w:t>if the requestor is a Section 16 Insider (or their Related Person), they must also provide detailed information (including transaction date, number of securities, exact price, and whether an Automatic Trading Plan was used) regarding any transactions (including, but not limited to, purchases, sales, gifts or donations) involving any Celestica securities, within the past 6 months or planned for the next 6 months.</w:t>
      </w:r>
    </w:p>
    <w:p>
      <w:pPr>
        <w:spacing w:after="0" w:line="155" w:lineRule="exact"/>
        <w:rPr>
          <w:sz w:val="20"/>
          <w:szCs w:val="20"/>
          <w:color w:val="auto"/>
        </w:rPr>
      </w:pPr>
    </w:p>
    <w:p>
      <w:pPr>
        <w:jc w:val="both"/>
        <w:ind w:left="660"/>
        <w:spacing w:after="0" w:line="272" w:lineRule="auto"/>
        <w:rPr>
          <w:sz w:val="20"/>
          <w:szCs w:val="20"/>
          <w:color w:val="auto"/>
        </w:rPr>
      </w:pPr>
      <w:r>
        <w:rPr>
          <w:rFonts w:ascii="Arial" w:cs="Arial" w:eastAsia="Arial" w:hAnsi="Arial"/>
          <w:sz w:val="22"/>
          <w:szCs w:val="22"/>
          <w:color w:val="auto"/>
        </w:rPr>
        <w:t xml:space="preserve">If such approval is granted, the proposed trade must be made </w:t>
      </w:r>
      <w:r>
        <w:rPr>
          <w:rFonts w:ascii="Arial" w:cs="Arial" w:eastAsia="Arial" w:hAnsi="Arial"/>
          <w:sz w:val="22"/>
          <w:szCs w:val="22"/>
          <w:u w:val="single" w:color="auto"/>
          <w:color w:val="auto"/>
        </w:rPr>
        <w:t>within five (5) business days of the receipt of</w:t>
      </w:r>
      <w:r>
        <w:rPr>
          <w:rFonts w:ascii="Arial" w:cs="Arial" w:eastAsia="Arial" w:hAnsi="Arial"/>
          <w:sz w:val="22"/>
          <w:szCs w:val="22"/>
          <w:color w:val="auto"/>
        </w:rPr>
        <w:t xml:space="preserve"> </w:t>
      </w:r>
      <w:r>
        <w:rPr>
          <w:rFonts w:ascii="Arial" w:cs="Arial" w:eastAsia="Arial" w:hAnsi="Arial"/>
          <w:sz w:val="22"/>
          <w:szCs w:val="22"/>
          <w:u w:val="single" w:color="auto"/>
          <w:color w:val="auto"/>
        </w:rPr>
        <w:t>such approval</w:t>
      </w:r>
      <w:r>
        <w:rPr>
          <w:rFonts w:ascii="Arial" w:cs="Arial" w:eastAsia="Arial" w:hAnsi="Arial"/>
          <w:sz w:val="22"/>
          <w:szCs w:val="22"/>
          <w:color w:val="auto"/>
        </w:rPr>
        <w:t>.</w:t>
      </w:r>
    </w:p>
    <w:p>
      <w:pPr>
        <w:spacing w:after="0" w:line="115" w:lineRule="exact"/>
        <w:rPr>
          <w:sz w:val="20"/>
          <w:szCs w:val="20"/>
          <w:color w:val="auto"/>
        </w:rPr>
      </w:pPr>
    </w:p>
    <w:p>
      <w:pPr>
        <w:jc w:val="both"/>
        <w:ind w:left="660"/>
        <w:spacing w:after="0" w:line="261" w:lineRule="auto"/>
        <w:rPr>
          <w:sz w:val="20"/>
          <w:szCs w:val="20"/>
          <w:color w:val="auto"/>
        </w:rPr>
      </w:pPr>
      <w:r>
        <w:rPr>
          <w:rFonts w:ascii="Arial" w:cs="Arial" w:eastAsia="Arial" w:hAnsi="Arial"/>
          <w:sz w:val="21"/>
          <w:szCs w:val="21"/>
          <w:color w:val="auto"/>
        </w:rPr>
        <w:t>If the requestor (and/or their Related Persons, as applicable) becomes aware of undisclosed material information concerning Celestica before the trade is executed, the pre-clearance shall be void and the trade must not be completed. If a person seeks pre-clearance and permission to engage in the transaction is denied or does not receive a response, then they should refrain from initiating any transaction in Celestica securities and should not inform any other person of the denial. If for any reason the trade is not completed with the five</w:t>
      </w:r>
    </w:p>
    <w:p>
      <w:pPr>
        <w:spacing w:after="0" w:line="3" w:lineRule="exact"/>
        <w:rPr>
          <w:sz w:val="20"/>
          <w:szCs w:val="20"/>
          <w:color w:val="auto"/>
        </w:rPr>
      </w:pPr>
    </w:p>
    <w:p>
      <w:pPr>
        <w:jc w:val="both"/>
        <w:ind w:left="660" w:hanging="4"/>
        <w:spacing w:after="0" w:line="254" w:lineRule="auto"/>
        <w:tabs>
          <w:tab w:leader="none" w:pos="987" w:val="left"/>
        </w:tabs>
        <w:numPr>
          <w:ilvl w:val="0"/>
          <w:numId w:val="257"/>
        </w:numPr>
        <w:rPr>
          <w:rFonts w:ascii="Arial" w:cs="Arial" w:eastAsia="Arial" w:hAnsi="Arial"/>
          <w:sz w:val="22"/>
          <w:szCs w:val="22"/>
          <w:color w:val="auto"/>
        </w:rPr>
      </w:pPr>
      <w:r>
        <w:rPr>
          <w:rFonts w:ascii="Arial" w:cs="Arial" w:eastAsia="Arial" w:hAnsi="Arial"/>
          <w:sz w:val="22"/>
          <w:szCs w:val="22"/>
          <w:color w:val="auto"/>
        </w:rPr>
        <w:t>business day period, clearance must be obtained again before the trade may be consummated. There may be occasions where those required to pre-clear will be advised that they (and/or their Related Persons, as applicable) cannot trade until further notice.</w:t>
      </w:r>
    </w:p>
    <w:p>
      <w:pPr>
        <w:spacing w:after="0" w:line="135" w:lineRule="exact"/>
        <w:rPr>
          <w:sz w:val="20"/>
          <w:szCs w:val="20"/>
          <w:color w:val="auto"/>
        </w:rPr>
      </w:pPr>
    </w:p>
    <w:p>
      <w:pPr>
        <w:jc w:val="both"/>
        <w:ind w:left="660"/>
        <w:spacing w:after="0" w:line="257" w:lineRule="auto"/>
        <w:rPr>
          <w:sz w:val="20"/>
          <w:szCs w:val="20"/>
          <w:color w:val="auto"/>
        </w:rPr>
      </w:pPr>
      <w:r>
        <w:rPr>
          <w:rFonts w:ascii="Arial" w:cs="Arial" w:eastAsia="Arial" w:hAnsi="Arial"/>
          <w:sz w:val="22"/>
          <w:szCs w:val="22"/>
          <w:color w:val="auto"/>
        </w:rPr>
        <w:t>Pre-clearance does not relieve anyone of his or her responsibility under SEC rules and applicable Canadian securities laws, and pre-clearance does not mean your pre-cleared trade is legal. Ultimate responsibility for determining whether an individual is aware of undisclosed material information about Celestica rests with the individual in all cases.</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D.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40" w:right="339" w:bottom="1440" w:gutter="0" w:footer="0" w:header="0"/>
        </w:sectPr>
      </w:pPr>
    </w:p>
    <w:bookmarkStart w:id="270" w:name="page271"/>
    <w:bookmarkEnd w:id="270"/>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ind w:left="328"/>
        <w:spacing w:after="0" w:line="250" w:lineRule="auto"/>
        <w:rPr>
          <w:sz w:val="20"/>
          <w:szCs w:val="20"/>
          <w:color w:val="auto"/>
        </w:rPr>
      </w:pPr>
      <w:r>
        <w:rPr>
          <w:rFonts w:ascii="Arial" w:cs="Arial" w:eastAsia="Arial" w:hAnsi="Arial"/>
          <w:sz w:val="22"/>
          <w:szCs w:val="22"/>
          <w:color w:val="auto"/>
        </w:rPr>
        <w:t>If you are a Reporting Insider or Section 16 Insider, you must report transactions in securities you hold directly or indirectly (e.g. through a trust, holding or investment company) and securities over which you exercise control or direction (e.g., pursuant to any contract, arrangement, understanding or relationship (e.g., family relationship), or otherwise, where you have (or share) the power to vote and/or the power to acquire or dispose of such securities), as well as any monetization transaction, secured loan with recourse limited to such securities, or similar arrangement or transaction that changes your economic exposure to or interest in such securities (which may not necessarily involve a trade).</w:t>
      </w:r>
    </w:p>
    <w:p>
      <w:pPr>
        <w:spacing w:after="0" w:line="153" w:lineRule="exact"/>
        <w:rPr>
          <w:sz w:val="20"/>
          <w:szCs w:val="20"/>
          <w:color w:val="auto"/>
        </w:rPr>
      </w:pPr>
    </w:p>
    <w:p>
      <w:pPr>
        <w:jc w:val="both"/>
        <w:ind w:left="328"/>
        <w:spacing w:after="0" w:line="251" w:lineRule="auto"/>
        <w:rPr>
          <w:sz w:val="20"/>
          <w:szCs w:val="20"/>
          <w:color w:val="auto"/>
        </w:rPr>
      </w:pPr>
      <w:r>
        <w:rPr>
          <w:rFonts w:ascii="Arial" w:cs="Arial" w:eastAsia="Arial" w:hAnsi="Arial"/>
          <w:sz w:val="22"/>
          <w:szCs w:val="22"/>
          <w:color w:val="auto"/>
        </w:rPr>
        <w:t>The legal obligation to file such reports rests with the Reporting Insider or Section 16 Insider and not Celestica. However, until further notice, the Legal Department will arrange the filing of Insider Trading Reports and Section 16 Reports on behalf of Reporting Insiders and Section 16 Insiders and therefore must be informed of the completion of any transaction no later than the date of the transaction. All Reporting Insiders and Section 16 Insiders have been notified of the procedures for reporting transactions to the Legal Department in a separate communication. If you require further information, please contact the CLO.</w:t>
      </w:r>
    </w:p>
    <w:p>
      <w:pPr>
        <w:spacing w:after="0" w:line="141" w:lineRule="exact"/>
        <w:rPr>
          <w:sz w:val="20"/>
          <w:szCs w:val="20"/>
          <w:color w:val="auto"/>
        </w:rPr>
      </w:pPr>
    </w:p>
    <w:p>
      <w:pPr>
        <w:jc w:val="both"/>
        <w:ind w:left="328"/>
        <w:spacing w:after="0" w:line="272" w:lineRule="auto"/>
        <w:rPr>
          <w:sz w:val="20"/>
          <w:szCs w:val="20"/>
          <w:color w:val="auto"/>
        </w:rPr>
      </w:pPr>
      <w:r>
        <w:rPr>
          <w:rFonts w:ascii="Arial" w:cs="Arial" w:eastAsia="Arial" w:hAnsi="Arial"/>
          <w:sz w:val="22"/>
          <w:szCs w:val="22"/>
          <w:color w:val="auto"/>
        </w:rPr>
        <w:t>If you are a Reporting Insider or a Section 16 Insider and you elect to file an Insider Trading Report or Section 16 Report directly, you must provide a copy to the Legal Department at the time of filing.</w:t>
      </w:r>
    </w:p>
    <w:p>
      <w:pPr>
        <w:spacing w:after="0" w:line="127" w:lineRule="exact"/>
        <w:rPr>
          <w:sz w:val="20"/>
          <w:szCs w:val="20"/>
          <w:color w:val="auto"/>
        </w:rPr>
      </w:pPr>
    </w:p>
    <w:p>
      <w:pPr>
        <w:ind w:left="308" w:hanging="308"/>
        <w:spacing w:after="0"/>
        <w:tabs>
          <w:tab w:leader="none" w:pos="308" w:val="left"/>
        </w:tabs>
        <w:numPr>
          <w:ilvl w:val="0"/>
          <w:numId w:val="258"/>
        </w:numPr>
        <w:rPr>
          <w:rFonts w:ascii="Arial" w:cs="Arial" w:eastAsia="Arial" w:hAnsi="Arial"/>
          <w:sz w:val="22"/>
          <w:szCs w:val="22"/>
          <w:b w:val="1"/>
          <w:bCs w:val="1"/>
          <w:color w:val="auto"/>
        </w:rPr>
      </w:pPr>
      <w:r>
        <w:rPr>
          <w:rFonts w:ascii="Arial" w:cs="Arial" w:eastAsia="Arial" w:hAnsi="Arial"/>
          <w:sz w:val="22"/>
          <w:szCs w:val="22"/>
          <w:b w:val="1"/>
          <w:bCs w:val="1"/>
          <w:color w:val="auto"/>
        </w:rPr>
        <w:t>Rule 144</w:t>
      </w:r>
    </w:p>
    <w:p>
      <w:pPr>
        <w:spacing w:after="0" w:line="181" w:lineRule="exact"/>
        <w:rPr>
          <w:rFonts w:ascii="Arial" w:cs="Arial" w:eastAsia="Arial" w:hAnsi="Arial"/>
          <w:sz w:val="22"/>
          <w:szCs w:val="22"/>
          <w:b w:val="1"/>
          <w:bCs w:val="1"/>
          <w:color w:val="auto"/>
        </w:rPr>
      </w:pPr>
    </w:p>
    <w:p>
      <w:pPr>
        <w:jc w:val="both"/>
        <w:ind w:left="328"/>
        <w:spacing w:after="0" w:line="251" w:lineRule="auto"/>
        <w:rPr>
          <w:rFonts w:ascii="Arial" w:cs="Arial" w:eastAsia="Arial" w:hAnsi="Arial"/>
          <w:sz w:val="22"/>
          <w:szCs w:val="22"/>
          <w:b w:val="1"/>
          <w:bCs w:val="1"/>
          <w:color w:val="auto"/>
        </w:rPr>
      </w:pPr>
      <w:r>
        <w:rPr>
          <w:rFonts w:ascii="Arial" w:cs="Arial" w:eastAsia="Arial" w:hAnsi="Arial"/>
          <w:sz w:val="22"/>
          <w:szCs w:val="22"/>
          <w:color w:val="auto"/>
        </w:rPr>
        <w:t>Certain persons subject to this Insider Trading Policy (including Reporting Insiders, Section 16 Insiders and others) may also be required to comply with Rule 144 of the U.S. Securities Act in order to sell Celestica securities in the U.S. for any purpose. Section 16 Insiders and other Celestica affiliates must file a notice of the sale (a Form 144) with the SEC at the time of the sale if the sale involves in excess of 5,000 shares or $50,000 in any three-month period. Such persons should ascertain the applicability of any Rule 144 obligations at the time they seek pre-clearance to sell securities as described in paragraph C above.</w:t>
      </w:r>
    </w:p>
    <w:p>
      <w:pPr>
        <w:spacing w:after="0" w:line="154" w:lineRule="exact"/>
        <w:rPr>
          <w:rFonts w:ascii="Arial" w:cs="Arial" w:eastAsia="Arial" w:hAnsi="Arial"/>
          <w:sz w:val="22"/>
          <w:szCs w:val="22"/>
          <w:b w:val="1"/>
          <w:bCs w:val="1"/>
          <w:color w:val="auto"/>
        </w:rPr>
      </w:pPr>
    </w:p>
    <w:p>
      <w:pPr>
        <w:jc w:val="both"/>
        <w:ind w:left="328"/>
        <w:spacing w:after="0" w:line="251" w:lineRule="auto"/>
        <w:rPr>
          <w:rFonts w:ascii="Arial" w:cs="Arial" w:eastAsia="Arial" w:hAnsi="Arial"/>
          <w:sz w:val="22"/>
          <w:szCs w:val="22"/>
          <w:b w:val="1"/>
          <w:bCs w:val="1"/>
          <w:color w:val="auto"/>
        </w:rPr>
      </w:pPr>
      <w:r>
        <w:rPr>
          <w:rFonts w:ascii="Arial" w:cs="Arial" w:eastAsia="Arial" w:hAnsi="Arial"/>
          <w:sz w:val="22"/>
          <w:szCs w:val="22"/>
          <w:color w:val="auto"/>
        </w:rPr>
        <w:t>If you or your Related Persons are subject to Rule 144, you must: (i) instruct your broker who handles trades in Celestica’s securities to follow the brokerage firm’s Rule 144 compliance procedures in connection with all trades; and (ii) ascertain whether such broker will file on your behalf (or on behalf of your Related Persons) as filing agent any required Form 144 (including corrections thereto) with the SEC. If your broker is unable to file any required Form 144 on your behalf, the Legal Department will arrange the filing on your behalf. If you require further information, please contact the CLO.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312"/>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0908"/>
          </w:cols>
          <w:pgMar w:left="652" w:top="1440" w:right="339" w:bottom="1440" w:gutter="0" w:footer="0" w:header="0"/>
        </w:sectPr>
      </w:pPr>
    </w:p>
    <w:bookmarkStart w:id="271" w:name="page272"/>
    <w:bookmarkEnd w:id="271"/>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The legal obligation to comply with Rule 144 rests with you and your Related Persons and not Celestica.</w:t>
      </w:r>
    </w:p>
    <w:p>
      <w:pPr>
        <w:spacing w:after="0" w:line="177" w:lineRule="exact"/>
        <w:rPr>
          <w:sz w:val="20"/>
          <w:szCs w:val="20"/>
          <w:color w:val="auto"/>
        </w:rPr>
      </w:pPr>
    </w:p>
    <w:p>
      <w:pPr>
        <w:ind w:left="640" w:hanging="632"/>
        <w:spacing w:after="0"/>
        <w:tabs>
          <w:tab w:leader="none" w:pos="640" w:val="left"/>
        </w:tabs>
        <w:numPr>
          <w:ilvl w:val="0"/>
          <w:numId w:val="259"/>
        </w:numPr>
        <w:rPr>
          <w:rFonts w:ascii="Arial" w:cs="Arial" w:eastAsia="Arial" w:hAnsi="Arial"/>
          <w:sz w:val="22"/>
          <w:szCs w:val="22"/>
          <w:b w:val="1"/>
          <w:bCs w:val="1"/>
          <w:color w:val="auto"/>
        </w:rPr>
      </w:pPr>
      <w:r>
        <w:rPr>
          <w:rFonts w:ascii="Arial" w:cs="Arial" w:eastAsia="Arial" w:hAnsi="Arial"/>
          <w:sz w:val="22"/>
          <w:szCs w:val="22"/>
          <w:b w:val="1"/>
          <w:bCs w:val="1"/>
          <w:color w:val="auto"/>
        </w:rPr>
        <w:t>Penalties</w:t>
      </w:r>
    </w:p>
    <w:p>
      <w:pPr>
        <w:spacing w:after="0" w:line="195" w:lineRule="exact"/>
        <w:rPr>
          <w:sz w:val="20"/>
          <w:szCs w:val="20"/>
          <w:color w:val="auto"/>
        </w:rPr>
      </w:pPr>
    </w:p>
    <w:p>
      <w:pPr>
        <w:jc w:val="both"/>
        <w:spacing w:after="0" w:line="262" w:lineRule="auto"/>
        <w:rPr>
          <w:sz w:val="20"/>
          <w:szCs w:val="20"/>
          <w:color w:val="auto"/>
        </w:rPr>
      </w:pPr>
      <w:r>
        <w:rPr>
          <w:rFonts w:ascii="Arial" w:cs="Arial" w:eastAsia="Arial" w:hAnsi="Arial"/>
          <w:sz w:val="21"/>
          <w:szCs w:val="21"/>
          <w:color w:val="auto"/>
        </w:rPr>
        <w:t>Violation of the insider trading rules (e.g. “tipping” or trading when you have undisclosed material information about Celestica or, as applicable, another public company) can result in substantial monetary penalties and/or imprisonment. In addition, you may be liable to compensate a person who suffered a loss as a result of the transaction and may be accountable to Celestica for any profit made or loss avoided on the trade or communication, as the case may be. Employees who violate this Insider Trading Policy may also be subject to disciplinary action by Celestica, including dismissal for cause. Financial emergency or other personal circumstances are not mitigating factors under the securities laws and will not excuse your failure to comply with this Insider Trading Policy. In addition, Celestica and/or the supervisors of the person violating the rules may face major civil and/or criminal penalties.</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color w:val="auto"/>
        </w:rPr>
        <w:t>Failure to file an Insider Trading Report or Section 16 Report when required can result in:</w:t>
      </w:r>
    </w:p>
    <w:p>
      <w:pPr>
        <w:spacing w:after="0" w:line="112" w:lineRule="exact"/>
        <w:rPr>
          <w:sz w:val="20"/>
          <w:szCs w:val="20"/>
          <w:color w:val="auto"/>
        </w:rPr>
      </w:pPr>
    </w:p>
    <w:p>
      <w:pPr>
        <w:ind w:left="320" w:hanging="312"/>
        <w:spacing w:after="0"/>
        <w:tabs>
          <w:tab w:leader="none" w:pos="320" w:val="left"/>
        </w:tabs>
        <w:numPr>
          <w:ilvl w:val="0"/>
          <w:numId w:val="260"/>
        </w:numPr>
        <w:rPr>
          <w:rFonts w:ascii="Times New Roman" w:cs="Times New Roman" w:eastAsia="Times New Roman" w:hAnsi="Times New Roman"/>
          <w:sz w:val="22"/>
          <w:szCs w:val="22"/>
          <w:color w:val="auto"/>
        </w:rPr>
      </w:pPr>
      <w:r>
        <w:rPr>
          <w:rFonts w:ascii="Arial" w:cs="Arial" w:eastAsia="Arial" w:hAnsi="Arial"/>
          <w:sz w:val="22"/>
          <w:szCs w:val="22"/>
          <w:color w:val="auto"/>
        </w:rPr>
        <w:t>the imposition on you of a late filing fee;</w:t>
      </w:r>
    </w:p>
    <w:p>
      <w:pPr>
        <w:spacing w:after="0" w:line="110" w:lineRule="exact"/>
        <w:rPr>
          <w:rFonts w:ascii="Times New Roman" w:cs="Times New Roman" w:eastAsia="Times New Roman" w:hAnsi="Times New Roman"/>
          <w:sz w:val="22"/>
          <w:szCs w:val="22"/>
          <w:color w:val="auto"/>
        </w:rPr>
      </w:pPr>
    </w:p>
    <w:p>
      <w:pPr>
        <w:ind w:left="340" w:right="20" w:hanging="332"/>
        <w:spacing w:after="0" w:line="271" w:lineRule="auto"/>
        <w:tabs>
          <w:tab w:leader="none" w:pos="335" w:val="left"/>
        </w:tabs>
        <w:numPr>
          <w:ilvl w:val="0"/>
          <w:numId w:val="260"/>
        </w:numPr>
        <w:rPr>
          <w:rFonts w:ascii="Times New Roman" w:cs="Times New Roman" w:eastAsia="Times New Roman" w:hAnsi="Times New Roman"/>
          <w:sz w:val="22"/>
          <w:szCs w:val="22"/>
          <w:color w:val="auto"/>
        </w:rPr>
      </w:pPr>
      <w:r>
        <w:rPr>
          <w:rFonts w:ascii="Arial" w:cs="Arial" w:eastAsia="Arial" w:hAnsi="Arial"/>
          <w:sz w:val="22"/>
          <w:szCs w:val="22"/>
          <w:color w:val="auto"/>
        </w:rPr>
        <w:t>you being identified as a late filer in Celestica’s public filings and on a public database of late filers maintained by certain securities regulators;</w:t>
      </w:r>
    </w:p>
    <w:p>
      <w:pPr>
        <w:spacing w:after="0" w:line="62" w:lineRule="exact"/>
        <w:rPr>
          <w:rFonts w:ascii="Times New Roman" w:cs="Times New Roman" w:eastAsia="Times New Roman" w:hAnsi="Times New Roman"/>
          <w:sz w:val="22"/>
          <w:szCs w:val="22"/>
          <w:color w:val="auto"/>
        </w:rPr>
      </w:pPr>
    </w:p>
    <w:p>
      <w:pPr>
        <w:ind w:left="340" w:hanging="332"/>
        <w:spacing w:after="0" w:line="271" w:lineRule="auto"/>
        <w:tabs>
          <w:tab w:leader="none" w:pos="335" w:val="left"/>
        </w:tabs>
        <w:numPr>
          <w:ilvl w:val="0"/>
          <w:numId w:val="260"/>
        </w:numPr>
        <w:rPr>
          <w:rFonts w:ascii="Times New Roman" w:cs="Times New Roman" w:eastAsia="Times New Roman" w:hAnsi="Times New Roman"/>
          <w:sz w:val="22"/>
          <w:szCs w:val="22"/>
          <w:color w:val="auto"/>
        </w:rPr>
      </w:pPr>
      <w:r>
        <w:rPr>
          <w:rFonts w:ascii="Arial" w:cs="Arial" w:eastAsia="Arial" w:hAnsi="Arial"/>
          <w:sz w:val="22"/>
          <w:szCs w:val="22"/>
          <w:color w:val="auto"/>
        </w:rPr>
        <w:t>the issuance of a cease trade order that prohibits you from directly or indirectly trading in or acquiring securities of any public company until the failure to file is corrected or a specified period of time has elapsed;</w:t>
      </w:r>
    </w:p>
    <w:p>
      <w:pPr>
        <w:spacing w:after="0" w:line="48" w:lineRule="exact"/>
        <w:rPr>
          <w:rFonts w:ascii="Times New Roman" w:cs="Times New Roman" w:eastAsia="Times New Roman" w:hAnsi="Times New Roman"/>
          <w:sz w:val="22"/>
          <w:szCs w:val="22"/>
          <w:color w:val="auto"/>
        </w:rPr>
      </w:pPr>
    </w:p>
    <w:p>
      <w:pPr>
        <w:ind w:left="320" w:hanging="312"/>
        <w:spacing w:after="0"/>
        <w:tabs>
          <w:tab w:leader="none" w:pos="320" w:val="left"/>
        </w:tabs>
        <w:numPr>
          <w:ilvl w:val="0"/>
          <w:numId w:val="260"/>
        </w:numPr>
        <w:rPr>
          <w:rFonts w:ascii="Times New Roman" w:cs="Times New Roman" w:eastAsia="Times New Roman" w:hAnsi="Times New Roman"/>
          <w:sz w:val="22"/>
          <w:szCs w:val="22"/>
          <w:color w:val="auto"/>
        </w:rPr>
      </w:pPr>
      <w:r>
        <w:rPr>
          <w:rFonts w:ascii="Arial" w:cs="Arial" w:eastAsia="Arial" w:hAnsi="Arial"/>
          <w:sz w:val="22"/>
          <w:szCs w:val="22"/>
          <w:color w:val="auto"/>
        </w:rPr>
        <w:t>you being enjoined from serving as an officer or director of a public company; and/or</w:t>
      </w:r>
    </w:p>
    <w:p>
      <w:pPr>
        <w:spacing w:after="0" w:line="110" w:lineRule="exact"/>
        <w:rPr>
          <w:rFonts w:ascii="Times New Roman" w:cs="Times New Roman" w:eastAsia="Times New Roman" w:hAnsi="Times New Roman"/>
          <w:sz w:val="22"/>
          <w:szCs w:val="22"/>
          <w:color w:val="auto"/>
        </w:rPr>
      </w:pPr>
    </w:p>
    <w:p>
      <w:pPr>
        <w:ind w:left="320" w:hanging="312"/>
        <w:spacing w:after="0"/>
        <w:tabs>
          <w:tab w:leader="none" w:pos="320" w:val="left"/>
        </w:tabs>
        <w:numPr>
          <w:ilvl w:val="0"/>
          <w:numId w:val="260"/>
        </w:numPr>
        <w:rPr>
          <w:rFonts w:ascii="Times New Roman" w:cs="Times New Roman" w:eastAsia="Times New Roman" w:hAnsi="Times New Roman"/>
          <w:sz w:val="22"/>
          <w:szCs w:val="22"/>
          <w:color w:val="auto"/>
        </w:rPr>
      </w:pPr>
      <w:r>
        <w:rPr>
          <w:rFonts w:ascii="Arial" w:cs="Arial" w:eastAsia="Arial" w:hAnsi="Arial"/>
          <w:sz w:val="22"/>
          <w:szCs w:val="22"/>
          <w:color w:val="auto"/>
        </w:rPr>
        <w:t>in appropriate circumstances, enforcement proceedings against you by securities regulators.</w:t>
      </w:r>
    </w:p>
    <w:p>
      <w:pPr>
        <w:spacing w:after="0" w:line="190" w:lineRule="exact"/>
        <w:rPr>
          <w:sz w:val="20"/>
          <w:szCs w:val="20"/>
          <w:color w:val="auto"/>
        </w:rPr>
      </w:pPr>
    </w:p>
    <w:p>
      <w:pPr>
        <w:ind w:left="640" w:hanging="632"/>
        <w:spacing w:after="0"/>
        <w:tabs>
          <w:tab w:leader="none" w:pos="640" w:val="left"/>
        </w:tabs>
        <w:numPr>
          <w:ilvl w:val="0"/>
          <w:numId w:val="261"/>
        </w:numPr>
        <w:rPr>
          <w:rFonts w:ascii="Arial" w:cs="Arial" w:eastAsia="Arial" w:hAnsi="Arial"/>
          <w:sz w:val="22"/>
          <w:szCs w:val="22"/>
          <w:b w:val="1"/>
          <w:bCs w:val="1"/>
          <w:color w:val="auto"/>
        </w:rPr>
      </w:pPr>
      <w:r>
        <w:rPr>
          <w:rFonts w:ascii="Arial" w:cs="Arial" w:eastAsia="Arial" w:hAnsi="Arial"/>
          <w:sz w:val="22"/>
          <w:szCs w:val="22"/>
          <w:b w:val="1"/>
          <w:bCs w:val="1"/>
          <w:color w:val="auto"/>
        </w:rPr>
        <w:t>Additional Trading Guidelines</w:t>
      </w:r>
    </w:p>
    <w:p>
      <w:pPr>
        <w:spacing w:after="0" w:line="168" w:lineRule="exact"/>
        <w:rPr>
          <w:sz w:val="20"/>
          <w:szCs w:val="20"/>
          <w:color w:val="auto"/>
        </w:rPr>
      </w:pPr>
    </w:p>
    <w:p>
      <w:pPr>
        <w:jc w:val="both"/>
        <w:ind w:right="60"/>
        <w:spacing w:after="0"/>
        <w:rPr>
          <w:sz w:val="20"/>
          <w:szCs w:val="20"/>
          <w:color w:val="auto"/>
        </w:rPr>
      </w:pPr>
      <w:r>
        <w:rPr>
          <w:rFonts w:ascii="Arial" w:cs="Arial" w:eastAsia="Arial" w:hAnsi="Arial"/>
          <w:sz w:val="22"/>
          <w:szCs w:val="22"/>
          <w:color w:val="auto"/>
        </w:rPr>
        <w:t>Additional trading guidelines and the restrictions of this Section are imposed on Directors, Reporting Insiders, Section 16 Insiders, Executives and any other Celestica employees designated by the CLO as regularly or periodically having access to material information that has not been generally disclosed (“</w:t>
      </w:r>
      <w:r>
        <w:rPr>
          <w:rFonts w:ascii="Arial" w:cs="Arial" w:eastAsia="Arial" w:hAnsi="Arial"/>
          <w:sz w:val="22"/>
          <w:szCs w:val="22"/>
          <w:b w:val="1"/>
          <w:bCs w:val="1"/>
          <w:color w:val="auto"/>
        </w:rPr>
        <w:t>Designated Insiders</w:t>
      </w:r>
      <w:r>
        <w:rPr>
          <w:rFonts w:ascii="Arial" w:cs="Arial" w:eastAsia="Arial" w:hAnsi="Arial"/>
          <w:sz w:val="22"/>
          <w:szCs w:val="22"/>
          <w:color w:val="auto"/>
        </w:rPr>
        <w:t>”). You will be informed by the CLO if you are a Designated Insider. These trading guidelines are designed to ensure that Celestica, its Directors, Reporting Insiders, Sections 16 Insiders, Executives and Designated Insiders are seen at all times to be acting in an exemplary manner and to ensure that Celestica, its management and its Board of Directors are never unwittingly faced with an embarrassing situation. Even when no blackout periods (as described below) are in effect, anyone in possession of material information about Celestica may not trade in Celestica’s securities until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1440" w:right="339" w:bottom="1440" w:gutter="0" w:footer="0" w:header="0"/>
        </w:sectPr>
      </w:pPr>
    </w:p>
    <w:bookmarkStart w:id="272" w:name="page273"/>
    <w:bookmarkEnd w:id="27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ind w:right="80"/>
        <w:spacing w:after="0" w:line="251" w:lineRule="auto"/>
        <w:rPr>
          <w:sz w:val="20"/>
          <w:szCs w:val="20"/>
          <w:color w:val="auto"/>
        </w:rPr>
      </w:pPr>
      <w:r>
        <w:rPr>
          <w:rFonts w:ascii="Arial" w:cs="Arial" w:eastAsia="Arial" w:hAnsi="Arial"/>
          <w:sz w:val="22"/>
          <w:szCs w:val="22"/>
          <w:color w:val="auto"/>
        </w:rPr>
        <w:t>information has been generally disclosed, unless such trade is made pursuant to an approved Automatic Trading Plan, as defined in Section 7 below, and is otherwise permitted under applicable securities laws. The following restrictions apply to your Related Persons as well.</w:t>
      </w: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 Quarterly Blackout Periods</w:t>
      </w:r>
    </w:p>
    <w:p>
      <w:pPr>
        <w:spacing w:after="0" w:line="120" w:lineRule="exact"/>
        <w:rPr>
          <w:sz w:val="20"/>
          <w:szCs w:val="20"/>
          <w:color w:val="auto"/>
        </w:rPr>
      </w:pPr>
    </w:p>
    <w:p>
      <w:pPr>
        <w:jc w:val="both"/>
        <w:ind w:left="980"/>
        <w:spacing w:after="0" w:line="232" w:lineRule="auto"/>
        <w:rPr>
          <w:sz w:val="20"/>
          <w:szCs w:val="20"/>
          <w:color w:val="auto"/>
        </w:rPr>
      </w:pPr>
      <w:r>
        <w:rPr>
          <w:rFonts w:ascii="Arial" w:cs="Arial" w:eastAsia="Arial" w:hAnsi="Arial"/>
          <w:sz w:val="22"/>
          <w:szCs w:val="22"/>
          <w:color w:val="auto"/>
        </w:rPr>
        <w:t>A blackout period is in effect from and including the 16</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day of the last month of each quarter (March, June, September and December) until at least two (2) clear trading days following the public release of our financial results. During this period, you may not trade in Celestica’s securities.</w:t>
      </w:r>
    </w:p>
    <w:p>
      <w:pPr>
        <w:spacing w:after="0" w:line="163"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B. Extraordinary Blackout Periods</w:t>
      </w:r>
    </w:p>
    <w:p>
      <w:pPr>
        <w:spacing w:after="0" w:line="181" w:lineRule="exact"/>
        <w:rPr>
          <w:sz w:val="20"/>
          <w:szCs w:val="20"/>
          <w:color w:val="auto"/>
        </w:rPr>
      </w:pPr>
    </w:p>
    <w:p>
      <w:pPr>
        <w:jc w:val="both"/>
        <w:ind w:left="980"/>
        <w:spacing w:after="0" w:line="251" w:lineRule="auto"/>
        <w:rPr>
          <w:sz w:val="20"/>
          <w:szCs w:val="20"/>
          <w:color w:val="auto"/>
        </w:rPr>
      </w:pPr>
      <w:r>
        <w:rPr>
          <w:rFonts w:ascii="Arial" w:cs="Arial" w:eastAsia="Arial" w:hAnsi="Arial"/>
          <w:sz w:val="22"/>
          <w:szCs w:val="22"/>
          <w:color w:val="auto"/>
        </w:rPr>
        <w:t>Additional blackout periods may be prescribed from time to time by the CLO, in consultation with the CFO, at any time at which it is determined there may be undisclosed material information concerning Celestica that makes it inappropriate for you to be trading. In such circumstances, a notice will be issued by the CLO instructing you not to trade in Celestica’s securities until further notice. This notice will contain a reminder that the fact that there is a restriction on trading may itself constitute material information and must be kept confidential.</w:t>
      </w:r>
    </w:p>
    <w:p>
      <w:pPr>
        <w:spacing w:after="0" w:line="152"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C. Gifts</w:t>
      </w:r>
    </w:p>
    <w:p>
      <w:pPr>
        <w:spacing w:after="0" w:line="181" w:lineRule="exact"/>
        <w:rPr>
          <w:sz w:val="20"/>
          <w:szCs w:val="20"/>
          <w:color w:val="auto"/>
        </w:rPr>
      </w:pPr>
    </w:p>
    <w:p>
      <w:pPr>
        <w:jc w:val="both"/>
        <w:ind w:left="980"/>
        <w:spacing w:after="0" w:line="264" w:lineRule="auto"/>
        <w:rPr>
          <w:sz w:val="20"/>
          <w:szCs w:val="20"/>
          <w:color w:val="auto"/>
        </w:rPr>
      </w:pPr>
      <w:r>
        <w:rPr>
          <w:rFonts w:ascii="Arial" w:cs="Arial" w:eastAsia="Arial" w:hAnsi="Arial"/>
          <w:sz w:val="22"/>
          <w:szCs w:val="22"/>
          <w:color w:val="auto"/>
        </w:rPr>
        <w:t>Gifts or donations of Celestica’s securities are deemed “trades” under this Insider Trading Policy, and are only permitted when you are not in possession of material information that has not been generally disclosed, and are not subject to any trading blackout period described in this Section 5.</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D. Exemptions</w:t>
      </w:r>
    </w:p>
    <w:p>
      <w:pPr>
        <w:spacing w:after="0" w:line="195" w:lineRule="exact"/>
        <w:rPr>
          <w:sz w:val="20"/>
          <w:szCs w:val="20"/>
          <w:color w:val="auto"/>
        </w:rPr>
      </w:pPr>
    </w:p>
    <w:p>
      <w:pPr>
        <w:jc w:val="both"/>
        <w:ind w:left="980"/>
        <w:spacing w:after="0" w:line="250" w:lineRule="auto"/>
        <w:rPr>
          <w:sz w:val="20"/>
          <w:szCs w:val="20"/>
          <w:color w:val="auto"/>
        </w:rPr>
      </w:pPr>
      <w:r>
        <w:rPr>
          <w:rFonts w:ascii="Arial" w:cs="Arial" w:eastAsia="Arial" w:hAnsi="Arial"/>
          <w:sz w:val="22"/>
          <w:szCs w:val="22"/>
          <w:color w:val="auto"/>
        </w:rPr>
        <w:t>Individuals subject to a blackout period who wish to trade may apply to the CLO for approval to trade in Celestica’s securities during a blackout period. Any such request should describe the nature of and reasons for the proposed trade, and certify that the individual is not in possession of undisclosed material information concerning Celestica. The CLO will consider such requests and inform the requisitioning individual whether or not the proposed trade may be made. The requisitioning individual may not make any such trade unless and until such specific approval has been granted. Also see Section 7 below regarding approved Automatic Trading Plans.</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E. Blackout Period Following Material Press Releases</w:t>
      </w:r>
    </w:p>
    <w:p>
      <w:pPr>
        <w:spacing w:after="0" w:line="195" w:lineRule="exact"/>
        <w:rPr>
          <w:sz w:val="20"/>
          <w:szCs w:val="20"/>
          <w:color w:val="auto"/>
        </w:rPr>
      </w:pPr>
    </w:p>
    <w:p>
      <w:pPr>
        <w:jc w:val="both"/>
        <w:ind w:left="980"/>
        <w:spacing w:after="0" w:line="272" w:lineRule="auto"/>
        <w:rPr>
          <w:sz w:val="20"/>
          <w:szCs w:val="20"/>
          <w:color w:val="auto"/>
        </w:rPr>
      </w:pPr>
      <w:r>
        <w:rPr>
          <w:rFonts w:ascii="Arial" w:cs="Arial" w:eastAsia="Arial" w:hAnsi="Arial"/>
          <w:sz w:val="22"/>
          <w:szCs w:val="22"/>
          <w:color w:val="auto"/>
        </w:rPr>
        <w:t>When Celestica issues a press release disclosing material information, you may not trade in Celestica’s securities for at least two (2) clear trading days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1440" w:right="339" w:bottom="1440" w:gutter="0" w:footer="0" w:header="0"/>
        </w:sectPr>
      </w:pPr>
    </w:p>
    <w:bookmarkStart w:id="273" w:name="page274"/>
    <w:bookmarkEnd w:id="273"/>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ind w:left="980"/>
        <w:spacing w:after="0" w:line="272" w:lineRule="auto"/>
        <w:rPr>
          <w:sz w:val="20"/>
          <w:szCs w:val="20"/>
          <w:color w:val="auto"/>
        </w:rPr>
      </w:pPr>
      <w:r>
        <w:rPr>
          <w:rFonts w:ascii="Arial" w:cs="Arial" w:eastAsia="Arial" w:hAnsi="Arial"/>
          <w:sz w:val="22"/>
          <w:szCs w:val="22"/>
          <w:color w:val="auto"/>
        </w:rPr>
        <w:t>following the issuance of the release (so that public investors have been given a reasonable amount of time to analyze the information).</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F. Undisclosed Information Ceasing to be Material</w:t>
      </w:r>
    </w:p>
    <w:p>
      <w:pPr>
        <w:spacing w:after="0" w:line="181" w:lineRule="exact"/>
        <w:rPr>
          <w:sz w:val="20"/>
          <w:szCs w:val="20"/>
          <w:color w:val="auto"/>
        </w:rPr>
      </w:pPr>
    </w:p>
    <w:p>
      <w:pPr>
        <w:jc w:val="both"/>
        <w:ind w:left="980"/>
        <w:spacing w:after="0" w:line="282" w:lineRule="auto"/>
        <w:rPr>
          <w:sz w:val="20"/>
          <w:szCs w:val="20"/>
          <w:color w:val="auto"/>
        </w:rPr>
      </w:pPr>
      <w:r>
        <w:rPr>
          <w:rFonts w:ascii="Arial" w:cs="Arial" w:eastAsia="Arial" w:hAnsi="Arial"/>
          <w:sz w:val="21"/>
          <w:szCs w:val="21"/>
          <w:color w:val="auto"/>
        </w:rPr>
        <w:t>In certain situations, undisclosed material information may cease to be material (e.g. a potential transaction that was the subject of the information is abandoned). If you believe this to have occurred, contact the CLO prior to trading in Celestica’s securities or, as applicable, the counterparty public company’s securities.</w:t>
      </w:r>
    </w:p>
    <w:p>
      <w:pPr>
        <w:spacing w:after="0" w:line="105" w:lineRule="exact"/>
        <w:rPr>
          <w:sz w:val="20"/>
          <w:szCs w:val="20"/>
          <w:color w:val="auto"/>
        </w:rPr>
      </w:pPr>
    </w:p>
    <w:p>
      <w:pPr>
        <w:ind w:left="640" w:hanging="632"/>
        <w:spacing w:after="0"/>
        <w:tabs>
          <w:tab w:leader="none" w:pos="640" w:val="left"/>
        </w:tabs>
        <w:numPr>
          <w:ilvl w:val="0"/>
          <w:numId w:val="262"/>
        </w:numPr>
        <w:rPr>
          <w:rFonts w:ascii="Arial" w:cs="Arial" w:eastAsia="Arial" w:hAnsi="Arial"/>
          <w:sz w:val="22"/>
          <w:szCs w:val="22"/>
          <w:b w:val="1"/>
          <w:bCs w:val="1"/>
          <w:color w:val="auto"/>
        </w:rPr>
      </w:pPr>
      <w:r>
        <w:rPr>
          <w:rFonts w:ascii="Arial" w:cs="Arial" w:eastAsia="Arial" w:hAnsi="Arial"/>
          <w:sz w:val="22"/>
          <w:szCs w:val="22"/>
          <w:b w:val="1"/>
          <w:bCs w:val="1"/>
          <w:color w:val="auto"/>
        </w:rPr>
        <w:t>No Short-Term or Hedging Transactions</w:t>
      </w:r>
    </w:p>
    <w:p>
      <w:pPr>
        <w:spacing w:after="0" w:line="19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Company Personnel are prohibited from entering into speculative transactions and transactions designed to hedge or offset a decrease in market value of equity securities of Celestica. You may not directly (or indirectly through another person or entity): sell short Celestica securities; buy or sell put or call options on Celestica’s securities; or purchase financial instruments (including prepaid variable contracts, equity swaps, collars or units of exchange funds) which are designed to hedge or offset a decrease in market value of Celestica securities.</w:t>
      </w:r>
    </w:p>
    <w:p>
      <w:pPr>
        <w:spacing w:after="0" w:line="152" w:lineRule="exact"/>
        <w:rPr>
          <w:sz w:val="20"/>
          <w:szCs w:val="20"/>
          <w:color w:val="auto"/>
        </w:rPr>
      </w:pPr>
    </w:p>
    <w:p>
      <w:pPr>
        <w:ind w:left="640" w:hanging="632"/>
        <w:spacing w:after="0"/>
        <w:tabs>
          <w:tab w:leader="none" w:pos="640" w:val="left"/>
        </w:tabs>
        <w:numPr>
          <w:ilvl w:val="0"/>
          <w:numId w:val="263"/>
        </w:numPr>
        <w:rPr>
          <w:rFonts w:ascii="Arial" w:cs="Arial" w:eastAsia="Arial" w:hAnsi="Arial"/>
          <w:sz w:val="22"/>
          <w:szCs w:val="22"/>
          <w:b w:val="1"/>
          <w:bCs w:val="1"/>
          <w:color w:val="auto"/>
        </w:rPr>
      </w:pPr>
      <w:r>
        <w:rPr>
          <w:rFonts w:ascii="Arial" w:cs="Arial" w:eastAsia="Arial" w:hAnsi="Arial"/>
          <w:sz w:val="22"/>
          <w:szCs w:val="22"/>
          <w:b w:val="1"/>
          <w:bCs w:val="1"/>
          <w:color w:val="auto"/>
        </w:rPr>
        <w:t>Approved Automatic Trading Plans</w:t>
      </w:r>
    </w:p>
    <w:p>
      <w:pPr>
        <w:spacing w:after="0" w:line="168" w:lineRule="exact"/>
        <w:rPr>
          <w:sz w:val="20"/>
          <w:szCs w:val="20"/>
          <w:color w:val="auto"/>
        </w:rPr>
      </w:pPr>
    </w:p>
    <w:p>
      <w:pPr>
        <w:jc w:val="both"/>
        <w:ind w:right="80"/>
        <w:spacing w:after="0" w:line="244" w:lineRule="auto"/>
        <w:rPr>
          <w:sz w:val="20"/>
          <w:szCs w:val="20"/>
          <w:color w:val="auto"/>
        </w:rPr>
      </w:pPr>
      <w:r>
        <w:rPr>
          <w:rFonts w:ascii="Arial" w:cs="Arial" w:eastAsia="Arial" w:hAnsi="Arial"/>
          <w:sz w:val="22"/>
          <w:szCs w:val="22"/>
          <w:color w:val="auto"/>
        </w:rPr>
        <w:t>The trading blackouts and pre-clearance requirements described in Section 3 and this Section 7 shall not apply to transactions in Celestica’s securities pursuant to an approved automatic plan (an “</w:t>
      </w:r>
      <w:r>
        <w:rPr>
          <w:rFonts w:ascii="Arial" w:cs="Arial" w:eastAsia="Arial" w:hAnsi="Arial"/>
          <w:sz w:val="22"/>
          <w:szCs w:val="22"/>
          <w:b w:val="1"/>
          <w:bCs w:val="1"/>
          <w:color w:val="auto"/>
        </w:rPr>
        <w:t>Automatic Trading Plan</w:t>
      </w:r>
      <w:r>
        <w:rPr>
          <w:rFonts w:ascii="Arial" w:cs="Arial" w:eastAsia="Arial" w:hAnsi="Arial"/>
          <w:sz w:val="22"/>
          <w:szCs w:val="22"/>
          <w:color w:val="auto"/>
        </w:rPr>
        <w:t>”). However, you may not establish, modify or terminate (prior to scheduled completion) an Automatic Trading Plan during any trading blackout described in this Section 7 or otherwise while you are aware of material information about Celestica that has not been generally disclosed, and the approval procedures described below shall apply to any such establishment, modification or termination.</w:t>
      </w:r>
    </w:p>
    <w:p>
      <w:pPr>
        <w:spacing w:after="0" w:line="63" w:lineRule="exact"/>
        <w:rPr>
          <w:sz w:val="20"/>
          <w:szCs w:val="20"/>
          <w:color w:val="auto"/>
        </w:rPr>
      </w:pPr>
    </w:p>
    <w:p>
      <w:pPr>
        <w:jc w:val="both"/>
        <w:spacing w:after="0" w:line="257" w:lineRule="auto"/>
        <w:rPr>
          <w:sz w:val="20"/>
          <w:szCs w:val="20"/>
          <w:color w:val="auto"/>
        </w:rPr>
      </w:pPr>
      <w:r>
        <w:rPr>
          <w:rFonts w:ascii="Arial" w:cs="Arial" w:eastAsia="Arial" w:hAnsi="Arial"/>
          <w:sz w:val="22"/>
          <w:szCs w:val="22"/>
          <w:color w:val="auto"/>
        </w:rPr>
        <w:t xml:space="preserve">To constitute an Automatic Trading Plan, the trading plan must be approved by the CLO, or his or her designee (or by the CFO if the CLO is unavailable), and meet the requirements of both Rule 10b5-1 (or any successor provision, in each case then in effect) under the Exchange Act, and Section 175(2)(b) of the Regulations under the </w:t>
      </w:r>
      <w:r>
        <w:rPr>
          <w:rFonts w:ascii="Arial" w:cs="Arial" w:eastAsia="Arial" w:hAnsi="Arial"/>
          <w:sz w:val="22"/>
          <w:szCs w:val="22"/>
          <w:i w:val="1"/>
          <w:iCs w:val="1"/>
          <w:color w:val="auto"/>
        </w:rPr>
        <w:t>Securities Act</w:t>
      </w:r>
      <w:r>
        <w:rPr>
          <w:rFonts w:ascii="Arial" w:cs="Arial" w:eastAsia="Arial" w:hAnsi="Arial"/>
          <w:sz w:val="22"/>
          <w:szCs w:val="22"/>
          <w:color w:val="auto"/>
        </w:rPr>
        <w:t xml:space="preserve"> (Ontario) (and similar provisions of other applicable Canadian securities legislation).</w:t>
      </w:r>
    </w:p>
    <w:p>
      <w:pPr>
        <w:spacing w:after="0" w:line="131"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Any Automatic Trading Plan must be submitted for approval five (5) business days prior to the entry into the Automatic Trading Plan. If a person seeks approval of an Automatic Trading Plan and approval is denied or such person does not receive a response, then they should not implement such plan and should not inform any other person of the denial. No further pre-approval of transactions conducted pursuant to an approved Automatic Trading Plan will be required, provided that such plan may not be terminated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1440" w:right="339" w:bottom="1440" w:gutter="0" w:footer="0" w:header="0"/>
        </w:sectPr>
      </w:pPr>
    </w:p>
    <w:bookmarkStart w:id="274" w:name="page275"/>
    <w:bookmarkEnd w:id="274"/>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prior to its scheduled completion or modified in any respect after such initial approval without such termination or modification being approved in advance pursuant to the procedures for the initial approval of such plan described above. The establishment, termination (prior to scheduled completion) or modification by Section 16 Officers of Automatic Trading Plans (as well as non-Rule 10b5-1 trading arrangements, as defined by the SEC), including the material terms of any such plans or arrangements (other than pricing), must be disclosed quarterly.</w:t>
      </w:r>
    </w:p>
    <w:p>
      <w:pPr>
        <w:spacing w:after="0" w:line="138"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Celestica reserves the right from time to time to suspend, discontinue or otherwise prohibit any transaction in Celestica’s securities, even pursuant to a previously approved Automatic Trading Plan, if it, in its discretion, determines that such suspension, discontinuation or other prohibition is in the best interests of Celestica. Any Automatic Trading Plan submitted for approval hereunder should explicitly acknowledge Celestica’s right to prohibit transactions in Celestica’s securities.</w:t>
      </w:r>
    </w:p>
    <w:p>
      <w:pPr>
        <w:spacing w:after="0" w:line="138" w:lineRule="exact"/>
        <w:rPr>
          <w:sz w:val="20"/>
          <w:szCs w:val="20"/>
          <w:color w:val="auto"/>
        </w:rPr>
      </w:pPr>
    </w:p>
    <w:p>
      <w:pPr>
        <w:jc w:val="both"/>
        <w:spacing w:after="0" w:line="285" w:lineRule="auto"/>
        <w:rPr>
          <w:sz w:val="20"/>
          <w:szCs w:val="20"/>
          <w:color w:val="auto"/>
        </w:rPr>
      </w:pPr>
      <w:r>
        <w:rPr>
          <w:rFonts w:ascii="Arial" w:cs="Arial" w:eastAsia="Arial" w:hAnsi="Arial"/>
          <w:sz w:val="22"/>
          <w:szCs w:val="22"/>
          <w:color w:val="auto"/>
        </w:rPr>
        <w:t>Automatic Trading Plans do not exempt applicable individuals from complying with Section 16 reporting rules, liability for short-swing trades, or the obligation to file a Form 144.</w:t>
      </w:r>
    </w:p>
    <w:p>
      <w:pPr>
        <w:spacing w:after="0" w:line="99" w:lineRule="exact"/>
        <w:rPr>
          <w:sz w:val="20"/>
          <w:szCs w:val="20"/>
          <w:color w:val="auto"/>
        </w:rPr>
      </w:pPr>
    </w:p>
    <w:p>
      <w:pPr>
        <w:ind w:left="640" w:hanging="632"/>
        <w:spacing w:after="0"/>
        <w:tabs>
          <w:tab w:leader="none" w:pos="640" w:val="left"/>
        </w:tabs>
        <w:numPr>
          <w:ilvl w:val="0"/>
          <w:numId w:val="264"/>
        </w:numPr>
        <w:rPr>
          <w:rFonts w:ascii="Arial" w:cs="Arial" w:eastAsia="Arial" w:hAnsi="Arial"/>
          <w:sz w:val="22"/>
          <w:szCs w:val="22"/>
          <w:b w:val="1"/>
          <w:bCs w:val="1"/>
          <w:color w:val="auto"/>
        </w:rPr>
      </w:pPr>
      <w:r>
        <w:rPr>
          <w:rFonts w:ascii="Arial" w:cs="Arial" w:eastAsia="Arial" w:hAnsi="Arial"/>
          <w:sz w:val="22"/>
          <w:szCs w:val="22"/>
          <w:b w:val="1"/>
          <w:bCs w:val="1"/>
          <w:color w:val="auto"/>
        </w:rPr>
        <w:t>No Standing Orders or Discretionary Authority</w:t>
      </w:r>
    </w:p>
    <w:p>
      <w:pPr>
        <w:spacing w:after="0" w:line="19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In order to avoid inadvertent conflict with this Insider Trading Policy, other than pursuant to an approved Automatic Trading Plan, Company Personnel are strongly urged to not to place standing orders (to sell or buy) with a broker. Other than pursuant to an approved Automatic Trading Plan, you are cautioned not to provide others (such as brokers) with discretion to make purchases or dispositions, as for securities law purposes such trades are considered to be yours.</w:t>
      </w:r>
    </w:p>
    <w:p>
      <w:pPr>
        <w:spacing w:after="0" w:line="152" w:lineRule="exact"/>
        <w:rPr>
          <w:sz w:val="20"/>
          <w:szCs w:val="20"/>
          <w:color w:val="auto"/>
        </w:rPr>
      </w:pPr>
    </w:p>
    <w:p>
      <w:pPr>
        <w:ind w:left="640" w:hanging="632"/>
        <w:spacing w:after="0"/>
        <w:tabs>
          <w:tab w:leader="none" w:pos="640" w:val="left"/>
        </w:tabs>
        <w:numPr>
          <w:ilvl w:val="0"/>
          <w:numId w:val="265"/>
        </w:numPr>
        <w:rPr>
          <w:rFonts w:ascii="Arial" w:cs="Arial" w:eastAsia="Arial" w:hAnsi="Arial"/>
          <w:sz w:val="22"/>
          <w:szCs w:val="22"/>
          <w:b w:val="1"/>
          <w:bCs w:val="1"/>
          <w:color w:val="auto"/>
        </w:rPr>
      </w:pPr>
      <w:r>
        <w:rPr>
          <w:rFonts w:ascii="Arial" w:cs="Arial" w:eastAsia="Arial" w:hAnsi="Arial"/>
          <w:sz w:val="22"/>
          <w:szCs w:val="22"/>
          <w:b w:val="1"/>
          <w:bCs w:val="1"/>
          <w:color w:val="auto"/>
        </w:rPr>
        <w:t>No Margin Purchases or Pledging of Securities</w:t>
      </w:r>
    </w:p>
    <w:p>
      <w:pPr>
        <w:spacing w:after="0" w:line="181"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Securities held in a margin account or pledged as collateral for a loan may be sold by your broker without your consent if you fail to meet a margin call, or by the lender in foreclosure if you were to default on the loan. Because a margin or foreclosure sale may occur at a time when you are aware of undisclosed material information, this could result in unlawful insider trading. Accordingly, Company Personnel are prohibited from purchasing Celestica’s securities on margin, borrowing against Celestica securities held in a margin account, or pledging Celestica securities as collateral for a loan.</w:t>
      </w:r>
    </w:p>
    <w:p>
      <w:pPr>
        <w:spacing w:after="0" w:line="154"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It is not always clear whether information would be considered to be material or what the reaction of the market would be to certain information. Due to this uncertainty, it is possible that you might be found, with the benefit of hindsight, to have improperly traded on undisclosed material information. It may also be difficult for you to prove that you were unaware of the existence of certain information if you are regularly in a position to have access to non-public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1440" w:right="339" w:bottom="1440" w:gutter="0" w:footer="0" w:header="0"/>
        </w:sectPr>
      </w:pPr>
    </w:p>
    <w:bookmarkStart w:id="275" w:name="page276"/>
    <w:bookmarkEnd w:id="275"/>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640" w:hanging="632"/>
        <w:spacing w:after="0"/>
        <w:tabs>
          <w:tab w:leader="none" w:pos="640" w:val="left"/>
        </w:tabs>
        <w:numPr>
          <w:ilvl w:val="0"/>
          <w:numId w:val="266"/>
        </w:numPr>
        <w:rPr>
          <w:rFonts w:ascii="Arial" w:cs="Arial" w:eastAsia="Arial" w:hAnsi="Arial"/>
          <w:sz w:val="22"/>
          <w:szCs w:val="22"/>
          <w:b w:val="1"/>
          <w:bCs w:val="1"/>
          <w:color w:val="auto"/>
        </w:rPr>
      </w:pPr>
      <w:r>
        <w:rPr>
          <w:rFonts w:ascii="Arial" w:cs="Arial" w:eastAsia="Arial" w:hAnsi="Arial"/>
          <w:sz w:val="22"/>
          <w:szCs w:val="22"/>
          <w:b w:val="1"/>
          <w:bCs w:val="1"/>
          <w:color w:val="auto"/>
        </w:rPr>
        <w:t>Stock Options</w:t>
      </w:r>
    </w:p>
    <w:p>
      <w:pPr>
        <w:spacing w:after="0" w:line="181"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Company Personnel are prohibited from exercising an option granted by Celestica under an equity incentive plan, or selling shares acquired upon the exercise of such an option, at any time when you are otherwise subject to a trading restriction under this Insider Trading Policy. Notwithstanding the stipulated expiry date for such an option, in accordance with the terms and conditions of the grant, the latest exercise date will be extended to the tenth business day following the last day of a blackout period if the latest exercise date would otherwise occur in a blackout period or within five (5) calendar days of the end of the blackout period.</w:t>
      </w:r>
    </w:p>
    <w:p>
      <w:pPr>
        <w:spacing w:after="0" w:line="152" w:lineRule="exact"/>
        <w:rPr>
          <w:sz w:val="20"/>
          <w:szCs w:val="20"/>
          <w:color w:val="auto"/>
        </w:rPr>
      </w:pPr>
    </w:p>
    <w:p>
      <w:pPr>
        <w:ind w:left="640" w:hanging="632"/>
        <w:spacing w:after="0"/>
        <w:tabs>
          <w:tab w:leader="none" w:pos="640" w:val="left"/>
        </w:tabs>
        <w:numPr>
          <w:ilvl w:val="0"/>
          <w:numId w:val="267"/>
        </w:numPr>
        <w:rPr>
          <w:rFonts w:ascii="Arial" w:cs="Arial" w:eastAsia="Arial" w:hAnsi="Arial"/>
          <w:sz w:val="22"/>
          <w:szCs w:val="22"/>
          <w:b w:val="1"/>
          <w:bCs w:val="1"/>
          <w:color w:val="auto"/>
        </w:rPr>
      </w:pPr>
      <w:r>
        <w:rPr>
          <w:rFonts w:ascii="Arial" w:cs="Arial" w:eastAsia="Arial" w:hAnsi="Arial"/>
          <w:sz w:val="22"/>
          <w:szCs w:val="22"/>
          <w:b w:val="1"/>
          <w:bCs w:val="1"/>
          <w:color w:val="auto"/>
        </w:rPr>
        <w:t>Communications and Blackout Periods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22"/>
          <w:szCs w:val="22"/>
          <w:color w:val="auto"/>
        </w:rPr>
        <w:t>Any communications with the media, investors or analysts must be directed to the head of corporate communications or the head of investor relations. This is particularly important during blackout periods (as described above). During these periods, we exercise particular caution with respect to public statements regarding our financial results and business prospects.</w:t>
      </w:r>
    </w:p>
    <w:p>
      <w:pPr>
        <w:spacing w:after="0" w:line="145"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Given the importance of our reputation in the marketplace and the need to ensure that all investors are on equal footing with respect to material information concerning Celestica, it is important that you act prudently. If you are in doubt as to whether a particular trade would violate this Insider Trading Policy, you should refrain from trading or seek clarification from the CLO prior to trading.</w:t>
      </w:r>
    </w:p>
    <w:p>
      <w:pPr>
        <w:spacing w:after="0" w:line="146" w:lineRule="exact"/>
        <w:rPr>
          <w:sz w:val="20"/>
          <w:szCs w:val="20"/>
          <w:color w:val="auto"/>
        </w:rPr>
      </w:pPr>
    </w:p>
    <w:p>
      <w:pPr>
        <w:ind w:left="640" w:hanging="632"/>
        <w:spacing w:after="0"/>
        <w:tabs>
          <w:tab w:leader="none" w:pos="640" w:val="left"/>
        </w:tabs>
        <w:numPr>
          <w:ilvl w:val="0"/>
          <w:numId w:val="268"/>
        </w:numPr>
        <w:rPr>
          <w:rFonts w:ascii="Arial" w:cs="Arial" w:eastAsia="Arial" w:hAnsi="Arial"/>
          <w:sz w:val="22"/>
          <w:szCs w:val="22"/>
          <w:b w:val="1"/>
          <w:bCs w:val="1"/>
          <w:color w:val="auto"/>
        </w:rPr>
      </w:pPr>
      <w:r>
        <w:rPr>
          <w:rFonts w:ascii="Arial" w:cs="Arial" w:eastAsia="Arial" w:hAnsi="Arial"/>
          <w:sz w:val="22"/>
          <w:szCs w:val="22"/>
          <w:b w:val="1"/>
          <w:bCs w:val="1"/>
          <w:color w:val="auto"/>
        </w:rPr>
        <w:t>Post-Termination Transactions</w:t>
      </w:r>
    </w:p>
    <w:p>
      <w:pPr>
        <w:spacing w:after="0" w:line="181" w:lineRule="exact"/>
        <w:rPr>
          <w:sz w:val="20"/>
          <w:szCs w:val="20"/>
          <w:color w:val="auto"/>
        </w:rPr>
      </w:pPr>
    </w:p>
    <w:p>
      <w:pPr>
        <w:jc w:val="both"/>
        <w:ind w:right="20"/>
        <w:spacing w:after="0" w:line="257" w:lineRule="auto"/>
        <w:rPr>
          <w:sz w:val="20"/>
          <w:szCs w:val="20"/>
          <w:color w:val="auto"/>
        </w:rPr>
      </w:pPr>
      <w:r>
        <w:rPr>
          <w:rFonts w:ascii="Arial" w:cs="Arial" w:eastAsia="Arial" w:hAnsi="Arial"/>
          <w:sz w:val="22"/>
          <w:szCs w:val="22"/>
          <w:color w:val="auto"/>
        </w:rPr>
        <w:t>If Company Personnel is in possession of undisclosed material information when his or her service terminates, that individual may not engage in transactions in Celestica’s securities until that information has become public or is no longer material.</w:t>
      </w:r>
    </w:p>
    <w:p>
      <w:pPr>
        <w:spacing w:after="0" w:line="144" w:lineRule="exact"/>
        <w:rPr>
          <w:sz w:val="20"/>
          <w:szCs w:val="20"/>
          <w:color w:val="auto"/>
        </w:rPr>
      </w:pPr>
    </w:p>
    <w:p>
      <w:pPr>
        <w:ind w:left="640" w:hanging="632"/>
        <w:spacing w:after="0"/>
        <w:tabs>
          <w:tab w:leader="none" w:pos="640" w:val="left"/>
        </w:tabs>
        <w:numPr>
          <w:ilvl w:val="0"/>
          <w:numId w:val="269"/>
        </w:numPr>
        <w:rPr>
          <w:rFonts w:ascii="Arial" w:cs="Arial" w:eastAsia="Arial" w:hAnsi="Arial"/>
          <w:sz w:val="22"/>
          <w:szCs w:val="22"/>
          <w:b w:val="1"/>
          <w:bCs w:val="1"/>
          <w:color w:val="auto"/>
        </w:rPr>
      </w:pPr>
      <w:r>
        <w:rPr>
          <w:rFonts w:ascii="Arial" w:cs="Arial" w:eastAsia="Arial" w:hAnsi="Arial"/>
          <w:sz w:val="22"/>
          <w:szCs w:val="22"/>
          <w:b w:val="1"/>
          <w:bCs w:val="1"/>
          <w:color w:val="auto"/>
        </w:rPr>
        <w:t>Acceptance</w:t>
      </w:r>
    </w:p>
    <w:p>
      <w:pPr>
        <w:spacing w:after="0" w:line="195" w:lineRule="exact"/>
        <w:rPr>
          <w:sz w:val="20"/>
          <w:szCs w:val="20"/>
          <w:color w:val="auto"/>
        </w:rPr>
      </w:pPr>
    </w:p>
    <w:p>
      <w:pPr>
        <w:spacing w:after="0" w:line="272" w:lineRule="auto"/>
        <w:rPr>
          <w:sz w:val="20"/>
          <w:szCs w:val="20"/>
          <w:color w:val="auto"/>
        </w:rPr>
      </w:pPr>
      <w:r>
        <w:rPr>
          <w:rFonts w:ascii="Arial" w:cs="Arial" w:eastAsia="Arial" w:hAnsi="Arial"/>
          <w:sz w:val="22"/>
          <w:szCs w:val="22"/>
          <w:color w:val="auto"/>
        </w:rPr>
        <w:t>Company Personnel will confirm understanding and acceptance of this Insider Trading Policy in conjunction with company led training initiatives.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40"/>
          </w:cols>
          <w:pgMar w:left="320" w:top="1440" w:right="339" w:bottom="1440" w:gutter="0" w:footer="0" w:header="0"/>
        </w:sectPr>
      </w:pPr>
    </w:p>
    <w:bookmarkStart w:id="276" w:name="page277"/>
    <w:bookmarkEnd w:id="276"/>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ATTACHMENT A</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NOTICE OF PROPOSED SALE IN THE UNITED STATES</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color w:val="auto"/>
        </w:rPr>
        <w:t>TO: CLO/CFO</w:t>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color w:val="auto"/>
        </w:rPr>
        <w:t>Acknowledgement</w:t>
      </w:r>
    </w:p>
    <w:p>
      <w:pPr>
        <w:spacing w:after="0" w:line="179" w:lineRule="exact"/>
        <w:rPr>
          <w:sz w:val="20"/>
          <w:szCs w:val="20"/>
          <w:color w:val="auto"/>
        </w:rPr>
      </w:pPr>
    </w:p>
    <w:p>
      <w:pPr>
        <w:jc w:val="both"/>
        <w:spacing w:after="0" w:line="265" w:lineRule="auto"/>
        <w:rPr>
          <w:sz w:val="20"/>
          <w:szCs w:val="20"/>
          <w:color w:val="auto"/>
        </w:rPr>
      </w:pPr>
      <w:r>
        <w:rPr>
          <w:rFonts w:ascii="Arial" w:cs="Arial" w:eastAsia="Arial" w:hAnsi="Arial"/>
          <w:sz w:val="21"/>
          <w:szCs w:val="21"/>
          <w:color w:val="auto"/>
        </w:rPr>
        <w:t>I hereby acknowledge that a Notice of Proposed Sale of Securities Pursuant to Rule 144 under the U.S. Securities Act (a Form 144) may be required to be filed with the SEC electronically in accordance with the SEC’s Electronic Data Gathering, Analysis, and Retrieval system (“EDGAR”) by “affiliates” (or their Related Persons, as defined in the Insider Trading Policy) concurrently with placing an order with a broker to execute a sale of Celestica’s securities in the United States or the execution directly with a market maker of such a sale. I confirm that I am responsible for the completion of any required Form 144 and in complying with any other applicable requirements of Rule 144.</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Details of the Proposed Transaction</w:t>
      </w:r>
    </w:p>
    <w:p>
      <w:pPr>
        <w:spacing w:after="0" w:line="193" w:lineRule="exact"/>
        <w:rPr>
          <w:sz w:val="20"/>
          <w:szCs w:val="20"/>
          <w:color w:val="auto"/>
        </w:rPr>
      </w:pPr>
    </w:p>
    <w:p>
      <w:pPr>
        <w:ind w:left="320" w:hanging="312"/>
        <w:spacing w:after="0"/>
        <w:tabs>
          <w:tab w:leader="none" w:pos="320" w:val="left"/>
        </w:tabs>
        <w:numPr>
          <w:ilvl w:val="0"/>
          <w:numId w:val="270"/>
        </w:numPr>
        <w:rPr>
          <w:rFonts w:ascii="Arial" w:cs="Arial" w:eastAsia="Arial" w:hAnsi="Arial"/>
          <w:sz w:val="22"/>
          <w:szCs w:val="22"/>
          <w:color w:val="auto"/>
        </w:rPr>
      </w:pPr>
      <w:r>
        <w:rPr>
          <w:rFonts w:ascii="Arial" w:cs="Arial" w:eastAsia="Arial" w:hAnsi="Arial"/>
          <w:sz w:val="22"/>
          <w:szCs w:val="22"/>
          <w:color w:val="auto"/>
        </w:rPr>
        <w:t>Are the shares to be sold in the U.S.?</w:t>
      </w:r>
    </w:p>
    <w:p>
      <w:pPr>
        <w:spacing w:after="0" w:line="246" w:lineRule="exact"/>
        <w:rPr>
          <w:rFonts w:ascii="Arial" w:cs="Arial" w:eastAsia="Arial" w:hAnsi="Arial"/>
          <w:sz w:val="22"/>
          <w:szCs w:val="22"/>
          <w:color w:val="auto"/>
        </w:rPr>
      </w:pPr>
    </w:p>
    <w:p>
      <w:pPr>
        <w:ind w:left="320" w:hanging="312"/>
        <w:spacing w:after="0"/>
        <w:tabs>
          <w:tab w:leader="none" w:pos="320" w:val="left"/>
        </w:tabs>
        <w:numPr>
          <w:ilvl w:val="0"/>
          <w:numId w:val="270"/>
        </w:numPr>
        <w:rPr>
          <w:rFonts w:ascii="Arial" w:cs="Arial" w:eastAsia="Arial" w:hAnsi="Arial"/>
          <w:sz w:val="22"/>
          <w:szCs w:val="22"/>
          <w:color w:val="auto"/>
        </w:rPr>
      </w:pPr>
      <w:r>
        <w:rPr>
          <w:rFonts w:ascii="Arial" w:cs="Arial" w:eastAsia="Arial" w:hAnsi="Arial"/>
          <w:sz w:val="22"/>
          <w:szCs w:val="22"/>
          <w:color w:val="auto"/>
        </w:rPr>
        <w:t>Were the shares to be sold issued privately offshore while Celestica was a foreign private issuer?</w:t>
      </w:r>
    </w:p>
    <w:p>
      <w:pPr>
        <w:spacing w:after="0" w:line="246" w:lineRule="exact"/>
        <w:rPr>
          <w:rFonts w:ascii="Arial" w:cs="Arial" w:eastAsia="Arial" w:hAnsi="Arial"/>
          <w:sz w:val="22"/>
          <w:szCs w:val="22"/>
          <w:color w:val="auto"/>
        </w:rPr>
      </w:pPr>
    </w:p>
    <w:p>
      <w:pPr>
        <w:ind w:left="320" w:hanging="312"/>
        <w:spacing w:after="0"/>
        <w:tabs>
          <w:tab w:leader="none" w:pos="320" w:val="left"/>
        </w:tabs>
        <w:numPr>
          <w:ilvl w:val="0"/>
          <w:numId w:val="270"/>
        </w:numPr>
        <w:rPr>
          <w:rFonts w:ascii="Arial" w:cs="Arial" w:eastAsia="Arial" w:hAnsi="Arial"/>
          <w:sz w:val="22"/>
          <w:szCs w:val="22"/>
          <w:color w:val="auto"/>
        </w:rPr>
      </w:pPr>
      <w:r>
        <w:rPr>
          <w:rFonts w:ascii="Arial" w:cs="Arial" w:eastAsia="Arial" w:hAnsi="Arial"/>
          <w:sz w:val="22"/>
          <w:szCs w:val="22"/>
          <w:color w:val="auto"/>
        </w:rPr>
        <w:t>Who is the seller and what is the seller’s title with Celestica (and/or its subsidiaries)?</w:t>
      </w:r>
    </w:p>
    <w:p>
      <w:pPr>
        <w:spacing w:after="0" w:line="260" w:lineRule="exact"/>
        <w:rPr>
          <w:rFonts w:ascii="Arial" w:cs="Arial" w:eastAsia="Arial" w:hAnsi="Arial"/>
          <w:sz w:val="22"/>
          <w:szCs w:val="22"/>
          <w:color w:val="auto"/>
        </w:rPr>
      </w:pPr>
    </w:p>
    <w:p>
      <w:pPr>
        <w:ind w:left="340" w:right="680" w:hanging="332"/>
        <w:spacing w:after="0" w:line="272" w:lineRule="auto"/>
        <w:tabs>
          <w:tab w:leader="none" w:pos="331" w:val="left"/>
        </w:tabs>
        <w:numPr>
          <w:ilvl w:val="0"/>
          <w:numId w:val="270"/>
        </w:numPr>
        <w:rPr>
          <w:rFonts w:ascii="Arial" w:cs="Arial" w:eastAsia="Arial" w:hAnsi="Arial"/>
          <w:sz w:val="22"/>
          <w:szCs w:val="22"/>
          <w:color w:val="auto"/>
        </w:rPr>
      </w:pPr>
      <w:r>
        <w:rPr>
          <w:rFonts w:ascii="Arial" w:cs="Arial" w:eastAsia="Arial" w:hAnsi="Arial"/>
          <w:sz w:val="22"/>
          <w:szCs w:val="22"/>
          <w:color w:val="auto"/>
        </w:rPr>
        <w:t>If applicable, when were the options, restricted share units, performance share units or deferred share units underlying the shares to be sold issued?</w:t>
      </w:r>
    </w:p>
    <w:p>
      <w:pPr>
        <w:spacing w:after="0" w:line="182" w:lineRule="exact"/>
        <w:rPr>
          <w:rFonts w:ascii="Arial" w:cs="Arial" w:eastAsia="Arial" w:hAnsi="Arial"/>
          <w:sz w:val="22"/>
          <w:szCs w:val="22"/>
          <w:color w:val="auto"/>
        </w:rPr>
      </w:pPr>
    </w:p>
    <w:p>
      <w:pPr>
        <w:ind w:left="320" w:hanging="312"/>
        <w:spacing w:after="0"/>
        <w:tabs>
          <w:tab w:leader="none" w:pos="320" w:val="left"/>
        </w:tabs>
        <w:numPr>
          <w:ilvl w:val="0"/>
          <w:numId w:val="270"/>
        </w:numPr>
        <w:rPr>
          <w:rFonts w:ascii="Arial" w:cs="Arial" w:eastAsia="Arial" w:hAnsi="Arial"/>
          <w:sz w:val="22"/>
          <w:szCs w:val="22"/>
          <w:color w:val="auto"/>
        </w:rPr>
      </w:pPr>
      <w:r>
        <w:rPr>
          <w:rFonts w:ascii="Arial" w:cs="Arial" w:eastAsia="Arial" w:hAnsi="Arial"/>
          <w:sz w:val="22"/>
          <w:szCs w:val="22"/>
          <w:color w:val="auto"/>
        </w:rPr>
        <w:t>If applicable, when was the exercise price of the option paid in full?</w:t>
      </w:r>
    </w:p>
    <w:p>
      <w:pPr>
        <w:spacing w:after="0" w:line="246" w:lineRule="exact"/>
        <w:rPr>
          <w:rFonts w:ascii="Arial" w:cs="Arial" w:eastAsia="Arial" w:hAnsi="Arial"/>
          <w:sz w:val="22"/>
          <w:szCs w:val="22"/>
          <w:color w:val="auto"/>
        </w:rPr>
      </w:pPr>
    </w:p>
    <w:p>
      <w:pPr>
        <w:ind w:left="320" w:hanging="312"/>
        <w:spacing w:after="0"/>
        <w:tabs>
          <w:tab w:leader="none" w:pos="320" w:val="left"/>
        </w:tabs>
        <w:numPr>
          <w:ilvl w:val="0"/>
          <w:numId w:val="270"/>
        </w:numPr>
        <w:rPr>
          <w:rFonts w:ascii="Arial" w:cs="Arial" w:eastAsia="Arial" w:hAnsi="Arial"/>
          <w:sz w:val="22"/>
          <w:szCs w:val="22"/>
          <w:color w:val="auto"/>
        </w:rPr>
      </w:pPr>
      <w:r>
        <w:rPr>
          <w:rFonts w:ascii="Arial" w:cs="Arial" w:eastAsia="Arial" w:hAnsi="Arial"/>
          <w:sz w:val="22"/>
          <w:szCs w:val="22"/>
          <w:color w:val="auto"/>
        </w:rPr>
        <w:t>When/how did the seller acquire the shares to be sold?</w:t>
      </w:r>
    </w:p>
    <w:p>
      <w:pPr>
        <w:spacing w:after="0" w:line="246" w:lineRule="exact"/>
        <w:rPr>
          <w:rFonts w:ascii="Arial" w:cs="Arial" w:eastAsia="Arial" w:hAnsi="Arial"/>
          <w:sz w:val="22"/>
          <w:szCs w:val="22"/>
          <w:color w:val="auto"/>
        </w:rPr>
      </w:pPr>
    </w:p>
    <w:p>
      <w:pPr>
        <w:ind w:left="320" w:hanging="312"/>
        <w:spacing w:after="0"/>
        <w:tabs>
          <w:tab w:leader="none" w:pos="320" w:val="left"/>
        </w:tabs>
        <w:numPr>
          <w:ilvl w:val="0"/>
          <w:numId w:val="270"/>
        </w:numPr>
        <w:rPr>
          <w:rFonts w:ascii="Arial" w:cs="Arial" w:eastAsia="Arial" w:hAnsi="Arial"/>
          <w:sz w:val="22"/>
          <w:szCs w:val="22"/>
          <w:color w:val="auto"/>
        </w:rPr>
      </w:pPr>
      <w:r>
        <w:rPr>
          <w:rFonts w:ascii="Arial" w:cs="Arial" w:eastAsia="Arial" w:hAnsi="Arial"/>
          <w:sz w:val="22"/>
          <w:szCs w:val="22"/>
          <w:color w:val="auto"/>
        </w:rPr>
        <w:t>How long has the seller held the shares to be sold?</w:t>
      </w:r>
    </w:p>
    <w:p>
      <w:pPr>
        <w:spacing w:after="0" w:line="246" w:lineRule="exact"/>
        <w:rPr>
          <w:rFonts w:ascii="Arial" w:cs="Arial" w:eastAsia="Arial" w:hAnsi="Arial"/>
          <w:sz w:val="22"/>
          <w:szCs w:val="22"/>
          <w:color w:val="auto"/>
        </w:rPr>
      </w:pPr>
    </w:p>
    <w:p>
      <w:pPr>
        <w:ind w:left="340" w:right="620" w:hanging="332"/>
        <w:spacing w:after="0" w:line="285" w:lineRule="auto"/>
        <w:tabs>
          <w:tab w:leader="none" w:pos="331" w:val="left"/>
        </w:tabs>
        <w:numPr>
          <w:ilvl w:val="0"/>
          <w:numId w:val="270"/>
        </w:numPr>
        <w:rPr>
          <w:rFonts w:ascii="Arial" w:cs="Arial" w:eastAsia="Arial" w:hAnsi="Arial"/>
          <w:sz w:val="22"/>
          <w:szCs w:val="22"/>
          <w:color w:val="auto"/>
        </w:rPr>
      </w:pPr>
      <w:r>
        <w:rPr>
          <w:rFonts w:ascii="Arial" w:cs="Arial" w:eastAsia="Arial" w:hAnsi="Arial"/>
          <w:sz w:val="22"/>
          <w:szCs w:val="22"/>
          <w:color w:val="auto"/>
        </w:rPr>
        <w:t>How many shares does the seller (combined with the seller’s Related Persons) intend to sell in any 3-month period?</w:t>
      </w:r>
    </w:p>
    <w:p>
      <w:pPr>
        <w:spacing w:after="0" w:line="168" w:lineRule="exact"/>
        <w:rPr>
          <w:rFonts w:ascii="Arial" w:cs="Arial" w:eastAsia="Arial" w:hAnsi="Arial"/>
          <w:sz w:val="22"/>
          <w:szCs w:val="22"/>
          <w:color w:val="auto"/>
        </w:rPr>
      </w:pPr>
    </w:p>
    <w:p>
      <w:pPr>
        <w:ind w:left="320" w:hanging="312"/>
        <w:spacing w:after="0"/>
        <w:tabs>
          <w:tab w:leader="none" w:pos="320" w:val="left"/>
        </w:tabs>
        <w:numPr>
          <w:ilvl w:val="0"/>
          <w:numId w:val="270"/>
        </w:numPr>
        <w:rPr>
          <w:rFonts w:ascii="Arial" w:cs="Arial" w:eastAsia="Arial" w:hAnsi="Arial"/>
          <w:sz w:val="21"/>
          <w:szCs w:val="21"/>
          <w:color w:val="auto"/>
        </w:rPr>
      </w:pPr>
      <w:r>
        <w:rPr>
          <w:rFonts w:ascii="Arial" w:cs="Arial" w:eastAsia="Arial" w:hAnsi="Arial"/>
          <w:sz w:val="21"/>
          <w:szCs w:val="21"/>
          <w:color w:val="auto"/>
        </w:rPr>
        <w:t>Have there been any purchases/sales by the seller (or your Related Persons) within the last (a) three months and</w:t>
      </w:r>
    </w:p>
    <w:p>
      <w:pPr>
        <w:spacing w:after="0" w:line="35" w:lineRule="exact"/>
        <w:rPr>
          <w:rFonts w:ascii="Arial" w:cs="Arial" w:eastAsia="Arial" w:hAnsi="Arial"/>
          <w:sz w:val="21"/>
          <w:szCs w:val="21"/>
          <w:color w:val="auto"/>
        </w:rPr>
      </w:pPr>
    </w:p>
    <w:p>
      <w:pPr>
        <w:ind w:left="660" w:hanging="328"/>
        <w:spacing w:after="0"/>
        <w:tabs>
          <w:tab w:leader="none" w:pos="660" w:val="left"/>
        </w:tabs>
        <w:numPr>
          <w:ilvl w:val="1"/>
          <w:numId w:val="270"/>
        </w:numPr>
        <w:rPr>
          <w:rFonts w:ascii="Arial" w:cs="Arial" w:eastAsia="Arial" w:hAnsi="Arial"/>
          <w:sz w:val="22"/>
          <w:szCs w:val="22"/>
          <w:color w:val="auto"/>
        </w:rPr>
      </w:pPr>
      <w:r>
        <w:rPr>
          <w:rFonts w:ascii="Arial" w:cs="Arial" w:eastAsia="Arial" w:hAnsi="Arial"/>
          <w:sz w:val="22"/>
          <w:szCs w:val="22"/>
          <w:color w:val="auto"/>
        </w:rPr>
        <w:t>six months? If so, provide detail.</w:t>
      </w:r>
    </w:p>
    <w:p>
      <w:pPr>
        <w:spacing w:after="0" w:line="226" w:lineRule="exact"/>
        <w:rPr>
          <w:rFonts w:ascii="Arial" w:cs="Arial" w:eastAsia="Arial" w:hAnsi="Arial"/>
          <w:sz w:val="22"/>
          <w:szCs w:val="22"/>
          <w:color w:val="auto"/>
        </w:rPr>
      </w:pPr>
    </w:p>
    <w:p>
      <w:pPr>
        <w:ind w:left="320" w:hanging="312"/>
        <w:spacing w:after="0"/>
        <w:tabs>
          <w:tab w:leader="none" w:pos="320" w:val="left"/>
        </w:tabs>
        <w:numPr>
          <w:ilvl w:val="0"/>
          <w:numId w:val="270"/>
        </w:numPr>
        <w:rPr>
          <w:rFonts w:ascii="Arial" w:cs="Arial" w:eastAsia="Arial" w:hAnsi="Arial"/>
          <w:sz w:val="22"/>
          <w:szCs w:val="22"/>
          <w:color w:val="auto"/>
        </w:rPr>
      </w:pPr>
      <w:r>
        <w:rPr>
          <w:rFonts w:ascii="Arial" w:cs="Arial" w:eastAsia="Arial" w:hAnsi="Arial"/>
          <w:sz w:val="22"/>
          <w:szCs w:val="22"/>
          <w:color w:val="auto"/>
        </w:rPr>
        <w:t>Are any purchases/sales (or option exercises) by the seller (or your Related Persons) anticipated within the next</w:t>
      </w:r>
    </w:p>
    <w:p>
      <w:pPr>
        <w:spacing w:after="0" w:line="23" w:lineRule="exact"/>
        <w:rPr>
          <w:rFonts w:ascii="Arial" w:cs="Arial" w:eastAsia="Arial" w:hAnsi="Arial"/>
          <w:sz w:val="22"/>
          <w:szCs w:val="22"/>
          <w:color w:val="auto"/>
        </w:rPr>
      </w:pPr>
    </w:p>
    <w:p>
      <w:pPr>
        <w:ind w:left="660" w:hanging="328"/>
        <w:spacing w:after="0"/>
        <w:tabs>
          <w:tab w:leader="none" w:pos="660" w:val="left"/>
        </w:tabs>
        <w:numPr>
          <w:ilvl w:val="1"/>
          <w:numId w:val="271"/>
        </w:numPr>
        <w:rPr>
          <w:rFonts w:ascii="Arial" w:cs="Arial" w:eastAsia="Arial" w:hAnsi="Arial"/>
          <w:sz w:val="22"/>
          <w:szCs w:val="22"/>
          <w:color w:val="auto"/>
        </w:rPr>
      </w:pPr>
      <w:r>
        <w:rPr>
          <w:rFonts w:ascii="Arial" w:cs="Arial" w:eastAsia="Arial" w:hAnsi="Arial"/>
          <w:sz w:val="22"/>
          <w:szCs w:val="22"/>
          <w:color w:val="auto"/>
        </w:rPr>
        <w:t>three months and (b) six months? If so, provide detail.</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40"/>
          </w:cols>
          <w:pgMar w:left="320" w:top="1440" w:right="339" w:bottom="1440" w:gutter="0" w:footer="0" w:header="0"/>
        </w:sectPr>
      </w:pPr>
    </w:p>
    <w:bookmarkStart w:id="277" w:name="page278"/>
    <w:bookmarkEnd w:id="27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292" w:hanging="292"/>
        <w:spacing w:after="0"/>
        <w:tabs>
          <w:tab w:leader="none" w:pos="292" w:val="left"/>
        </w:tabs>
        <w:numPr>
          <w:ilvl w:val="0"/>
          <w:numId w:val="272"/>
        </w:numPr>
        <w:rPr>
          <w:rFonts w:ascii="Arial" w:cs="Arial" w:eastAsia="Arial" w:hAnsi="Arial"/>
          <w:sz w:val="21"/>
          <w:szCs w:val="21"/>
          <w:color w:val="auto"/>
        </w:rPr>
      </w:pPr>
      <w:r>
        <w:rPr>
          <w:rFonts w:ascii="Arial" w:cs="Arial" w:eastAsia="Arial" w:hAnsi="Arial"/>
          <w:sz w:val="21"/>
          <w:szCs w:val="21"/>
          <w:color w:val="auto"/>
        </w:rPr>
        <w:t>Is the proposed sale to be implemented under an Automatic Trading Plan?</w:t>
      </w:r>
    </w:p>
    <w:p>
      <w:pPr>
        <w:spacing w:after="0" w:line="258" w:lineRule="exact"/>
        <w:rPr>
          <w:rFonts w:ascii="Arial" w:cs="Arial" w:eastAsia="Arial" w:hAnsi="Arial"/>
          <w:sz w:val="21"/>
          <w:szCs w:val="21"/>
          <w:color w:val="auto"/>
        </w:rPr>
      </w:pPr>
    </w:p>
    <w:p>
      <w:pPr>
        <w:ind w:left="332" w:hanging="332"/>
        <w:spacing w:after="0" w:line="272" w:lineRule="auto"/>
        <w:tabs>
          <w:tab w:leader="none" w:pos="322" w:val="left"/>
        </w:tabs>
        <w:numPr>
          <w:ilvl w:val="0"/>
          <w:numId w:val="272"/>
        </w:numPr>
        <w:rPr>
          <w:rFonts w:ascii="Arial" w:cs="Arial" w:eastAsia="Arial" w:hAnsi="Arial"/>
          <w:sz w:val="22"/>
          <w:szCs w:val="22"/>
          <w:color w:val="auto"/>
        </w:rPr>
      </w:pPr>
      <w:r>
        <w:rPr>
          <w:rFonts w:ascii="Arial" w:cs="Arial" w:eastAsia="Arial" w:hAnsi="Arial"/>
          <w:sz w:val="22"/>
          <w:szCs w:val="22"/>
          <w:color w:val="auto"/>
        </w:rPr>
        <w:t>If the proposed sale is to be implemented under an Automatic Trading Plan, you agree to provide any information requested regarding such plan for the purpose of providing required disclosures.</w:t>
      </w:r>
    </w:p>
    <w:p>
      <w:pPr>
        <w:spacing w:after="0" w:line="196" w:lineRule="exact"/>
        <w:rPr>
          <w:rFonts w:ascii="Arial" w:cs="Arial" w:eastAsia="Arial" w:hAnsi="Arial"/>
          <w:sz w:val="22"/>
          <w:szCs w:val="22"/>
          <w:color w:val="auto"/>
        </w:rPr>
      </w:pPr>
    </w:p>
    <w:p>
      <w:pPr>
        <w:ind w:left="332" w:right="120" w:hanging="332"/>
        <w:spacing w:after="0" w:line="257" w:lineRule="auto"/>
        <w:tabs>
          <w:tab w:leader="none" w:pos="322" w:val="left"/>
        </w:tabs>
        <w:numPr>
          <w:ilvl w:val="0"/>
          <w:numId w:val="272"/>
        </w:numPr>
        <w:rPr>
          <w:rFonts w:ascii="Arial" w:cs="Arial" w:eastAsia="Arial" w:hAnsi="Arial"/>
          <w:sz w:val="22"/>
          <w:szCs w:val="22"/>
          <w:color w:val="auto"/>
        </w:rPr>
      </w:pPr>
      <w:r>
        <w:rPr>
          <w:rFonts w:ascii="Arial" w:cs="Arial" w:eastAsia="Arial" w:hAnsi="Arial"/>
          <w:sz w:val="22"/>
          <w:szCs w:val="22"/>
          <w:color w:val="auto"/>
        </w:rPr>
        <w:t>Has your broker agreed to file on your behalf (or on behalf of your Related Persons) as filing agent any required Form 144 (including corrections thereto) with the SEC, and assist you in complying with any other applicable requirements of Rule 144?</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3232"/>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2751455</wp:posOffset>
            </wp:positionH>
            <wp:positionV relativeFrom="paragraph">
              <wp:posOffset>19050</wp:posOffset>
            </wp:positionV>
            <wp:extent cx="24688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5">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11" w:lineRule="exact"/>
        <w:rPr>
          <w:sz w:val="20"/>
          <w:szCs w:val="20"/>
          <w:color w:val="auto"/>
        </w:rPr>
      </w:pPr>
    </w:p>
    <w:p>
      <w:pPr>
        <w:ind w:left="3232"/>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2751455</wp:posOffset>
            </wp:positionH>
            <wp:positionV relativeFrom="paragraph">
              <wp:posOffset>10795</wp:posOffset>
            </wp:positionV>
            <wp:extent cx="24688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6">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ind w:left="3232"/>
        <w:spacing w:after="0"/>
        <w:rPr>
          <w:sz w:val="20"/>
          <w:szCs w:val="20"/>
          <w:color w:val="auto"/>
        </w:rPr>
      </w:pPr>
      <w:r>
        <w:rPr>
          <w:rFonts w:ascii="Arial" w:cs="Arial" w:eastAsia="Arial" w:hAnsi="Arial"/>
          <w:sz w:val="22"/>
          <w:szCs w:val="22"/>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2751455</wp:posOffset>
            </wp:positionH>
            <wp:positionV relativeFrom="paragraph">
              <wp:posOffset>10795</wp:posOffset>
            </wp:positionV>
            <wp:extent cx="24688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7">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ind w:left="3232"/>
        <w:spacing w:after="0"/>
        <w:rPr>
          <w:sz w:val="20"/>
          <w:szCs w:val="20"/>
          <w:color w:val="auto"/>
        </w:rPr>
      </w:pPr>
      <w:r>
        <w:rPr>
          <w:rFonts w:ascii="Arial" w:cs="Arial" w:eastAsia="Arial" w:hAnsi="Arial"/>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2751455</wp:posOffset>
            </wp:positionH>
            <wp:positionV relativeFrom="paragraph">
              <wp:posOffset>10795</wp:posOffset>
            </wp:positionV>
            <wp:extent cx="24688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8">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31"/>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092"/>
          </w:cols>
          <w:pgMar w:left="328" w:top="1440" w:right="479" w:bottom="1440" w:gutter="0" w:footer="0" w:header="0"/>
        </w:sectPr>
      </w:pPr>
    </w:p>
    <w:bookmarkStart w:id="278" w:name="page279"/>
    <w:bookmarkEnd w:id="278"/>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Subsidiaries of the Registrant*</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Celestica Cayman Holdings 1 Limited, a Cayman Islands corporation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Celestica LLC, a Delaware, U.S. limited liability company</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Celestica (Thailand) Limited, a Thailand corporation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Celestica (USA) Inc., a Delaware, U.S. corporation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2480333 Ontario Inc., an Ontario, Canada corporation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Celestica Holdings Pte Limited, a Singapore corporation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Celestica International LP, an Ontario, Canada limited partnership</w:t>
      </w:r>
    </w:p>
    <w:p>
      <w:pPr>
        <w:sectPr>
          <w:pgSz w:w="11900" w:h="16838" w:orient="portrait"/>
          <w:cols w:equalWidth="0" w:num="1">
            <w:col w:w="11240"/>
          </w:cols>
          <w:pgMar w:left="320" w:top="88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Subsidiaries that, in aggregate, would not be a “significant subsidiary” as defined in Rule 1-02(w) of Regulation S-X, have been omitted.</w:t>
      </w:r>
    </w:p>
    <w:p>
      <w:pPr>
        <w:sectPr>
          <w:pgSz w:w="11900" w:h="16838" w:orient="portrait"/>
          <w:cols w:equalWidth="0" w:num="1">
            <w:col w:w="11240"/>
          </w:cols>
          <w:pgMar w:left="320" w:top="887" w:right="339" w:bottom="1440" w:gutter="0" w:footer="0" w:header="0"/>
          <w:type w:val="continuous"/>
        </w:sectPr>
      </w:pPr>
    </w:p>
    <w:bookmarkStart w:id="279" w:name="page280"/>
    <w:bookmarkEnd w:id="279"/>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Celestica Inc.</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consent to the use of:</w:t>
      </w:r>
    </w:p>
    <w:p>
      <w:pPr>
        <w:spacing w:after="0" w:line="239" w:lineRule="exact"/>
        <w:rPr>
          <w:sz w:val="20"/>
          <w:szCs w:val="20"/>
          <w:color w:val="auto"/>
        </w:rPr>
      </w:pPr>
    </w:p>
    <w:p>
      <w:pPr>
        <w:jc w:val="both"/>
        <w:ind w:left="660" w:hanging="328"/>
        <w:spacing w:after="0" w:line="220" w:lineRule="auto"/>
        <w:tabs>
          <w:tab w:leader="none" w:pos="655"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report dated February 28, 2025 on the consolidated financial statements of Celestica Inc. (the “Company”) which comprise the consolidated balance sheets as of December 31, 2024 and December 31, 2023, the related consolidated statements of operations, comprehensive income, changes in equity and cash flows for each of the years in the three-year period ended December 31, 2024, and the related notes (collectively the “consolidated financial statements”), and</w:t>
      </w:r>
    </w:p>
    <w:p>
      <w:pPr>
        <w:spacing w:after="0" w:line="17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report dated February 28, 2025 on the effectiveness of the Company’s internal control over financial reporting as of December 31, 2024</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of which is included in the Annual Report on Form 10-K of the Company for the fiscal year ended December 31, 2024.</w:t>
      </w:r>
    </w:p>
    <w:p>
      <w:pPr>
        <w:spacing w:after="0" w:line="23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also consent to the incorporation by reference of such reports in the Registration Statements (No. 333-9500, 333-63112, 333-66726, 333-71126, 333-88210, 333-113591, 333-266330, 333-266331, 333-273468 and 333-282805) on Form S-8, and the Registration Statement (No. 333-273467) on Form F-3ASR of the Company.</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also consent to the reference to our firm under the heading “Experts” in the Registration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Chartered Professional Accountants, Licensed Public Accountants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 2025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Toronto, Canada</w:t>
      </w:r>
    </w:p>
    <w:p>
      <w:pPr>
        <w:sectPr>
          <w:pgSz w:w="11900" w:h="16838" w:orient="portrait"/>
          <w:cols w:equalWidth="0" w:num="1">
            <w:col w:w="11240"/>
          </w:cols>
          <w:pgMar w:left="320" w:top="88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KPMG LLP, an Ontario limited liability partnership and member firm of the KPMG global organization of independent member firms affiliated with KPMG International</w:t>
      </w:r>
    </w:p>
    <w:p>
      <w:pPr>
        <w:spacing w:after="0" w:line="27"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4"/>
          <w:szCs w:val="14"/>
          <w:color w:val="auto"/>
        </w:rPr>
        <w:t>Limited, a private English company limited by guarantee.</w:t>
      </w:r>
    </w:p>
    <w:p>
      <w:pPr>
        <w:spacing w:after="0" w:line="15"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4"/>
          <w:szCs w:val="14"/>
          <w:color w:val="auto"/>
        </w:rPr>
        <w:t>KPMG Canada provides services to KPMG LLP.</w:t>
      </w:r>
    </w:p>
    <w:p>
      <w:pPr>
        <w:sectPr>
          <w:pgSz w:w="11900" w:h="16838" w:orient="portrait"/>
          <w:cols w:equalWidth="0" w:num="1">
            <w:col w:w="11240"/>
          </w:cols>
          <w:pgMar w:left="320" w:top="887" w:right="339" w:bottom="1440" w:gutter="0" w:footer="0" w:header="0"/>
          <w:type w:val="continuous"/>
        </w:sectPr>
      </w:pPr>
    </w:p>
    <w:bookmarkStart w:id="280" w:name="page281"/>
    <w:bookmarkEnd w:id="280"/>
    <w:p>
      <w:pPr>
        <w:spacing w:after="0" w:line="14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A. Mionis, certify that:</w:t>
      </w:r>
    </w:p>
    <w:p>
      <w:pPr>
        <w:spacing w:after="0" w:line="185" w:lineRule="exact"/>
        <w:rPr>
          <w:sz w:val="20"/>
          <w:szCs w:val="20"/>
          <w:color w:val="auto"/>
        </w:rPr>
      </w:pPr>
    </w:p>
    <w:p>
      <w:pPr>
        <w:ind w:left="660" w:hanging="328"/>
        <w:spacing w:after="0"/>
        <w:tabs>
          <w:tab w:leader="none" w:pos="660"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Celestica Inc.;</w:t>
      </w:r>
    </w:p>
    <w:p>
      <w:pPr>
        <w:spacing w:after="0" w:line="144" w:lineRule="exact"/>
        <w:rPr>
          <w:rFonts w:ascii="Times New Roman" w:cs="Times New Roman" w:eastAsia="Times New Roman" w:hAnsi="Times New Roman"/>
          <w:sz w:val="18"/>
          <w:szCs w:val="18"/>
          <w:color w:val="auto"/>
        </w:rPr>
      </w:pPr>
    </w:p>
    <w:p>
      <w:pPr>
        <w:jc w:val="both"/>
        <w:ind w:left="660" w:hanging="328"/>
        <w:spacing w:after="0" w:line="231" w:lineRule="auto"/>
        <w:tabs>
          <w:tab w:leader="none" w:pos="660"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1" w:lineRule="exact"/>
        <w:rPr>
          <w:rFonts w:ascii="Times New Roman" w:cs="Times New Roman" w:eastAsia="Times New Roman" w:hAnsi="Times New Roman"/>
          <w:sz w:val="18"/>
          <w:szCs w:val="18"/>
          <w:color w:val="auto"/>
        </w:rPr>
      </w:pPr>
    </w:p>
    <w:p>
      <w:pPr>
        <w:ind w:left="660" w:hanging="328"/>
        <w:spacing w:after="0" w:line="237" w:lineRule="auto"/>
        <w:tabs>
          <w:tab w:leader="none" w:pos="660"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Times New Roman" w:cs="Times New Roman" w:eastAsia="Times New Roman" w:hAnsi="Times New Roman"/>
          <w:sz w:val="18"/>
          <w:szCs w:val="18"/>
          <w:color w:val="auto"/>
        </w:rPr>
      </w:pPr>
    </w:p>
    <w:p>
      <w:pPr>
        <w:jc w:val="both"/>
        <w:ind w:left="660" w:hanging="328"/>
        <w:spacing w:after="0" w:line="226" w:lineRule="auto"/>
        <w:tabs>
          <w:tab w:leader="none" w:pos="660"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0" w:lineRule="exact"/>
        <w:rPr>
          <w:rFonts w:ascii="Times New Roman" w:cs="Times New Roman" w:eastAsia="Times New Roman" w:hAnsi="Times New Roman"/>
          <w:sz w:val="18"/>
          <w:szCs w:val="18"/>
          <w:color w:val="auto"/>
        </w:rPr>
      </w:pPr>
    </w:p>
    <w:p>
      <w:pPr>
        <w:jc w:val="both"/>
        <w:ind w:left="980" w:hanging="324"/>
        <w:spacing w:after="0" w:line="231" w:lineRule="auto"/>
        <w:tabs>
          <w:tab w:leader="none" w:pos="970" w:val="left"/>
        </w:tabs>
        <w:numPr>
          <w:ilvl w:val="1"/>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7" w:lineRule="exact"/>
        <w:rPr>
          <w:rFonts w:ascii="Times New Roman" w:cs="Times New Roman" w:eastAsia="Times New Roman" w:hAnsi="Times New Roman"/>
          <w:sz w:val="18"/>
          <w:szCs w:val="18"/>
          <w:color w:val="auto"/>
        </w:rPr>
      </w:pPr>
    </w:p>
    <w:p>
      <w:pPr>
        <w:jc w:val="both"/>
        <w:ind w:left="980" w:hanging="324"/>
        <w:spacing w:after="0" w:line="231" w:lineRule="auto"/>
        <w:tabs>
          <w:tab w:leader="none" w:pos="980" w:val="left"/>
        </w:tabs>
        <w:numPr>
          <w:ilvl w:val="1"/>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1" w:lineRule="exact"/>
        <w:rPr>
          <w:rFonts w:ascii="Times New Roman" w:cs="Times New Roman" w:eastAsia="Times New Roman" w:hAnsi="Times New Roman"/>
          <w:sz w:val="18"/>
          <w:szCs w:val="18"/>
          <w:color w:val="auto"/>
        </w:rPr>
      </w:pPr>
    </w:p>
    <w:p>
      <w:pPr>
        <w:ind w:left="980" w:hanging="324"/>
        <w:spacing w:after="0" w:line="237" w:lineRule="auto"/>
        <w:tabs>
          <w:tab w:leader="none" w:pos="970" w:val="left"/>
        </w:tabs>
        <w:numPr>
          <w:ilvl w:val="1"/>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1" w:lineRule="exact"/>
        <w:rPr>
          <w:rFonts w:ascii="Times New Roman" w:cs="Times New Roman" w:eastAsia="Times New Roman" w:hAnsi="Times New Roman"/>
          <w:sz w:val="18"/>
          <w:szCs w:val="18"/>
          <w:color w:val="auto"/>
        </w:rPr>
      </w:pPr>
    </w:p>
    <w:p>
      <w:pPr>
        <w:jc w:val="both"/>
        <w:ind w:left="980" w:hanging="324"/>
        <w:spacing w:after="0" w:line="226" w:lineRule="auto"/>
        <w:tabs>
          <w:tab w:leader="none" w:pos="980" w:val="left"/>
        </w:tabs>
        <w:numPr>
          <w:ilvl w:val="1"/>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0" w:lineRule="exact"/>
        <w:rPr>
          <w:rFonts w:ascii="Times New Roman" w:cs="Times New Roman" w:eastAsia="Times New Roman" w:hAnsi="Times New Roman"/>
          <w:sz w:val="18"/>
          <w:szCs w:val="18"/>
          <w:color w:val="auto"/>
        </w:rPr>
      </w:pPr>
    </w:p>
    <w:p>
      <w:pPr>
        <w:ind w:left="660" w:hanging="328"/>
        <w:spacing w:after="0" w:line="237" w:lineRule="auto"/>
        <w:tabs>
          <w:tab w:leader="none" w:pos="660"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1" w:lineRule="exact"/>
        <w:rPr>
          <w:rFonts w:ascii="Times New Roman" w:cs="Times New Roman" w:eastAsia="Times New Roman" w:hAnsi="Times New Roman"/>
          <w:sz w:val="18"/>
          <w:szCs w:val="18"/>
          <w:color w:val="auto"/>
        </w:rPr>
      </w:pPr>
    </w:p>
    <w:p>
      <w:pPr>
        <w:ind w:left="980" w:hanging="324"/>
        <w:spacing w:after="0" w:line="237" w:lineRule="auto"/>
        <w:tabs>
          <w:tab w:leader="none" w:pos="970" w:val="left"/>
        </w:tabs>
        <w:numPr>
          <w:ilvl w:val="1"/>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1" w:lineRule="exact"/>
        <w:rPr>
          <w:rFonts w:ascii="Times New Roman" w:cs="Times New Roman" w:eastAsia="Times New Roman" w:hAnsi="Times New Roman"/>
          <w:sz w:val="18"/>
          <w:szCs w:val="18"/>
          <w:color w:val="auto"/>
        </w:rPr>
      </w:pPr>
    </w:p>
    <w:p>
      <w:pPr>
        <w:ind w:left="980" w:hanging="324"/>
        <w:spacing w:after="0" w:line="237" w:lineRule="auto"/>
        <w:tabs>
          <w:tab w:leader="none" w:pos="980" w:val="left"/>
        </w:tabs>
        <w:numPr>
          <w:ilvl w:val="1"/>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240"/>
          </w:cols>
          <w:pgMar w:left="320" w:top="1440" w:right="339" w:bottom="1440" w:gutter="0" w:footer="0" w:header="0"/>
        </w:sectPr>
      </w:pPr>
    </w:p>
    <w:bookmarkStart w:id="281" w:name="page282"/>
    <w:bookmarkEnd w:id="281"/>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3, 2025</w:t>
      </w:r>
    </w:p>
    <w:p>
      <w:pPr>
        <w:spacing w:after="0" w:line="37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/s/ Robert A. Mionis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-7620</wp:posOffset>
            </wp:positionV>
            <wp:extent cx="105346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9">
                      <a:extLst>
                        <a:ext uri="{28A0092B-C50C-407E-A947-70E740481C1C}"/>
                      </a:extLst>
                    </a:blip>
                    <a:srcRect/>
                    <a:stretch>
                      <a:fillRect/>
                    </a:stretch>
                  </pic:blipFill>
                  <pic:spPr bwMode="auto">
                    <a:xfrm>
                      <a:off x="0" y="0"/>
                      <a:ext cx="1053465" cy="8255"/>
                    </a:xfrm>
                    <a:prstGeom prst="rect">
                      <a:avLst/>
                    </a:prstGeom>
                    <a:noFill/>
                  </pic:spPr>
                </pic:pic>
              </a:graphicData>
            </a:graphic>
          </wp:anchor>
        </w:drawing>
      </w:r>
    </w:p>
    <w:p>
      <w:pPr>
        <w:spacing w:after="0" w:line="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Robert A. Mionis</w:t>
      </w:r>
    </w:p>
    <w:p>
      <w:pPr>
        <w:spacing w:after="0" w:line="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0139"/>
          </w:cols>
          <w:pgMar w:left="320" w:top="1440" w:right="1440" w:bottom="1440" w:gutter="0" w:footer="0" w:header="0"/>
        </w:sectPr>
      </w:pPr>
    </w:p>
    <w:bookmarkStart w:id="282" w:name="page283"/>
    <w:bookmarkEnd w:id="282"/>
    <w:p>
      <w:pPr>
        <w:spacing w:after="0" w:line="14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Mandeep Chawla, certify that:</w:t>
      </w:r>
    </w:p>
    <w:p>
      <w:pPr>
        <w:spacing w:after="0" w:line="185" w:lineRule="exact"/>
        <w:rPr>
          <w:sz w:val="20"/>
          <w:szCs w:val="20"/>
          <w:color w:val="auto"/>
        </w:rPr>
      </w:pPr>
    </w:p>
    <w:p>
      <w:pPr>
        <w:ind w:left="660" w:hanging="328"/>
        <w:spacing w:after="0"/>
        <w:tabs>
          <w:tab w:leader="none" w:pos="660"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Celestica Inc.;</w:t>
      </w:r>
    </w:p>
    <w:p>
      <w:pPr>
        <w:spacing w:after="0" w:line="144" w:lineRule="exact"/>
        <w:rPr>
          <w:rFonts w:ascii="Times New Roman" w:cs="Times New Roman" w:eastAsia="Times New Roman" w:hAnsi="Times New Roman"/>
          <w:sz w:val="18"/>
          <w:szCs w:val="18"/>
          <w:color w:val="auto"/>
        </w:rPr>
      </w:pPr>
    </w:p>
    <w:p>
      <w:pPr>
        <w:jc w:val="both"/>
        <w:ind w:left="660" w:hanging="328"/>
        <w:spacing w:after="0" w:line="231" w:lineRule="auto"/>
        <w:tabs>
          <w:tab w:leader="none" w:pos="660"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1" w:lineRule="exact"/>
        <w:rPr>
          <w:rFonts w:ascii="Times New Roman" w:cs="Times New Roman" w:eastAsia="Times New Roman" w:hAnsi="Times New Roman"/>
          <w:sz w:val="18"/>
          <w:szCs w:val="18"/>
          <w:color w:val="auto"/>
        </w:rPr>
      </w:pPr>
    </w:p>
    <w:p>
      <w:pPr>
        <w:ind w:left="660" w:hanging="328"/>
        <w:spacing w:after="0" w:line="237" w:lineRule="auto"/>
        <w:tabs>
          <w:tab w:leader="none" w:pos="660"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Times New Roman" w:cs="Times New Roman" w:eastAsia="Times New Roman" w:hAnsi="Times New Roman"/>
          <w:sz w:val="18"/>
          <w:szCs w:val="18"/>
          <w:color w:val="auto"/>
        </w:rPr>
      </w:pPr>
    </w:p>
    <w:p>
      <w:pPr>
        <w:jc w:val="both"/>
        <w:ind w:left="660" w:hanging="328"/>
        <w:spacing w:after="0" w:line="226" w:lineRule="auto"/>
        <w:tabs>
          <w:tab w:leader="none" w:pos="660"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0" w:lineRule="exact"/>
        <w:rPr>
          <w:rFonts w:ascii="Times New Roman" w:cs="Times New Roman" w:eastAsia="Times New Roman" w:hAnsi="Times New Roman"/>
          <w:sz w:val="18"/>
          <w:szCs w:val="18"/>
          <w:color w:val="auto"/>
        </w:rPr>
      </w:pPr>
    </w:p>
    <w:p>
      <w:pPr>
        <w:jc w:val="both"/>
        <w:ind w:left="980" w:hanging="324"/>
        <w:spacing w:after="0" w:line="231" w:lineRule="auto"/>
        <w:tabs>
          <w:tab w:leader="none" w:pos="970" w:val="left"/>
        </w:tabs>
        <w:numPr>
          <w:ilvl w:val="1"/>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7" w:lineRule="exact"/>
        <w:rPr>
          <w:rFonts w:ascii="Times New Roman" w:cs="Times New Roman" w:eastAsia="Times New Roman" w:hAnsi="Times New Roman"/>
          <w:sz w:val="18"/>
          <w:szCs w:val="18"/>
          <w:color w:val="auto"/>
        </w:rPr>
      </w:pPr>
    </w:p>
    <w:p>
      <w:pPr>
        <w:jc w:val="both"/>
        <w:ind w:left="980" w:hanging="324"/>
        <w:spacing w:after="0" w:line="231" w:lineRule="auto"/>
        <w:tabs>
          <w:tab w:leader="none" w:pos="980" w:val="left"/>
        </w:tabs>
        <w:numPr>
          <w:ilvl w:val="1"/>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1" w:lineRule="exact"/>
        <w:rPr>
          <w:rFonts w:ascii="Times New Roman" w:cs="Times New Roman" w:eastAsia="Times New Roman" w:hAnsi="Times New Roman"/>
          <w:sz w:val="18"/>
          <w:szCs w:val="18"/>
          <w:color w:val="auto"/>
        </w:rPr>
      </w:pPr>
    </w:p>
    <w:p>
      <w:pPr>
        <w:ind w:left="980" w:hanging="324"/>
        <w:spacing w:after="0" w:line="237" w:lineRule="auto"/>
        <w:tabs>
          <w:tab w:leader="none" w:pos="970" w:val="left"/>
        </w:tabs>
        <w:numPr>
          <w:ilvl w:val="1"/>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1" w:lineRule="exact"/>
        <w:rPr>
          <w:rFonts w:ascii="Times New Roman" w:cs="Times New Roman" w:eastAsia="Times New Roman" w:hAnsi="Times New Roman"/>
          <w:sz w:val="18"/>
          <w:szCs w:val="18"/>
          <w:color w:val="auto"/>
        </w:rPr>
      </w:pPr>
    </w:p>
    <w:p>
      <w:pPr>
        <w:jc w:val="both"/>
        <w:ind w:left="980" w:hanging="324"/>
        <w:spacing w:after="0" w:line="226" w:lineRule="auto"/>
        <w:tabs>
          <w:tab w:leader="none" w:pos="980" w:val="left"/>
        </w:tabs>
        <w:numPr>
          <w:ilvl w:val="1"/>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0" w:lineRule="exact"/>
        <w:rPr>
          <w:rFonts w:ascii="Times New Roman" w:cs="Times New Roman" w:eastAsia="Times New Roman" w:hAnsi="Times New Roman"/>
          <w:sz w:val="18"/>
          <w:szCs w:val="18"/>
          <w:color w:val="auto"/>
        </w:rPr>
      </w:pPr>
    </w:p>
    <w:p>
      <w:pPr>
        <w:ind w:left="660" w:hanging="328"/>
        <w:spacing w:after="0" w:line="237" w:lineRule="auto"/>
        <w:tabs>
          <w:tab w:leader="none" w:pos="660"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1" w:lineRule="exact"/>
        <w:rPr>
          <w:rFonts w:ascii="Times New Roman" w:cs="Times New Roman" w:eastAsia="Times New Roman" w:hAnsi="Times New Roman"/>
          <w:sz w:val="18"/>
          <w:szCs w:val="18"/>
          <w:color w:val="auto"/>
        </w:rPr>
      </w:pPr>
    </w:p>
    <w:p>
      <w:pPr>
        <w:ind w:left="980" w:hanging="324"/>
        <w:spacing w:after="0" w:line="237" w:lineRule="auto"/>
        <w:tabs>
          <w:tab w:leader="none" w:pos="970" w:val="left"/>
        </w:tabs>
        <w:numPr>
          <w:ilvl w:val="1"/>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1" w:lineRule="exact"/>
        <w:rPr>
          <w:rFonts w:ascii="Times New Roman" w:cs="Times New Roman" w:eastAsia="Times New Roman" w:hAnsi="Times New Roman"/>
          <w:sz w:val="18"/>
          <w:szCs w:val="18"/>
          <w:color w:val="auto"/>
        </w:rPr>
      </w:pPr>
    </w:p>
    <w:p>
      <w:pPr>
        <w:ind w:left="980" w:hanging="324"/>
        <w:spacing w:after="0" w:line="237" w:lineRule="auto"/>
        <w:tabs>
          <w:tab w:leader="none" w:pos="980" w:val="left"/>
        </w:tabs>
        <w:numPr>
          <w:ilvl w:val="1"/>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240"/>
          </w:cols>
          <w:pgMar w:left="320" w:top="1440" w:right="339" w:bottom="1440" w:gutter="0" w:footer="0" w:header="0"/>
        </w:sectPr>
      </w:pPr>
    </w:p>
    <w:bookmarkStart w:id="283" w:name="page284"/>
    <w:bookmarkEnd w:id="283"/>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3, 2025</w:t>
      </w:r>
    </w:p>
    <w:p>
      <w:pPr>
        <w:spacing w:after="0" w:line="37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/s/ Mandeep Chawla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-7620</wp:posOffset>
            </wp:positionV>
            <wp:extent cx="105346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40">
                      <a:extLst>
                        <a:ext uri="{28A0092B-C50C-407E-A947-70E740481C1C}"/>
                      </a:extLst>
                    </a:blip>
                    <a:srcRect/>
                    <a:stretch>
                      <a:fillRect/>
                    </a:stretch>
                  </pic:blipFill>
                  <pic:spPr bwMode="auto">
                    <a:xfrm>
                      <a:off x="0" y="0"/>
                      <a:ext cx="1053465" cy="8255"/>
                    </a:xfrm>
                    <a:prstGeom prst="rect">
                      <a:avLst/>
                    </a:prstGeom>
                    <a:noFill/>
                  </pic:spPr>
                </pic:pic>
              </a:graphicData>
            </a:graphic>
          </wp:anchor>
        </w:drawing>
      </w:r>
    </w:p>
    <w:p>
      <w:pPr>
        <w:spacing w:after="0" w:line="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Mandeep Chawla</w:t>
      </w:r>
    </w:p>
    <w:p>
      <w:pPr>
        <w:spacing w:after="0" w:line="9"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7"/>
          <w:szCs w:val="17"/>
          <w:color w:val="auto"/>
        </w:rPr>
        <w:t>(Principal Financial Officer)</w:t>
      </w:r>
    </w:p>
    <w:p>
      <w:pPr>
        <w:sectPr>
          <w:pgSz w:w="11900" w:h="16838" w:orient="portrait"/>
          <w:cols w:equalWidth="0" w:num="1">
            <w:col w:w="10139"/>
          </w:cols>
          <w:pgMar w:left="320" w:top="1440" w:right="1440" w:bottom="1440" w:gutter="0" w:footer="0" w:header="0"/>
        </w:sectPr>
      </w:pPr>
    </w:p>
    <w:bookmarkStart w:id="284" w:name="page285"/>
    <w:bookmarkEnd w:id="284"/>
    <w:p>
      <w:pPr>
        <w:spacing w:after="0" w:line="14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 TO SECTION 906 OF THE SARBANES-OXLEY</w:t>
      </w:r>
    </w:p>
    <w:p>
      <w:pPr>
        <w:jc w:val="center"/>
        <w:spacing w:after="0"/>
        <w:rPr>
          <w:sz w:val="20"/>
          <w:szCs w:val="20"/>
          <w:color w:val="auto"/>
        </w:rPr>
      </w:pPr>
      <w:r>
        <w:rPr>
          <w:rFonts w:ascii="Times New Roman" w:cs="Times New Roman" w:eastAsia="Times New Roman" w:hAnsi="Times New Roman"/>
          <w:sz w:val="18"/>
          <w:szCs w:val="18"/>
          <w:b w:val="1"/>
          <w:bCs w:val="1"/>
          <w:color w:val="auto"/>
        </w:rPr>
        <w:t>ACT OF 2002</w:t>
      </w:r>
    </w:p>
    <w:p>
      <w:pPr>
        <w:spacing w:after="0" w:line="1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Celestica Inc. (the “Company”) on Form 10-K for the fiscal year ended December 31, 2024, as filed with the Securities and Exchange Commission on the date hereof (the “Report”), each of the undersigned officers of the Company certifies, pursuant to 18 U.S.C. § 1350, as adopted pursuant to § 906 of the Sarbanes-Oxley Act of 2002, that, to such officer’s knowledge:</w:t>
      </w:r>
    </w:p>
    <w:p>
      <w:pPr>
        <w:spacing w:after="0" w:line="122" w:lineRule="exact"/>
        <w:rPr>
          <w:sz w:val="20"/>
          <w:szCs w:val="20"/>
          <w:color w:val="auto"/>
        </w:rPr>
      </w:pPr>
    </w:p>
    <w:p>
      <w:pPr>
        <w:ind w:left="660" w:hanging="328"/>
        <w:spacing w:after="0"/>
        <w:tabs>
          <w:tab w:leader="none" w:pos="660"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57" w:lineRule="exact"/>
        <w:rPr>
          <w:rFonts w:ascii="Times New Roman" w:cs="Times New Roman" w:eastAsia="Times New Roman" w:hAnsi="Times New Roman"/>
          <w:sz w:val="18"/>
          <w:szCs w:val="18"/>
          <w:color w:val="auto"/>
        </w:rPr>
      </w:pPr>
    </w:p>
    <w:p>
      <w:pPr>
        <w:ind w:right="140" w:firstLine="332"/>
        <w:spacing w:after="0" w:line="454" w:lineRule="auto"/>
        <w:tabs>
          <w:tab w:leader="none" w:pos="648"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March 3, 2025</w:t>
      </w:r>
    </w:p>
    <w:p>
      <w:pPr>
        <w:spacing w:after="0" w:line="162"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/s/ Robert A. Mionis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-7620</wp:posOffset>
            </wp:positionV>
            <wp:extent cx="105346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41">
                      <a:extLst>
                        <a:ext uri="{28A0092B-C50C-407E-A947-70E740481C1C}"/>
                      </a:extLst>
                    </a:blip>
                    <a:srcRect/>
                    <a:stretch>
                      <a:fillRect/>
                    </a:stretch>
                  </pic:blipFill>
                  <pic:spPr bwMode="auto">
                    <a:xfrm>
                      <a:off x="0" y="0"/>
                      <a:ext cx="1053465" cy="8255"/>
                    </a:xfrm>
                    <a:prstGeom prst="rect">
                      <a:avLst/>
                    </a:prstGeom>
                    <a:noFill/>
                  </pic:spPr>
                </pic:pic>
              </a:graphicData>
            </a:graphic>
          </wp:anchor>
        </w:drawing>
      </w:r>
    </w:p>
    <w:p>
      <w:pPr>
        <w:spacing w:after="0" w:line="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Robert A. Mionis</w:t>
      </w:r>
    </w:p>
    <w:p>
      <w:pPr>
        <w:spacing w:after="0" w:line="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 2025</w:t>
      </w:r>
    </w:p>
    <w:p>
      <w:pPr>
        <w:spacing w:after="0" w:line="37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/s/ Mandeep Chawla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-7620</wp:posOffset>
            </wp:positionV>
            <wp:extent cx="105346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42">
                      <a:extLst>
                        <a:ext uri="{28A0092B-C50C-407E-A947-70E740481C1C}"/>
                      </a:extLst>
                    </a:blip>
                    <a:srcRect/>
                    <a:stretch>
                      <a:fillRect/>
                    </a:stretch>
                  </pic:blipFill>
                  <pic:spPr bwMode="auto">
                    <a:xfrm>
                      <a:off x="0" y="0"/>
                      <a:ext cx="1053465" cy="8255"/>
                    </a:xfrm>
                    <a:prstGeom prst="rect">
                      <a:avLst/>
                    </a:prstGeom>
                    <a:noFill/>
                  </pic:spPr>
                </pic:pic>
              </a:graphicData>
            </a:graphic>
          </wp:anchor>
        </w:drawing>
      </w:r>
    </w:p>
    <w:p>
      <w:pPr>
        <w:spacing w:after="0" w:line="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Mandeep Chawla</w:t>
      </w:r>
    </w:p>
    <w:p>
      <w:pPr>
        <w:spacing w:after="0" w:line="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(Principal Financial Officer)</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34C574C"/>
    <w:multiLevelType w:val="hybridMultilevel"/>
    <w:lvl w:ilvl="0">
      <w:lvlJc w:val="left"/>
      <w:lvlText w:val="☒"/>
      <w:numFmt w:val="bullet"/>
      <w:start w:val="1"/>
    </w:lvl>
  </w:abstractNum>
  <w:abstractNum w:abstractNumId="1">
    <w:nsid w:val="24E99DD7"/>
    <w:multiLevelType w:val="hybridMultilevel"/>
    <w:lvl w:ilvl="0">
      <w:lvlJc w:val="left"/>
      <w:lvlText w:val="•"/>
      <w:numFmt w:val="bullet"/>
      <w:start w:val="1"/>
    </w:lvl>
  </w:abstractNum>
  <w:abstractNum w:abstractNumId="2">
    <w:nsid w:val="2A31B62D"/>
    <w:multiLevelType w:val="hybridMultilevel"/>
    <w:lvl w:ilvl="0">
      <w:lvlJc w:val="left"/>
      <w:lvlText w:val="•"/>
      <w:numFmt w:val="bullet"/>
      <w:start w:val="1"/>
    </w:lvl>
  </w:abstractNum>
  <w:abstractNum w:abstractNumId="3">
    <w:nsid w:val="1849C29B"/>
    <w:multiLevelType w:val="hybridMultilevel"/>
    <w:lvl w:ilvl="0">
      <w:lvlJc w:val="left"/>
      <w:lvlText w:val="•"/>
      <w:numFmt w:val="bullet"/>
      <w:start w:val="1"/>
    </w:lvl>
  </w:abstractNum>
  <w:abstractNum w:abstractNumId="4">
    <w:nsid w:val="7DFF9D09"/>
    <w:multiLevelType w:val="hybridMultilevel"/>
    <w:lvl w:ilvl="0">
      <w:lvlJc w:val="left"/>
      <w:lvlText w:val="•"/>
      <w:numFmt w:val="bullet"/>
      <w:start w:val="1"/>
    </w:lvl>
  </w:abstractNum>
  <w:abstractNum w:abstractNumId="5">
    <w:nsid w:val="754342"/>
    <w:multiLevelType w:val="hybridMultilevel"/>
    <w:lvl w:ilvl="0">
      <w:lvlJc w:val="left"/>
      <w:lvlText w:val="•"/>
      <w:numFmt w:val="bullet"/>
      <w:start w:val="1"/>
    </w:lvl>
  </w:abstractNum>
  <w:abstractNum w:abstractNumId="6">
    <w:nsid w:val="69E7F3E5"/>
    <w:multiLevelType w:val="hybridMultilevel"/>
    <w:lvl w:ilvl="0">
      <w:lvlJc w:val="left"/>
      <w:lvlText w:val="•"/>
      <w:numFmt w:val="bullet"/>
      <w:start w:val="1"/>
    </w:lvl>
  </w:abstractNum>
  <w:abstractNum w:abstractNumId="7">
    <w:nsid w:val="2A6DE806"/>
    <w:multiLevelType w:val="hybridMultilevel"/>
    <w:lvl w:ilvl="0">
      <w:lvlJc w:val="left"/>
      <w:lvlText w:val="•"/>
      <w:numFmt w:val="bullet"/>
      <w:start w:val="1"/>
    </w:lvl>
  </w:abstractNum>
  <w:abstractNum w:abstractNumId="8">
    <w:nsid w:val="1816F8C4"/>
    <w:multiLevelType w:val="hybridMultilevel"/>
    <w:lvl w:ilvl="0">
      <w:lvlJc w:val="left"/>
      <w:lvlText w:val="•"/>
      <w:numFmt w:val="bullet"/>
      <w:start w:val="1"/>
    </w:lvl>
  </w:abstractNum>
  <w:abstractNum w:abstractNumId="9">
    <w:nsid w:val="37DF2233"/>
    <w:multiLevelType w:val="hybridMultilevel"/>
    <w:lvl w:ilvl="0">
      <w:lvlJc w:val="left"/>
      <w:lvlText w:val="•"/>
      <w:numFmt w:val="bullet"/>
      <w:start w:val="1"/>
    </w:lvl>
  </w:abstractNum>
  <w:abstractNum w:abstractNumId="10">
    <w:nsid w:val="7AB49DAF"/>
    <w:multiLevelType w:val="hybridMultilevel"/>
    <w:lvl w:ilvl="0">
      <w:lvlJc w:val="left"/>
      <w:lvlText w:val="(%1)"/>
      <w:numFmt w:val="decimal"/>
      <w:start w:val="1"/>
    </w:lvl>
  </w:abstractNum>
  <w:abstractNum w:abstractNumId="11">
    <w:nsid w:val="759F82CD"/>
    <w:multiLevelType w:val="hybridMultilevel"/>
    <w:lvl w:ilvl="0">
      <w:lvlJc w:val="left"/>
      <w:lvlText w:val="(%1)"/>
      <w:numFmt w:val="lowerRoman"/>
      <w:start w:val="4"/>
    </w:lvl>
  </w:abstractNum>
  <w:abstractNum w:abstractNumId="12">
    <w:nsid w:val="61E74EA3"/>
    <w:multiLevelType w:val="hybridMultilevel"/>
    <w:lvl w:ilvl="0">
      <w:lvlJc w:val="left"/>
      <w:lvlText w:val="•"/>
      <w:numFmt w:val="bullet"/>
      <w:start w:val="1"/>
    </w:lvl>
  </w:abstractNum>
  <w:abstractNum w:abstractNumId="13">
    <w:nsid w:val="597B4D84"/>
    <w:multiLevelType w:val="hybridMultilevel"/>
    <w:lvl w:ilvl="0">
      <w:lvlJc w:val="left"/>
      <w:lvlText w:val="•"/>
      <w:numFmt w:val="bullet"/>
      <w:start w:val="1"/>
    </w:lvl>
  </w:abstractNum>
  <w:abstractNum w:abstractNumId="14">
    <w:nsid w:val="F819E7F"/>
    <w:multiLevelType w:val="hybridMultilevel"/>
    <w:lvl w:ilvl="0">
      <w:lvlJc w:val="left"/>
      <w:lvlText w:val="(%1)"/>
      <w:numFmt w:val="lowerRoman"/>
      <w:start w:val="5"/>
    </w:lvl>
  </w:abstractNum>
  <w:abstractNum w:abstractNumId="15">
    <w:nsid w:val="57C7D42D"/>
    <w:multiLevelType w:val="hybridMultilevel"/>
    <w:lvl w:ilvl="0">
      <w:lvlJc w:val="left"/>
      <w:lvlText w:val="•"/>
      <w:numFmt w:val="bullet"/>
      <w:start w:val="1"/>
    </w:lvl>
  </w:abstractNum>
  <w:abstractNum w:abstractNumId="16">
    <w:nsid w:val="312167AD"/>
    <w:multiLevelType w:val="hybridMultilevel"/>
    <w:lvl w:ilvl="0">
      <w:lvlJc w:val="left"/>
      <w:lvlText w:val="(%1)"/>
      <w:numFmt w:val="decimal"/>
      <w:start w:val="1"/>
    </w:lvl>
  </w:abstractNum>
  <w:abstractNum w:abstractNumId="17">
    <w:nsid w:val="631B64D4"/>
    <w:multiLevelType w:val="hybridMultilevel"/>
    <w:lvl w:ilvl="0">
      <w:lvlJc w:val="left"/>
      <w:lvlText w:val="(%1)"/>
      <w:numFmt w:val="decimal"/>
      <w:start w:val="1"/>
    </w:lvl>
  </w:abstractNum>
  <w:abstractNum w:abstractNumId="18">
    <w:nsid w:val="78B5E776"/>
    <w:multiLevelType w:val="hybridMultilevel"/>
    <w:lvl w:ilvl="0">
      <w:lvlJc w:val="left"/>
      <w:lvlText w:val="(%1)"/>
      <w:numFmt w:val="decimal"/>
      <w:start w:val="2"/>
    </w:lvl>
  </w:abstractNum>
  <w:abstractNum w:abstractNumId="19">
    <w:nsid w:val="75486E47"/>
    <w:multiLevelType w:val="hybridMultilevel"/>
    <w:lvl w:ilvl="0">
      <w:lvlJc w:val="left"/>
      <w:lvlText w:val="†"/>
      <w:numFmt w:val="bullet"/>
      <w:start w:val="1"/>
    </w:lvl>
  </w:abstractNum>
  <w:abstractNum w:abstractNumId="20">
    <w:nsid w:val="6E534CDE"/>
    <w:multiLevelType w:val="hybridMultilevel"/>
    <w:lvl w:ilvl="0">
      <w:lvlJc w:val="left"/>
      <w:lvlText w:val="*"/>
      <w:numFmt w:val="bullet"/>
      <w:start w:val="1"/>
    </w:lvl>
  </w:abstractNum>
  <w:abstractNum w:abstractNumId="21">
    <w:nsid w:val="1A0DDE32"/>
    <w:multiLevelType w:val="hybridMultilevel"/>
    <w:lvl w:ilvl="0">
      <w:lvlJc w:val="left"/>
      <w:lvlText w:val="*"/>
      <w:numFmt w:val="bullet"/>
      <w:start w:val="1"/>
    </w:lvl>
  </w:abstractNum>
  <w:abstractNum w:abstractNumId="22">
    <w:nsid w:val="65968C1C"/>
    <w:multiLevelType w:val="hybridMultilevel"/>
    <w:lvl w:ilvl="0">
      <w:lvlJc w:val="left"/>
      <w:lvlText w:val="(%1)"/>
      <w:numFmt w:val="decimal"/>
      <w:start w:val="1"/>
    </w:lvl>
  </w:abstractNum>
  <w:abstractNum w:abstractNumId="23">
    <w:nsid w:val="46263DEC"/>
    <w:multiLevelType w:val="hybridMultilevel"/>
    <w:lvl w:ilvl="0">
      <w:lvlJc w:val="left"/>
      <w:lvlText w:val="(%1)"/>
      <w:numFmt w:val="decimal"/>
      <w:start w:val="1"/>
    </w:lvl>
  </w:abstractNum>
  <w:abstractNum w:abstractNumId="24">
    <w:nsid w:val="260D8C4A"/>
    <w:multiLevelType w:val="hybridMultilevel"/>
    <w:lvl w:ilvl="0">
      <w:lvlJc w:val="left"/>
      <w:lvlText w:val="*"/>
      <w:numFmt w:val="bullet"/>
      <w:start w:val="1"/>
    </w:lvl>
  </w:abstractNum>
  <w:abstractNum w:abstractNumId="25">
    <w:nsid w:val="73D4D3C4"/>
    <w:multiLevelType w:val="hybridMultilevel"/>
    <w:lvl w:ilvl="0">
      <w:lvlJc w:val="left"/>
      <w:lvlText w:val="(%1)"/>
      <w:numFmt w:val="decimal"/>
      <w:start w:val="1"/>
    </w:lvl>
  </w:abstractNum>
  <w:abstractNum w:abstractNumId="26">
    <w:nsid w:val="746F2E30"/>
    <w:multiLevelType w:val="hybridMultilevel"/>
    <w:lvl w:ilvl="0">
      <w:lvlJc w:val="left"/>
      <w:lvlText w:val="(%1)"/>
      <w:numFmt w:val="lowerRoman"/>
      <w:start w:val="1"/>
    </w:lvl>
  </w:abstractNum>
  <w:abstractNum w:abstractNumId="27">
    <w:nsid w:val="6FDE8AF6"/>
    <w:multiLevelType w:val="hybridMultilevel"/>
    <w:lvl w:ilvl="0">
      <w:lvlJc w:val="left"/>
      <w:lvlText w:val="(%1)"/>
      <w:numFmt w:val="lowerRoman"/>
      <w:start w:val="2"/>
    </w:lvl>
  </w:abstractNum>
  <w:abstractNum w:abstractNumId="28">
    <w:nsid w:val="3FC32E20"/>
    <w:multiLevelType w:val="hybridMultilevel"/>
    <w:lvl w:ilvl="0">
      <w:lvlJc w:val="left"/>
      <w:lvlText w:val="(%1)"/>
      <w:numFmt w:val="lowerRoman"/>
      <w:start w:val="3"/>
    </w:lvl>
  </w:abstractNum>
  <w:abstractNum w:abstractNumId="29">
    <w:nsid w:val="49C0E823"/>
    <w:multiLevelType w:val="hybridMultilevel"/>
    <w:lvl w:ilvl="0">
      <w:lvlJc w:val="left"/>
      <w:lvlText w:val="(%1)"/>
      <w:numFmt w:val="lowerRoman"/>
      <w:start w:val="4"/>
    </w:lvl>
  </w:abstractNum>
  <w:abstractNum w:abstractNumId="30">
    <w:nsid w:val="14D53685"/>
    <w:multiLevelType w:val="hybridMultilevel"/>
    <w:lvl w:ilvl="0">
      <w:lvlJc w:val="left"/>
      <w:lvlText w:val="(%1)"/>
      <w:numFmt w:val="lowerRoman"/>
      <w:start w:val="6"/>
    </w:lvl>
  </w:abstractNum>
  <w:abstractNum w:abstractNumId="31">
    <w:nsid w:val="230F856C"/>
    <w:multiLevelType w:val="hybridMultilevel"/>
    <w:lvl w:ilvl="0">
      <w:lvlJc w:val="left"/>
      <w:lvlText w:val="(%1)"/>
      <w:numFmt w:val="decimal"/>
      <w:start w:val="1"/>
    </w:lvl>
  </w:abstractNum>
  <w:abstractNum w:abstractNumId="32">
    <w:nsid w:val="6EAA85FB"/>
    <w:multiLevelType w:val="hybridMultilevel"/>
    <w:lvl w:ilvl="0">
      <w:lvlJc w:val="left"/>
      <w:lvlText w:val="\emdash "/>
      <w:numFmt w:val="bullet"/>
      <w:start w:val="1"/>
    </w:lvl>
  </w:abstractNum>
  <w:abstractNum w:abstractNumId="33">
    <w:nsid w:val="3F06ECB2"/>
    <w:multiLevelType w:val="hybridMultilevel"/>
    <w:lvl w:ilvl="0">
      <w:lvlJc w:val="left"/>
      <w:lvlText w:val="(%1)"/>
      <w:numFmt w:val="lowerRoman"/>
      <w:start w:val="1"/>
    </w:lvl>
  </w:abstractNum>
  <w:abstractNum w:abstractNumId="34">
    <w:nsid w:val="3B594807"/>
    <w:multiLevelType w:val="hybridMultilevel"/>
    <w:lvl w:ilvl="0">
      <w:lvlJc w:val="left"/>
      <w:lvlText w:val="\emdash "/>
      <w:numFmt w:val="bullet"/>
      <w:start w:val="1"/>
    </w:lvl>
  </w:abstractNum>
  <w:abstractNum w:abstractNumId="35">
    <w:nsid w:val="6CAA2304"/>
    <w:multiLevelType w:val="hybridMultilevel"/>
    <w:lvl w:ilvl="0">
      <w:lvlJc w:val="left"/>
      <w:lvlText w:val="(%1)"/>
      <w:numFmt w:val="lowerRoman"/>
      <w:start w:val="1"/>
    </w:lvl>
  </w:abstractNum>
  <w:abstractNum w:abstractNumId="36">
    <w:nsid w:val="3F7C2FF4"/>
    <w:multiLevelType w:val="hybridMultilevel"/>
    <w:lvl w:ilvl="0">
      <w:lvlJc w:val="left"/>
      <w:lvlText w:val="(%1)"/>
      <w:numFmt w:val="lowerRoman"/>
      <w:start w:val="3"/>
    </w:lvl>
  </w:abstractNum>
  <w:abstractNum w:abstractNumId="37">
    <w:nsid w:val="25413BEC"/>
    <w:multiLevelType w:val="hybridMultilevel"/>
    <w:lvl w:ilvl="0">
      <w:lvlJc w:val="left"/>
      <w:lvlText w:val="\emdash "/>
      <w:numFmt w:val="bullet"/>
      <w:start w:val="1"/>
    </w:lvl>
  </w:abstractNum>
  <w:abstractNum w:abstractNumId="38">
    <w:nsid w:val="17180B0B"/>
    <w:multiLevelType w:val="hybridMultilevel"/>
    <w:lvl w:ilvl="0">
      <w:lvlJc w:val="left"/>
      <w:lvlText w:val="(%1)"/>
      <w:numFmt w:val="decimal"/>
      <w:start w:val="1"/>
    </w:lvl>
  </w:abstractNum>
  <w:abstractNum w:abstractNumId="39">
    <w:nsid w:val="579328B9"/>
    <w:multiLevelType w:val="hybridMultilevel"/>
    <w:lvl w:ilvl="0">
      <w:lvlJc w:val="left"/>
      <w:lvlText w:val="(%1)"/>
      <w:numFmt w:val="decimal"/>
      <w:start w:val="2"/>
    </w:lvl>
  </w:abstractNum>
  <w:abstractNum w:abstractNumId="40">
    <w:nsid w:val="5D205E20"/>
    <w:multiLevelType w:val="hybridMultilevel"/>
    <w:lvl w:ilvl="0">
      <w:lvlJc w:val="left"/>
      <w:lvlText w:val="*"/>
      <w:numFmt w:val="bullet"/>
      <w:start w:val="1"/>
    </w:lvl>
  </w:abstractNum>
  <w:abstractNum w:abstractNumId="41">
    <w:nsid w:val="11CCA8BA"/>
    <w:multiLevelType w:val="hybridMultilevel"/>
    <w:lvl w:ilvl="0">
      <w:lvlJc w:val="left"/>
      <w:lvlText w:val="*"/>
      <w:numFmt w:val="bullet"/>
      <w:start w:val="1"/>
    </w:lvl>
  </w:abstractNum>
  <w:abstractNum w:abstractNumId="42">
    <w:nsid w:val="4D32AB86"/>
    <w:multiLevelType w:val="hybridMultilevel"/>
    <w:lvl w:ilvl="0">
      <w:lvlJc w:val="left"/>
      <w:lvlText w:val="**"/>
      <w:numFmt w:val="bullet"/>
      <w:start w:val="1"/>
    </w:lvl>
  </w:abstractNum>
  <w:abstractNum w:abstractNumId="43">
    <w:nsid w:val="3F07ACC3"/>
    <w:multiLevelType w:val="hybridMultilevel"/>
    <w:lvl w:ilvl="0">
      <w:lvlJc w:val="left"/>
      <w:lvlText w:val="†"/>
      <w:numFmt w:val="bullet"/>
      <w:start w:val="1"/>
    </w:lvl>
  </w:abstractNum>
  <w:abstractNum w:abstractNumId="44">
    <w:nsid w:val="6B47F63E"/>
    <w:multiLevelType w:val="hybridMultilevel"/>
    <w:lvl w:ilvl="0">
      <w:lvlJc w:val="left"/>
      <w:lvlText w:val="(%1)"/>
      <w:numFmt w:val="lowerLetter"/>
      <w:start w:val="1"/>
    </w:lvl>
  </w:abstractNum>
  <w:abstractNum w:abstractNumId="45">
    <w:nsid w:val="5CB44A05"/>
    <w:multiLevelType w:val="hybridMultilevel"/>
    <w:lvl w:ilvl="0">
      <w:lvlJc w:val="left"/>
      <w:lvlText w:val="(%1)"/>
      <w:numFmt w:val="lowerLetter"/>
      <w:start w:val="1"/>
    </w:lvl>
  </w:abstractNum>
  <w:abstractNum w:abstractNumId="46">
    <w:nsid w:val="16CF80F1"/>
    <w:multiLevelType w:val="hybridMultilevel"/>
    <w:lvl w:ilvl="0">
      <w:lvlJc w:val="left"/>
      <w:lvlText w:val="(%1)"/>
      <w:numFmt w:val="lowerLetter"/>
      <w:start w:val="2"/>
    </w:lvl>
  </w:abstractNum>
  <w:abstractNum w:abstractNumId="47">
    <w:nsid w:val="1C695DEC"/>
    <w:multiLevelType w:val="hybridMultilevel"/>
    <w:lvl w:ilvl="0">
      <w:lvlJc w:val="left"/>
      <w:lvlText w:val="(%1)"/>
      <w:numFmt w:val="lowerLetter"/>
      <w:start w:val="4"/>
    </w:lvl>
  </w:abstractNum>
  <w:abstractNum w:abstractNumId="48">
    <w:nsid w:val="3FCFAED9"/>
    <w:multiLevelType w:val="hybridMultilevel"/>
    <w:lvl w:ilvl="0">
      <w:lvlJc w:val="left"/>
      <w:lvlText w:val="(%1)"/>
      <w:numFmt w:val="lowerLetter"/>
      <w:start w:val="7"/>
    </w:lvl>
  </w:abstractNum>
  <w:abstractNum w:abstractNumId="49">
    <w:nsid w:val="F856867"/>
    <w:multiLevelType w:val="hybridMultilevel"/>
    <w:lvl w:ilvl="0">
      <w:lvlJc w:val="left"/>
      <w:lvlText w:val="&amp;"/>
      <w:numFmt w:val="bullet"/>
      <w:start w:val="1"/>
    </w:lvl>
  </w:abstractNum>
  <w:abstractNum w:abstractNumId="50">
    <w:nsid w:val="11B1CC33"/>
    <w:multiLevelType w:val="hybridMultilevel"/>
    <w:lvl w:ilvl="0">
      <w:lvlJc w:val="left"/>
      <w:lvlText w:val="(%1)"/>
      <w:numFmt w:val="lowerRoman"/>
      <w:start w:val="1"/>
    </w:lvl>
  </w:abstractNum>
  <w:abstractNum w:abstractNumId="51">
    <w:nsid w:val="2E22FBB7"/>
    <w:multiLevelType w:val="hybridMultilevel"/>
    <w:lvl w:ilvl="0">
      <w:lvlJc w:val="left"/>
      <w:lvlText w:val="(%1)"/>
      <w:numFmt w:val="lowerLetter"/>
      <w:start w:val="10"/>
    </w:lvl>
  </w:abstractNum>
  <w:abstractNum w:abstractNumId="52">
    <w:nsid w:val="29934699"/>
    <w:multiLevelType w:val="hybridMultilevel"/>
    <w:lvl w:ilvl="0">
      <w:lvlJc w:val="left"/>
      <w:lvlText w:val="(%1)"/>
      <w:numFmt w:val="lowerLetter"/>
      <w:start w:val="11"/>
    </w:lvl>
  </w:abstractNum>
  <w:abstractNum w:abstractNumId="53">
    <w:nsid w:val="77485850"/>
    <w:multiLevelType w:val="hybridMultilevel"/>
    <w:lvl w:ilvl="0">
      <w:lvlJc w:val="left"/>
      <w:lvlText w:val="(%1)"/>
      <w:numFmt w:val="lowerLetter"/>
      <w:start w:val="12"/>
    </w:lvl>
  </w:abstractNum>
  <w:abstractNum w:abstractNumId="54">
    <w:nsid w:val="744939A3"/>
    <w:multiLevelType w:val="hybridMultilevel"/>
    <w:lvl w:ilvl="0">
      <w:lvlJc w:val="left"/>
      <w:lvlText w:val="**"/>
      <w:numFmt w:val="bullet"/>
      <w:start w:val="1"/>
    </w:lvl>
  </w:abstractNum>
  <w:abstractNum w:abstractNumId="55">
    <w:nsid w:val="4FA0D2E3"/>
    <w:multiLevelType w:val="hybridMultilevel"/>
    <w:lvl w:ilvl="0">
      <w:lvlJc w:val="left"/>
      <w:lvlText w:val="(%1)"/>
      <w:numFmt w:val="lowerLetter"/>
      <w:start w:val="13"/>
    </w:lvl>
  </w:abstractNum>
  <w:abstractNum w:abstractNumId="56">
    <w:nsid w:val="6B1D2C14"/>
    <w:multiLevelType w:val="hybridMultilevel"/>
    <w:lvl w:ilvl="0">
      <w:lvlJc w:val="left"/>
      <w:lvlText w:val="(%1)"/>
      <w:numFmt w:val="lowerLetter"/>
      <w:start w:val="15"/>
    </w:lvl>
  </w:abstractNum>
  <w:abstractNum w:abstractNumId="57">
    <w:nsid w:val="68B867D3"/>
    <w:multiLevelType w:val="hybridMultilevel"/>
    <w:lvl w:ilvl="0">
      <w:lvlJc w:val="left"/>
      <w:lvlText w:val="(%1)"/>
      <w:numFmt w:val="lowerLetter"/>
      <w:start w:val="16"/>
    </w:lvl>
  </w:abstractNum>
  <w:abstractNum w:abstractNumId="58">
    <w:nsid w:val="3F7F5DD9"/>
    <w:multiLevelType w:val="hybridMultilevel"/>
    <w:lvl w:ilvl="0">
      <w:lvlJc w:val="left"/>
      <w:lvlText w:val="%1."/>
      <w:numFmt w:val="decimal"/>
      <w:start w:val="2"/>
    </w:lvl>
    <w:lvl w:ilvl="1">
      <w:lvlJc w:val="left"/>
      <w:lvlText w:val="•"/>
      <w:numFmt w:val="bullet"/>
      <w:start w:val="1"/>
    </w:lvl>
  </w:abstractNum>
  <w:abstractNum w:abstractNumId="59">
    <w:nsid w:val="2AE05A34"/>
    <w:multiLevelType w:val="hybridMultilevel"/>
    <w:lvl w:ilvl="0">
      <w:lvlJc w:val="left"/>
      <w:lvlText w:val="(%1)"/>
      <w:numFmt w:val="lowerRoman"/>
      <w:start w:val="1"/>
    </w:lvl>
  </w:abstractNum>
  <w:abstractNum w:abstractNumId="60">
    <w:nsid w:val="32794FF7"/>
    <w:multiLevelType w:val="hybridMultilevel"/>
    <w:lvl w:ilvl="0">
      <w:lvlJc w:val="left"/>
      <w:lvlText w:val="(%1)"/>
      <w:numFmt w:val="lowerLetter"/>
      <w:start w:val="1"/>
    </w:lvl>
  </w:abstractNum>
  <w:abstractNum w:abstractNumId="61">
    <w:nsid w:val="5454945E"/>
    <w:multiLevelType w:val="hybridMultilevel"/>
    <w:lvl w:ilvl="0">
      <w:lvlJc w:val="left"/>
      <w:lvlText w:val="(%1)"/>
      <w:numFmt w:val="lowerRoman"/>
      <w:start w:val="1"/>
    </w:lvl>
  </w:abstractNum>
  <w:abstractNum w:abstractNumId="62">
    <w:nsid w:val="4DEFDFA0"/>
    <w:multiLevelType w:val="hybridMultilevel"/>
    <w:lvl w:ilvl="0">
      <w:lvlJc w:val="left"/>
      <w:lvlText w:val="%1."/>
      <w:numFmt w:val="decimal"/>
      <w:start w:val="11"/>
    </w:lvl>
  </w:abstractNum>
  <w:abstractNum w:abstractNumId="63">
    <w:nsid w:val="2123D5F2"/>
    <w:multiLevelType w:val="hybridMultilevel"/>
    <w:lvl w:ilvl="0">
      <w:lvlJc w:val="left"/>
      <w:lvlText w:val="(%1)"/>
      <w:numFmt w:val="decimal"/>
      <w:start w:val="1"/>
    </w:lvl>
  </w:abstractNum>
  <w:abstractNum w:abstractNumId="64">
    <w:nsid w:val="135B8110"/>
    <w:multiLevelType w:val="hybridMultilevel"/>
    <w:lvl w:ilvl="0">
      <w:lvlJc w:val="left"/>
      <w:lvlText w:val="(%1)"/>
      <w:numFmt w:val="lowerRoman"/>
      <w:start w:val="1"/>
    </w:lvl>
  </w:abstractNum>
  <w:abstractNum w:abstractNumId="65">
    <w:nsid w:val="94927A8"/>
    <w:multiLevelType w:val="hybridMultilevel"/>
    <w:lvl w:ilvl="0">
      <w:lvlJc w:val="left"/>
      <w:lvlText w:val="(%1)"/>
      <w:numFmt w:val="lowerRoman"/>
      <w:start w:val="1"/>
    </w:lvl>
  </w:abstractNum>
  <w:abstractNum w:abstractNumId="66">
    <w:nsid w:val="DCDF8F6"/>
    <w:multiLevelType w:val="hybridMultilevel"/>
    <w:lvl w:ilvl="0">
      <w:lvlJc w:val="left"/>
      <w:lvlText w:val="(%1)"/>
      <w:numFmt w:val="decimal"/>
      <w:start w:val="1"/>
    </w:lvl>
  </w:abstractNum>
  <w:abstractNum w:abstractNumId="67">
    <w:nsid w:val="52D7B105"/>
    <w:multiLevelType w:val="hybridMultilevel"/>
    <w:lvl w:ilvl="0">
      <w:lvlJc w:val="left"/>
      <w:lvlText w:val="(%1)"/>
      <w:numFmt w:val="decimal"/>
      <w:start w:val="1"/>
    </w:lvl>
  </w:abstractNum>
  <w:abstractNum w:abstractNumId="68">
    <w:nsid w:val="2E8A6394"/>
    <w:multiLevelType w:val="hybridMultilevel"/>
    <w:lvl w:ilvl="0">
      <w:lvlJc w:val="left"/>
      <w:lvlText w:val="(%1)"/>
      <w:numFmt w:val="decimal"/>
      <w:start w:val="1"/>
    </w:lvl>
  </w:abstractNum>
  <w:abstractNum w:abstractNumId="69">
    <w:nsid w:val="24E60401"/>
    <w:multiLevelType w:val="hybridMultilevel"/>
    <w:lvl w:ilvl="0">
      <w:lvlJc w:val="left"/>
      <w:lvlText w:val="(%1)"/>
      <w:numFmt w:val="lowerRoman"/>
      <w:start w:val="1"/>
    </w:lvl>
  </w:abstractNum>
  <w:abstractNum w:abstractNumId="70">
    <w:nsid w:val="2A6AD9BE"/>
    <w:multiLevelType w:val="hybridMultilevel"/>
    <w:lvl w:ilvl="0">
      <w:lvlJc w:val="left"/>
      <w:lvlText w:val="(%1)"/>
      <w:numFmt w:val="lowerLetter"/>
      <w:start w:val="1"/>
    </w:lvl>
  </w:abstractNum>
  <w:abstractNum w:abstractNumId="71">
    <w:nsid w:val="BAAC1B4"/>
    <w:multiLevelType w:val="hybridMultilevel"/>
    <w:lvl w:ilvl="0">
      <w:lvlJc w:val="left"/>
      <w:lvlText w:val="(%1)"/>
      <w:numFmt w:val="lowerLetter"/>
      <w:start w:val="2"/>
    </w:lvl>
  </w:abstractNum>
  <w:abstractNum w:abstractNumId="72">
    <w:nsid w:val="36B2ACBC"/>
    <w:multiLevelType w:val="hybridMultilevel"/>
    <w:lvl w:ilvl="0">
      <w:lvlJc w:val="left"/>
      <w:lvlText w:val="(%1)"/>
      <w:numFmt w:val="lowerLetter"/>
      <w:start w:val="4"/>
    </w:lvl>
  </w:abstractNum>
  <w:abstractNum w:abstractNumId="73">
    <w:nsid w:val="779D8544"/>
    <w:multiLevelType w:val="hybridMultilevel"/>
    <w:lvl w:ilvl="0">
      <w:lvlJc w:val="left"/>
      <w:lvlText w:val="(%1)"/>
      <w:numFmt w:val="decimal"/>
      <w:start w:val="1"/>
    </w:lvl>
  </w:abstractNum>
  <w:abstractNum w:abstractNumId="74">
    <w:nsid w:val="4AB26E78"/>
    <w:multiLevelType w:val="hybridMultilevel"/>
    <w:lvl w:ilvl="0">
      <w:lvlJc w:val="left"/>
      <w:lvlText w:val="(%1)"/>
      <w:numFmt w:val="lowerLetter"/>
      <w:start w:val="1"/>
    </w:lvl>
  </w:abstractNum>
  <w:abstractNum w:abstractNumId="75">
    <w:nsid w:val="21FAA2FA"/>
    <w:multiLevelType w:val="hybridMultilevel"/>
    <w:lvl w:ilvl="0">
      <w:lvlJc w:val="left"/>
      <w:lvlText w:val="(%1)"/>
      <w:numFmt w:val="decimal"/>
      <w:start w:val="1"/>
    </w:lvl>
  </w:abstractNum>
  <w:abstractNum w:abstractNumId="76">
    <w:nsid w:val="5451CF49"/>
    <w:multiLevelType w:val="hybridMultilevel"/>
    <w:lvl w:ilvl="0">
      <w:lvlJc w:val="left"/>
      <w:lvlText w:val="(%1)"/>
      <w:numFmt w:val="decimal"/>
      <w:start w:val="1"/>
    </w:lvl>
  </w:abstractNum>
  <w:abstractNum w:abstractNumId="77">
    <w:nsid w:val="6181EF69"/>
    <w:multiLevelType w:val="hybridMultilevel"/>
    <w:lvl w:ilvl="0">
      <w:lvlJc w:val="left"/>
      <w:lvlText w:val="*"/>
      <w:numFmt w:val="bullet"/>
      <w:start w:val="1"/>
    </w:lvl>
  </w:abstractNum>
  <w:abstractNum w:abstractNumId="78">
    <w:nsid w:val="3E6400E6"/>
    <w:multiLevelType w:val="hybridMultilevel"/>
    <w:lvl w:ilvl="0">
      <w:lvlJc w:val="left"/>
      <w:lvlText w:val="(%1)"/>
      <w:numFmt w:val="lowerRoman"/>
      <w:start w:val="1"/>
    </w:lvl>
  </w:abstractNum>
  <w:abstractNum w:abstractNumId="79">
    <w:nsid w:val="14217E23"/>
    <w:multiLevelType w:val="hybridMultilevel"/>
    <w:lvl w:ilvl="0">
      <w:lvlJc w:val="left"/>
      <w:lvlText w:val="(%1)"/>
      <w:numFmt w:val="lowerRoman"/>
      <w:start w:val="1"/>
    </w:lvl>
  </w:abstractNum>
  <w:abstractNum w:abstractNumId="80">
    <w:nsid w:val="710757D0"/>
    <w:multiLevelType w:val="hybridMultilevel"/>
    <w:lvl w:ilvl="0">
      <w:lvlJc w:val="left"/>
      <w:lvlText w:val="(%1)"/>
      <w:numFmt w:val="lowerLetter"/>
      <w:start w:val="1"/>
    </w:lvl>
  </w:abstractNum>
  <w:abstractNum w:abstractNumId="81">
    <w:nsid w:val="5015CD1A"/>
    <w:multiLevelType w:val="hybridMultilevel"/>
    <w:lvl w:ilvl="0">
      <w:lvlJc w:val="left"/>
      <w:lvlText w:val="(%1)"/>
      <w:numFmt w:val="lowerLetter"/>
      <w:start w:val="2"/>
    </w:lvl>
  </w:abstractNum>
  <w:abstractNum w:abstractNumId="82">
    <w:nsid w:val="424479DA"/>
    <w:multiLevelType w:val="hybridMultilevel"/>
    <w:lvl w:ilvl="0">
      <w:lvlJc w:val="left"/>
      <w:lvlText w:val="(%1)"/>
      <w:numFmt w:val="lowerLetter"/>
      <w:start w:val="4"/>
    </w:lvl>
  </w:abstractNum>
  <w:abstractNum w:abstractNumId="83">
    <w:nsid w:val="1A9A9E69"/>
    <w:multiLevelType w:val="hybridMultilevel"/>
    <w:lvl w:ilvl="0">
      <w:lvlJc w:val="left"/>
      <w:lvlText w:val="(%1)"/>
      <w:numFmt w:val="lowerRoman"/>
      <w:start w:val="1"/>
    </w:lvl>
  </w:abstractNum>
  <w:abstractNum w:abstractNumId="84">
    <w:nsid w:val="475E256A"/>
    <w:multiLevelType w:val="hybridMultilevel"/>
    <w:lvl w:ilvl="0">
      <w:lvlJc w:val="left"/>
      <w:lvlText w:val="(%1)"/>
      <w:numFmt w:val="lowerRoman"/>
      <w:start w:val="2"/>
    </w:lvl>
  </w:abstractNum>
  <w:abstractNum w:abstractNumId="85">
    <w:nsid w:val="368DB37E"/>
    <w:multiLevelType w:val="hybridMultilevel"/>
    <w:lvl w:ilvl="0">
      <w:lvlJc w:val="left"/>
      <w:lvlText w:val="(%1)"/>
      <w:numFmt w:val="lowerRoman"/>
      <w:start w:val="1"/>
    </w:lvl>
  </w:abstractNum>
  <w:abstractNum w:abstractNumId="86">
    <w:nsid w:val="6A3B714C"/>
    <w:multiLevelType w:val="hybridMultilevel"/>
    <w:lvl w:ilvl="0">
      <w:lvlJc w:val="left"/>
      <w:lvlText w:val="(%1)"/>
      <w:numFmt w:val="decimal"/>
      <w:start w:val="1"/>
    </w:lvl>
  </w:abstractNum>
  <w:abstractNum w:abstractNumId="87">
    <w:nsid w:val="327B517E"/>
    <w:multiLevelType w:val="hybridMultilevel"/>
    <w:lvl w:ilvl="0">
      <w:lvlJc w:val="left"/>
      <w:lvlText w:val="%1."/>
      <w:numFmt w:val="decimal"/>
      <w:start w:val="1"/>
    </w:lvl>
  </w:abstractNum>
  <w:abstractNum w:abstractNumId="88">
    <w:nsid w:val="1F461B51"/>
    <w:multiLevelType w:val="hybridMultilevel"/>
    <w:lvl w:ilvl="0">
      <w:lvlJc w:val="left"/>
      <w:lvlText w:val="(%1)"/>
      <w:numFmt w:val="lowerLetter"/>
      <w:start w:val="1"/>
    </w:lvl>
    <w:lvl w:ilvl="1">
      <w:lvlJc w:val="left"/>
      <w:lvlText w:val="(%2)"/>
      <w:numFmt w:val="lowerRoman"/>
      <w:start w:val="2"/>
    </w:lvl>
  </w:abstractNum>
  <w:abstractNum w:abstractNumId="89">
    <w:nsid w:val="29BACF25"/>
    <w:multiLevelType w:val="hybridMultilevel"/>
    <w:lvl w:ilvl="0">
      <w:lvlJc w:val="left"/>
      <w:lvlText w:val="%1"/>
      <w:numFmt w:val="lowerLetter"/>
      <w:start w:val="1"/>
    </w:lvl>
    <w:lvl w:ilvl="1">
      <w:lvlJc w:val="left"/>
      <w:lvlText w:val="(%2)"/>
      <w:numFmt w:val="lowerRoman"/>
      <w:start w:val="1"/>
    </w:lvl>
  </w:abstractNum>
  <w:abstractNum w:abstractNumId="90">
    <w:nsid w:val="5D5BABB3"/>
    <w:multiLevelType w:val="hybridMultilevel"/>
    <w:lvl w:ilvl="0">
      <w:lvlJc w:val="left"/>
      <w:lvlText w:val="(%1)"/>
      <w:numFmt w:val="lowerLetter"/>
      <w:start w:val="6"/>
    </w:lvl>
    <w:lvl w:ilvl="1">
      <w:lvlJc w:val="left"/>
      <w:lvlText w:val="(%2)"/>
      <w:numFmt w:val="lowerRoman"/>
      <w:start w:val="1"/>
    </w:lvl>
  </w:abstractNum>
  <w:abstractNum w:abstractNumId="91">
    <w:nsid w:val="51BF6B48"/>
    <w:multiLevelType w:val="hybridMultilevel"/>
    <w:lvl w:ilvl="0">
      <w:lvlJc w:val="left"/>
      <w:lvlText w:val="%1"/>
      <w:numFmt w:val="lowerLetter"/>
      <w:start w:val="1"/>
    </w:lvl>
    <w:lvl w:ilvl="1">
      <w:lvlJc w:val="left"/>
      <w:lvlText w:val="(%2)"/>
      <w:numFmt w:val="lowerRoman"/>
      <w:start w:val="2"/>
    </w:lvl>
  </w:abstractNum>
  <w:abstractNum w:abstractNumId="92">
    <w:nsid w:val="7E0F6384"/>
    <w:multiLevelType w:val="hybridMultilevel"/>
    <w:lvl w:ilvl="0">
      <w:lvlJc w:val="left"/>
      <w:lvlText w:val="(%1)"/>
      <w:numFmt w:val="lowerLetter"/>
      <w:start w:val="7"/>
    </w:lvl>
    <w:lvl w:ilvl="1">
      <w:lvlJc w:val="left"/>
      <w:lvlText w:val="%2"/>
      <w:numFmt w:val="lowerRoman"/>
      <w:start w:val="1"/>
    </w:lvl>
  </w:abstractNum>
  <w:abstractNum w:abstractNumId="93">
    <w:nsid w:val="2B4B8B53"/>
    <w:multiLevelType w:val="hybridMultilevel"/>
    <w:lvl w:ilvl="0">
      <w:lvlJc w:val="left"/>
      <w:lvlText w:val="(%1)"/>
      <w:numFmt w:val="lowerLetter"/>
      <w:start w:val="15"/>
    </w:lvl>
    <w:lvl w:ilvl="1">
      <w:lvlJc w:val="left"/>
      <w:lvlText w:val="(%2)"/>
      <w:numFmt w:val="lowerRoman"/>
      <w:start w:val="1"/>
    </w:lvl>
  </w:abstractNum>
  <w:abstractNum w:abstractNumId="94">
    <w:nsid w:val="72E3413A"/>
    <w:multiLevelType w:val="hybridMultilevel"/>
    <w:lvl w:ilvl="0">
      <w:lvlJc w:val="left"/>
      <w:lvlText w:val="%1"/>
      <w:numFmt w:val="lowerLetter"/>
      <w:start w:val="1"/>
    </w:lvl>
    <w:lvl w:ilvl="1">
      <w:lvlJc w:val="left"/>
      <w:lvlText w:val="(%2)"/>
      <w:numFmt w:val="lowerLetter"/>
      <w:start w:val="22"/>
    </w:lvl>
  </w:abstractNum>
  <w:abstractNum w:abstractNumId="95">
    <w:nsid w:val="116AE494"/>
    <w:multiLevelType w:val="hybridMultilevel"/>
    <w:lvl w:ilvl="0">
      <w:lvlJc w:val="left"/>
      <w:lvlText w:val="(%1)"/>
      <w:numFmt w:val="lowerLetter"/>
      <w:start w:val="17"/>
    </w:lvl>
    <w:lvl w:ilvl="1">
      <w:lvlJc w:val="left"/>
      <w:lvlText w:val="(%2)"/>
      <w:numFmt w:val="lowerLetter"/>
      <w:start w:val="9"/>
    </w:lvl>
  </w:abstractNum>
  <w:abstractNum w:abstractNumId="96">
    <w:nsid w:val="3494B2FB"/>
    <w:multiLevelType w:val="hybridMultilevel"/>
    <w:lvl w:ilvl="0">
      <w:lvlJc w:val="left"/>
      <w:lvlText w:val="%1"/>
      <w:numFmt w:val="lowerLetter"/>
      <w:start w:val="1"/>
    </w:lvl>
    <w:lvl w:ilvl="1">
      <w:lvlJc w:val="left"/>
      <w:lvlText w:val="(%2)"/>
      <w:numFmt w:val="lowerRoman"/>
      <w:start w:val="2"/>
    </w:lvl>
  </w:abstractNum>
  <w:abstractNum w:abstractNumId="97">
    <w:nsid w:val="B13A31"/>
    <w:multiLevelType w:val="hybridMultilevel"/>
    <w:lvl w:ilvl="0">
      <w:lvlJc w:val="left"/>
      <w:lvlText w:val="(%1)"/>
      <w:numFmt w:val="lowerLetter"/>
      <w:start w:val="23"/>
    </w:lvl>
    <w:lvl w:ilvl="1">
      <w:lvlJc w:val="left"/>
      <w:lvlText w:val="(%2)"/>
      <w:numFmt w:val="lowerRoman"/>
      <w:start w:val="1"/>
    </w:lvl>
  </w:abstractNum>
  <w:abstractNum w:abstractNumId="98">
    <w:nsid w:val="64429599"/>
    <w:multiLevelType w:val="hybridMultilevel"/>
    <w:lvl w:ilvl="0">
      <w:lvlJc w:val="left"/>
      <w:lvlText w:val="(%1)"/>
      <w:numFmt w:val="lowerLetter"/>
      <w:start w:val="25"/>
    </w:lvl>
  </w:abstractNum>
  <w:abstractNum w:abstractNumId="99">
    <w:nsid w:val="631F1690"/>
    <w:multiLevelType w:val="hybridMultilevel"/>
    <w:lvl w:ilvl="0">
      <w:lvlJc w:val="left"/>
      <w:lvlText w:val="(%1)"/>
      <w:numFmt w:val="lowerLetter"/>
      <w:start w:val="1"/>
    </w:lvl>
  </w:abstractNum>
  <w:abstractNum w:abstractNumId="100">
    <w:nsid w:val="25973E32"/>
    <w:multiLevelType w:val="hybridMultilevel"/>
    <w:lvl w:ilvl="0">
      <w:lvlJc w:val="left"/>
      <w:lvlText w:val="(%1)"/>
      <w:numFmt w:val="lowerLetter"/>
      <w:start w:val="1"/>
    </w:lvl>
  </w:abstractNum>
  <w:abstractNum w:abstractNumId="101">
    <w:nsid w:val="EAD6F57"/>
    <w:multiLevelType w:val="hybridMultilevel"/>
    <w:lvl w:ilvl="0">
      <w:lvlJc w:val="left"/>
      <w:lvlText w:val="(%1)"/>
      <w:numFmt w:val="lowerRoman"/>
      <w:start w:val="1"/>
    </w:lvl>
  </w:abstractNum>
  <w:abstractNum w:abstractNumId="102">
    <w:nsid w:val="6EC9D844"/>
    <w:multiLevelType w:val="hybridMultilevel"/>
    <w:lvl w:ilvl="0">
      <w:lvlJc w:val="left"/>
      <w:lvlText w:val="(%1)"/>
      <w:numFmt w:val="upperLetter"/>
      <w:start w:val="1"/>
    </w:lvl>
  </w:abstractNum>
  <w:abstractNum w:abstractNumId="103">
    <w:nsid w:val="5C49EAEE"/>
    <w:multiLevelType w:val="hybridMultilevel"/>
    <w:lvl w:ilvl="0">
      <w:lvlJc w:val="left"/>
      <w:lvlText w:val="(%1)"/>
      <w:numFmt w:val="lowerLetter"/>
      <w:start w:val="1"/>
    </w:lvl>
  </w:abstractNum>
  <w:abstractNum w:abstractNumId="104">
    <w:nsid w:val="64AF49B"/>
    <w:multiLevelType w:val="hybridMultilevel"/>
    <w:lvl w:ilvl="0">
      <w:lvlJc w:val="left"/>
      <w:lvlText w:val="(%1)"/>
      <w:numFmt w:val="lowerLetter"/>
      <w:start w:val="4"/>
    </w:lvl>
  </w:abstractNum>
  <w:abstractNum w:abstractNumId="105">
    <w:nsid w:val="397C46BC"/>
    <w:multiLevelType w:val="hybridMultilevel"/>
    <w:lvl w:ilvl="0">
      <w:lvlJc w:val="left"/>
      <w:lvlText w:val="(%1)"/>
      <w:numFmt w:val="upperLetter"/>
      <w:start w:val="2"/>
    </w:lvl>
  </w:abstractNum>
  <w:abstractNum w:abstractNumId="106">
    <w:nsid w:val="7E448DE9"/>
    <w:multiLevelType w:val="hybridMultilevel"/>
    <w:lvl w:ilvl="0">
      <w:lvlJc w:val="left"/>
      <w:lvlText w:val="(%1)"/>
      <w:numFmt w:val="lowerLetter"/>
      <w:start w:val="1"/>
    </w:lvl>
    <w:lvl w:ilvl="1">
      <w:lvlJc w:val="left"/>
      <w:lvlText w:val="(%2)"/>
      <w:numFmt w:val="lowerRoman"/>
      <w:start w:val="1"/>
    </w:lvl>
  </w:abstractNum>
  <w:abstractNum w:abstractNumId="107">
    <w:nsid w:val="5A9CC3E5"/>
    <w:multiLevelType w:val="hybridMultilevel"/>
    <w:lvl w:ilvl="0">
      <w:lvlJc w:val="left"/>
      <w:lvlText w:val="%1"/>
      <w:numFmt w:val="lowerLetter"/>
      <w:start w:val="1"/>
    </w:lvl>
    <w:lvl w:ilvl="1">
      <w:lvlJc w:val="left"/>
      <w:lvlText w:val="(%2)"/>
      <w:numFmt w:val="lowerRoman"/>
      <w:start w:val="3"/>
    </w:lvl>
  </w:abstractNum>
  <w:abstractNum w:abstractNumId="108">
    <w:nsid w:val="1AFE3625"/>
    <w:multiLevelType w:val="hybridMultilevel"/>
    <w:lvl w:ilvl="0">
      <w:lvlJc w:val="left"/>
      <w:lvlText w:val="(%1)"/>
      <w:numFmt w:val="lowerLetter"/>
      <w:start w:val="2"/>
    </w:lvl>
    <w:lvl w:ilvl="1">
      <w:lvlJc w:val="left"/>
      <w:lvlText w:val="(%2)"/>
      <w:numFmt w:val="lowerRoman"/>
      <w:start w:val="1"/>
    </w:lvl>
  </w:abstractNum>
  <w:abstractNum w:abstractNumId="109">
    <w:nsid w:val="3CA88ECF"/>
    <w:multiLevelType w:val="hybridMultilevel"/>
    <w:lvl w:ilvl="0">
      <w:lvlJc w:val="left"/>
      <w:lvlText w:val="(%1)"/>
      <w:numFmt w:val="lowerRoman"/>
      <w:start w:val="3"/>
    </w:lvl>
  </w:abstractNum>
  <w:abstractNum w:abstractNumId="110">
    <w:nsid w:val="6EBE4208"/>
    <w:multiLevelType w:val="hybridMultilevel"/>
    <w:lvl w:ilvl="0">
      <w:lvlJc w:val="left"/>
      <w:lvlText w:val="(%1)"/>
      <w:numFmt w:val="lowerLetter"/>
      <w:start w:val="1"/>
    </w:lvl>
  </w:abstractNum>
  <w:abstractNum w:abstractNumId="111">
    <w:nsid w:val="C058DF5"/>
    <w:multiLevelType w:val="hybridMultilevel"/>
    <w:lvl w:ilvl="0">
      <w:lvlJc w:val="left"/>
      <w:lvlText w:val="(%1)"/>
      <w:numFmt w:val="lowerLetter"/>
      <w:start w:val="1"/>
    </w:lvl>
    <w:lvl w:ilvl="1">
      <w:lvlJc w:val="left"/>
      <w:lvlText w:val="(%2)"/>
      <w:numFmt w:val="lowerRoman"/>
      <w:start w:val="1"/>
    </w:lvl>
  </w:abstractNum>
  <w:abstractNum w:abstractNumId="112">
    <w:nsid w:val="CBE5BE9"/>
    <w:multiLevelType w:val="hybridMultilevel"/>
    <w:lvl w:ilvl="0">
      <w:lvlJc w:val="left"/>
      <w:lvlText w:val="(%1)"/>
      <w:numFmt w:val="lowerRoman"/>
      <w:start w:val="8"/>
    </w:lvl>
    <w:lvl w:ilvl="1">
      <w:lvlJc w:val="left"/>
      <w:lvlText w:val="(%2)"/>
      <w:numFmt w:val="lowerRoman"/>
      <w:start w:val="2"/>
    </w:lvl>
  </w:abstractNum>
  <w:abstractNum w:abstractNumId="113">
    <w:nsid w:val="3102BBE2"/>
    <w:multiLevelType w:val="hybridMultilevel"/>
    <w:lvl w:ilvl="0">
      <w:lvlJc w:val="left"/>
      <w:lvlText w:val="(%1)"/>
      <w:numFmt w:val="lowerLetter"/>
      <w:start w:val="1"/>
    </w:lvl>
    <w:lvl w:ilvl="1">
      <w:lvlJc w:val="left"/>
      <w:lvlText w:val="(%2)"/>
      <w:numFmt w:val="lowerRoman"/>
      <w:start w:val="1"/>
    </w:lvl>
  </w:abstractNum>
  <w:abstractNum w:abstractNumId="114">
    <w:nsid w:val="26A02C5E"/>
    <w:multiLevelType w:val="hybridMultilevel"/>
    <w:lvl w:ilvl="0">
      <w:lvlJc w:val="left"/>
      <w:lvlText w:val="(%1)"/>
      <w:numFmt w:val="lowerRoman"/>
      <w:start w:val="4"/>
    </w:lvl>
  </w:abstractNum>
  <w:abstractNum w:abstractNumId="115">
    <w:nsid w:val="541C8153"/>
    <w:multiLevelType w:val="hybridMultilevel"/>
    <w:lvl w:ilvl="0">
      <w:lvlJc w:val="left"/>
      <w:lvlText w:val="(%1)"/>
      <w:numFmt w:val="lowerLetter"/>
      <w:start w:val="2"/>
    </w:lvl>
  </w:abstractNum>
  <w:abstractNum w:abstractNumId="116">
    <w:nsid w:val="67906F60"/>
    <w:multiLevelType w:val="hybridMultilevel"/>
    <w:lvl w:ilvl="0">
      <w:lvlJc w:val="left"/>
      <w:lvlText w:val="(%1)"/>
      <w:numFmt w:val="lowerLetter"/>
      <w:start w:val="1"/>
    </w:lvl>
  </w:abstractNum>
  <w:abstractNum w:abstractNumId="117">
    <w:nsid w:val="10DB9DAA"/>
    <w:multiLevelType w:val="hybridMultilevel"/>
    <w:lvl w:ilvl="0">
      <w:lvlJc w:val="left"/>
      <w:lvlText w:val="(%1)"/>
      <w:numFmt w:val="lowerLetter"/>
      <w:start w:val="1"/>
    </w:lvl>
  </w:abstractNum>
  <w:abstractNum w:abstractNumId="118">
    <w:nsid w:val="697D2D2"/>
    <w:multiLevelType w:val="hybridMultilevel"/>
    <w:lvl w:ilvl="0">
      <w:lvlJc w:val="left"/>
      <w:lvlText w:val="(%1)"/>
      <w:numFmt w:val="lowerLetter"/>
      <w:start w:val="2"/>
    </w:lvl>
  </w:abstractNum>
  <w:abstractNum w:abstractNumId="119">
    <w:nsid w:val="6D68AB2"/>
    <w:multiLevelType w:val="hybridMultilevel"/>
    <w:lvl w:ilvl="0">
      <w:lvlJc w:val="left"/>
      <w:lvlText w:val="(%1)"/>
      <w:numFmt w:val="lowerLetter"/>
      <w:start w:val="1"/>
    </w:lvl>
  </w:abstractNum>
  <w:abstractNum w:abstractNumId="120">
    <w:nsid w:val="3A966CD0"/>
    <w:multiLevelType w:val="hybridMultilevel"/>
    <w:lvl w:ilvl="0">
      <w:lvlJc w:val="left"/>
      <w:lvlText w:val="(%1)"/>
      <w:numFmt w:val="lowerLetter"/>
      <w:start w:val="1"/>
    </w:lvl>
  </w:abstractNum>
  <w:abstractNum w:abstractNumId="121">
    <w:nsid w:val="63F37E85"/>
    <w:multiLevelType w:val="hybridMultilevel"/>
    <w:lvl w:ilvl="0">
      <w:lvlJc w:val="left"/>
      <w:lvlText w:val="●"/>
      <w:numFmt w:val="bullet"/>
      <w:start w:val="1"/>
    </w:lvl>
    <w:lvl w:ilvl="1">
      <w:lvlJc w:val="left"/>
      <w:lvlText w:val="%2)"/>
      <w:numFmt w:val="lowerLetter"/>
      <w:start w:val="1"/>
    </w:lvl>
  </w:abstractNum>
  <w:abstractNum w:abstractNumId="122">
    <w:nsid w:val="5895F5FA"/>
    <w:multiLevelType w:val="hybridMultilevel"/>
    <w:lvl w:ilvl="0">
      <w:lvlJc w:val="left"/>
      <w:lvlText w:val="●"/>
      <w:numFmt w:val="bullet"/>
      <w:start w:val="1"/>
    </w:lvl>
  </w:abstractNum>
  <w:abstractNum w:abstractNumId="123">
    <w:nsid w:val="38A5D054"/>
    <w:multiLevelType w:val="hybridMultilevel"/>
    <w:lvl w:ilvl="0">
      <w:lvlJc w:val="left"/>
      <w:lvlText w:val="(%1)"/>
      <w:numFmt w:val="lowerLetter"/>
      <w:start w:val="1"/>
    </w:lvl>
  </w:abstractNum>
  <w:abstractNum w:abstractNumId="124">
    <w:nsid w:val="F3F09D8"/>
    <w:multiLevelType w:val="hybridMultilevel"/>
    <w:lvl w:ilvl="0">
      <w:lvlJc w:val="left"/>
      <w:lvlText w:val="(%1)"/>
      <w:numFmt w:val="lowerRoman"/>
      <w:start w:val="2"/>
    </w:lvl>
  </w:abstractNum>
  <w:abstractNum w:abstractNumId="125">
    <w:nsid w:val="4B793735"/>
    <w:multiLevelType w:val="hybridMultilevel"/>
    <w:lvl w:ilvl="0">
      <w:lvlJc w:val="left"/>
      <w:lvlText w:val="(%1)"/>
      <w:numFmt w:val="lowerLetter"/>
      <w:start w:val="2"/>
    </w:lvl>
  </w:abstractNum>
  <w:abstractNum w:abstractNumId="126">
    <w:nsid w:val="4A10B4E8"/>
    <w:multiLevelType w:val="hybridMultilevel"/>
    <w:lvl w:ilvl="0">
      <w:lvlJc w:val="left"/>
      <w:lvlText w:val="(%1)"/>
      <w:numFmt w:val="lowerRoman"/>
      <w:start w:val="1"/>
    </w:lvl>
  </w:abstractNum>
  <w:abstractNum w:abstractNumId="127">
    <w:nsid w:val="43D3BCD4"/>
    <w:multiLevelType w:val="hybridMultilevel"/>
    <w:lvl w:ilvl="0">
      <w:lvlJc w:val="left"/>
      <w:lvlText w:val="(%1)"/>
      <w:numFmt w:val="lowerRoman"/>
      <w:start w:val="2"/>
    </w:lvl>
  </w:abstractNum>
  <w:abstractNum w:abstractNumId="128">
    <w:nsid w:val="4C2A7166"/>
    <w:multiLevelType w:val="hybridMultilevel"/>
    <w:lvl w:ilvl="0">
      <w:lvlJc w:val="left"/>
      <w:lvlText w:val="(%1)"/>
      <w:numFmt w:val="lowerLetter"/>
      <w:start w:val="4"/>
    </w:lvl>
  </w:abstractNum>
  <w:abstractNum w:abstractNumId="129">
    <w:nsid w:val="2E534A82"/>
    <w:multiLevelType w:val="hybridMultilevel"/>
    <w:lvl w:ilvl="0">
      <w:lvlJc w:val="left"/>
      <w:lvlText w:val="%1."/>
      <w:numFmt w:val="decimal"/>
      <w:start w:val="1"/>
    </w:lvl>
  </w:abstractNum>
  <w:abstractNum w:abstractNumId="130">
    <w:nsid w:val="26F2D364"/>
    <w:multiLevelType w:val="hybridMultilevel"/>
    <w:lvl w:ilvl="0">
      <w:lvlJc w:val="left"/>
      <w:lvlText w:val="%1."/>
      <w:numFmt w:val="decimal"/>
      <w:start w:val="2"/>
    </w:lvl>
  </w:abstractNum>
  <w:abstractNum w:abstractNumId="131">
    <w:nsid w:val="71C1AF98"/>
    <w:multiLevelType w:val="hybridMultilevel"/>
    <w:lvl w:ilvl="0">
      <w:lvlJc w:val="left"/>
      <w:lvlText w:val="(%1)"/>
      <w:numFmt w:val="lowerLetter"/>
      <w:start w:val="1"/>
    </w:lvl>
    <w:lvl w:ilvl="1">
      <w:lvlJc w:val="left"/>
      <w:lvlText w:val="(%2)"/>
      <w:numFmt w:val="lowerRoman"/>
      <w:start w:val="1"/>
    </w:lvl>
  </w:abstractNum>
  <w:abstractNum w:abstractNumId="132">
    <w:nsid w:val="3D00B9D9"/>
    <w:multiLevelType w:val="hybridMultilevel"/>
    <w:lvl w:ilvl="0">
      <w:lvlJc w:val="left"/>
      <w:lvlText w:val="%1"/>
      <w:numFmt w:val="lowerLetter"/>
      <w:start w:val="1"/>
    </w:lvl>
    <w:lvl w:ilvl="1">
      <w:lvlJc w:val="left"/>
      <w:lvlText w:val="(%2)"/>
      <w:numFmt w:val="lowerLetter"/>
      <w:start w:val="61"/>
    </w:lvl>
  </w:abstractNum>
  <w:abstractNum w:abstractNumId="133">
    <w:nsid w:val="15BCABA8"/>
    <w:multiLevelType w:val="hybridMultilevel"/>
    <w:lvl w:ilvl="0">
      <w:lvlJc w:val="left"/>
      <w:lvlText w:val="(%1)"/>
      <w:numFmt w:val="lowerLetter"/>
      <w:start w:val="6"/>
    </w:lvl>
    <w:lvl w:ilvl="1">
      <w:lvlJc w:val="left"/>
      <w:lvlText w:val="(%2)"/>
      <w:numFmt w:val="lowerLetter"/>
      <w:start w:val="9"/>
    </w:lvl>
  </w:abstractNum>
  <w:abstractNum w:abstractNumId="134">
    <w:nsid w:val="4E0B9A87"/>
    <w:multiLevelType w:val="hybridMultilevel"/>
    <w:lvl w:ilvl="0">
      <w:lvlJc w:val="left"/>
      <w:lvlText w:val="%1"/>
      <w:numFmt w:val="lowerLetter"/>
      <w:start w:val="1"/>
    </w:lvl>
    <w:lvl w:ilvl="1">
      <w:lvlJc w:val="left"/>
      <w:lvlText w:val="(%2)"/>
      <w:numFmt w:val="lowerRoman"/>
      <w:start w:val="2"/>
    </w:lvl>
  </w:abstractNum>
  <w:abstractNum w:abstractNumId="135">
    <w:nsid w:val="434BAE75"/>
    <w:multiLevelType w:val="hybridMultilevel"/>
    <w:lvl w:ilvl="0">
      <w:lvlJc w:val="left"/>
      <w:lvlText w:val="(%1)"/>
      <w:numFmt w:val="lowerLetter"/>
      <w:start w:val="16"/>
    </w:lvl>
    <w:lvl w:ilvl="1">
      <w:lvlJc w:val="left"/>
      <w:lvlText w:val="%2"/>
      <w:numFmt w:val="lowerRoman"/>
      <w:start w:val="1"/>
    </w:lvl>
  </w:abstractNum>
  <w:abstractNum w:abstractNumId="136">
    <w:nsid w:val="4F38F265"/>
    <w:multiLevelType w:val="hybridMultilevel"/>
    <w:lvl w:ilvl="0">
      <w:lvlJc w:val="left"/>
      <w:lvlText w:val="(%1)"/>
      <w:numFmt w:val="lowerLetter"/>
      <w:start w:val="25"/>
    </w:lvl>
    <w:lvl w:ilvl="1">
      <w:lvlJc w:val="left"/>
      <w:lvlText w:val="(%2)"/>
      <w:numFmt w:val="lowerRoman"/>
      <w:start w:val="1"/>
    </w:lvl>
  </w:abstractNum>
  <w:abstractNum w:abstractNumId="137">
    <w:nsid w:val="4C502870"/>
    <w:multiLevelType w:val="hybridMultilevel"/>
    <w:lvl w:ilvl="0">
      <w:lvlJc w:val="left"/>
      <w:lvlText w:val="(%1)"/>
      <w:numFmt w:val="lowerLetter"/>
      <w:start w:val="27"/>
    </w:lvl>
  </w:abstractNum>
  <w:abstractNum w:abstractNumId="138">
    <w:nsid w:val="1DE8725A"/>
    <w:multiLevelType w:val="hybridMultilevel"/>
    <w:lvl w:ilvl="0">
      <w:lvlJc w:val="left"/>
      <w:lvlText w:val="(%1)"/>
      <w:numFmt w:val="lowerRoman"/>
      <w:start w:val="1"/>
    </w:lvl>
  </w:abstractNum>
  <w:abstractNum w:abstractNumId="139">
    <w:nsid w:val="6A37288A"/>
    <w:multiLevelType w:val="hybridMultilevel"/>
    <w:lvl w:ilvl="0">
      <w:lvlJc w:val="left"/>
      <w:lvlText w:val="%1."/>
      <w:numFmt w:val="decimal"/>
      <w:start w:val="3"/>
    </w:lvl>
  </w:abstractNum>
  <w:abstractNum w:abstractNumId="140">
    <w:nsid w:val="8F8B73F"/>
    <w:multiLevelType w:val="hybridMultilevel"/>
    <w:lvl w:ilvl="0">
      <w:lvlJc w:val="left"/>
      <w:lvlText w:val="(%1)"/>
      <w:numFmt w:val="lowerLetter"/>
      <w:start w:val="1"/>
    </w:lvl>
    <w:lvl w:ilvl="1">
      <w:lvlJc w:val="left"/>
      <w:lvlText w:val="(%2)"/>
      <w:numFmt w:val="lowerRoman"/>
      <w:start w:val="1"/>
    </w:lvl>
  </w:abstractNum>
  <w:abstractNum w:abstractNumId="141">
    <w:nsid w:val="CA6B462"/>
    <w:multiLevelType w:val="hybridMultilevel"/>
    <w:lvl w:ilvl="0">
      <w:lvlJc w:val="left"/>
      <w:lvlText w:val="(%1)"/>
      <w:numFmt w:val="lowerRoman"/>
      <w:start w:val="8"/>
    </w:lvl>
  </w:abstractNum>
  <w:abstractNum w:abstractNumId="142">
    <w:nsid w:val="763CB680"/>
    <w:multiLevelType w:val="hybridMultilevel"/>
    <w:lvl w:ilvl="0">
      <w:lvlJc w:val="left"/>
      <w:lvlText w:val="(%1)"/>
      <w:numFmt w:val="lowerLetter"/>
      <w:start w:val="2"/>
    </w:lvl>
  </w:abstractNum>
  <w:abstractNum w:abstractNumId="143">
    <w:nsid w:val="15B71329"/>
    <w:multiLevelType w:val="hybridMultilevel"/>
    <w:lvl w:ilvl="0">
      <w:lvlJc w:val="left"/>
      <w:lvlText w:val="%1."/>
      <w:numFmt w:val="decimal"/>
      <w:start w:val="4"/>
    </w:lvl>
  </w:abstractNum>
  <w:abstractNum w:abstractNumId="144">
    <w:nsid w:val="3DA97044"/>
    <w:multiLevelType w:val="hybridMultilevel"/>
    <w:lvl w:ilvl="0">
      <w:lvlJc w:val="left"/>
      <w:lvlText w:val="%1"/>
      <w:numFmt w:val="lowerLetter"/>
      <w:start w:val="1"/>
    </w:lvl>
    <w:lvl w:ilvl="1">
      <w:lvlJc w:val="left"/>
      <w:lvlText w:val="(%2)"/>
      <w:numFmt w:val="lowerRoman"/>
      <w:start w:val="1"/>
    </w:lvl>
  </w:abstractNum>
  <w:abstractNum w:abstractNumId="145">
    <w:nsid w:val="1CDCE2DE"/>
    <w:multiLevelType w:val="hybridMultilevel"/>
    <w:lvl w:ilvl="0">
      <w:lvlJc w:val="left"/>
      <w:lvlText w:val="(%1)"/>
      <w:numFmt w:val="lowerLetter"/>
      <w:start w:val="1"/>
    </w:lvl>
    <w:lvl w:ilvl="1">
      <w:lvlJc w:val="left"/>
      <w:lvlText w:val="%2"/>
      <w:numFmt w:val="lowerRoman"/>
      <w:start w:val="1"/>
    </w:lvl>
  </w:abstractNum>
  <w:abstractNum w:abstractNumId="146">
    <w:nsid w:val="69D3947C"/>
    <w:multiLevelType w:val="hybridMultilevel"/>
    <w:lvl w:ilvl="0">
      <w:lvlJc w:val="left"/>
      <w:lvlText w:val="%1."/>
      <w:numFmt w:val="decimal"/>
      <w:start w:val="5"/>
    </w:lvl>
  </w:abstractNum>
  <w:abstractNum w:abstractNumId="147">
    <w:nsid w:val="2539DFA5"/>
    <w:multiLevelType w:val="hybridMultilevel"/>
    <w:lvl w:ilvl="0">
      <w:lvlJc w:val="left"/>
      <w:lvlText w:val="(%1)"/>
      <w:numFmt w:val="lowerLetter"/>
      <w:start w:val="1"/>
    </w:lvl>
  </w:abstractNum>
  <w:abstractNum w:abstractNumId="148">
    <w:nsid w:val="2DB88089"/>
    <w:multiLevelType w:val="hybridMultilevel"/>
    <w:lvl w:ilvl="0">
      <w:lvlJc w:val="left"/>
      <w:lvlText w:val="%1."/>
      <w:numFmt w:val="decimal"/>
      <w:start w:val="6"/>
    </w:lvl>
  </w:abstractNum>
  <w:abstractNum w:abstractNumId="149">
    <w:nsid w:val="706B674E"/>
    <w:multiLevelType w:val="hybridMultilevel"/>
    <w:lvl w:ilvl="0">
      <w:lvlJc w:val="left"/>
      <w:lvlText w:val="(%1)"/>
      <w:numFmt w:val="lowerLetter"/>
      <w:start w:val="1"/>
    </w:lvl>
  </w:abstractNum>
  <w:abstractNum w:abstractNumId="150">
    <w:nsid w:val="2C106A57"/>
    <w:multiLevelType w:val="hybridMultilevel"/>
    <w:lvl w:ilvl="0">
      <w:lvlJc w:val="left"/>
      <w:lvlText w:val="(%1)"/>
      <w:numFmt w:val="lowerLetter"/>
      <w:start w:val="1"/>
    </w:lvl>
    <w:lvl w:ilvl="1">
      <w:lvlJc w:val="left"/>
      <w:lvlText w:val="(%2)"/>
      <w:numFmt w:val="lowerRoman"/>
      <w:start w:val="1"/>
    </w:lvl>
  </w:abstractNum>
  <w:abstractNum w:abstractNumId="151">
    <w:nsid w:val="684EED59"/>
    <w:multiLevelType w:val="hybridMultilevel"/>
    <w:lvl w:ilvl="0">
      <w:lvlJc w:val="left"/>
      <w:lvlText w:val="%1."/>
      <w:numFmt w:val="decimal"/>
      <w:start w:val="7"/>
    </w:lvl>
  </w:abstractNum>
  <w:abstractNum w:abstractNumId="152">
    <w:nsid w:val="545EE5D3"/>
    <w:multiLevelType w:val="hybridMultilevel"/>
    <w:lvl w:ilvl="0">
      <w:lvlJc w:val="left"/>
      <w:lvlText w:val="(%1)"/>
      <w:numFmt w:val="lowerLetter"/>
      <w:start w:val="1"/>
    </w:lvl>
  </w:abstractNum>
  <w:abstractNum w:abstractNumId="153">
    <w:nsid w:val="4A66051"/>
    <w:multiLevelType w:val="hybridMultilevel"/>
    <w:lvl w:ilvl="0">
      <w:lvlJc w:val="left"/>
      <w:lvlText w:val="(%1)"/>
      <w:numFmt w:val="lowerLetter"/>
      <w:start w:val="1"/>
    </w:lvl>
  </w:abstractNum>
  <w:abstractNum w:abstractNumId="154">
    <w:nsid w:val="20F4BDAD"/>
    <w:multiLevelType w:val="hybridMultilevel"/>
    <w:lvl w:ilvl="0">
      <w:lvlJc w:val="left"/>
      <w:lvlText w:val="%1."/>
      <w:numFmt w:val="decimal"/>
      <w:start w:val="8"/>
    </w:lvl>
  </w:abstractNum>
  <w:abstractNum w:abstractNumId="155">
    <w:nsid w:val="639DEFAC"/>
    <w:multiLevelType w:val="hybridMultilevel"/>
    <w:lvl w:ilvl="0">
      <w:lvlJc w:val="left"/>
      <w:lvlText w:val="%1."/>
      <w:numFmt w:val="decimal"/>
      <w:start w:val="9"/>
    </w:lvl>
  </w:abstractNum>
  <w:abstractNum w:abstractNumId="156">
    <w:nsid w:val="501F9786"/>
    <w:multiLevelType w:val="hybridMultilevel"/>
    <w:lvl w:ilvl="0">
      <w:lvlJc w:val="left"/>
      <w:lvlText w:val="%1."/>
      <w:numFmt w:val="decimal"/>
      <w:start w:val="10"/>
    </w:lvl>
  </w:abstractNum>
  <w:abstractNum w:abstractNumId="157">
    <w:nsid w:val="6B057295"/>
    <w:multiLevelType w:val="hybridMultilevel"/>
    <w:lvl w:ilvl="0">
      <w:lvlJc w:val="left"/>
      <w:lvlText w:val="%1."/>
      <w:numFmt w:val="decimal"/>
      <w:start w:val="11"/>
    </w:lvl>
  </w:abstractNum>
  <w:abstractNum w:abstractNumId="158">
    <w:nsid w:val="2771AC80"/>
    <w:multiLevelType w:val="hybridMultilevel"/>
    <w:lvl w:ilvl="0">
      <w:lvlJc w:val="left"/>
      <w:lvlText w:val="(%1)"/>
      <w:numFmt w:val="lowerLetter"/>
      <w:start w:val="1"/>
    </w:lvl>
  </w:abstractNum>
  <w:abstractNum w:abstractNumId="159">
    <w:nsid w:val="1C4A08EC"/>
    <w:multiLevelType w:val="hybridMultilevel"/>
    <w:lvl w:ilvl="0">
      <w:lvlJc w:val="left"/>
      <w:lvlText w:val="(%1)"/>
      <w:numFmt w:val="lowerLetter"/>
      <w:start w:val="2"/>
    </w:lvl>
  </w:abstractNum>
  <w:abstractNum w:abstractNumId="160">
    <w:nsid w:val="1958BD17"/>
    <w:multiLevelType w:val="hybridMultilevel"/>
    <w:lvl w:ilvl="0">
      <w:lvlJc w:val="left"/>
      <w:lvlText w:val="%1."/>
      <w:numFmt w:val="decimal"/>
      <w:start w:val="12"/>
    </w:lvl>
  </w:abstractNum>
  <w:abstractNum w:abstractNumId="161">
    <w:nsid w:val="4E647FE4"/>
    <w:multiLevelType w:val="hybridMultilevel"/>
    <w:lvl w:ilvl="0">
      <w:lvlJc w:val="left"/>
      <w:lvlText w:val="%1"/>
      <w:numFmt w:val="decimal"/>
      <w:start w:val="1"/>
    </w:lvl>
    <w:lvl w:ilvl="1">
      <w:lvlJc w:val="left"/>
      <w:lvlText w:val="(%2)"/>
      <w:numFmt w:val="lowerLetter"/>
      <w:start w:val="1"/>
    </w:lvl>
  </w:abstractNum>
  <w:abstractNum w:abstractNumId="162">
    <w:nsid w:val="E0BB885"/>
    <w:multiLevelType w:val="hybridMultilevel"/>
    <w:lvl w:ilvl="0">
      <w:lvlJc w:val="left"/>
      <w:lvlText w:val="%1."/>
      <w:numFmt w:val="decimal"/>
      <w:start w:val="13"/>
    </w:lvl>
    <w:lvl w:ilvl="1">
      <w:lvlJc w:val="left"/>
      <w:lvlText w:val="%2"/>
      <w:numFmt w:val="lowerLetter"/>
      <w:start w:val="1"/>
    </w:lvl>
  </w:abstractNum>
  <w:abstractNum w:abstractNumId="163">
    <w:nsid w:val="565976F1"/>
    <w:multiLevelType w:val="hybridMultilevel"/>
    <w:lvl w:ilvl="0">
      <w:lvlJc w:val="left"/>
      <w:lvlText w:val="(%1)"/>
      <w:numFmt w:val="lowerLetter"/>
      <w:start w:val="1"/>
    </w:lvl>
  </w:abstractNum>
  <w:abstractNum w:abstractNumId="164">
    <w:nsid w:val="64212B8C"/>
    <w:multiLevelType w:val="hybridMultilevel"/>
    <w:lvl w:ilvl="0">
      <w:lvlJc w:val="left"/>
      <w:lvlText w:val="(%1)"/>
      <w:numFmt w:val="lowerLetter"/>
      <w:start w:val="1"/>
    </w:lvl>
  </w:abstractNum>
  <w:abstractNum w:abstractNumId="165">
    <w:nsid w:val="5C17530C"/>
    <w:multiLevelType w:val="hybridMultilevel"/>
    <w:lvl w:ilvl="0">
      <w:lvlJc w:val="left"/>
      <w:lvlText w:val="%1"/>
      <w:numFmt w:val="decimal"/>
      <w:start w:val="1"/>
    </w:lvl>
    <w:lvl w:ilvl="1">
      <w:lvlJc w:val="left"/>
      <w:lvlText w:val="(%2)"/>
      <w:numFmt w:val="lowerLetter"/>
      <w:start w:val="3"/>
    </w:lvl>
  </w:abstractNum>
  <w:abstractNum w:abstractNumId="166">
    <w:nsid w:val="19A52566"/>
    <w:multiLevelType w:val="hybridMultilevel"/>
    <w:lvl w:ilvl="0">
      <w:lvlJc w:val="left"/>
      <w:lvlText w:val="%1."/>
      <w:numFmt w:val="decimal"/>
      <w:start w:val="14"/>
    </w:lvl>
    <w:lvl w:ilvl="1">
      <w:lvlJc w:val="left"/>
      <w:lvlText w:val="%2"/>
      <w:numFmt w:val="lowerLetter"/>
      <w:start w:val="1"/>
    </w:lvl>
  </w:abstractNum>
  <w:abstractNum w:abstractNumId="167">
    <w:nsid w:val="335A1DF1"/>
    <w:multiLevelType w:val="hybridMultilevel"/>
    <w:lvl w:ilvl="0">
      <w:lvlJc w:val="left"/>
      <w:lvlText w:val="(%1)"/>
      <w:numFmt w:val="lowerLetter"/>
      <w:start w:val="1"/>
    </w:lvl>
  </w:abstractNum>
  <w:abstractNum w:abstractNumId="168">
    <w:nsid w:val="28677B7C"/>
    <w:multiLevelType w:val="hybridMultilevel"/>
    <w:lvl w:ilvl="0">
      <w:lvlJc w:val="left"/>
      <w:lvlText w:val="(%1)"/>
      <w:numFmt w:val="lowerLetter"/>
      <w:start w:val="1"/>
    </w:lvl>
  </w:abstractNum>
  <w:abstractNum w:abstractNumId="169">
    <w:nsid w:val="378D97C0"/>
    <w:multiLevelType w:val="hybridMultilevel"/>
    <w:lvl w:ilvl="0">
      <w:lvlJc w:val="left"/>
      <w:lvlText w:val="(%1)"/>
      <w:numFmt w:val="lowerLetter"/>
      <w:start w:val="5"/>
    </w:lvl>
  </w:abstractNum>
  <w:abstractNum w:abstractNumId="170">
    <w:nsid w:val="1D91467C"/>
    <w:multiLevelType w:val="hybridMultilevel"/>
    <w:lvl w:ilvl="0">
      <w:lvlJc w:val="left"/>
      <w:lvlText w:val="%1."/>
      <w:numFmt w:val="decimal"/>
      <w:start w:val="15"/>
    </w:lvl>
  </w:abstractNum>
  <w:abstractNum w:abstractNumId="171">
    <w:nsid w:val="316032BB"/>
    <w:multiLevelType w:val="hybridMultilevel"/>
    <w:lvl w:ilvl="0">
      <w:lvlJc w:val="left"/>
      <w:lvlText w:val="%1."/>
      <w:numFmt w:val="decimal"/>
      <w:start w:val="16"/>
    </w:lvl>
  </w:abstractNum>
  <w:abstractNum w:abstractNumId="172">
    <w:nsid w:val="44344C22"/>
    <w:multiLevelType w:val="hybridMultilevel"/>
    <w:lvl w:ilvl="0">
      <w:lvlJc w:val="left"/>
      <w:lvlText w:val="%1."/>
      <w:numFmt w:val="decimal"/>
      <w:start w:val="17"/>
    </w:lvl>
  </w:abstractNum>
  <w:abstractNum w:abstractNumId="173">
    <w:nsid w:val="13CDFCFC"/>
    <w:multiLevelType w:val="hybridMultilevel"/>
    <w:lvl w:ilvl="0">
      <w:lvlJc w:val="left"/>
      <w:lvlText w:val="(%1)"/>
      <w:numFmt w:val="lowerLetter"/>
      <w:start w:val="1"/>
    </w:lvl>
  </w:abstractNum>
  <w:abstractNum w:abstractNumId="174">
    <w:nsid w:val="471745E4"/>
    <w:multiLevelType w:val="hybridMultilevel"/>
    <w:lvl w:ilvl="0">
      <w:lvlJc w:val="left"/>
      <w:lvlText w:val="%1."/>
      <w:numFmt w:val="decimal"/>
      <w:start w:val="18"/>
    </w:lvl>
  </w:abstractNum>
  <w:abstractNum w:abstractNumId="175">
    <w:nsid w:val="1DDBC66"/>
    <w:multiLevelType w:val="hybridMultilevel"/>
    <w:lvl w:ilvl="0">
      <w:lvlJc w:val="left"/>
      <w:lvlText w:val="(%1)"/>
      <w:numFmt w:val="lowerLetter"/>
      <w:start w:val="1"/>
    </w:lvl>
    <w:lvl w:ilvl="1">
      <w:lvlJc w:val="left"/>
      <w:lvlText w:val="(%2)"/>
      <w:numFmt w:val="lowerRoman"/>
      <w:start w:val="1"/>
    </w:lvl>
  </w:abstractNum>
  <w:abstractNum w:abstractNumId="176">
    <w:nsid w:val="30AADFDA"/>
    <w:multiLevelType w:val="hybridMultilevel"/>
    <w:lvl w:ilvl="0">
      <w:lvlJc w:val="left"/>
      <w:lvlText w:val="(%1)"/>
      <w:numFmt w:val="lowerLetter"/>
      <w:start w:val="3"/>
    </w:lvl>
  </w:abstractNum>
  <w:abstractNum w:abstractNumId="177">
    <w:nsid w:val="30EADA61"/>
    <w:multiLevelType w:val="hybridMultilevel"/>
    <w:lvl w:ilvl="0">
      <w:lvlJc w:val="left"/>
      <w:lvlText w:val="%1"/>
      <w:numFmt w:val="decimal"/>
      <w:start w:val="1"/>
    </w:lvl>
    <w:lvl w:ilvl="1">
      <w:lvlJc w:val="left"/>
      <w:lvlText w:val="(%2)"/>
      <w:numFmt w:val="lowerLetter"/>
      <w:start w:val="8"/>
    </w:lvl>
  </w:abstractNum>
  <w:abstractNum w:abstractNumId="178">
    <w:nsid w:val="27179C0B"/>
    <w:multiLevelType w:val="hybridMultilevel"/>
    <w:lvl w:ilvl="0">
      <w:lvlJc w:val="left"/>
      <w:lvlText w:val="%1."/>
      <w:numFmt w:val="decimal"/>
      <w:start w:val="19"/>
    </w:lvl>
    <w:lvl w:ilvl="1">
      <w:lvlJc w:val="left"/>
      <w:lvlText w:val="%2"/>
      <w:numFmt w:val="lowerLetter"/>
      <w:start w:val="1"/>
    </w:lvl>
  </w:abstractNum>
  <w:abstractNum w:abstractNumId="179">
    <w:nsid w:val="5E636063"/>
    <w:multiLevelType w:val="hybridMultilevel"/>
    <w:lvl w:ilvl="0">
      <w:lvlJc w:val="left"/>
      <w:lvlText w:val="(%1)"/>
      <w:numFmt w:val="lowerLetter"/>
      <w:start w:val="1"/>
    </w:lvl>
  </w:abstractNum>
  <w:abstractNum w:abstractNumId="180">
    <w:nsid w:val="215641AF"/>
    <w:multiLevelType w:val="hybridMultilevel"/>
    <w:lvl w:ilvl="0">
      <w:lvlJc w:val="left"/>
      <w:lvlText w:val="%1."/>
      <w:numFmt w:val="decimal"/>
      <w:start w:val="20"/>
    </w:lvl>
  </w:abstractNum>
  <w:abstractNum w:abstractNumId="181">
    <w:nsid w:val="53280662"/>
    <w:multiLevelType w:val="hybridMultilevel"/>
    <w:lvl w:ilvl="0">
      <w:lvlJc w:val="left"/>
      <w:lvlText w:val="%1."/>
      <w:numFmt w:val="decimal"/>
      <w:start w:val="21"/>
    </w:lvl>
  </w:abstractNum>
  <w:abstractNum w:abstractNumId="182">
    <w:nsid w:val="46B24DBC"/>
    <w:multiLevelType w:val="hybridMultilevel"/>
    <w:lvl w:ilvl="0">
      <w:lvlJc w:val="left"/>
      <w:lvlText w:val="%1."/>
      <w:numFmt w:val="decimal"/>
      <w:start w:val="22"/>
    </w:lvl>
  </w:abstractNum>
  <w:abstractNum w:abstractNumId="183">
    <w:nsid w:val="75B52783"/>
    <w:multiLevelType w:val="hybridMultilevel"/>
    <w:lvl w:ilvl="0">
      <w:lvlJc w:val="left"/>
      <w:lvlText w:val="%1."/>
      <w:numFmt w:val="decimal"/>
      <w:start w:val="23"/>
    </w:lvl>
  </w:abstractNum>
  <w:abstractNum w:abstractNumId="184">
    <w:nsid w:val="57CE66B4"/>
    <w:multiLevelType w:val="hybridMultilevel"/>
    <w:lvl w:ilvl="0">
      <w:lvlJc w:val="left"/>
      <w:lvlText w:val="%1."/>
      <w:numFmt w:val="decimal"/>
      <w:start w:val="24"/>
    </w:lvl>
  </w:abstractNum>
  <w:abstractNum w:abstractNumId="185">
    <w:nsid w:val="67A70B69"/>
    <w:multiLevelType w:val="hybridMultilevel"/>
    <w:lvl w:ilvl="0">
      <w:lvlJc w:val="left"/>
      <w:lvlText w:val="%1."/>
      <w:numFmt w:val="decimal"/>
      <w:start w:val="25"/>
    </w:lvl>
  </w:abstractNum>
  <w:abstractNum w:abstractNumId="186">
    <w:nsid w:val="5953172F"/>
    <w:multiLevelType w:val="hybridMultilevel"/>
    <w:lvl w:ilvl="0">
      <w:lvlJc w:val="left"/>
      <w:lvlText w:val="(%1)"/>
      <w:numFmt w:val="lowerLetter"/>
      <w:start w:val="1"/>
    </w:lvl>
  </w:abstractNum>
  <w:abstractNum w:abstractNumId="187">
    <w:nsid w:val="27EDFE3A"/>
    <w:multiLevelType w:val="hybridMultilevel"/>
    <w:lvl w:ilvl="0">
      <w:lvlJc w:val="left"/>
      <w:lvlText w:val="%1."/>
      <w:numFmt w:val="decimal"/>
      <w:start w:val="1"/>
    </w:lvl>
  </w:abstractNum>
  <w:abstractNum w:abstractNumId="188">
    <w:nsid w:val="52AC7DFF"/>
    <w:multiLevelType w:val="hybridMultilevel"/>
    <w:lvl w:ilvl="0">
      <w:lvlJc w:val="left"/>
      <w:lvlText w:val="(%1)"/>
      <w:numFmt w:val="lowerLetter"/>
      <w:start w:val="1"/>
    </w:lvl>
  </w:abstractNum>
  <w:abstractNum w:abstractNumId="189">
    <w:nsid w:val="C4C3AF"/>
    <w:multiLevelType w:val="hybridMultilevel"/>
    <w:lvl w:ilvl="0">
      <w:lvlJc w:val="left"/>
      <w:lvlText w:val="(%1)"/>
      <w:numFmt w:val="lowerLetter"/>
      <w:start w:val="2"/>
    </w:lvl>
  </w:abstractNum>
  <w:abstractNum w:abstractNumId="190">
    <w:nsid w:val="44380727"/>
    <w:multiLevelType w:val="hybridMultilevel"/>
    <w:lvl w:ilvl="0">
      <w:lvlJc w:val="left"/>
      <w:lvlText w:val="%1."/>
      <w:numFmt w:val="decimal"/>
      <w:start w:val="8"/>
    </w:lvl>
  </w:abstractNum>
  <w:abstractNum w:abstractNumId="191">
    <w:nsid w:val="6C053B16"/>
    <w:multiLevelType w:val="hybridMultilevel"/>
    <w:lvl w:ilvl="0">
      <w:lvlJc w:val="left"/>
      <w:lvlText w:val="%1."/>
      <w:numFmt w:val="decimal"/>
      <w:start w:val="9"/>
    </w:lvl>
  </w:abstractNum>
  <w:abstractNum w:abstractNumId="192">
    <w:nsid w:val="4F294393"/>
    <w:multiLevelType w:val="hybridMultilevel"/>
    <w:lvl w:ilvl="0">
      <w:lvlJc w:val="left"/>
      <w:lvlText w:val="%1."/>
      <w:numFmt w:val="decimal"/>
      <w:start w:val="10"/>
    </w:lvl>
  </w:abstractNum>
  <w:abstractNum w:abstractNumId="193">
    <w:nsid w:val="5243BFAC"/>
    <w:multiLevelType w:val="hybridMultilevel"/>
    <w:lvl w:ilvl="0">
      <w:lvlJc w:val="left"/>
      <w:lvlText w:val="%1."/>
      <w:numFmt w:val="decimal"/>
      <w:start w:val="11"/>
    </w:lvl>
  </w:abstractNum>
  <w:abstractNum w:abstractNumId="194">
    <w:nsid w:val="425EB207"/>
    <w:multiLevelType w:val="hybridMultilevel"/>
    <w:lvl w:ilvl="0">
      <w:lvlJc w:val="left"/>
      <w:lvlText w:val="%1."/>
      <w:numFmt w:val="decimal"/>
      <w:start w:val="12"/>
    </w:lvl>
  </w:abstractNum>
  <w:abstractNum w:abstractNumId="195">
    <w:nsid w:val="334A6F1F"/>
    <w:multiLevelType w:val="hybridMultilevel"/>
    <w:lvl w:ilvl="0">
      <w:lvlJc w:val="left"/>
      <w:lvlText w:val="%1)"/>
      <w:numFmt w:val="lowerLetter"/>
      <w:start w:val="1"/>
    </w:lvl>
    <w:lvl w:ilvl="1">
      <w:lvlJc w:val="left"/>
      <w:lvlText w:val="(%2)"/>
      <w:numFmt w:val="lowerLetter"/>
      <w:start w:val="1"/>
    </w:lvl>
  </w:abstractNum>
  <w:abstractNum w:abstractNumId="196">
    <w:nsid w:val="2E5B12B8"/>
    <w:multiLevelType w:val="hybridMultilevel"/>
    <w:lvl w:ilvl="0">
      <w:lvlJc w:val="left"/>
      <w:lvlText w:val="%1."/>
      <w:numFmt w:val="decimal"/>
      <w:start w:val="13"/>
    </w:lvl>
  </w:abstractNum>
  <w:abstractNum w:abstractNumId="197">
    <w:nsid w:val="5C03D76D"/>
    <w:multiLevelType w:val="hybridMultilevel"/>
    <w:lvl w:ilvl="0">
      <w:lvlJc w:val="left"/>
      <w:lvlText w:val="%1."/>
      <w:numFmt w:val="decimal"/>
      <w:start w:val="14"/>
    </w:lvl>
  </w:abstractNum>
  <w:abstractNum w:abstractNumId="198">
    <w:nsid w:val="66A48D11"/>
    <w:multiLevelType w:val="hybridMultilevel"/>
    <w:lvl w:ilvl="0">
      <w:lvlJc w:val="left"/>
      <w:lvlText w:val="%1."/>
      <w:numFmt w:val="decimal"/>
      <w:start w:val="15"/>
    </w:lvl>
  </w:abstractNum>
  <w:abstractNum w:abstractNumId="199">
    <w:nsid w:val="56C28E34"/>
    <w:multiLevelType w:val="hybridMultilevel"/>
    <w:lvl w:ilvl="0">
      <w:lvlJc w:val="left"/>
      <w:lvlText w:val="%1."/>
      <w:numFmt w:val="decimal"/>
      <w:start w:val="16"/>
    </w:lvl>
  </w:abstractNum>
  <w:abstractNum w:abstractNumId="200">
    <w:nsid w:val="13916F2D"/>
    <w:multiLevelType w:val="hybridMultilevel"/>
    <w:lvl w:ilvl="0">
      <w:lvlJc w:val="left"/>
      <w:lvlText w:val="%1."/>
      <w:numFmt w:val="decimal"/>
      <w:start w:val="17"/>
    </w:lvl>
  </w:abstractNum>
  <w:abstractNum w:abstractNumId="201">
    <w:nsid w:val="435D38D"/>
    <w:multiLevelType w:val="hybridMultilevel"/>
    <w:lvl w:ilvl="0">
      <w:lvlJc w:val="left"/>
      <w:lvlText w:val="%1."/>
      <w:numFmt w:val="decimal"/>
      <w:start w:val="18"/>
    </w:lvl>
  </w:abstractNum>
  <w:abstractNum w:abstractNumId="202">
    <w:nsid w:val="822C0EF"/>
    <w:multiLevelType w:val="hybridMultilevel"/>
    <w:lvl w:ilvl="0">
      <w:lvlJc w:val="left"/>
      <w:lvlText w:val="%1."/>
      <w:numFmt w:val="decimal"/>
      <w:start w:val="19"/>
    </w:lvl>
  </w:abstractNum>
  <w:abstractNum w:abstractNumId="203">
    <w:nsid w:val="57C5BB4F"/>
    <w:multiLevelType w:val="hybridMultilevel"/>
    <w:lvl w:ilvl="0">
      <w:lvlJc w:val="left"/>
      <w:lvlText w:val="%1."/>
      <w:numFmt w:val="decimal"/>
      <w:start w:val="20"/>
    </w:lvl>
  </w:abstractNum>
  <w:abstractNum w:abstractNumId="204">
    <w:nsid w:val="1803D089"/>
    <w:multiLevelType w:val="hybridMultilevel"/>
    <w:lvl w:ilvl="0">
      <w:lvlJc w:val="left"/>
      <w:lvlText w:val="%1."/>
      <w:numFmt w:val="decimal"/>
      <w:start w:val="21"/>
    </w:lvl>
  </w:abstractNum>
  <w:abstractNum w:abstractNumId="205">
    <w:nsid w:val="4F3A06D4"/>
    <w:multiLevelType w:val="hybridMultilevel"/>
    <w:lvl w:ilvl="0">
      <w:lvlJc w:val="left"/>
      <w:lvlText w:val="%1."/>
      <w:numFmt w:val="decimal"/>
      <w:start w:val="22"/>
    </w:lvl>
  </w:abstractNum>
  <w:abstractNum w:abstractNumId="206">
    <w:nsid w:val="59A377B6"/>
    <w:multiLevelType w:val="hybridMultilevel"/>
    <w:lvl w:ilvl="0">
      <w:lvlJc w:val="left"/>
      <w:lvlText w:val="%1."/>
      <w:numFmt w:val="decimal"/>
      <w:start w:val="23"/>
    </w:lvl>
  </w:abstractNum>
  <w:abstractNum w:abstractNumId="207">
    <w:nsid w:val="48AEB063"/>
    <w:multiLevelType w:val="hybridMultilevel"/>
    <w:lvl w:ilvl="0">
      <w:lvlJc w:val="left"/>
      <w:lvlText w:val="%1."/>
      <w:numFmt w:val="decimal"/>
      <w:start w:val="24"/>
    </w:lvl>
  </w:abstractNum>
  <w:abstractNum w:abstractNumId="208">
    <w:nsid w:val="24E135"/>
    <w:multiLevelType w:val="hybridMultilevel"/>
    <w:lvl w:ilvl="0">
      <w:lvlJc w:val="left"/>
      <w:lvlText w:val="%1."/>
      <w:numFmt w:val="decimal"/>
      <w:start w:val="25"/>
    </w:lvl>
  </w:abstractNum>
  <w:abstractNum w:abstractNumId="209">
    <w:nsid w:val="BB13C1"/>
    <w:multiLevelType w:val="hybridMultilevel"/>
    <w:lvl w:ilvl="0">
      <w:lvlJc w:val="left"/>
      <w:lvlText w:val="%1."/>
      <w:numFmt w:val="decimal"/>
      <w:start w:val="26"/>
    </w:lvl>
  </w:abstractNum>
  <w:abstractNum w:abstractNumId="210">
    <w:nsid w:val="271210C7"/>
    <w:multiLevelType w:val="hybridMultilevel"/>
    <w:lvl w:ilvl="0">
      <w:lvlJc w:val="left"/>
      <w:lvlText w:val="%1."/>
      <w:numFmt w:val="decimal"/>
      <w:start w:val="27"/>
    </w:lvl>
  </w:abstractNum>
  <w:abstractNum w:abstractNumId="211">
    <w:nsid w:val="217B22E4"/>
    <w:multiLevelType w:val="hybridMultilevel"/>
    <w:lvl w:ilvl="0">
      <w:lvlJc w:val="left"/>
      <w:lvlText w:val="%1."/>
      <w:numFmt w:val="decimal"/>
      <w:start w:val="28"/>
    </w:lvl>
  </w:abstractNum>
  <w:abstractNum w:abstractNumId="212">
    <w:nsid w:val="53E31A24"/>
    <w:multiLevelType w:val="hybridMultilevel"/>
    <w:lvl w:ilvl="0">
      <w:lvlJc w:val="left"/>
      <w:lvlText w:val="%1."/>
      <w:numFmt w:val="decimal"/>
      <w:start w:val="29"/>
    </w:lvl>
    <w:lvl w:ilvl="1">
      <w:lvlJc w:val="left"/>
      <w:lvlText w:val="%2)"/>
      <w:numFmt w:val="lowerLetter"/>
      <w:start w:val="1"/>
    </w:lvl>
  </w:abstractNum>
  <w:abstractNum w:abstractNumId="213">
    <w:nsid w:val="6DC45E83"/>
    <w:multiLevelType w:val="hybridMultilevel"/>
    <w:lvl w:ilvl="0">
      <w:lvlJc w:val="left"/>
      <w:lvlText w:val="i"/>
      <w:numFmt w:val="bullet"/>
      <w:start w:val="1"/>
    </w:lvl>
  </w:abstractNum>
  <w:abstractNum w:abstractNumId="214">
    <w:nsid w:val="17304A67"/>
    <w:multiLevelType w:val="hybridMultilevel"/>
    <w:lvl w:ilvl="0">
      <w:lvlJc w:val="left"/>
      <w:lvlText w:val="(%1)"/>
      <w:numFmt w:val="lowerLetter"/>
      <w:start w:val="2"/>
    </w:lvl>
  </w:abstractNum>
  <w:abstractNum w:abstractNumId="215">
    <w:nsid w:val="2BB180D8"/>
    <w:multiLevelType w:val="hybridMultilevel"/>
    <w:lvl w:ilvl="0">
      <w:lvlJc w:val="left"/>
      <w:lvlText w:val="(%1)"/>
      <w:numFmt w:val="lowerLetter"/>
      <w:start w:val="1"/>
    </w:lvl>
  </w:abstractNum>
  <w:abstractNum w:abstractNumId="216">
    <w:nsid w:val="556B69ED"/>
    <w:multiLevelType w:val="hybridMultilevel"/>
    <w:lvl w:ilvl="0">
      <w:lvlJc w:val="left"/>
      <w:lvlText w:val="(%1)"/>
      <w:numFmt w:val="lowerLetter"/>
      <w:start w:val="1"/>
    </w:lvl>
  </w:abstractNum>
  <w:abstractNum w:abstractNumId="217">
    <w:nsid w:val="70836196"/>
    <w:multiLevelType w:val="hybridMultilevel"/>
    <w:lvl w:ilvl="0">
      <w:lvlJc w:val="left"/>
      <w:lvlText w:val="(%1)"/>
      <w:numFmt w:val="lowerLetter"/>
      <w:start w:val="1"/>
    </w:lvl>
  </w:abstractNum>
  <w:abstractNum w:abstractNumId="218">
    <w:nsid w:val="539F7F12"/>
    <w:multiLevelType w:val="hybridMultilevel"/>
    <w:lvl w:ilvl="0">
      <w:lvlJc w:val="left"/>
      <w:lvlText w:val="(%1)"/>
      <w:numFmt w:val="lowerLetter"/>
      <w:start w:val="1"/>
    </w:lvl>
  </w:abstractNum>
  <w:abstractNum w:abstractNumId="219">
    <w:nsid w:val="2817E7EC"/>
    <w:multiLevelType w:val="hybridMultilevel"/>
    <w:lvl w:ilvl="0">
      <w:lvlJc w:val="left"/>
      <w:lvlText w:val="(%1)"/>
      <w:numFmt w:val="lowerLetter"/>
      <w:start w:val="1"/>
    </w:lvl>
  </w:abstractNum>
  <w:abstractNum w:abstractNumId="220">
    <w:nsid w:val="71482545"/>
    <w:multiLevelType w:val="hybridMultilevel"/>
    <w:lvl w:ilvl="0">
      <w:lvlJc w:val="left"/>
      <w:lvlText w:val="%1."/>
      <w:numFmt w:val="decimal"/>
      <w:start w:val="1"/>
    </w:lvl>
  </w:abstractNum>
  <w:abstractNum w:abstractNumId="221">
    <w:nsid w:val="17D78639"/>
    <w:multiLevelType w:val="hybridMultilevel"/>
    <w:lvl w:ilvl="0">
      <w:lvlJc w:val="left"/>
      <w:lvlText w:val="%1."/>
      <w:numFmt w:val="decimal"/>
      <w:start w:val="2"/>
    </w:lvl>
  </w:abstractNum>
  <w:abstractNum w:abstractNumId="222">
    <w:nsid w:val="141D2302"/>
    <w:multiLevelType w:val="hybridMultilevel"/>
    <w:lvl w:ilvl="0">
      <w:lvlJc w:val="left"/>
      <w:lvlText w:val="(%1)"/>
      <w:numFmt w:val="lowerRoman"/>
      <w:start w:val="1"/>
    </w:lvl>
  </w:abstractNum>
  <w:abstractNum w:abstractNumId="223">
    <w:nsid w:val="407168D8"/>
    <w:multiLevelType w:val="hybridMultilevel"/>
    <w:lvl w:ilvl="0">
      <w:lvlJc w:val="left"/>
      <w:lvlText w:val="(%1)"/>
      <w:numFmt w:val="lowerRoman"/>
      <w:start w:val="3"/>
    </w:lvl>
  </w:abstractNum>
  <w:abstractNum w:abstractNumId="224">
    <w:nsid w:val="6A1B45E5"/>
    <w:multiLevelType w:val="hybridMultilevel"/>
    <w:lvl w:ilvl="0">
      <w:lvlJc w:val="left"/>
      <w:lvlText w:val="(%1)"/>
      <w:numFmt w:val="lowerRoman"/>
      <w:start w:val="1"/>
    </w:lvl>
  </w:abstractNum>
  <w:abstractNum w:abstractNumId="225">
    <w:nsid w:val="567BD50A"/>
    <w:multiLevelType w:val="hybridMultilevel"/>
    <w:lvl w:ilvl="0">
      <w:lvlJc w:val="left"/>
      <w:lvlText w:val="(%1)"/>
      <w:numFmt w:val="lowerRoman"/>
      <w:start w:val="2"/>
    </w:lvl>
    <w:lvl w:ilvl="1">
      <w:lvlJc w:val="left"/>
      <w:lvlText w:val="(%2)"/>
      <w:numFmt w:val="upperLetter"/>
      <w:start w:val="1"/>
    </w:lvl>
  </w:abstractNum>
  <w:abstractNum w:abstractNumId="226">
    <w:nsid w:val="73BBD7F8"/>
    <w:multiLevelType w:val="hybridMultilevel"/>
    <w:lvl w:ilvl="0">
      <w:lvlJc w:val="left"/>
      <w:lvlText w:val="(%1)"/>
      <w:numFmt w:val="lowerRoman"/>
      <w:start w:val="1"/>
    </w:lvl>
  </w:abstractNum>
  <w:abstractNum w:abstractNumId="227">
    <w:nsid w:val="1876589D"/>
    <w:multiLevelType w:val="hybridMultilevel"/>
    <w:lvl w:ilvl="0">
      <w:lvlJc w:val="left"/>
      <w:lvlText w:val="(%1)"/>
      <w:numFmt w:val="lowerRoman"/>
      <w:start w:val="1"/>
    </w:lvl>
  </w:abstractNum>
  <w:abstractNum w:abstractNumId="228">
    <w:nsid w:val="327FAC77"/>
    <w:multiLevelType w:val="hybridMultilevel"/>
    <w:lvl w:ilvl="0">
      <w:lvlJc w:val="left"/>
      <w:lvlText w:val="(%1)"/>
      <w:numFmt w:val="lowerRoman"/>
      <w:start w:val="1"/>
    </w:lvl>
    <w:lvl w:ilvl="1">
      <w:lvlJc w:val="left"/>
      <w:lvlText w:val="(%2)"/>
      <w:numFmt w:val="upperLetter"/>
      <w:start w:val="1"/>
    </w:lvl>
  </w:abstractNum>
  <w:abstractNum w:abstractNumId="229">
    <w:nsid w:val="5A606509"/>
    <w:multiLevelType w:val="hybridMultilevel"/>
    <w:lvl w:ilvl="0">
      <w:lvlJc w:val="left"/>
      <w:lvlText w:val="%1."/>
      <w:numFmt w:val="decimal"/>
      <w:start w:val="3"/>
    </w:lvl>
  </w:abstractNum>
  <w:abstractNum w:abstractNumId="230">
    <w:nsid w:val="6F38E6D1"/>
    <w:multiLevelType w:val="hybridMultilevel"/>
    <w:lvl w:ilvl="0">
      <w:lvlJc w:val="left"/>
      <w:lvlText w:val="%1."/>
      <w:numFmt w:val="decimal"/>
      <w:start w:val="4"/>
    </w:lvl>
  </w:abstractNum>
  <w:abstractNum w:abstractNumId="231">
    <w:nsid w:val="46111BA5"/>
    <w:multiLevelType w:val="hybridMultilevel"/>
    <w:lvl w:ilvl="0">
      <w:lvlJc w:val="left"/>
      <w:lvlText w:val="(%1)"/>
      <w:numFmt w:val="lowerRoman"/>
      <w:start w:val="1"/>
    </w:lvl>
  </w:abstractNum>
  <w:abstractNum w:abstractNumId="232">
    <w:nsid w:val="5E963896"/>
    <w:multiLevelType w:val="hybridMultilevel"/>
    <w:lvl w:ilvl="0">
      <w:lvlJc w:val="left"/>
      <w:lvlText w:val="%1"/>
      <w:numFmt w:val="decimal"/>
      <w:start w:val="1"/>
    </w:lvl>
    <w:lvl w:ilvl="1">
      <w:lvlJc w:val="left"/>
      <w:lvlText w:val="(%2)"/>
      <w:numFmt w:val="lowerLetter"/>
      <w:start w:val="2"/>
    </w:lvl>
  </w:abstractNum>
  <w:abstractNum w:abstractNumId="233">
    <w:nsid w:val="775BA7C1"/>
    <w:multiLevelType w:val="hybridMultilevel"/>
    <w:lvl w:ilvl="0">
      <w:lvlJc w:val="left"/>
      <w:lvlText w:val="%1."/>
      <w:numFmt w:val="decimal"/>
      <w:start w:val="5"/>
    </w:lvl>
    <w:lvl w:ilvl="1">
      <w:lvlJc w:val="left"/>
      <w:lvlText w:val="%2"/>
      <w:numFmt w:val="lowerLetter"/>
      <w:start w:val="1"/>
    </w:lvl>
  </w:abstractNum>
  <w:abstractNum w:abstractNumId="234">
    <w:nsid w:val="1DD6D6F4"/>
    <w:multiLevelType w:val="hybridMultilevel"/>
    <w:lvl w:ilvl="0">
      <w:lvlJc w:val="left"/>
      <w:lvlText w:val="(%1)"/>
      <w:numFmt w:val="lowerLetter"/>
      <w:start w:val="2"/>
    </w:lvl>
  </w:abstractNum>
  <w:abstractNum w:abstractNumId="235">
    <w:nsid w:val="769A091F"/>
    <w:multiLevelType w:val="hybridMultilevel"/>
    <w:lvl w:ilvl="0">
      <w:lvlJc w:val="left"/>
      <w:lvlText w:val="%1."/>
      <w:numFmt w:val="decimal"/>
      <w:start w:val="6"/>
    </w:lvl>
  </w:abstractNum>
  <w:abstractNum w:abstractNumId="236">
    <w:nsid w:val="4695AE95"/>
    <w:multiLevelType w:val="hybridMultilevel"/>
    <w:lvl w:ilvl="0">
      <w:lvlJc w:val="left"/>
      <w:lvlText w:val="%1."/>
      <w:numFmt w:val="decimal"/>
      <w:start w:val="7"/>
    </w:lvl>
  </w:abstractNum>
  <w:abstractNum w:abstractNumId="237">
    <w:nsid w:val="777A4EAA"/>
    <w:multiLevelType w:val="hybridMultilevel"/>
    <w:lvl w:ilvl="0">
      <w:lvlJc w:val="left"/>
      <w:lvlText w:val="%1."/>
      <w:numFmt w:val="decimal"/>
      <w:start w:val="8"/>
    </w:lvl>
  </w:abstractNum>
  <w:abstractNum w:abstractNumId="238">
    <w:nsid w:val="3F48B982"/>
    <w:multiLevelType w:val="hybridMultilevel"/>
    <w:lvl w:ilvl="0">
      <w:lvlJc w:val="left"/>
      <w:lvlText w:val="%1."/>
      <w:numFmt w:val="decimal"/>
      <w:start w:val="9"/>
    </w:lvl>
  </w:abstractNum>
  <w:abstractNum w:abstractNumId="239">
    <w:nsid w:val="46BA8FCA"/>
    <w:multiLevelType w:val="hybridMultilevel"/>
    <w:lvl w:ilvl="0">
      <w:lvlJc w:val="left"/>
      <w:lvlText w:val="%1."/>
      <w:numFmt w:val="decimal"/>
      <w:start w:val="10"/>
    </w:lvl>
  </w:abstractNum>
  <w:abstractNum w:abstractNumId="240">
    <w:nsid w:val="7835626C"/>
    <w:multiLevelType w:val="hybridMultilevel"/>
    <w:lvl w:ilvl="0">
      <w:lvlJc w:val="left"/>
      <w:lvlText w:val="(%1)"/>
      <w:numFmt w:val="lowerLetter"/>
      <w:start w:val="1"/>
    </w:lvl>
  </w:abstractNum>
  <w:abstractNum w:abstractNumId="241">
    <w:nsid w:val="665ACA49"/>
    <w:multiLevelType w:val="hybridMultilevel"/>
    <w:lvl w:ilvl="0">
      <w:lvlJc w:val="left"/>
      <w:lvlText w:val="(%1)"/>
      <w:numFmt w:val="lowerRoman"/>
      <w:start w:val="1"/>
    </w:lvl>
  </w:abstractNum>
  <w:abstractNum w:abstractNumId="242">
    <w:nsid w:val="6835B2AE"/>
    <w:multiLevelType w:val="hybridMultilevel"/>
    <w:lvl w:ilvl="0">
      <w:lvlJc w:val="left"/>
      <w:lvlText w:val="(%1)"/>
      <w:numFmt w:val="lowerLetter"/>
      <w:start w:val="1"/>
    </w:lvl>
    <w:lvl w:ilvl="1">
      <w:lvlJc w:val="left"/>
      <w:lvlText w:val="&amp;"/>
      <w:numFmt w:val="bullet"/>
      <w:start w:val="1"/>
    </w:lvl>
  </w:abstractNum>
  <w:abstractNum w:abstractNumId="243">
    <w:nsid w:val="4C187C90"/>
    <w:multiLevelType w:val="hybridMultilevel"/>
    <w:lvl w:ilvl="0">
      <w:lvlJc w:val="left"/>
      <w:lvlText w:val="(%1)"/>
      <w:numFmt w:val="lowerLetter"/>
      <w:start w:val="1"/>
    </w:lvl>
  </w:abstractNum>
  <w:abstractNum w:abstractNumId="244">
    <w:nsid w:val="541F28CD"/>
    <w:multiLevelType w:val="hybridMultilevel"/>
    <w:lvl w:ilvl="0">
      <w:lvlJc w:val="left"/>
      <w:lvlText w:val="(%1)"/>
      <w:numFmt w:val="lowerLetter"/>
      <w:start w:val="7"/>
    </w:lvl>
    <w:lvl w:ilvl="1">
      <w:lvlJc w:val="left"/>
      <w:lvlText w:val="%2."/>
      <w:numFmt w:val="lowerLetter"/>
      <w:start w:val="1"/>
    </w:lvl>
  </w:abstractNum>
  <w:abstractNum w:abstractNumId="245">
    <w:nsid w:val="7F65FD16"/>
    <w:multiLevelType w:val="hybridMultilevel"/>
    <w:lvl w:ilvl="0">
      <w:lvlJc w:val="left"/>
      <w:lvlText w:val="(%1)"/>
      <w:numFmt w:val="lowerRoman"/>
      <w:start w:val="1"/>
    </w:lvl>
  </w:abstractNum>
  <w:abstractNum w:abstractNumId="246">
    <w:nsid w:val="77C9FD68"/>
    <w:multiLevelType w:val="hybridMultilevel"/>
    <w:lvl w:ilvl="0">
      <w:lvlJc w:val="left"/>
      <w:lvlText w:val="%1."/>
      <w:numFmt w:val="decimal"/>
      <w:start w:val="1"/>
    </w:lvl>
  </w:abstractNum>
  <w:abstractNum w:abstractNumId="247">
    <w:nsid w:val="298A92BA"/>
    <w:multiLevelType w:val="hybridMultilevel"/>
    <w:lvl w:ilvl="0">
      <w:lvlJc w:val="left"/>
      <w:lvlText w:val="•"/>
      <w:numFmt w:val="bullet"/>
      <w:start w:val="1"/>
    </w:lvl>
  </w:abstractNum>
  <w:abstractNum w:abstractNumId="248">
    <w:nsid w:val="6FE95EAC"/>
    <w:multiLevelType w:val="hybridMultilevel"/>
    <w:lvl w:ilvl="0">
      <w:lvlJc w:val="left"/>
      <w:lvlText w:val="%1."/>
      <w:numFmt w:val="decimal"/>
      <w:start w:val="2"/>
    </w:lvl>
  </w:abstractNum>
  <w:abstractNum w:abstractNumId="249">
    <w:nsid w:val="4B697C7A"/>
    <w:multiLevelType w:val="hybridMultilevel"/>
    <w:lvl w:ilvl="0">
      <w:lvlJc w:val="left"/>
      <w:lvlText w:val="•"/>
      <w:numFmt w:val="bullet"/>
      <w:start w:val="1"/>
    </w:lvl>
  </w:abstractNum>
  <w:abstractNum w:abstractNumId="250">
    <w:nsid w:val="51A27AA6"/>
    <w:multiLevelType w:val="hybridMultilevel"/>
    <w:lvl w:ilvl="0">
      <w:lvlJc w:val="left"/>
      <w:lvlText w:val="•"/>
      <w:numFmt w:val="bullet"/>
      <w:start w:val="1"/>
    </w:lvl>
  </w:abstractNum>
  <w:abstractNum w:abstractNumId="251">
    <w:nsid w:val="613183F2"/>
    <w:multiLevelType w:val="hybridMultilevel"/>
    <w:lvl w:ilvl="0">
      <w:lvlJc w:val="left"/>
      <w:lvlText w:val="•"/>
      <w:numFmt w:val="bullet"/>
      <w:start w:val="1"/>
    </w:lvl>
  </w:abstractNum>
  <w:abstractNum w:abstractNumId="252">
    <w:nsid w:val="634102B4"/>
    <w:multiLevelType w:val="hybridMultilevel"/>
    <w:lvl w:ilvl="0">
      <w:lvlJc w:val="left"/>
      <w:lvlText w:val="%1."/>
      <w:numFmt w:val="decimal"/>
      <w:start w:val="3"/>
    </w:lvl>
  </w:abstractNum>
  <w:abstractNum w:abstractNumId="253">
    <w:nsid w:val="65BF9DA8"/>
    <w:multiLevelType w:val="hybridMultilevel"/>
    <w:lvl w:ilvl="0">
      <w:lvlJc w:val="left"/>
      <w:lvlText w:val="%1."/>
      <w:numFmt w:val="upperLetter"/>
      <w:start w:val="1"/>
    </w:lvl>
    <w:lvl w:ilvl="1">
      <w:lvlJc w:val="left"/>
      <w:lvlText w:val="(%2)"/>
      <w:numFmt w:val="lowerRoman"/>
      <w:start w:val="1"/>
    </w:lvl>
  </w:abstractNum>
  <w:abstractNum w:abstractNumId="254">
    <w:nsid w:val="21A2ECCA"/>
    <w:multiLevelType w:val="hybridMultilevel"/>
    <w:lvl w:ilvl="0">
      <w:lvlJc w:val="left"/>
      <w:lvlText w:val="%1."/>
      <w:numFmt w:val="upperLetter"/>
      <w:start w:val="2"/>
    </w:lvl>
  </w:abstractNum>
  <w:abstractNum w:abstractNumId="255">
    <w:nsid w:val="4D5C4899"/>
    <w:multiLevelType w:val="hybridMultilevel"/>
    <w:lvl w:ilvl="0">
      <w:lvlJc w:val="left"/>
      <w:lvlText w:val="•"/>
      <w:numFmt w:val="bullet"/>
      <w:start w:val="1"/>
    </w:lvl>
  </w:abstractNum>
  <w:abstractNum w:abstractNumId="256">
    <w:nsid w:val="3C3B72B2"/>
    <w:multiLevelType w:val="hybridMultilevel"/>
    <w:lvl w:ilvl="0">
      <w:lvlJc w:val="left"/>
      <w:lvlText w:val="(%1)"/>
      <w:numFmt w:val="decimal"/>
      <w:start w:val="5"/>
    </w:lvl>
  </w:abstractNum>
  <w:abstractNum w:abstractNumId="257">
    <w:nsid w:val="155EC4C2"/>
    <w:multiLevelType w:val="hybridMultilevel"/>
    <w:lvl w:ilvl="0">
      <w:lvlJc w:val="left"/>
      <w:lvlText w:val="%1."/>
      <w:numFmt w:val="upperLetter"/>
      <w:start w:val="5"/>
    </w:lvl>
  </w:abstractNum>
  <w:abstractNum w:abstractNumId="258">
    <w:nsid w:val="65D2A137"/>
    <w:multiLevelType w:val="hybridMultilevel"/>
    <w:lvl w:ilvl="0">
      <w:lvlJc w:val="left"/>
      <w:lvlText w:val="%1."/>
      <w:numFmt w:val="decimal"/>
      <w:start w:val="4"/>
    </w:lvl>
  </w:abstractNum>
  <w:abstractNum w:abstractNumId="259">
    <w:nsid w:val="6EBB1F2A"/>
    <w:multiLevelType w:val="hybridMultilevel"/>
    <w:lvl w:ilvl="0">
      <w:lvlJc w:val="left"/>
      <w:lvlText w:val="•"/>
      <w:numFmt w:val="bullet"/>
      <w:start w:val="1"/>
    </w:lvl>
  </w:abstractNum>
  <w:abstractNum w:abstractNumId="260">
    <w:nsid w:val="6FBF29CB"/>
    <w:multiLevelType w:val="hybridMultilevel"/>
    <w:lvl w:ilvl="0">
      <w:lvlJc w:val="left"/>
      <w:lvlText w:val="%1."/>
      <w:numFmt w:val="decimal"/>
      <w:start w:val="5"/>
    </w:lvl>
  </w:abstractNum>
  <w:abstractNum w:abstractNumId="261">
    <w:nsid w:val="550B8808"/>
    <w:multiLevelType w:val="hybridMultilevel"/>
    <w:lvl w:ilvl="0">
      <w:lvlJc w:val="left"/>
      <w:lvlText w:val="%1."/>
      <w:numFmt w:val="decimal"/>
      <w:start w:val="6"/>
    </w:lvl>
  </w:abstractNum>
  <w:abstractNum w:abstractNumId="262">
    <w:nsid w:val="34CC3ACF"/>
    <w:multiLevelType w:val="hybridMultilevel"/>
    <w:lvl w:ilvl="0">
      <w:lvlJc w:val="left"/>
      <w:lvlText w:val="%1."/>
      <w:numFmt w:val="decimal"/>
      <w:start w:val="7"/>
    </w:lvl>
  </w:abstractNum>
  <w:abstractNum w:abstractNumId="263">
    <w:nsid w:val="4E556261"/>
    <w:multiLevelType w:val="hybridMultilevel"/>
    <w:lvl w:ilvl="0">
      <w:lvlJc w:val="left"/>
      <w:lvlText w:val="%1."/>
      <w:numFmt w:val="decimal"/>
      <w:start w:val="8"/>
    </w:lvl>
  </w:abstractNum>
  <w:abstractNum w:abstractNumId="264">
    <w:nsid w:val="4C672FC9"/>
    <w:multiLevelType w:val="hybridMultilevel"/>
    <w:lvl w:ilvl="0">
      <w:lvlJc w:val="left"/>
      <w:lvlText w:val="%1."/>
      <w:numFmt w:val="decimal"/>
      <w:start w:val="9"/>
    </w:lvl>
  </w:abstractNum>
  <w:abstractNum w:abstractNumId="265">
    <w:nsid w:val="52A311C3"/>
    <w:multiLevelType w:val="hybridMultilevel"/>
    <w:lvl w:ilvl="0">
      <w:lvlJc w:val="left"/>
      <w:lvlText w:val="%1."/>
      <w:numFmt w:val="decimal"/>
      <w:start w:val="10"/>
    </w:lvl>
  </w:abstractNum>
  <w:abstractNum w:abstractNumId="266">
    <w:nsid w:val="44EF6B80"/>
    <w:multiLevelType w:val="hybridMultilevel"/>
    <w:lvl w:ilvl="0">
      <w:lvlJc w:val="left"/>
      <w:lvlText w:val="%1."/>
      <w:numFmt w:val="decimal"/>
      <w:start w:val="11"/>
    </w:lvl>
  </w:abstractNum>
  <w:abstractNum w:abstractNumId="267">
    <w:nsid w:val="12FCDE5E"/>
    <w:multiLevelType w:val="hybridMultilevel"/>
    <w:lvl w:ilvl="0">
      <w:lvlJc w:val="left"/>
      <w:lvlText w:val="%1."/>
      <w:numFmt w:val="decimal"/>
      <w:start w:val="12"/>
    </w:lvl>
  </w:abstractNum>
  <w:abstractNum w:abstractNumId="268">
    <w:nsid w:val="4A1D606E"/>
    <w:multiLevelType w:val="hybridMultilevel"/>
    <w:lvl w:ilvl="0">
      <w:lvlJc w:val="left"/>
      <w:lvlText w:val="%1."/>
      <w:numFmt w:val="decimal"/>
      <w:start w:val="13"/>
    </w:lvl>
  </w:abstractNum>
  <w:abstractNum w:abstractNumId="269">
    <w:nsid w:val="4382503"/>
    <w:multiLevelType w:val="hybridMultilevel"/>
    <w:lvl w:ilvl="0">
      <w:lvlJc w:val="left"/>
      <w:lvlText w:val="%1."/>
      <w:numFmt w:val="decimal"/>
      <w:start w:val="1"/>
    </w:lvl>
    <w:lvl w:ilvl="1">
      <w:lvlJc w:val="left"/>
      <w:lvlText w:val="(%2)"/>
      <w:numFmt w:val="lowerLetter"/>
      <w:start w:val="2"/>
    </w:lvl>
  </w:abstractNum>
  <w:abstractNum w:abstractNumId="270">
    <w:nsid w:val="59B76E28"/>
    <w:multiLevelType w:val="hybridMultilevel"/>
    <w:lvl w:ilvl="0">
      <w:lvlJc w:val="left"/>
      <w:lvlText w:val="%1"/>
      <w:numFmt w:val="decimal"/>
      <w:start w:val="1"/>
    </w:lvl>
    <w:lvl w:ilvl="1">
      <w:lvlJc w:val="left"/>
      <w:lvlText w:val="(%2)"/>
      <w:numFmt w:val="lowerLetter"/>
      <w:start w:val="1"/>
    </w:lvl>
  </w:abstractNum>
  <w:abstractNum w:abstractNumId="271">
    <w:nsid w:val="4252C2DA"/>
    <w:multiLevelType w:val="hybridMultilevel"/>
    <w:lvl w:ilvl="0">
      <w:lvlJc w:val="left"/>
      <w:lvlText w:val="%1."/>
      <w:numFmt w:val="decimal"/>
      <w:start w:val="11"/>
    </w:lvl>
  </w:abstractNum>
  <w:abstractNum w:abstractNumId="272">
    <w:nsid w:val="6A92EF4C"/>
    <w:multiLevelType w:val="hybridMultilevel"/>
    <w:lvl w:ilvl="0">
      <w:lvlJc w:val="left"/>
      <w:lvlText w:val="•"/>
      <w:numFmt w:val="bullet"/>
      <w:start w:val="1"/>
    </w:lvl>
  </w:abstractNum>
  <w:abstractNum w:abstractNumId="273">
    <w:nsid w:val="41ED20D7"/>
    <w:multiLevelType w:val="hybridMultilevel"/>
    <w:lvl w:ilvl="0">
      <w:lvlJc w:val="left"/>
      <w:lvlText w:val="%1."/>
      <w:numFmt w:val="decimal"/>
      <w:start w:val="1"/>
    </w:lvl>
    <w:lvl w:ilvl="1">
      <w:lvlJc w:val="left"/>
      <w:lvlText w:val="%2."/>
      <w:numFmt w:val="lowerLetter"/>
      <w:start w:val="1"/>
    </w:lvl>
  </w:abstractNum>
  <w:abstractNum w:abstractNumId="274">
    <w:nsid w:val="E6B3F6A"/>
    <w:multiLevelType w:val="hybridMultilevel"/>
    <w:lvl w:ilvl="0">
      <w:lvlJc w:val="left"/>
      <w:lvlText w:val="%1."/>
      <w:numFmt w:val="decimal"/>
      <w:start w:val="1"/>
    </w:lvl>
    <w:lvl w:ilvl="1">
      <w:lvlJc w:val="left"/>
      <w:lvlText w:val="%2."/>
      <w:numFmt w:val="lowerLetter"/>
      <w:start w:val="1"/>
    </w:lvl>
  </w:abstractNum>
  <w:abstractNum w:abstractNumId="275">
    <w:nsid w:val="3EB2181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30" Type="http://schemas.openxmlformats.org/officeDocument/2006/relationships/image" Target="media/image109.png"/><Relationship Id="rId136" Type="http://schemas.openxmlformats.org/officeDocument/2006/relationships/image" Target="media/image110.png"/><Relationship Id="rId137" Type="http://schemas.openxmlformats.org/officeDocument/2006/relationships/image" Target="media/image111.png"/><Relationship Id="rId140" Type="http://schemas.openxmlformats.org/officeDocument/2006/relationships/image" Target="media/image112.png"/><Relationship Id="rId141" Type="http://schemas.openxmlformats.org/officeDocument/2006/relationships/image" Target="media/image113.png"/><Relationship Id="rId142" Type="http://schemas.openxmlformats.org/officeDocument/2006/relationships/image" Target="media/image114.png"/><Relationship Id="rId143" Type="http://schemas.openxmlformats.org/officeDocument/2006/relationships/image" Target="media/image115.png"/><Relationship Id="rId144" Type="http://schemas.openxmlformats.org/officeDocument/2006/relationships/image" Target="media/image116.png"/><Relationship Id="rId145" Type="http://schemas.openxmlformats.org/officeDocument/2006/relationships/image" Target="media/image117.png"/><Relationship Id="rId146" Type="http://schemas.openxmlformats.org/officeDocument/2006/relationships/image" Target="media/image118.png"/><Relationship Id="rId147" Type="http://schemas.openxmlformats.org/officeDocument/2006/relationships/image" Target="media/image119.png"/><Relationship Id="rId148" Type="http://schemas.openxmlformats.org/officeDocument/2006/relationships/image" Target="media/image120.png"/><Relationship Id="rId149" Type="http://schemas.openxmlformats.org/officeDocument/2006/relationships/image" Target="media/image121.png"/><Relationship Id="rId150" Type="http://schemas.openxmlformats.org/officeDocument/2006/relationships/image" Target="media/image122.png"/><Relationship Id="rId151" Type="http://schemas.openxmlformats.org/officeDocument/2006/relationships/image" Target="media/image123.png"/><Relationship Id="rId152" Type="http://schemas.openxmlformats.org/officeDocument/2006/relationships/image" Target="media/image124.png"/><Relationship Id="rId153" Type="http://schemas.openxmlformats.org/officeDocument/2006/relationships/image" Target="media/image125.png"/><Relationship Id="rId154" Type="http://schemas.openxmlformats.org/officeDocument/2006/relationships/image" Target="media/image126.png"/><Relationship Id="rId155" Type="http://schemas.openxmlformats.org/officeDocument/2006/relationships/image" Target="media/image127.png"/><Relationship Id="rId156" Type="http://schemas.openxmlformats.org/officeDocument/2006/relationships/image" Target="media/image128.png"/><Relationship Id="rId157" Type="http://schemas.openxmlformats.org/officeDocument/2006/relationships/image" Target="media/image129.png"/><Relationship Id="rId158" Type="http://schemas.openxmlformats.org/officeDocument/2006/relationships/image" Target="media/image130.png"/><Relationship Id="rId159" Type="http://schemas.openxmlformats.org/officeDocument/2006/relationships/image" Target="media/image131.png"/><Relationship Id="rId160" Type="http://schemas.openxmlformats.org/officeDocument/2006/relationships/image" Target="media/image132.png"/><Relationship Id="rId161" Type="http://schemas.openxmlformats.org/officeDocument/2006/relationships/image" Target="media/image133.png"/><Relationship Id="rId162" Type="http://schemas.openxmlformats.org/officeDocument/2006/relationships/image" Target="media/image134.png"/><Relationship Id="rId163" Type="http://schemas.openxmlformats.org/officeDocument/2006/relationships/image" Target="media/image135.png"/><Relationship Id="rId164" Type="http://schemas.openxmlformats.org/officeDocument/2006/relationships/image" Target="media/image136.png"/><Relationship Id="rId165" Type="http://schemas.openxmlformats.org/officeDocument/2006/relationships/image" Target="media/image137.png"/><Relationship Id="rId166" Type="http://schemas.openxmlformats.org/officeDocument/2006/relationships/image" Target="media/image138.png"/><Relationship Id="rId167" Type="http://schemas.openxmlformats.org/officeDocument/2006/relationships/image" Target="media/image139.png"/><Relationship Id="rId168" Type="http://schemas.openxmlformats.org/officeDocument/2006/relationships/image" Target="media/image140.png"/><Relationship Id="rId169" Type="http://schemas.openxmlformats.org/officeDocument/2006/relationships/image" Target="media/image141.png"/><Relationship Id="rId170" Type="http://schemas.openxmlformats.org/officeDocument/2006/relationships/image" Target="media/image142.png"/><Relationship Id="rId171" Type="http://schemas.openxmlformats.org/officeDocument/2006/relationships/image" Target="media/image143.png"/><Relationship Id="rId172" Type="http://schemas.openxmlformats.org/officeDocument/2006/relationships/image" Target="media/image144.png"/><Relationship Id="rId173" Type="http://schemas.openxmlformats.org/officeDocument/2006/relationships/image" Target="media/image145.png"/><Relationship Id="rId174" Type="http://schemas.openxmlformats.org/officeDocument/2006/relationships/image" Target="media/image146.png"/><Relationship Id="rId175" Type="http://schemas.openxmlformats.org/officeDocument/2006/relationships/image" Target="media/image147.png"/><Relationship Id="rId176" Type="http://schemas.openxmlformats.org/officeDocument/2006/relationships/image" Target="media/image148.png"/><Relationship Id="rId177" Type="http://schemas.openxmlformats.org/officeDocument/2006/relationships/image" Target="media/image149.png"/><Relationship Id="rId178" Type="http://schemas.openxmlformats.org/officeDocument/2006/relationships/image" Target="media/image150.png"/><Relationship Id="rId179" Type="http://schemas.openxmlformats.org/officeDocument/2006/relationships/image" Target="media/image151.png"/><Relationship Id="rId180" Type="http://schemas.openxmlformats.org/officeDocument/2006/relationships/image" Target="media/image152.png"/><Relationship Id="rId181" Type="http://schemas.openxmlformats.org/officeDocument/2006/relationships/image" Target="media/image153.png"/><Relationship Id="rId182" Type="http://schemas.openxmlformats.org/officeDocument/2006/relationships/image" Target="media/image154.png"/><Relationship Id="rId183" Type="http://schemas.openxmlformats.org/officeDocument/2006/relationships/image" Target="media/image155.png"/><Relationship Id="rId184" Type="http://schemas.openxmlformats.org/officeDocument/2006/relationships/image" Target="media/image156.png"/><Relationship Id="rId185" Type="http://schemas.openxmlformats.org/officeDocument/2006/relationships/image" Target="media/image157.png"/><Relationship Id="rId186" Type="http://schemas.openxmlformats.org/officeDocument/2006/relationships/image" Target="media/image158.png"/><Relationship Id="rId187" Type="http://schemas.openxmlformats.org/officeDocument/2006/relationships/image" Target="media/image159.png"/><Relationship Id="rId188" Type="http://schemas.openxmlformats.org/officeDocument/2006/relationships/image" Target="media/image160.png"/><Relationship Id="rId189" Type="http://schemas.openxmlformats.org/officeDocument/2006/relationships/image" Target="media/image161.png"/><Relationship Id="rId190" Type="http://schemas.openxmlformats.org/officeDocument/2006/relationships/image" Target="media/image162.png"/><Relationship Id="rId191" Type="http://schemas.openxmlformats.org/officeDocument/2006/relationships/image" Target="media/image163.png"/><Relationship Id="rId192" Type="http://schemas.openxmlformats.org/officeDocument/2006/relationships/image" Target="media/image164.png"/><Relationship Id="rId193" Type="http://schemas.openxmlformats.org/officeDocument/2006/relationships/image" Target="media/image165.png"/><Relationship Id="rId194" Type="http://schemas.openxmlformats.org/officeDocument/2006/relationships/image" Target="media/image166.png"/><Relationship Id="rId195" Type="http://schemas.openxmlformats.org/officeDocument/2006/relationships/image" Target="media/image167.png"/><Relationship Id="rId196" Type="http://schemas.openxmlformats.org/officeDocument/2006/relationships/image" Target="media/image168.png"/><Relationship Id="rId197" Type="http://schemas.openxmlformats.org/officeDocument/2006/relationships/image" Target="media/image169.png"/><Relationship Id="rId198" Type="http://schemas.openxmlformats.org/officeDocument/2006/relationships/image" Target="media/image170.png"/><Relationship Id="rId199" Type="http://schemas.openxmlformats.org/officeDocument/2006/relationships/image" Target="media/image171.png"/><Relationship Id="rId200" Type="http://schemas.openxmlformats.org/officeDocument/2006/relationships/image" Target="media/image172.png"/><Relationship Id="rId201" Type="http://schemas.openxmlformats.org/officeDocument/2006/relationships/image" Target="media/image173.png"/><Relationship Id="rId202" Type="http://schemas.openxmlformats.org/officeDocument/2006/relationships/image" Target="media/image174.png"/><Relationship Id="rId203" Type="http://schemas.openxmlformats.org/officeDocument/2006/relationships/image" Target="media/image175.png"/><Relationship Id="rId204" Type="http://schemas.openxmlformats.org/officeDocument/2006/relationships/image" Target="media/image176.png"/><Relationship Id="rId205" Type="http://schemas.openxmlformats.org/officeDocument/2006/relationships/image" Target="media/image177.png"/><Relationship Id="rId206" Type="http://schemas.openxmlformats.org/officeDocument/2006/relationships/image" Target="media/image178.png"/><Relationship Id="rId207" Type="http://schemas.openxmlformats.org/officeDocument/2006/relationships/image" Target="media/image179.png"/><Relationship Id="rId208" Type="http://schemas.openxmlformats.org/officeDocument/2006/relationships/image" Target="media/image180.png"/><Relationship Id="rId209" Type="http://schemas.openxmlformats.org/officeDocument/2006/relationships/image" Target="media/image181.png"/><Relationship Id="rId210" Type="http://schemas.openxmlformats.org/officeDocument/2006/relationships/image" Target="media/image182.png"/><Relationship Id="rId211" Type="http://schemas.openxmlformats.org/officeDocument/2006/relationships/image" Target="media/image183.png"/><Relationship Id="rId212" Type="http://schemas.openxmlformats.org/officeDocument/2006/relationships/image" Target="media/image184.png"/><Relationship Id="rId213" Type="http://schemas.openxmlformats.org/officeDocument/2006/relationships/image" Target="media/image185.png"/><Relationship Id="rId214" Type="http://schemas.openxmlformats.org/officeDocument/2006/relationships/image" Target="media/image186.png"/><Relationship Id="rId215" Type="http://schemas.openxmlformats.org/officeDocument/2006/relationships/image" Target="media/image187.png"/><Relationship Id="rId216" Type="http://schemas.openxmlformats.org/officeDocument/2006/relationships/image" Target="media/image188.png"/><Relationship Id="rId217" Type="http://schemas.openxmlformats.org/officeDocument/2006/relationships/image" Target="media/image189.jpeg"/><Relationship Id="rId218" Type="http://schemas.openxmlformats.org/officeDocument/2006/relationships/image" Target="media/image190.png"/><Relationship Id="rId219" Type="http://schemas.openxmlformats.org/officeDocument/2006/relationships/image" Target="media/image191.png"/><Relationship Id="rId220" Type="http://schemas.openxmlformats.org/officeDocument/2006/relationships/image" Target="media/image192.png"/><Relationship Id="rId221" Type="http://schemas.openxmlformats.org/officeDocument/2006/relationships/image" Target="media/image193.png"/><Relationship Id="rId222" Type="http://schemas.openxmlformats.org/officeDocument/2006/relationships/image" Target="media/image194.png"/><Relationship Id="rId223" Type="http://schemas.openxmlformats.org/officeDocument/2006/relationships/image" Target="media/image195.png"/><Relationship Id="rId224" Type="http://schemas.openxmlformats.org/officeDocument/2006/relationships/image" Target="media/image196.png"/><Relationship Id="rId225" Type="http://schemas.openxmlformats.org/officeDocument/2006/relationships/image" Target="media/image197.png"/><Relationship Id="rId226" Type="http://schemas.openxmlformats.org/officeDocument/2006/relationships/image" Target="media/image198.png"/><Relationship Id="rId227" Type="http://schemas.openxmlformats.org/officeDocument/2006/relationships/image" Target="media/image199.png"/><Relationship Id="rId228" Type="http://schemas.openxmlformats.org/officeDocument/2006/relationships/image" Target="media/image200.png"/><Relationship Id="rId229" Type="http://schemas.openxmlformats.org/officeDocument/2006/relationships/image" Target="media/image201.png"/><Relationship Id="rId230" Type="http://schemas.openxmlformats.org/officeDocument/2006/relationships/image" Target="media/image202.png"/><Relationship Id="rId231" Type="http://schemas.openxmlformats.org/officeDocument/2006/relationships/image" Target="media/image203.png"/><Relationship Id="rId232" Type="http://schemas.openxmlformats.org/officeDocument/2006/relationships/image" Target="media/image204.png"/><Relationship Id="rId233" Type="http://schemas.openxmlformats.org/officeDocument/2006/relationships/image" Target="media/image205.png"/><Relationship Id="rId234" Type="http://schemas.openxmlformats.org/officeDocument/2006/relationships/image" Target="media/image206.jpeg"/><Relationship Id="rId235" Type="http://schemas.openxmlformats.org/officeDocument/2006/relationships/image" Target="media/image207.png"/><Relationship Id="rId236" Type="http://schemas.openxmlformats.org/officeDocument/2006/relationships/image" Target="media/image208.png"/><Relationship Id="rId237" Type="http://schemas.openxmlformats.org/officeDocument/2006/relationships/image" Target="media/image209.png"/><Relationship Id="rId238" Type="http://schemas.openxmlformats.org/officeDocument/2006/relationships/image" Target="media/image210.png"/><Relationship Id="rId239" Type="http://schemas.openxmlformats.org/officeDocument/2006/relationships/image" Target="media/image211.png"/><Relationship Id="rId240" Type="http://schemas.openxmlformats.org/officeDocument/2006/relationships/image" Target="media/image212.png"/><Relationship Id="rId241" Type="http://schemas.openxmlformats.org/officeDocument/2006/relationships/image" Target="media/image213.png"/><Relationship Id="rId242" Type="http://schemas.openxmlformats.org/officeDocument/2006/relationships/image" Target="media/image214.png"/><Relationship Id="rId116" Type="http://schemas.openxmlformats.org/officeDocument/2006/relationships/hyperlink" Target="https://www.sec.gov/Archives/edgar/data/1030894/000110465924051983/tm2411572d2_ex99-2.htm" TargetMode="External"/><Relationship Id="rId117" Type="http://schemas.openxmlformats.org/officeDocument/2006/relationships/hyperlink" Target="https://www.sec.gov/Archives/edgar/data/1030894/000110465924051983/tm2411572d2_ex99-1.htm" TargetMode="External"/><Relationship Id="rId118" Type="http://schemas.openxmlformats.org/officeDocument/2006/relationships/hyperlink" Target="https://www.sec.gov/Archives/edgar/data/1030894/000110465924028621/tm247401d1_ex99-3.htm" TargetMode="External"/><Relationship Id="rId119" Type="http://schemas.openxmlformats.org/officeDocument/2006/relationships/hyperlink" Target="https://www.sec.gov/Archives/edgar/data/1030894/000110465925007666/tm254558d1_ex3-1.htm" TargetMode="External"/><Relationship Id="rId120" Type="http://schemas.openxmlformats.org/officeDocument/2006/relationships/hyperlink" Target="https://www.sec.gov/Archives/edgar/data/1030894/000110465924051983/tm2411572d2_ex99-3.htm" TargetMode="External"/><Relationship Id="rId121" Type="http://schemas.openxmlformats.org/officeDocument/2006/relationships/hyperlink" Target="https://www.sec.gov/Archives/edgar/data/1030894/000110465914050786/a14-16732_1ex99d1.htm" TargetMode="External"/><Relationship Id="rId122" Type="http://schemas.openxmlformats.org/officeDocument/2006/relationships/hyperlink" Target="https://www.sec.gov/Archives/edgar/data/1030894/000110465915054403/a15-16449_1ex99d1.htm" TargetMode="External"/><Relationship Id="rId123" Type="http://schemas.openxmlformats.org/officeDocument/2006/relationships/hyperlink" Target="https://www.sec.gov/Archives/edgar/data/1030894/000104746916010815/a2226636zex-4_5.htm" TargetMode="External"/><Relationship Id="rId124" Type="http://schemas.openxmlformats.org/officeDocument/2006/relationships/hyperlink" Target="https://www.sec.gov/Archives/edgar/data/1030894/000104746917001519/a2230659zex-4_7.htm" TargetMode="External"/><Relationship Id="rId125" Type="http://schemas.openxmlformats.org/officeDocument/2006/relationships/hyperlink" Target="https://www.sec.gov/Archives/edgar/data/1030894/000110465914050786/a14-16732_1ex99d2.htm" TargetMode="External"/><Relationship Id="rId126" Type="http://schemas.openxmlformats.org/officeDocument/2006/relationships/hyperlink" Target="https://www.sec.gov/Archives/edgar/data/1030894/000110465915054403/a15-16449_1ex99d2.htm" TargetMode="External"/><Relationship Id="rId127" Type="http://schemas.openxmlformats.org/officeDocument/2006/relationships/hyperlink" Target="https://www.sec.gov/Archives/edgar/data/1030894/000104746916010815/a2226636zex-4_8.htm" TargetMode="External"/><Relationship Id="rId128" Type="http://schemas.openxmlformats.org/officeDocument/2006/relationships/hyperlink" Target="https://www.sec.gov/Archives/edgar/data/1030894/000104746912009837/a2211520zex-99_d3.htm" TargetMode="External"/><Relationship Id="rId129" Type="http://schemas.openxmlformats.org/officeDocument/2006/relationships/hyperlink" Target="https://www.sec.gov/Archives/edgar/data/1030894/000104746914002389/a2218635zex-4_16.htm" TargetMode="External"/><Relationship Id="rId131" Type="http://schemas.openxmlformats.org/officeDocument/2006/relationships/hyperlink" Target="https://www.sec.gov/Archives/edgar/data/1030894/000104746916010815/a2226636zex-4_22.htm" TargetMode="External"/><Relationship Id="rId132" Type="http://schemas.openxmlformats.org/officeDocument/2006/relationships/hyperlink" Target="https://www.sec.gov/Archives/edgar/data/1030894/000162828019002735/exhibit427.htm" TargetMode="External"/><Relationship Id="rId133" Type="http://schemas.openxmlformats.org/officeDocument/2006/relationships/hyperlink" Target="https://www.sec.gov/Archives/edgar/data/0001030894/000103089420000010/ex422.htm" TargetMode="External"/><Relationship Id="rId134" Type="http://schemas.openxmlformats.org/officeDocument/2006/relationships/hyperlink" Target="https://www.sec.gov/Archives/edgar/data/1030894/000103089422000008/exhibit4242021.htm" TargetMode="External"/><Relationship Id="rId135" Type="http://schemas.openxmlformats.org/officeDocument/2006/relationships/hyperlink" Target="https://www.sec.gov/Archives/edgar/data/1030894/000103089423000008/exhibit4212022.htm" TargetMode="External"/><Relationship Id="rId138" Type="http://schemas.openxmlformats.org/officeDocument/2006/relationships/hyperlink" Target="https://www.sec.gov/Archives/edgar/data/1030894/000110465924074818/tm2418075d1_ex99-1.htm" TargetMode="External"/><Relationship Id="rId139" Type="http://schemas.openxmlformats.org/officeDocument/2006/relationships/hyperlink" Target="https://www.sec.gov/Archives/edgar/data/1030894/000103089424000009/exhibit971202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2025-03-03T07:24:11Z</dcterms:created>
  <dcterms:modified xsi:type="dcterms:W3CDTF">2025-03-03T07:24:11Z</dcterms:modified>
</cp:coreProperties>
</file>