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MIONIS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37"/>
        <w:gridCol w:w="446"/>
        <w:gridCol w:w="882"/>
        <w:gridCol w:w="1150"/>
        <w:gridCol w:w="988"/>
        <w:gridCol w:w="9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60,044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361.11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59,977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58,841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57,201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57,161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56,501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54,221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51,384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51,161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50,921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374.49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50,841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Three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453,697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210,445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One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145,565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Mionis 2026 GRAT Number Two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plan adopted by the reporting person on March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$360.00-$360.88,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$362.95-$363.62,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$363.99-$364.83,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$366.40-$366.71,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$368.48-$369.41,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transactions at prices ranging from $369.51-$370.45,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in Column 4 is a weighted average price. These shares were sold in multiple transactions at prices ranging from $372.31-$372.84,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in Column 4 is a weighted average price. These shares were sold in multiple transactions at prices ranging from $373.44-$374.42, inclusive.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5655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1262</Words>
  <Characters>6667</Characters>
  <CharactersWithSpaces>7751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