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CASCELLA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366.47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52"/>
        <w:gridCol w:w="44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withholding obligations arising out of the vesting of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common share or an equivalent value in cash at the holder's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30, 2025, the reporting person was granted 157 RSUs, 1/3 of which vest annually over 3 years on the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8713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3498</Characters>
  <CharactersWithSpaces>4063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