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1135d2_8k.htm"/>
      <w:bookmarkStart w:id="1" w:name="kstm2621135d2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C_edei--DocumentType_c202608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Celestica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3770"/>
        <w:gridCol w:w="2300"/>
        <w:gridCol w:w="2885"/>
      </w:tblGrid>
      <w:tr>
        <w:trPr/>
        <w:tc>
          <w:tcPr>
            <w:tcW w:w="3770" w:type="dxa"/>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Ontario, Canada</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805"/>
            <w:bookmarkEnd w:id="6"/>
            <w:r>
              <w:rPr>
                <w:rFonts w:ascii="Times New Roman;Times;Serif" w:hAnsi="Times New Roman;Times;Serif"/>
                <w:b/>
                <w:sz w:val="20"/>
              </w:rPr>
              <w:t>001-14832</w:t>
            </w:r>
          </w:p>
        </w:tc>
        <w:tc>
          <w:tcPr>
            <w:tcW w:w="2885" w:type="dxa"/>
            <w:tcBorders/>
            <w:vAlign w:val="center"/>
          </w:tcPr>
          <w:p>
            <w:pPr>
              <w:pStyle w:val="TableContents"/>
              <w:bidi w:val="0"/>
              <w:spacing w:before="0" w:after="283"/>
              <w:jc w:val="center"/>
              <w:rPr>
                <w:b/>
              </w:rPr>
            </w:pPr>
            <w:bookmarkStart w:id="7" w:name="xdx_907_edei--EntityTaxIdentificationNum"/>
            <w:bookmarkEnd w:id="7"/>
            <w:r>
              <w:rPr>
                <w:b/>
              </w:rPr>
              <w:t>98-0185558</w:t>
            </w:r>
          </w:p>
        </w:tc>
      </w:tr>
      <w:tr>
        <w:trPr/>
        <w:tc>
          <w:tcPr>
            <w:tcW w:w="37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 incorporation)</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4040"/>
        <w:gridCol w:w="60"/>
        <w:gridCol w:w="1145"/>
      </w:tblGrid>
      <w:tr>
        <w:trPr/>
        <w:tc>
          <w:tcPr>
            <w:tcW w:w="4040" w:type="dxa"/>
            <w:tcBorders/>
            <w:vAlign w:val="center"/>
          </w:tcPr>
          <w:p>
            <w:pPr>
              <w:pStyle w:val="TableContents"/>
              <w:bidi w:val="0"/>
              <w:spacing w:before="0" w:after="283"/>
              <w:jc w:val="center"/>
              <w:rPr/>
            </w:pPr>
            <w:bookmarkStart w:id="8" w:name="xdx_909_edei--EntityAddressAddressLine1_"/>
            <w:bookmarkEnd w:id="8"/>
            <w:r>
              <w:rPr>
                <w:b/>
              </w:rPr>
              <w:t xml:space="preserve">5140 Yonge Street, </w:t>
            </w:r>
            <w:bookmarkStart w:id="9" w:name="xdx_901_edei--EntityAddressAddressLine2_"/>
            <w:bookmarkEnd w:id="9"/>
            <w:r>
              <w:rPr>
                <w:b/>
              </w:rPr>
              <w:t xml:space="preserve">Suite 1900 </w:t>
            </w:r>
            <w:r>
              <w:rPr/>
              <w:br/>
            </w:r>
            <w:bookmarkStart w:id="10" w:name="xdx_908_edei--EntityAddressCityOrTown_c2"/>
            <w:bookmarkEnd w:id="10"/>
            <w:r>
              <w:rPr>
                <w:b/>
              </w:rPr>
              <w:t xml:space="preserve">Toronto, </w:t>
            </w:r>
            <w:bookmarkStart w:id="11" w:name="xdx_90F_edei--EntityAddressStateOrProvin"/>
            <w:bookmarkEnd w:id="11"/>
            <w:r>
              <w:rPr>
                <w:b/>
              </w:rPr>
              <w:t xml:space="preserve">Ontario, </w:t>
            </w:r>
            <w:bookmarkStart w:id="12" w:name="xdx_90A_edei--EntityAddressCountry_c2026"/>
            <w:bookmarkEnd w:id="12"/>
            <w:r>
              <w:rPr>
                <w:b/>
              </w:rPr>
              <w:t>Canada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bookmarkStart w:id="13" w:name="xdx_907_edei--EntityAddressPostalZipCode"/>
            <w:bookmarkEnd w:id="13"/>
            <w:r>
              <w:rPr>
                <w:b/>
              </w:rPr>
              <w:t>M2N 6L7</w:t>
            </w:r>
          </w:p>
        </w:tc>
      </w:tr>
      <w:tr>
        <w:trPr/>
        <w:tc>
          <w:tcPr>
            <w:tcW w:w="4040" w:type="dxa"/>
            <w:tcBorders/>
            <w:vAlign w:val="center"/>
          </w:tcPr>
          <w:p>
            <w:pPr>
              <w:pStyle w:val="TableContents"/>
              <w:bidi w:val="0"/>
              <w:spacing w:before="0" w:after="283"/>
              <w:jc w:val="center"/>
              <w:rPr>
                <w:b/>
              </w:rPr>
            </w:pPr>
            <w:r>
              <w:rPr>
                <w:b/>
              </w:rPr>
              <w:t>(Address of principal executive officers)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4" w:name="xdx_908_edei--CityAreaCode_c20260805__20"/>
      <w:bookmarkEnd w:id="14"/>
      <w:r>
        <w:rPr>
          <w:rFonts w:ascii="Times New Roman;Times;Serif" w:hAnsi="Times New Roman;Times;Serif"/>
          <w:b/>
          <w:i w:val="false"/>
          <w:caps w:val="false"/>
          <w:smallCaps w:val="false"/>
          <w:sz w:val="20"/>
        </w:rPr>
        <w:t xml:space="preserve">416) </w:t>
      </w:r>
      <w:bookmarkStart w:id="15" w:name="xdx_90F_edei--LocalPhoneNumber_c20260805"/>
      <w:bookmarkEnd w:id="15"/>
      <w:r>
        <w:rPr>
          <w:rFonts w:ascii="Times New Roman;Times;Serif" w:hAnsi="Times New Roman;Times;Serif"/>
          <w:b/>
          <w:i w:val="false"/>
          <w:caps w:val="false"/>
          <w:smallCaps w:val="false"/>
          <w:sz w:val="20"/>
        </w:rPr>
        <w:t>448-2211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8_edei--WrittenCommunications_c202"/>
            <w:bookmarkEnd w:id="16"/>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4_edei--SolicitingMaterial_c202608"/>
            <w:bookmarkEnd w:id="17"/>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A_edei--PreCommencementTenderOffer"/>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283"/>
              <w:jc w:val="left"/>
              <w:rPr/>
            </w:pPr>
            <w:bookmarkStart w:id="19" w:name="xdx_90B_edei--PreCommencementIssuerTende"/>
            <w:bookmarkEnd w:id="19"/>
            <w:r>
              <w:rPr/>
              <w:t>☐</w:t>
            </w:r>
          </w:p>
        </w:tc>
        <w:tc>
          <w:tcPr>
            <w:tcW w:w="8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2825"/>
        <w:gridCol w:w="60"/>
        <w:gridCol w:w="725"/>
        <w:gridCol w:w="60"/>
        <w:gridCol w:w="3710"/>
      </w:tblGrid>
      <w:tr>
        <w:trPr/>
        <w:tc>
          <w:tcPr>
            <w:tcW w:w="7380"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7380" w:type="dxa"/>
            <w:gridSpan w:val="5"/>
            <w:tcBorders/>
            <w:vAlign w:val="center"/>
          </w:tcPr>
          <w:p>
            <w:pPr>
              <w:pStyle w:val="TableContents"/>
              <w:bidi w:val="0"/>
              <w:spacing w:before="0" w:after="283"/>
              <w:jc w:val="left"/>
              <w:rPr/>
            </w:pPr>
            <w:r>
              <w:rPr/>
              <w:t> </w:t>
            </w:r>
          </w:p>
        </w:tc>
      </w:tr>
      <w:tr>
        <w:trPr/>
        <w:tc>
          <w:tcPr>
            <w:tcW w:w="28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r>
          </w:p>
        </w:tc>
        <w:tc>
          <w:tcPr>
            <w:tcW w:w="60" w:type="dxa"/>
            <w:tcBorders/>
            <w:vAlign w:val="center"/>
          </w:tcPr>
          <w:p>
            <w:pPr>
              <w:pStyle w:val="TableContents"/>
              <w:bidi w:val="0"/>
              <w:spacing w:before="0" w:after="283"/>
              <w:jc w:val="left"/>
              <w:rPr/>
            </w:pPr>
            <w:r>
              <w:rPr/>
              <w:t> </w:t>
            </w:r>
          </w:p>
        </w:tc>
        <w:tc>
          <w:tcPr>
            <w:tcW w:w="3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825" w:type="dxa"/>
            <w:tcBorders/>
            <w:vAlign w:val="center"/>
          </w:tcPr>
          <w:p>
            <w:pPr>
              <w:pStyle w:val="TableContents"/>
              <w:bidi w:val="0"/>
              <w:spacing w:before="0" w:after="283"/>
              <w:jc w:val="center"/>
              <w:rPr>
                <w:rFonts w:ascii="Times New Roman;Times;Serif" w:hAnsi="Times New Roman;Times;Serif"/>
                <w:sz w:val="20"/>
              </w:rPr>
            </w:pPr>
            <w:bookmarkStart w:id="20" w:name="xdx_903_edei--Security12bTitle_c20260805"/>
            <w:bookmarkEnd w:id="20"/>
            <w:r>
              <w:rPr>
                <w:rFonts w:ascii="Times New Roman;Times;Serif" w:hAnsi="Times New Roman;Times;Serif"/>
                <w:sz w:val="20"/>
              </w:rPr>
              <w:t>Common Shares without par value</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bookmarkStart w:id="21" w:name="xdx_90C_edei--TradingSymbol_c20260805__2"/>
            <w:bookmarkEnd w:id="21"/>
            <w:r>
              <w:rPr>
                <w:rFonts w:ascii="Times New Roman;Times;Serif" w:hAnsi="Times New Roman;Times;Serif"/>
                <w:sz w:val="20"/>
              </w:rPr>
              <w:t>CLS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sz w:val="20"/>
              </w:rPr>
            </w:pPr>
            <w:bookmarkStart w:id="22" w:name="xdx_90D_edei--SecurityExchangeName_c2026"/>
            <w:bookmarkEnd w:id="22"/>
            <w:r>
              <w:rPr>
                <w:rFonts w:ascii="Times New Roman;Times;Serif" w:hAnsi="Times New Roman;Times;Serif"/>
                <w:sz w:val="20"/>
              </w:rPr>
              <w:t>New York Stock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040"/>
        <w:gridCol w:w="4475"/>
      </w:tblGrid>
      <w:tr>
        <w:trPr/>
        <w:tc>
          <w:tcPr>
            <w:tcW w:w="104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Celestica Inc. (the “Company”) entered into an underwriting agreement (the “Underwriting Agreement”) with Citigroup Global Markets Inc., BofA Securities, Inc. and TD Securities Inc., as representatives of the several underwriters named therein (collectively, the “Underwriters”), in connection with the offering, issuance and sale by the Company of 9,677,419 common shares, without par value, of the Company (the “Common Shares”), at an offering price of $310.00 per Common Share (the “Offering”). In addition, under the terms of the Underwriting Agreement, the Company granted the Underwriters the option, for 30 days, to purchase up to 1,451,612 Common Shares at the offering price, which the Underwriters exercised in full on August 6, 2026. The Offering was made pursuant to a registration statement on Form S-3 (Registration No. 333-285515) filed on March 3, 2025, including a base prospectus contained therein, and a prospectus supplement dated August 5, 2026. The Company estimates the net proceeds from the Offering will be approximately $3.39 billion, after deducting underwriting discounts and commissions and estimated offering expenses payable by the Company. The Company intends to use the net proceeds of the Offering for working capital and to support investments in capital expenditures, in addition to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foregoing descriptions of the Underwriting Agreement are not complete and are qualified in their entirety by reference to the full text of the Underwriting Agreement, a copy of which is filed as Exhibit 1.1 to this Current Report on Form 8-K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Blake, Cassels &amp; Graydon LLP, Canadian counsel to the Company, has issued an opinion regarding the validity of the foregoing securities offered and sold in the Offering, a copy of which is filed as Exhibit 5.1 hereto.</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921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2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921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1135d2_ex1-1.htm">
              <w:r>
                <w:rPr>
                  <w:rStyle w:val="InternetLink"/>
                  <w:rFonts w:ascii="Times New Roman;Times;Serif" w:hAnsi="Times New Roman;Times;Serif"/>
                  <w:sz w:val="20"/>
                </w:rPr>
                <w:t>1.1</w:t>
              </w:r>
            </w:hyperlink>
          </w:p>
        </w:tc>
        <w:tc>
          <w:tcPr>
            <w:tcW w:w="9210" w:type="dxa"/>
            <w:tcBorders/>
            <w:vAlign w:val="center"/>
          </w:tcPr>
          <w:p>
            <w:pPr>
              <w:pStyle w:val="TableContents"/>
              <w:bidi w:val="0"/>
              <w:spacing w:before="0" w:after="283"/>
              <w:jc w:val="left"/>
              <w:rPr/>
            </w:pPr>
            <w:hyperlink w:anchor="tm2621135d2_ex1-1.htm">
              <w:r>
                <w:rPr>
                  <w:rStyle w:val="InternetLink"/>
                  <w:rFonts w:ascii="Times New Roman;Times;Serif" w:hAnsi="Times New Roman;Times;Serif"/>
                  <w:sz w:val="20"/>
                </w:rPr>
                <w:t>Underwriting Agreement, dated as of August 5, 2026, between Celestica Inc. and Citigroup Global Markets Inc., BofA Securities, Inc. and TD Securities Inc., as representatives of the several underwriters named therein</w:t>
              </w:r>
            </w:hyperlink>
          </w:p>
        </w:tc>
      </w:tr>
      <w:tr>
        <w:trPr/>
        <w:tc>
          <w:tcPr>
            <w:tcW w:w="995" w:type="dxa"/>
            <w:tcBorders/>
            <w:vAlign w:val="center"/>
          </w:tcPr>
          <w:p>
            <w:pPr>
              <w:pStyle w:val="TableContents"/>
              <w:bidi w:val="0"/>
              <w:spacing w:before="0" w:after="283"/>
              <w:jc w:val="left"/>
              <w:rPr/>
            </w:pPr>
            <w:r>
              <w:rPr/>
              <w:t> </w:t>
            </w:r>
          </w:p>
        </w:tc>
        <w:tc>
          <w:tcPr>
            <w:tcW w:w="921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1135d2_ex5-1.htm">
              <w:r>
                <w:rPr>
                  <w:rStyle w:val="InternetLink"/>
                  <w:rFonts w:ascii="Times New Roman;Times;Serif" w:hAnsi="Times New Roman;Times;Serif"/>
                  <w:sz w:val="20"/>
                </w:rPr>
                <w:t>5.1</w:t>
              </w:r>
            </w:hyperlink>
          </w:p>
        </w:tc>
        <w:tc>
          <w:tcPr>
            <w:tcW w:w="9210" w:type="dxa"/>
            <w:tcBorders/>
            <w:vAlign w:val="center"/>
          </w:tcPr>
          <w:p>
            <w:pPr>
              <w:pStyle w:val="TableContents"/>
              <w:bidi w:val="0"/>
              <w:spacing w:before="0" w:after="283"/>
              <w:jc w:val="left"/>
              <w:rPr/>
            </w:pPr>
            <w:hyperlink w:anchor="tm2621135d2_ex5-1.htm">
              <w:r>
                <w:rPr>
                  <w:rStyle w:val="InternetLink"/>
                  <w:rFonts w:ascii="Times New Roman;Times;Serif" w:hAnsi="Times New Roman;Times;Serif"/>
                  <w:sz w:val="20"/>
                </w:rPr>
                <w:t>Opinion of Blake, Cassels &amp; Graydon LLP</w:t>
              </w:r>
            </w:hyperlink>
          </w:p>
        </w:tc>
      </w:tr>
      <w:tr>
        <w:trPr/>
        <w:tc>
          <w:tcPr>
            <w:tcW w:w="995" w:type="dxa"/>
            <w:tcBorders/>
            <w:vAlign w:val="center"/>
          </w:tcPr>
          <w:p>
            <w:pPr>
              <w:pStyle w:val="TableContents"/>
              <w:bidi w:val="0"/>
              <w:spacing w:before="0" w:after="283"/>
              <w:jc w:val="left"/>
              <w:rPr/>
            </w:pPr>
            <w:r>
              <w:rPr/>
              <w:t> </w:t>
            </w:r>
          </w:p>
        </w:tc>
        <w:tc>
          <w:tcPr>
            <w:tcW w:w="921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1135d2_ex23-1.htm">
              <w:r>
                <w:rPr>
                  <w:rStyle w:val="InternetLink"/>
                  <w:rFonts w:ascii="Times New Roman;Times;Serif" w:hAnsi="Times New Roman;Times;Serif"/>
                  <w:sz w:val="20"/>
                </w:rPr>
                <w:t>23.1</w:t>
              </w:r>
            </w:hyperlink>
          </w:p>
        </w:tc>
        <w:tc>
          <w:tcPr>
            <w:tcW w:w="9210" w:type="dxa"/>
            <w:tcBorders/>
            <w:vAlign w:val="center"/>
          </w:tcPr>
          <w:p>
            <w:pPr>
              <w:pStyle w:val="TableContents"/>
              <w:bidi w:val="0"/>
              <w:spacing w:before="0" w:after="283"/>
              <w:jc w:val="left"/>
              <w:rPr/>
            </w:pPr>
            <w:hyperlink w:anchor="tm2621135d2_ex23-1.htm">
              <w:r>
                <w:rPr>
                  <w:rStyle w:val="InternetLink"/>
                  <w:rFonts w:ascii="Times New Roman;Times;Serif" w:hAnsi="Times New Roman;Times;Serif"/>
                  <w:sz w:val="20"/>
                </w:rPr>
                <w:t>Consent of Blake, Cassels &amp; Graydon LLP</w:t>
              </w:r>
            </w:hyperlink>
          </w:p>
        </w:tc>
      </w:tr>
      <w:tr>
        <w:trPr/>
        <w:tc>
          <w:tcPr>
            <w:tcW w:w="995" w:type="dxa"/>
            <w:tcBorders/>
            <w:vAlign w:val="center"/>
          </w:tcPr>
          <w:p>
            <w:pPr>
              <w:pStyle w:val="TableContents"/>
              <w:bidi w:val="0"/>
              <w:spacing w:before="0" w:after="283"/>
              <w:jc w:val="left"/>
              <w:rPr/>
            </w:pPr>
            <w:r>
              <w:rPr/>
              <w:t> </w:t>
            </w:r>
          </w:p>
        </w:tc>
        <w:tc>
          <w:tcPr>
            <w:tcW w:w="921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1760"/>
        <w:gridCol w:w="320"/>
        <w:gridCol w:w="590"/>
        <w:gridCol w:w="3590"/>
      </w:tblGrid>
      <w:tr>
        <w:trPr/>
        <w:tc>
          <w:tcPr>
            <w:tcW w:w="1760" w:type="dxa"/>
            <w:tcBorders/>
            <w:vAlign w:val="center"/>
          </w:tcPr>
          <w:p>
            <w:pPr>
              <w:pStyle w:val="TableContents"/>
              <w:bidi w:val="0"/>
              <w:spacing w:before="0" w:after="283"/>
              <w:jc w:val="left"/>
              <w:rPr/>
            </w:pPr>
            <w:r>
              <w:rPr/>
              <w:t> </w:t>
            </w:r>
          </w:p>
        </w:tc>
        <w:tc>
          <w:tcPr>
            <w:tcW w:w="4500"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Celestica Inc.</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7, 2026</w:t>
            </w:r>
          </w:p>
        </w:tc>
        <w:tc>
          <w:tcPr>
            <w:tcW w:w="320"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8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Douglas Parker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Douglas Parker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1135d2_ex1-1.htm"/>
      <w:bookmarkStart w:id="25" w:name="kstm2621135d2_ex11"/>
      <w:bookmarkEnd w:id="24"/>
      <w:bookmarkEnd w:id="25"/>
      <w:r>
        <w:rPr/>
        <w:t> </w:t>
      </w:r>
      <w:r>
        <w:br w:type="page"/>
      </w:r>
    </w:p>
    <w:p>
      <w:pPr>
        <w:pStyle w:val="TextBody"/>
        <w:bidi w:val="0"/>
        <w:jc w:val="right"/>
        <w:rPr>
          <w:sz w:val="20"/>
        </w:rPr>
      </w:pPr>
      <w:r>
        <w:rPr>
          <w:b/>
          <w:sz w:val="20"/>
        </w:rPr>
        <w:t>Exhibit 1.1</w:t>
      </w:r>
      <w:r>
        <w:rPr>
          <w:sz w:val="20"/>
        </w:rPr>
        <w:t> </w:t>
      </w:r>
    </w:p>
    <w:p>
      <w:pPr>
        <w:pStyle w:val="TextBody"/>
        <w:bidi w:val="0"/>
        <w:spacing w:before="0" w:after="283"/>
        <w:jc w:val="left"/>
        <w:rPr/>
      </w:pPr>
      <w:r>
        <w:rPr/>
        <w:t> </w:t>
      </w:r>
    </w:p>
    <w:p>
      <w:pPr>
        <w:pStyle w:val="TextBody"/>
        <w:bidi w:val="0"/>
        <w:jc w:val="right"/>
        <w:rPr>
          <w:b/>
          <w:sz w:val="20"/>
        </w:rPr>
      </w:pPr>
      <w:r>
        <w:rPr>
          <w:b/>
          <w:sz w:val="20"/>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Celestica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br/>
        <w:t>One Bryant Park</w:t>
        <w:b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Tower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Wellington Street West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 M5K 1A2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Celestica Inc., an Ontario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proposes, subject to the terms and conditions stated herein, to issue and sell to the Underwriters named in Schedule I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which term shall also include affiliates of such Underwriters and any underwriter substituted as hereafter provided in Section 10 hereof), an aggregate of 9,677,419 common shares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 of the Company. The Company has also agreed to grant to the Underwriters an option (the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to purchase up to an additional 1,451,612 common shares (the “</w:t>
      </w:r>
      <w:r>
        <w:rPr>
          <w:rFonts w:ascii="Times New Roman;Times;Serif" w:hAnsi="Times New Roman;Times;Serif"/>
          <w:b/>
          <w:i w:val="false"/>
          <w:caps w:val="false"/>
          <w:smallCaps w:val="false"/>
          <w:sz w:val="20"/>
        </w:rPr>
        <w:t>Option Shares</w:t>
      </w:r>
      <w:r>
        <w:rPr>
          <w:rFonts w:ascii="Times New Roman;Times;Serif" w:hAnsi="Times New Roman;Times;Serif"/>
          <w:b w:val="false"/>
          <w:i w:val="false"/>
          <w:caps w:val="false"/>
          <w:smallCaps w:val="false"/>
          <w:sz w:val="20"/>
        </w:rPr>
        <w:t>”) on the terms set forth in Section 3 hereof. The Firm Shares and the Option Shares are hereinafter collectively referred to as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Company represents and warrants to, and agrees with, each of the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The Company meets the requirements for the use of Form S-3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and has prepared and filed an “automatic shelf registration statement” as defined under Rule 405 under the Act on Form S-3ASR (File No. 333-285515) in respect of (among other securities) the Shares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not earlier than three years prior to the date hereof; such registration statement, became effective on filing and no stop order suspending the effectiveness of such registration statement or any part thereof has been issued and no proceeding for that purpose has been instituted or, to the knowledge of the Company, is threatened or contemplated by the Commission, and no notice of objection of the Commission to the use of such registration statement pursuant to Rule 401(g)(2) under the Act has been received by the Company (the base prospectus filed as part of such registration statement, in the form in which it has most recently been filed with the Commission on or prior to the date of this Underwriting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hereinafter called the “</w:t>
      </w:r>
      <w:r>
        <w:rPr>
          <w:rFonts w:ascii="Times New Roman;Times;Serif" w:hAnsi="Times New Roman;Times;Serif"/>
          <w:b/>
          <w:i w:val="false"/>
          <w:caps w:val="false"/>
          <w:smallCaps w:val="false"/>
          <w:sz w:val="20"/>
        </w:rPr>
        <w:t>U.S. Base Prospectus</w:t>
      </w:r>
      <w:r>
        <w:rPr>
          <w:rFonts w:ascii="Times New Roman;Times;Serif" w:hAnsi="Times New Roman;Times;Serif"/>
          <w:b w:val="false"/>
          <w:i w:val="false"/>
          <w:caps w:val="false"/>
          <w:smallCaps w:val="false"/>
          <w:sz w:val="20"/>
        </w:rPr>
        <w:t>”; any preliminary prospectus (including any preliminary prospectus supplement) relating to the Shares filed with the Commission pursuant to Rule 424(b) under the Act is hereinafter called a “</w:t>
      </w:r>
      <w:r>
        <w:rPr>
          <w:rFonts w:ascii="Times New Roman;Times;Serif" w:hAnsi="Times New Roman;Times;Serif"/>
          <w:b/>
          <w:i w:val="false"/>
          <w:caps w:val="false"/>
          <w:smallCaps w:val="false"/>
          <w:sz w:val="20"/>
        </w:rPr>
        <w:t>U.S. Preliminary Prospectus</w:t>
      </w:r>
      <w:r>
        <w:rPr>
          <w:rFonts w:ascii="Times New Roman;Times;Serif" w:hAnsi="Times New Roman;Times;Serif"/>
          <w:b w:val="false"/>
          <w:i w:val="false"/>
          <w:caps w:val="false"/>
          <w:smallCaps w:val="false"/>
          <w:sz w:val="20"/>
        </w:rPr>
        <w:t>”; the various parts of such registration statement, including all exhibits thereto and including any prospectus supplement relating to the Shares that is filed with the Commission and deemed by virtue of Rule 430B under the Act, to be part of such registration statement, each as amended at the time such part of the registration statement became effective, are hereinafter collectively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the U.S. Base Prospectus, as amended and supplemented immediately prior to the Applicable Time (as defined in Section 1(a)(iv) hereof), is hereinafter called the “</w:t>
      </w:r>
      <w:r>
        <w:rPr>
          <w:rFonts w:ascii="Times New Roman;Times;Serif" w:hAnsi="Times New Roman;Times;Serif"/>
          <w:b/>
          <w:i w:val="false"/>
          <w:caps w:val="false"/>
          <w:smallCaps w:val="false"/>
          <w:sz w:val="20"/>
        </w:rPr>
        <w:t>U.S. Pricing Prospectus</w:t>
      </w:r>
      <w:r>
        <w:rPr>
          <w:rFonts w:ascii="Times New Roman;Times;Serif" w:hAnsi="Times New Roman;Times;Serif"/>
          <w:b w:val="false"/>
          <w:i w:val="false"/>
          <w:caps w:val="false"/>
          <w:smallCaps w:val="false"/>
          <w:sz w:val="20"/>
        </w:rPr>
        <w:t>”; the form of the final prospectus relating to the Shares filed with the Commission pursuant to Rule 424(b) under the Act in accordance with Section 5(a) hereof is hereinafter called the “</w:t>
      </w:r>
      <w:r>
        <w:rPr>
          <w:rFonts w:ascii="Times New Roman;Times;Serif" w:hAnsi="Times New Roman;Times;Serif"/>
          <w:b/>
          <w:i w:val="false"/>
          <w:caps w:val="false"/>
          <w:smallCaps w:val="false"/>
          <w:sz w:val="20"/>
        </w:rPr>
        <w:t>U.S. Prospectus</w:t>
      </w:r>
      <w:r>
        <w:rPr>
          <w:rFonts w:ascii="Times New Roman;Times;Serif" w:hAnsi="Times New Roman;Times;Serif"/>
          <w:b w:val="false"/>
          <w:i w:val="false"/>
          <w:caps w:val="false"/>
          <w:smallCaps w:val="false"/>
          <w:sz w:val="20"/>
        </w:rPr>
        <w:t>”; any reference herein to the U.S. Base Prospectus, the U.S. Pricing Prospectus, any U.S. Preliminary Prospectus or the U.S. Prospectus shall be deemed to refer to and include the documents incorporated by reference therein pursuant to Item 12 of Form S-3 under the Act, as of the date of such prospectus; any reference to any amendment or supplement to the U.S. Base Prospectus, any U.S. Preliminary Prospectus or the U.S.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incorporated by reference therein, in each case after the date of the U.S. Base Prospectus, such U.S. Preliminary Prospectus, or the U.S.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“issuer free writing prospectus” as defined in Rule 433 under the Act relating to the Shares is hereinafter called an “</w:t>
      </w:r>
      <w:r>
        <w:rPr>
          <w:rFonts w:ascii="Times New Roman;Times;Serif" w:hAnsi="Times New Roman;Times;Serif"/>
          <w:b/>
          <w:i w:val="false"/>
          <w:caps w:val="false"/>
          <w:smallCaps w:val="false"/>
          <w:sz w:val="20"/>
        </w:rPr>
        <w:t>Issuer Free Writing 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final short form base shelf prospectus for each of the provinces and territories of Canada, in the English and French languages, has been filed in accordance with National Instrument 44-101 – </w:t>
      </w:r>
      <w:r>
        <w:rPr>
          <w:rFonts w:ascii="Times New Roman;Times;Serif" w:hAnsi="Times New Roman;Times;Serif"/>
          <w:b w:val="false"/>
          <w:i/>
          <w:caps w:val="false"/>
          <w:smallCaps w:val="false"/>
          <w:sz w:val="20"/>
        </w:rPr>
        <w:t>Short Form Prospectus Distributions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NI 44-101</w:t>
      </w:r>
      <w:r>
        <w:rPr>
          <w:rFonts w:ascii="Times New Roman;Times;Serif" w:hAnsi="Times New Roman;Times;Serif"/>
          <w:b w:val="false"/>
          <w:i w:val="false"/>
          <w:caps w:val="false"/>
          <w:smallCaps w:val="false"/>
          <w:sz w:val="20"/>
        </w:rPr>
        <w:t xml:space="preserve">”), National Instrument 44-102 – </w:t>
      </w:r>
      <w:r>
        <w:rPr>
          <w:rFonts w:ascii="Times New Roman;Times;Serif" w:hAnsi="Times New Roman;Times;Serif"/>
          <w:b w:val="false"/>
          <w:i/>
          <w:caps w:val="false"/>
          <w:smallCaps w:val="false"/>
          <w:sz w:val="20"/>
        </w:rPr>
        <w:t>Shelf Distributions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NI 44-102</w:t>
      </w:r>
      <w:r>
        <w:rPr>
          <w:rFonts w:ascii="Times New Roman;Times;Serif" w:hAnsi="Times New Roman;Times;Serif"/>
          <w:b w:val="false"/>
          <w:i w:val="false"/>
          <w:caps w:val="false"/>
          <w:smallCaps w:val="false"/>
          <w:sz w:val="20"/>
        </w:rPr>
        <w:t xml:space="preserve">”), OSC Rule 44-503 – </w:t>
      </w:r>
      <w:r>
        <w:rPr>
          <w:rFonts w:ascii="Times New Roman;Times;Serif" w:hAnsi="Times New Roman;Times;Serif"/>
          <w:b w:val="false"/>
          <w:i/>
          <w:caps w:val="false"/>
          <w:smallCaps w:val="false"/>
          <w:sz w:val="20"/>
        </w:rPr>
        <w:t>Exemption from Certain Prospectus Requirements for Well-known Seasoned Issuers</w:t>
      </w:r>
      <w:r>
        <w:rPr>
          <w:rFonts w:ascii="Times New Roman;Times;Serif" w:hAnsi="Times New Roman;Times;Serif"/>
          <w:b w:val="false"/>
          <w:i w:val="false"/>
          <w:caps w:val="false"/>
          <w:smallCaps w:val="false"/>
          <w:sz w:val="20"/>
        </w:rPr>
        <w:t xml:space="preserve"> and, as the context requires, each of the other local blanket orders of the Canadian Securities Commissions referred to in the Canadian Securities Administrators’ Staff Notice 44-306 – </w:t>
      </w:r>
      <w:r>
        <w:rPr>
          <w:rFonts w:ascii="Times New Roman;Times;Serif" w:hAnsi="Times New Roman;Times;Serif"/>
          <w:b w:val="false"/>
          <w:i/>
          <w:caps w:val="false"/>
          <w:smallCaps w:val="false"/>
          <w:sz w:val="20"/>
        </w:rPr>
        <w:t>Blanket Orders Exempting Well-known Seasoned Issuers from Certain Prospectus Requirements</w:t>
      </w:r>
      <w:r>
        <w:rPr>
          <w:rFonts w:ascii="Times New Roman;Times;Serif" w:hAnsi="Times New Roman;Times;Serif"/>
          <w:b w:val="false"/>
          <w:i w:val="false"/>
          <w:caps w:val="false"/>
          <w:smallCaps w:val="false"/>
          <w:sz w:val="20"/>
        </w:rPr>
        <w:t>, as previously extended, amended or varied (collectively, the “</w:t>
      </w:r>
      <w:r>
        <w:rPr>
          <w:rFonts w:ascii="Times New Roman;Times;Serif" w:hAnsi="Times New Roman;Times;Serif"/>
          <w:b/>
          <w:i w:val="false"/>
          <w:caps w:val="false"/>
          <w:smallCaps w:val="false"/>
          <w:sz w:val="20"/>
        </w:rPr>
        <w:t>WKSI Blanket Orders</w:t>
      </w:r>
      <w:r>
        <w:rPr>
          <w:rFonts w:ascii="Times New Roman;Times;Serif" w:hAnsi="Times New Roman;Times;Serif"/>
          <w:b w:val="false"/>
          <w:i w:val="false"/>
          <w:caps w:val="false"/>
          <w:smallCaps w:val="false"/>
          <w:sz w:val="20"/>
        </w:rPr>
        <w:t>”) and a decision of the Autorité des marchés financiers dated April 24, 2025, with the Ontario Securities Commission (the “</w:t>
      </w:r>
      <w:r>
        <w:rPr>
          <w:rFonts w:ascii="Times New Roman;Times;Serif" w:hAnsi="Times New Roman;Times;Serif"/>
          <w:b/>
          <w:i w:val="false"/>
          <w:caps w:val="false"/>
          <w:smallCaps w:val="false"/>
          <w:sz w:val="20"/>
        </w:rPr>
        <w:t>OSC</w:t>
      </w:r>
      <w:r>
        <w:rPr>
          <w:rFonts w:ascii="Times New Roman;Times;Serif" w:hAnsi="Times New Roman;Times;Serif"/>
          <w:b w:val="false"/>
          <w:i w:val="false"/>
          <w:caps w:val="false"/>
          <w:smallCaps w:val="false"/>
          <w:sz w:val="20"/>
        </w:rPr>
        <w:t>”) and with the securities commissions or other securities regulatory authorities (collectively with the OSC, the “</w:t>
      </w:r>
      <w:r>
        <w:rPr>
          <w:rFonts w:ascii="Times New Roman;Times;Serif" w:hAnsi="Times New Roman;Times;Serif"/>
          <w:b/>
          <w:i w:val="false"/>
          <w:caps w:val="false"/>
          <w:smallCaps w:val="false"/>
          <w:sz w:val="20"/>
        </w:rPr>
        <w:t>Canadian Securities Commissions</w:t>
      </w:r>
      <w:r>
        <w:rPr>
          <w:rFonts w:ascii="Times New Roman;Times;Serif" w:hAnsi="Times New Roman;Times;Serif"/>
          <w:b w:val="false"/>
          <w:i w:val="false"/>
          <w:caps w:val="false"/>
          <w:smallCaps w:val="false"/>
          <w:sz w:val="20"/>
        </w:rPr>
        <w:t>”) in each of the provinces and territories of Canada (collectively, the “</w:t>
      </w:r>
      <w:r>
        <w:rPr>
          <w:rFonts w:ascii="Times New Roman;Times;Serif" w:hAnsi="Times New Roman;Times;Serif"/>
          <w:b/>
          <w:i w:val="false"/>
          <w:caps w:val="false"/>
          <w:smallCaps w:val="false"/>
          <w:sz w:val="20"/>
        </w:rPr>
        <w:t>Canadian Qualifying Jurisdictions</w:t>
      </w:r>
      <w:r>
        <w:rPr>
          <w:rFonts w:ascii="Times New Roman;Times;Serif" w:hAnsi="Times New Roman;Times;Serif"/>
          <w:b w:val="false"/>
          <w:i w:val="false"/>
          <w:caps w:val="false"/>
          <w:smallCaps w:val="false"/>
          <w:sz w:val="20"/>
        </w:rPr>
        <w:t xml:space="preserve">”), pursuant to the procedures provided for under Multilateral Instrument 11-102 – </w:t>
      </w:r>
      <w:r>
        <w:rPr>
          <w:rFonts w:ascii="Times New Roman;Times;Serif" w:hAnsi="Times New Roman;Times;Serif"/>
          <w:b w:val="false"/>
          <w:i/>
          <w:caps w:val="false"/>
          <w:smallCaps w:val="false"/>
          <w:sz w:val="20"/>
        </w:rPr>
        <w:t>Passport System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MI 11-102</w:t>
      </w:r>
      <w:r>
        <w:rPr>
          <w:rFonts w:ascii="Times New Roman;Times;Serif" w:hAnsi="Times New Roman;Times;Serif"/>
          <w:b w:val="false"/>
          <w:i w:val="false"/>
          <w:caps w:val="false"/>
          <w:smallCaps w:val="false"/>
          <w:sz w:val="20"/>
        </w:rPr>
        <w:t xml:space="preserve">”) and National Policy 11-202 – </w:t>
      </w:r>
      <w:r>
        <w:rPr>
          <w:rFonts w:ascii="Times New Roman;Times;Serif" w:hAnsi="Times New Roman;Times;Serif"/>
          <w:b w:val="false"/>
          <w:i/>
          <w:caps w:val="false"/>
          <w:smallCaps w:val="false"/>
          <w:sz w:val="20"/>
        </w:rPr>
        <w:t>Process for Prospectus Reviews in Multiple Jurisdictions</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i w:val="false"/>
          <w:caps w:val="false"/>
          <w:smallCaps w:val="false"/>
          <w:sz w:val="20"/>
        </w:rPr>
        <w:t>Passport System</w:t>
      </w:r>
      <w:r>
        <w:rPr>
          <w:rFonts w:ascii="Times New Roman;Times;Serif" w:hAnsi="Times New Roman;Times;Serif"/>
          <w:b w:val="false"/>
          <w:i w:val="false"/>
          <w:caps w:val="false"/>
          <w:smallCaps w:val="false"/>
          <w:sz w:val="20"/>
        </w:rPr>
        <w:t>”); the Company has obtained final receipts under the Passport System, issued by the OSC in its capacity as principal regulator, indicating the deemed receipt of each of the other Canadian Securities Commissions if the conditions of MI 11-102 have been satisfied and evidencing the receipt of the OSC, in each case, in respect of such short form final prospectus; no order having the effect of ceasing or suspending the distribution of the Shares or the use of the Canadian Prospectus has been issued by any Canadian Securities Commission and no proceeding for that purpose has been initiated or, to the Company’s knowledge (“</w:t>
      </w:r>
      <w:r>
        <w:rPr>
          <w:rFonts w:ascii="Times New Roman;Times;Serif" w:hAnsi="Times New Roman;Times;Serif"/>
          <w:b/>
          <w:i w:val="false"/>
          <w:caps w:val="false"/>
          <w:smallCaps w:val="false"/>
          <w:sz w:val="20"/>
        </w:rPr>
        <w:t>Company’s knowledge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knowledge of the Company</w:t>
      </w:r>
      <w:r>
        <w:rPr>
          <w:rFonts w:ascii="Times New Roman;Times;Serif" w:hAnsi="Times New Roman;Times;Serif"/>
          <w:b w:val="false"/>
          <w:i w:val="false"/>
          <w:caps w:val="false"/>
          <w:smallCaps w:val="false"/>
          <w:sz w:val="20"/>
        </w:rPr>
        <w:t>” means the knowledge of the Company and its subsidiaries), threatened by any Canadian Securities Commission; the final short form base shelf prospectus for each of the provinces and territories of Canada, in the English and French languages, is hereinafter called the “</w:t>
      </w:r>
      <w:r>
        <w:rPr>
          <w:rFonts w:ascii="Times New Roman;Times;Serif" w:hAnsi="Times New Roman;Times;Serif"/>
          <w:b/>
          <w:i w:val="false"/>
          <w:caps w:val="false"/>
          <w:smallCaps w:val="false"/>
          <w:sz w:val="20"/>
        </w:rPr>
        <w:t>Canadian Base Prospectus</w:t>
      </w:r>
      <w:r>
        <w:rPr>
          <w:rFonts w:ascii="Times New Roman;Times;Serif" w:hAnsi="Times New Roman;Times;Serif"/>
          <w:b w:val="false"/>
          <w:i w:val="false"/>
          <w:caps w:val="false"/>
          <w:smallCaps w:val="false"/>
          <w:sz w:val="20"/>
        </w:rPr>
        <w:t>”; the Canadian Base Prospectus, as supplemented by any preliminary prospectus supplement relating to the Shares (including any amendment thereto), in the English and French languages, filed with the OSC and the other Canadian Securities Commissions, or by any final prospectus supplement relating to the Shares (including any amendment thereto), in the English and French languages, filed with the OSC and the other Canadian Securities Commissions (the “</w:t>
      </w:r>
      <w:r>
        <w:rPr>
          <w:rFonts w:ascii="Times New Roman;Times;Serif" w:hAnsi="Times New Roman;Times;Serif"/>
          <w:b/>
          <w:i w:val="false"/>
          <w:caps w:val="false"/>
          <w:smallCaps w:val="false"/>
          <w:sz w:val="20"/>
        </w:rPr>
        <w:t>Canadian Final Prospectus Supplement</w:t>
      </w:r>
      <w:r>
        <w:rPr>
          <w:rFonts w:ascii="Times New Roman;Times;Serif" w:hAnsi="Times New Roman;Times;Serif"/>
          <w:b w:val="false"/>
          <w:i w:val="false"/>
          <w:caps w:val="false"/>
          <w:smallCaps w:val="false"/>
          <w:sz w:val="20"/>
        </w:rPr>
        <w:t>”), is hereinafter called the “</w:t>
      </w:r>
      <w:r>
        <w:rPr>
          <w:rFonts w:ascii="Times New Roman;Times;Serif" w:hAnsi="Times New Roman;Times;Serif"/>
          <w:b/>
          <w:i w:val="false"/>
          <w:caps w:val="false"/>
          <w:smallCaps w:val="false"/>
          <w:sz w:val="20"/>
        </w:rPr>
        <w:t>Canadian Prospectus</w:t>
      </w:r>
      <w:r>
        <w:rPr>
          <w:rFonts w:ascii="Times New Roman;Times;Serif" w:hAnsi="Times New Roman;Times;Serif"/>
          <w:b w:val="false"/>
          <w:i w:val="false"/>
          <w:caps w:val="false"/>
          <w:smallCaps w:val="false"/>
          <w:sz w:val="20"/>
        </w:rPr>
        <w:t>” provided that, from and after the time the Canadian Final Prospectus Supplement is filed with the OSC and the other Canadian Securities Commissions, any reference to the Canadian Prospectus herein shall be deemed to refer to the Canadian Base Prospectus, as supplemented by the Canadian Final Prospectus Supplement; any reference herein to the Canadian Base Prospectus or any Canadian Prospectus shall be deemed to include the documents incorporated by reference therein, as of the date of the relevant prospectus supplement relating to the Shares, as the case may be; the U.S. Prospectus and the Canadian Prospectus are hereinafter collectively called the “</w:t>
      </w:r>
      <w:r>
        <w:rPr>
          <w:rFonts w:ascii="Times New Roman;Times;Serif" w:hAnsi="Times New Roman;Times;Serif"/>
          <w:b/>
          <w:i w:val="false"/>
          <w:caps w:val="false"/>
          <w:smallCaps w:val="false"/>
          <w:sz w:val="20"/>
        </w:rPr>
        <w:t>Prospectuses</w:t>
      </w:r>
      <w:r>
        <w:rPr>
          <w:rFonts w:ascii="Times New Roman;Times;Serif" w:hAnsi="Times New Roman;Times;Serif"/>
          <w:b w:val="false"/>
          <w:i w:val="false"/>
          <w:caps w:val="false"/>
          <w:smallCaps w:val="false"/>
          <w:sz w:val="20"/>
        </w:rPr>
        <w:t xml:space="preserve">”; the terms “supplement,” “supplemented,” “amendment,” “amended” and “amend” as used herein with respect to the Canadian Base Prospectus, Canadian Final Prospectus Supplement or the Canadian Prospectus shall include all documents subsequently filed by the Company with or to the Canadian Securities Commissions pursuant to Canadian Securities Laws (as hereinafter defined) that are deemed to be incorporated by reference therein for purposes of the distribution of the Shares; for greater certainty, the Canadian Prospectus includes the template version (as defined in NI 41-101 – </w:t>
      </w:r>
      <w:r>
        <w:rPr>
          <w:rFonts w:ascii="Times New Roman;Times;Serif" w:hAnsi="Times New Roman;Times;Serif"/>
          <w:b w:val="false"/>
          <w:i/>
          <w:caps w:val="false"/>
          <w:smallCaps w:val="false"/>
          <w:sz w:val="20"/>
        </w:rPr>
        <w:t>General Prospectus Requirements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NI 41-101</w:t>
      </w:r>
      <w:r>
        <w:rPr>
          <w:rFonts w:ascii="Times New Roman;Times;Serif" w:hAnsi="Times New Roman;Times;Serif"/>
          <w:b w:val="false"/>
          <w:i w:val="false"/>
          <w:caps w:val="false"/>
          <w:smallCaps w:val="false"/>
          <w:sz w:val="20"/>
        </w:rPr>
        <w:t>”)) of any marketing materials (as defined in NI 41-101) included or required to be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order preventing or suspending the use of any U.S. Preliminary Prospectus, Canadian Preliminary Prospectus (as hereinafter defined) or any Issuer Free Writing Prospectus has been issued by the Commission or any Canadian Securities Commission, and each U.S. Preliminary Prospectus and Canadian Preliminary Prospectus, at the time of filing thereof, conformed in all material respects to the requirements of the Act and the rules and regulations of the Commission thereunder, and the requirements of Canadian Securities Laws (as hereinafter defined), as applicable, and, in the case of the U.S. Preliminary Prospectus, did not contain an untrue statement of a material fact or omit to state a material fact required to be stated therein or necessary to make the statements therein, in the light of the circumstances under which they were made, not misleading and, in the case of the Canadian Preliminary Prospectus, except as may be modified or supplemented by the Canadian Prospectus, contained no misrepresentation (as that term is defined under applicable Canadian Securities Laws), and constituted full, true and plain disclosure of all material facts relating to the Shares as required by Canadian Securities Laws; provided, however, that this representation and warranty shall not apply to any statements or omissions made in reliance upon and in conformity with information furnished in writing to the Company by an Underwriter through the Underwriters or their counsel expressly for use therein in connection with the disclosure required by Form S-3 or Canadian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the purposes of this Agreement, the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is 8:30 p.m. (Eastern time) on the date of this Agreement; the U.S. Pricing Prospectus, as supplemented by the information listed on Schedule II(c) hereto, taken together (collectively, the “</w:t>
      </w:r>
      <w:r>
        <w:rPr>
          <w:rFonts w:ascii="Times New Roman;Times;Serif" w:hAnsi="Times New Roman;Times;Serif"/>
          <w:b/>
          <w:i w:val="false"/>
          <w:caps w:val="false"/>
          <w:smallCaps w:val="false"/>
          <w:sz w:val="20"/>
        </w:rPr>
        <w:t>Pricing Disclosure Package</w:t>
      </w:r>
      <w:r>
        <w:rPr>
          <w:rFonts w:ascii="Times New Roman;Times;Serif" w:hAnsi="Times New Roman;Times;Serif"/>
          <w:b w:val="false"/>
          <w:i w:val="false"/>
          <w:caps w:val="false"/>
          <w:smallCaps w:val="false"/>
          <w:sz w:val="20"/>
        </w:rPr>
        <w:t>”),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hereto does not conflict with the information contained in the Registration Statement, the U.S. Pricing Prospectus or the Prospectuses and each such Issuer Free Writing Prospectus, each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information furnished in writing to the Company by an Underwriter through the Underwriters or their counsel expressly for use therein in connection with the disclosure required by Form S-3 or Canadian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documents incorporated by reference in the U.S. Pricing Prospectus and the U.S. Prospectus, when they became effective or were filed with the Commission, as the case may be, conformed in all material respects to the requirements of the Exchange Act and the rules and regulations of the Commission thereunder, and none of such documents contained an untrue statement of a material fact or omitted to state a material fact required to be stated therein or necessary to make the statements therein, in the light of the circumstances under which they were made, not misleading; any further documents so filed and incorporated by reference in the U.S.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statements or omissions made in reliance upon and in conformity with information furnished in writing to the Company by an Underwriter through the Underwriters or their counsel expressly for use therein in connection with the disclosure required by Form S-3 or Canadian Securities Laws; and no such documents were filed with the Commission or any of the Canadian Securities Commissions since the close of business of the Commission or such Canadian Securities Commissions on the business day immediately prior to the date of this Agreement and prior to the execution of this Agreement, except as set forth on Schedule II(b) hereto; the documents incorporated by reference in the Canadian Prospectus for purposes of the distribution of the Shares, when they were filed with the Canadian Securities Commissions, complied in all material respects to the requirements of Canadian Securities Laws, and none of such documents contained a misrepresentation (as that term is defined under applicable Canadian Securities Laws); any further documents so filed and incorporated by reference in the Canadian Prospectus or any further amendment or supplement thereto, in each case for purposes of the distribution of the Shares, when such documents are filed with the Canadian Securities Commissions, will comply in all material respects with applicable Canadian Securities Laws and will not contain a misrepresentation (as that term is defined under applicable Canadian Securities Laws); provided, however, that this representation and warranty shall not apply to statements or omissions made in reliance upon and in conformity with information furnished in writing to the Company by an Underwriter through the Underwriters or their counsel expressly for use therein in connection with the disclosure required by Form S-3 or Canadian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Registration Statement conforms, and the U.S. Prospectus and any further amendments or supplements to the Registration Statement and the U.S.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U.S. Prospectus and any amendment or supplement thereto, contain an untrue statement of a material fact or omit to state a material fact required to be stated therein or necessary to make the statements therein not misleading; the Canadian Base Prospectus complies in all material respects with Canadian Securities Laws; the Canadian Prospectus will, when the Canadian Final Prospectus Supplement is filed with the OSC and the other Canadian Securities Commissions, comply in all material respects with Canadian Securities Laws and will not, as of the date of the Canadian Final Prospectus Supplement, contain a misrepresentation (as that term is defined under applicable Canadian Securities Laws) and will at such time contain, full, true and plain disclosure of all material facts relating to the Shares as required by Canadian Securities Laws; provided, however, that the representations and warranties set forth in this paragraph shall not apply to any statements or omissions made in reliance upon and in conformity with information furnished in writing to the Company by an Underwriter through the Underwriters or their counsel expressly for use therein in connection with the disclosure required by Form S-3 or Canadian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has complied in all material respects with all applicable securities laws in each of the Canadian Qualifying Jurisdictions, including the respective rules and regulations made thereunder, together with applicable published national, multilateral and local instruments, policy statements, notices, blanket rulings and orders of the Canadian Securities Commissions, and all discretionary rulings and orders applicable to the Company, if any, of the Canadian Securities Commissions (collectively, “</w:t>
      </w:r>
      <w:r>
        <w:rPr>
          <w:rFonts w:ascii="Times New Roman;Times;Serif" w:hAnsi="Times New Roman;Times;Serif"/>
          <w:b/>
          <w:i w:val="false"/>
          <w:caps w:val="false"/>
          <w:smallCaps w:val="false"/>
          <w:sz w:val="20"/>
        </w:rPr>
        <w:t>Canadian Securities Laws</w:t>
      </w:r>
      <w:r>
        <w:rPr>
          <w:rFonts w:ascii="Times New Roman;Times;Serif" w:hAnsi="Times New Roman;Times;Serif"/>
          <w:b w:val="false"/>
          <w:i w:val="false"/>
          <w:caps w:val="false"/>
          <w:smallCaps w:val="false"/>
          <w:sz w:val="20"/>
        </w:rPr>
        <w:t>”) required to be complied with by the Company to qualify the Shares for distribution and sale to the public in each of the Canadian Qualifying Jurisdictions through investment dealers or brokers registered under the applicable laws of such jurisdictions who have complied with the relevant provisions of such applicable laws, except for the filing of the Canadian Final Prospectus Supplement, which the Company will file within the time period required by NI 44-102;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Neither the Company nor any of its subsidiaries has sustained since the date of the latest audited financial statements included or incorporated by reference in the U.S. Pricing Prospectus and the Canadian Prospectus any material loss or material interference with its business from fire, explosion, flood or other calamity or from any labor dispute or court or governmental action, order or decree, other than as set forth or contemplated in the U.S. Pricing Prospectus and the Canadian Prospectus; and, since the respective dates as of which information is given in the Registration Statement, the U.S. Pricing Prospectus and the Canadian Prospectus, there has not been any change in the share capital or long-term debt of the Company or any of its subsidiaries or any material adverse change, or any development involving a prospective material adverse change, in or affecting the general affairs, management, financial position, shareholders’ equity or results of operations of the Company and its subsidiaries, taken as a whole, other than as set forth or contemplated in the U.S. Pricing Prospectus and the Canadian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Company and its subsidiaries have good and marketable title in fee simple to all real property and good and marketable title to all personal property owned by them, in each case free and clear of all liens, encumbrances and defects except such as are described in the U.S. Pricing Prospectus and the Canadian Prospectus or such as are not material to the Company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to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 authority would not, individually or in the aggregate, have a material adverse effect on the consolidated financial position, shareholders’ equity or results of operations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Company has an authorized capitalization as set forth in the U.S. Pricing Prospectus and the Canadian Prospectus and all of the issued and outstanding common shares have been duly and validly authorized and issued and are fully paid and non-assessable and conform to the description of the Shares contained in the Pricing Disclosure Package and the Prospectuses; and all of the issued and outstanding shares (or similar equity interests) in the capital of each subsidiary of the Company have been duly and validly authorized and issued, are fully paid and non-assessable and are owned directly or indirectly by the Company, free and clear of all liens, encumbrances, equities or claims; and all of the Shares will be, at the time of their issue, duly and validly authorized and, when issued or delivered in accordance with this Agreement, including receipt of the consideration therefor, will be validly issued as fully paid and non-assessable common shares of the Company and will not have been issued in violation of or subject to any pre-emptive rights or contractual rights to purchase securities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Shares have been approved for listing on the New York Stock Exchange (the “</w:t>
      </w:r>
      <w:r>
        <w:rPr>
          <w:rFonts w:ascii="Times New Roman;Times;Serif" w:hAnsi="Times New Roman;Times;Serif"/>
          <w:b/>
          <w:i w:val="false"/>
          <w:caps w:val="false"/>
          <w:smallCaps w:val="false"/>
          <w:sz w:val="20"/>
        </w:rPr>
        <w:t>NYSE</w:t>
      </w:r>
      <w:r>
        <w:rPr>
          <w:rFonts w:ascii="Times New Roman;Times;Serif" w:hAnsi="Times New Roman;Times;Serif"/>
          <w:b w:val="false"/>
          <w:i w:val="false"/>
          <w:caps w:val="false"/>
          <w:smallCaps w:val="false"/>
          <w:sz w:val="20"/>
        </w:rPr>
        <w:t>”), subject to notice of issuance, and the Shares have been conditionally approved for listing on the Toronto Stock Exchange (the “</w:t>
      </w:r>
      <w:r>
        <w:rPr>
          <w:rFonts w:ascii="Times New Roman;Times;Serif" w:hAnsi="Times New Roman;Times;Serif"/>
          <w:b/>
          <w:i w:val="false"/>
          <w:caps w:val="false"/>
          <w:smallCaps w:val="false"/>
          <w:sz w:val="20"/>
        </w:rPr>
        <w:t>TSX</w:t>
      </w:r>
      <w:r>
        <w:rPr>
          <w:rFonts w:ascii="Times New Roman;Times;Serif" w:hAnsi="Times New Roman;Times;Serif"/>
          <w:b w:val="false"/>
          <w:i w:val="false"/>
          <w:caps w:val="false"/>
          <w:smallCaps w:val="false"/>
          <w:sz w:val="20"/>
        </w:rPr>
        <w:t>”), subject to the satisfaction of customary listing conditions set forth in the applicable conditional approval letter of the TSX; the form and terms of the Shares have been approved and adopted by the board of directors of the Company and do not conflict with any applicable laws or the rules of the TSX;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execution and delivery by the Company of, and compliance by the Company with this Agreement, the consummation of the transactions herein contemplated and the application of the net proceeds from the offering and sale of the Shares to be sold in the manner set forth in the U.S. Pricing Prospectus and the Prospectuses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and which is material to the Company taken as a whole, (B) the articles of the Company, as amended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or similar organizational documents of the Company or any of its subsidiaries, or (C) any statute or any order, rule or regulation of any court or governmental agency or body having jurisdiction over the Company or any of its subsidiaries or any of their properties, except (in the case of (A) and (C)) where such breach, violation, conflict or default would not, individually or in the aggregate, have a material adverse effect on the consolidated financial position, shareholders’ equity or results of operations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No consent, approval, authorization, order, registration or qualification of or with any such court or governmental agency or body is required for the sale of the Shares or the consummation by the Company of the transactions contemplated by this Agreement, except for the registration under the Act of the Shares, the filing of the Canadian Final Prospectus Supplement with the Canadian Securities Commissions and such consents, approvals, authorizations, orders, registrations or qualifications as may be required under state securities or Blue Sky laws in connection with the purchase and distribution of the Shares by the Underwriters or to list the Shares on the NYSE or TSX;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 The Company is not in violation of its Articles and none of the Company’s subsidiaries is in violation of its articles, by-laws or similar organizational documents, and (B) neither the Company nor any of its subsidiaries is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(B), as would not, individually or in the aggregate, have a material adverse effect on the consolidated financial position, shareholders’ equity or results of operations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The statements set forth in the U.S. Pricing Prospectus and the Prospectuses, collectively, insofar as they purport to constitute a summary of the terms of the Shares, in the case of the U.S. Prospectus, under the caption “Description of Share Capital”, and under the captions “Certain U.S. Federal Income Tax Considerations” and “Certain Canadian Federal Income Tax Considerations”, and in the case of the Canadian Prospectus, under the caption “Description of the Securities Being Distributed” and “Eligibility For Investment” in the Canadian Final Prospectus Supplement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insofar as they purport to describe the provisions of the laws and documents referred to therein, are accurate, complete and fair in all material respects, subject to the assumptions, qualifications, limitations and restrictions set out in such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There are no legal or governmental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would, individually or in the aggregate, have a material adverse effect on the financial position, shareholders’ equity or results of operations of the Company and its subsidiaries; and, to the best of the Company’s knowledge, no such proceedings are threatened or contemplated by governmental authorities or threatened by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The Company is not an “investment company”, as such term is defined in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 (i) At the time of filing the Registration Statement, (ii) at the time of the most recent amendment thereto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the Company was a “well-known seasoned issuer” as defined in Rule 405 under the Act; and (B) at the earliest time after the filing of the Registration Statement that the Company or another offering participant made a bona fide offer (within the meaning of Rule 164(h)(2) under the Act) of the Shares, the Company was not an “ineligible issuer” as defined in Rule 405 under the Act; the Company is, and was at the time of filing of the Canadian Base Prospectus, qualified under NI 44-101 to file a prospectus in the form of a short form prospectus and was, at the time of filing of the Canadian Base Prospectus, eligible and had satisfied all of the applicable conditions, to use the exemptions from certain prospectus requirements set out in the WKSI Blanket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KPMG LLP, who have certified certain financial statements of the Company and its subsidiaries, are independent public accountants as required by the Act and the rules and regulations of the Commission thereunder, are independent in accordance with the rules of professional conduct applicable to auditors in the Province of Ontario, and are independent in accordance with the requirements of the Public Company Accounting Oversight Board (United States)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xml:space="preserve">”); and there has not been any reportable event (within the meaning of National Instrument 51-102 – </w:t>
      </w:r>
      <w:r>
        <w:rPr>
          <w:rFonts w:ascii="Times New Roman;Times;Serif" w:hAnsi="Times New Roman;Times;Serif"/>
          <w:b w:val="false"/>
          <w:i/>
          <w:caps w:val="false"/>
          <w:smallCaps w:val="false"/>
          <w:sz w:val="20"/>
        </w:rPr>
        <w:t>Continuous Disclosure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NI 51-102</w:t>
      </w:r>
      <w:r>
        <w:rPr>
          <w:rFonts w:ascii="Times New Roman;Times;Serif" w:hAnsi="Times New Roman;Times;Serif"/>
          <w:b w:val="false"/>
          <w:i w:val="false"/>
          <w:caps w:val="false"/>
          <w:smallCaps w:val="false"/>
          <w:sz w:val="20"/>
        </w:rPr>
        <w:t>”)) with KPMG LLP with respect to audits of the Company or its predecessors;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The audited financial statements and the related notes thereto, included or incorporated by reference in the Pricing Disclosure Package and the Prospectuses for purposes of the distribution of the Shares (i) present fairly, in accordance with applicable securities laws, the financial position of the Company and its subsidiaries as of the dates indicated and the results of their operations and the changes in their cash flows for the periods specified; such financial statements have been prepared in conformity with U.S. generally accepted accounting principles applied on a consistent basis throughout the periods covered thereby and (ii) have been audited by public accountants which are independent within the meaning of Canadian Securities Laws and/or applicable U.S. securities laws, as applicable and the rules of the Chartered Professional Accountants Canada or the Public Company Accounting Oversight Board (United States), as applicable; and the other financial information concerning the Company and its subsidiaries included or incorporated by reference in each of the Pricing Disclosure Package and the Prospectuses has been derived from the accounting records of the Company and its subsidiaries and presents fairly the information shown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The Company maintains a system of internal control over financial reporting (as such term is defined in Rule 13a-15(f)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each of the Registration Statement, Pricing Disclosure Package and U.S. Prospectus is prepared in accordance with the Commission’s rules and guidelines applicable thereto. The Company’s internal control over financial reporting is effective and the Company is not aware of any material weaknesses in its internal control over financial reporting;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Since the date of the latest audited financial statements included or incorporated by reference in the U.S. Pricing Prospectus and the Canadian Prospectus, there has been no change in the Company’s internal control over financial reporting that has materially and adversely affected, or is reasonably likely to materially and adversely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The Company and its subsidiaries maintain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This Agreement has been duly authorized, executed and delivered by the Company. All necessary corporate action has been taken by the Company to authorize the execution and delivery of this Agreement and the transactions and documents contemplated hereby, including any marketing materials (as defined in NI 41-101) and the Canadian Prospectus and the filing thereof under Canadian Securities Laws in each of the Canadian Qualifying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       Neither the Company nor any of its subsidiaries, nor any director or officer of the Company or any of its subsidiaries, nor, to the knowledge of the Company, any employee, agent or affiliate of the Company or any of its subsidiaries has (i) used any corporate funds for any unlawful contribution, gift, entertainment or other unlawful expense relating to political activity; (ii) made or offered, promised or authorized any direct or indirect unlawful payment of money or thing of value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the </w:t>
      </w:r>
      <w:r>
        <w:rPr>
          <w:rFonts w:ascii="Times New Roman;Times;Serif" w:hAnsi="Times New Roman;Times;Serif"/>
          <w:b w:val="false"/>
          <w:i/>
          <w:caps w:val="false"/>
          <w:smallCaps w:val="false"/>
          <w:sz w:val="20"/>
        </w:rPr>
        <w:t xml:space="preserve">Corruption of Foreign Public Officials Act </w:t>
      </w:r>
      <w:r>
        <w:rPr>
          <w:rFonts w:ascii="Times New Roman;Times;Serif" w:hAnsi="Times New Roman;Times;Serif"/>
          <w:b w:val="false"/>
          <w:i w:val="false"/>
          <w:caps w:val="false"/>
          <w:smallCaps w:val="false"/>
          <w:sz w:val="20"/>
        </w:rPr>
        <w:t xml:space="preserve">(Canada)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including pursuant to the </w:t>
      </w:r>
      <w:r>
        <w:rPr>
          <w:rFonts w:ascii="Times New Roman;Times;Serif" w:hAnsi="Times New Roman;Times;Serif"/>
          <w:b w:val="false"/>
          <w:i/>
          <w:caps w:val="false"/>
          <w:smallCaps w:val="false"/>
          <w:sz w:val="20"/>
        </w:rPr>
        <w:t>Criminal Code</w:t>
      </w:r>
      <w:r>
        <w:rPr>
          <w:rFonts w:ascii="Times New Roman;Times;Serif" w:hAnsi="Times New Roman;Times;Serif"/>
          <w:b w:val="false"/>
          <w:i w:val="false"/>
          <w:caps w:val="false"/>
          <w:smallCaps w:val="false"/>
          <w:sz w:val="20"/>
        </w:rPr>
        <w:t xml:space="preserve"> (Canada); or (iv) made, offered, agreed, requested, or taken an act in furtherance of any unlawful bribe or other unlawful benefit or thing of value, including, without limitation, any rebate, payoff, influence payment, kickback or other unlawful or improper payment or thing of value in violation of any applicable anti-bribery or anti-corruption laws. The Company and its subsidiaries have instituted, and maintain and enforce, policies and procedures designed to promote and ensure compliance with all applicable anti-bribery and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(xxvii)      The operations of the Company and its subsidiaries are and have been conducted at all times in compliance with applicable financial recordkeeping and reporting requirements, including those of the Currency and Foreign Transactions Reporting Act of 1970, as amended, the </w:t>
      </w:r>
      <w:r>
        <w:rPr>
          <w:rFonts w:ascii="Times New Roman;Times;Serif" w:hAnsi="Times New Roman;Times;Serif"/>
          <w:b w:val="false"/>
          <w:i/>
          <w:caps w:val="false"/>
          <w:smallCaps w:val="false"/>
          <w:sz w:val="20"/>
        </w:rPr>
        <w:t>Proceeds of Crime (Money Laundering) and Terrorist Financing Act</w:t>
      </w:r>
      <w:r>
        <w:rPr>
          <w:rFonts w:ascii="Times New Roman;Times;Serif" w:hAnsi="Times New Roman;Times;Serif"/>
          <w:b w:val="false"/>
          <w:i w:val="false"/>
          <w:caps w:val="false"/>
          <w:smallCaps w:val="false"/>
          <w:sz w:val="20"/>
        </w:rPr>
        <w:t xml:space="preserve"> (Canada), and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Neither the Company nor any of its subsidiaries, nor any director or officer of the Company or any of its subsidiaries, nor, to the knowledge of the Company, any employee, agent or affiliate or employee of the Company or any of its subsidiaries is currently the subject or target of any sanctions administered or enforced by the U.S. Government, (including, without limitation, the Office of Foreign Assets Control of the U.S. Department of the Treasury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the U.S. Department of State and including, without limitation, the designation as a “specially designated national” or “blocked person”), the United Nations Security Council, the European Union, His Majesty’s Treasury, Global Affairs Canada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is the Company, any of its subsidiaries located, organized or resident in a country or territory that is the target of Sanctions, including, without limitation, the so-called Donetsk People’s Republic, the so-called Luhansk People’s Republic and Cuba, Iran, North Korea, Syria and the Crimea Region and the non-government controlled areas of the Zaporizhzhia and Kherson Regions of Ukraine (each, a “</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The Company and its subsidiaries have not knowingly engaged in and are not now knowingly engaged in any dealings or transactions with any person that at the time of the dealing or transaction is or was the subject or the target of Sanctions or with any Sanctioned Country, in each case, in violation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Neither the Company nor any of its subsidiaries is a “covered foreign person”, as that term is defined in the regulations administered and enforced, together with any related public guidance issued, by the United States Treasury Department under U.S. Executive Order 14105 of August 9, 2023, or any similar law or regulation; as of the date of this Agreement, and as codified at 31 C.F.R. §850.101 et seq (the “</w:t>
      </w:r>
      <w:r>
        <w:rPr>
          <w:rFonts w:ascii="Times New Roman;Times;Serif" w:hAnsi="Times New Roman;Times;Serif"/>
          <w:b/>
          <w:i w:val="false"/>
          <w:caps w:val="false"/>
          <w:smallCaps w:val="false"/>
          <w:sz w:val="20"/>
        </w:rPr>
        <w:t>Outbound Investment Rules</w:t>
      </w:r>
      <w:r>
        <w:rPr>
          <w:rFonts w:ascii="Times New Roman;Times;Serif" w:hAnsi="Times New Roman;Times;Serif"/>
          <w:b w:val="false"/>
          <w:i w:val="false"/>
          <w:caps w:val="false"/>
          <w:smallCaps w:val="false"/>
          <w:sz w:val="20"/>
        </w:rPr>
        <w:t>”). Neither the Company nor any of its subsidiaries currently engages, or has plans to engage, directly or indirectly, in a “covered activity” or “covered transaction”, as each term is defined in the Outbound Investment Rules. To the knowledge of the Company, neither the Company nor any of its subsidiaries engage in any other activity that would cause the Underwriters to be in violation of the Outbound Investment Rules or cause the Underwriters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Neither the Company nor any of its subsidiaries is a party to any contract, agreement or understanding with any person that would give rise to a valid claim against any of them or any Underwriter for a brokerage commission, finder’s fee or like payment in connection with the offering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Neither the Company nor any of its subsidiaries has taken, and the Company and its subsidiaries will not take, directly or indirectly, any action designed to or that would constitute or would reasonably be expected to cause or result in (A) under Canadian Securities Laws, stabilization or manipulation of the price of any security of the Company or (B) under the Exchange Act, stabilization or manipulation of the price of the Shares to facilitate the sale or resale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       Neither the issuance, sale and delivery of the Shares nor the application of the proceeds thereof by the Company as described in each of the Registration Statement, the Pricing Disclosure Package and the Prospectuses will violate Regulation T, U or X of the Board of Governors of the Federal Reserve System or any other regulation of such Board of Governors;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(xxxiii)      No “forward-looking statement” (within the meaning of Section 27A of the U.S. Securities Act and Section 21E of the Exchange Act) or “forward looking information” (within the meaning of NI 51-102) included or incorporated by reference in any of the Registration Statement, the Pricing Disclosure Package and the Prospectuses for purposes of the distribution of the Shares has been made or reaffirmed without a reasonable basis or has been disclosed other than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(xxxiv)     (i) 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as required in connection with the operation of the business of the Company and its subsidiaries as currently conducted, free and clear of all bugs, errors, defects, Trojan horses, time bombs, malware and other corruptants; (ii) the Company and its subsidiaries have not been notified of, and have no knowledge of, any event or condition that would reasonably be expected to result in any breaches, violations, outages or unauthorized uses of or accesses to same, or any incidents under internal review or investigations relating to the same and (iii)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(including all personal, personally identifiable, sensitive, confidential or regulated data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and to the protection of such IT Systems and Personal Data from unauthorized use, access, misappropriation or modification, except in the case of (i), (ii) or (iii), as would not, individually or in the aggregate, have a material adverse effect on the consolidated financial position, shareholders’ equity or results of operations of the Company and its subsidiaries. The Company and its subsidiaries have implemented and maintained controls, policies, procedures, and safeguards to maintain and protect their confidential information and the integrity, continuous operation, redundancy and security of all IT Systems and Personal Data that are reasonably consistent with industry standards and practices used in connection with their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      The Company and its subsidiaries possess, and are in compliance with the terms of, all adequate certificates, authorizations, franchises, licenses and permits (“</w:t>
      </w:r>
      <w:r>
        <w:rPr>
          <w:rFonts w:ascii="Times New Roman;Times;Serif" w:hAnsi="Times New Roman;Times;Serif"/>
          <w:b/>
          <w:i w:val="false"/>
          <w:caps w:val="false"/>
          <w:smallCaps w:val="false"/>
          <w:sz w:val="20"/>
        </w:rPr>
        <w:t>Licenses</w:t>
      </w:r>
      <w:r>
        <w:rPr>
          <w:rFonts w:ascii="Times New Roman;Times;Serif" w:hAnsi="Times New Roman;Times;Serif"/>
          <w:b w:val="false"/>
          <w:i w:val="false"/>
          <w:caps w:val="false"/>
          <w:smallCaps w:val="false"/>
          <w:sz w:val="20"/>
        </w:rPr>
        <w:t>”) necessary or material to the conduct of the business now conducted or proposed in the Pricing Disclosure Package to be conducted by them and have not received any notice of proceedings relating to the revocation or modification of any Licenses that, if determined adversely to the Company or any of its subsidiaries, would, individually or in the aggregate, have a material adverse effect on the consolidated financial position, shareholders’ equity or results of operations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     The Company and its subsidiaries own or possess adequate trademarks, trade names and other rights to inventions, know-how, patents, copyrights, confidential information and other intellectual property (collectively,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necessary to conduct the business now operated by them, or presently employed by them, and have not received any notice of infringement of or conflict with asserted rights of others with respect to any intellectual property rights that, if determined adversely to the Company or any of its subsidiaries, would, individually or in the aggregate, have a material adverse effect on the consolidated financial position, shareholders’ equity or results of operations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    (i) The Company and its subsidiaries (x) are in compliance with any and all applicable federal, provincial, territorial, state, local and foreign laws, rules, regulations, requirements, decisions and orders relating to the protection of human health or safety, the environment, natural resources, hazardous or toxic substances or wastes, pollutants or contaminants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(y) have received and are in compliance with all permits, licenses, certificates or other authorizations or approvals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or its subsidiaries, except in the case of each of (i) and (ii) above, for any such failure to comply, or failure to receive required permits, licenses or approvals, notice received, event or condition, or cost or liability, as would not, individually or in the aggregate, have a material adverse effect on the consolidated financial position, shareholders’ equity or results of operations of the Company and its subsidiaries; and (iii) (x) there are no proceedings that are pending, or to the knowledge of the Company, are contemplated, against the Company or any of its subsidiaries under any Environmental Laws in which a governmental entity is also a party that would be required by Canadian Securities Laws to be described in a prospectus to be filed with the Canadian Securities Commissions that is not described in each of the Pricing Disclosure Package or the Prospectuses, (y) the Company and its subsidiaries are not aware of any issues regarding compliance with Environmental Laws, or liabilities or other obligations under Environmental Laws or concerning hazardous or toxic substances or wastes, pollutants or contaminants, that could reasonably be expected, individually or in the aggregate, to have a material adverse effect on the consolidated financial position, shareholders’ equity or results of operations of the Company and its subsidiaries, and (z) none of the Company and its subsidiaries anticipates material capital expenditures relating to any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(xxxviii)   Any third-party statistical and market-related data included in a Registration Statement, a U.S. Pricing Prospectus, Prospectuses or the Pricing Disclosure Package are based on or derived from sources that the Company believes to be reliable and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(xxxix)      The Company and its subsidiaries have filed all federal, state, local and non-U.S. tax returns that are required to be filed or have requested extensions thereof (except in any case in which the failure so to file would not, individually or in the aggregate, have a material adverse effect on the consolidated financial position, shareholders’ equity or results of operations of the Company and its subsidiaries); and the Company and its subsidiaries have paid all taxes (including any assessments, fines or penalties) required to be paid by them, except for any such taxes, assessments, fines or penalties currently being contested in good faith or as would not, individually or in the aggregate, have a material adverse effect on the consolidated financial position, shareholders’ equity or results of operations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           The Company and its subsidiaries are insured by insurers with appropriately rated claims paying abilities against such losses and risks and in such amounts as are prudent and customary for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current or future consolidated financial position, shareholders’ equity or results of operations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          The Company was not a “passive foreign investment company” (“</w:t>
      </w:r>
      <w:r>
        <w:rPr>
          <w:rFonts w:ascii="Times New Roman;Times;Serif" w:hAnsi="Times New Roman;Times;Serif"/>
          <w:b/>
          <w:i w:val="false"/>
          <w:caps w:val="false"/>
          <w:smallCaps w:val="false"/>
          <w:sz w:val="20"/>
        </w:rPr>
        <w:t>PFIC</w:t>
      </w:r>
      <w:r>
        <w:rPr>
          <w:rFonts w:ascii="Times New Roman;Times;Serif" w:hAnsi="Times New Roman;Times;Serif"/>
          <w:b w:val="false"/>
          <w:i w:val="false"/>
          <w:caps w:val="false"/>
          <w:smallCaps w:val="false"/>
          <w:sz w:val="20"/>
        </w:rPr>
        <w:t>”) as defined in Section 1297 of the United States Internal Revenue Code of 1986, as amended, for its most recently completed taxable year and is not expected to be a PFIC for any subsequent taxable year;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(xlii)         There are no stamp or other issuance, withholding or transfer taxes or duties or other similar fees or charges required to be paid by the Company or by or on behalf of the Underwriters to any jurisdiction in which the Company is organized or otherwise resident for tax purposes or any political subdivision or taxing authority thereof or therein in connection with (A) the execution and delivery and performance of this Agreement or (B) the offer and sale of the Shares by the Underwriters in the manner contemplated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 the basis of the representations, warranties and agreements of the Company contained herein and subject to all the terms and conditions of this Agreement, the Company agrees to sell to the several Underwriters and each of the several Underwriters, severally and not jointly, agrees to purchase from the Company, at a purchase price per share of $304.885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the number of Firm Shares set forth opposite the name of such Underwriter in Schedule I, plus such additional number of Firm Shares which such Underwriter may become obligated to purchase pursuant to Section 10 hereof, as adjusted by you in such manner as you deem advisable to avoid fractional shares. The Underwriters shall after the Closing Date, give prompt written notice to the Company when, in the opinion of the Underwriters, they have completed distribution of the Shares, including the total proceeds realized in each of the provinces and territories of Canada and any other jurisdiction provided that such notice shall be provided on a Business Day no later than 30 days following the date on which such distribution shall have been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Subject to all the terms and conditions of this Agreement, the Company grants the Option to the several Underwriters to purchase, severally and not jointly, all or less than all of the Option Shares at the Purchase Price less an amount per share equal to any dividends or distributions declared by the Company and payable on the Firm Shares but not payable on the Option Shares. The Option may be exercised in whole or in part at any time and from time to time on or before the 30th day after the date of this Agreement, upon written notice (an “</w:t>
      </w:r>
      <w:r>
        <w:rPr>
          <w:rFonts w:ascii="Times New Roman;Times;Serif" w:hAnsi="Times New Roman;Times;Serif"/>
          <w:b/>
          <w:i w:val="false"/>
          <w:caps w:val="false"/>
          <w:smallCaps w:val="false"/>
          <w:sz w:val="20"/>
        </w:rPr>
        <w:t>Option Shares Notice</w:t>
      </w:r>
      <w:r>
        <w:rPr>
          <w:rFonts w:ascii="Times New Roman;Times;Serif" w:hAnsi="Times New Roman;Times;Serif"/>
          <w:b w:val="false"/>
          <w:i w:val="false"/>
          <w:caps w:val="false"/>
          <w:smallCaps w:val="false"/>
          <w:sz w:val="20"/>
        </w:rPr>
        <w:t>”) by you to the Company no later than 12:00 noon, New York City time, at least two and no more than five Business Days before the date specified for closing in the Option Shares Notice (an “</w:t>
      </w:r>
      <w:r>
        <w:rPr>
          <w:rFonts w:ascii="Times New Roman;Times;Serif" w:hAnsi="Times New Roman;Times;Serif"/>
          <w:b/>
          <w:i w:val="false"/>
          <w:caps w:val="false"/>
          <w:smallCaps w:val="false"/>
          <w:sz w:val="20"/>
        </w:rPr>
        <w:t>Option Closing Date</w:t>
      </w:r>
      <w:r>
        <w:rPr>
          <w:rFonts w:ascii="Times New Roman;Times;Serif" w:hAnsi="Times New Roman;Times;Serif"/>
          <w:b w:val="false"/>
          <w:i w:val="false"/>
          <w:caps w:val="false"/>
          <w:smallCaps w:val="false"/>
          <w:sz w:val="20"/>
        </w:rPr>
        <w:t>”) setting forth the aggregate number of Option Shares to be purchased and the time and date for such purchase, provided that the Option Closing Date may not be any earlier than the Closing Date. On any Option Closing Date, the Company shall issue and sell to the Underwriters the number of Option Shares set forth in the Option Shares Notice and each Underwriter shall purchase from the Company such percentage of the Option Shares as is equal to the percentage of Firm Shares that such Underwriter is purchasing, as adjusted by you in such manner as you deem advisable to avoid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The Firm Shares or Option Shares, as applicable, to be purchased by each Underwriter hereunder, shall be delivered to the Underwriters, directly or through the facilities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or CDS Clearing and Depository Services Inc. (“</w:t>
      </w:r>
      <w:r>
        <w:rPr>
          <w:rFonts w:ascii="Times New Roman;Times;Serif" w:hAnsi="Times New Roman;Times;Serif"/>
          <w:b/>
          <w:i w:val="false"/>
          <w:caps w:val="false"/>
          <w:smallCaps w:val="false"/>
          <w:sz w:val="20"/>
        </w:rPr>
        <w:t>CDS</w:t>
      </w:r>
      <w:r>
        <w:rPr>
          <w:rFonts w:ascii="Times New Roman;Times;Serif" w:hAnsi="Times New Roman;Times;Serif"/>
          <w:b w:val="false"/>
          <w:i w:val="false"/>
          <w:caps w:val="false"/>
          <w:smallCaps w:val="false"/>
          <w:sz w:val="20"/>
        </w:rPr>
        <w:t>”), for the account of each Underwriter, against payment by or on behalf of such Underwriter of the Purchase Price therefor by wire transfer of (same-day) funds to the account(s) specified by the Company to the Underwriters at least forty-eight hours in advance. The time and date of such delivery and payment shall be, with respect to the Firm Shares, 8:30 a.m., Eastern time, on August 7, 2026 or such other time and date as the Underwriters and the Company may agree upon in writing. Such time and date for delivery of the Shares is herein called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documents to be delivered at the Closing Date or any Option Closing Date, as applicable, by or on behalf of the parties hereto pursuant to Section 8 hereof, including the cross receipt for the Firm Shares or Option Shares, as applicable, and any additional documents requested by the Underwriters pursuant to Section 8(n) hereof will be delivered via electronic exchange, and the Firm Shares or Option Shares, as the case may be, will be delivered through the facilities of DTC or CDS, all on the Closing Date or such Option Closing Date, as applicable. The final drafts of the documents to be delivered pursuant to the preceding sentence will be available for review by the parties hereto on the Business Day next preceding the Closing Date or the applicable Option Closing Date, as the case may be. For the purposes of this Section 4, “Business Day” shall mean each Monday, Tuesday, Wednesday, Thursday and Friday which is not a day on which banking institutions in New York City or Toronto are generally authorized or obligated by law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 agrees with each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prepare the U.S. Prospectus and Canadian Final Prospectus Supplement in forms approved by you and to file such U.S. Prospectus pursuant to Rule 424(b) under the Act not later than the Commission’s close of business on the second business day following the execution and delivery of this Agreement and, subject to receiving the requisite executed copies of same, to file the Canadian Final Prospectus Supplement with each of the Canadian Securities Commissions promptly after the execution and delivery of this Agreement and in any event not later than 9:00 pm (Toronto time) on the second business day following the execution and delivery of this Agreement and to take all other steps and proceedings that may be necessary to qualify the Shares for distribution and sale to the public in each of the Canadian Qualifying Jurisdictions through the Underwriters or their respective affiliates or any other investment dealers or brokers registered under the applicable laws of such jurisdictions who have complied with the relevant provisions of such applicable laws; to make no further amendment or any supplement to the Registration Statement, the U.S. Prospectus or the Canadian Prospectus prior to the Closing Date or any Option Closing Date, as applicable, which shall be disapproved by you promptly after reasonable notice thereof; to advise you, promptly after it receives notice thereof, of the time when any amendment to the Registration Statement has been filed or becomes effective or any amendment or supplement to the U.S. Prospectus or Canadian Prospectus or any amended U.S. Prospectus or Canadian Prospectus has been filed and to furnish you with copies thereof (including, in the case of any supplemented or amended Canadian Prospectus, in the English and French languages) and to deliver to the Underwriters, subject to receiving the requisite executed copies of same from all signatories other than, to the extent required, the Company or any of its directors or officers, all signed and certified copies of any such supplemented or amended Canadian Prospectus in the English and French languages along with all documents similar to those referred to in sub-Sections 5(b)(i), (ii), (iii) and (iv) and such other documents as the Underwriters may reasonably request; to file promptly all material required to be filed by the Company with the Commission pursuant to Rule 433(d) under the Act; to file promptly all reports required to be filed by the Company with the Commission pursuant to Section 13(a), 13(c), or 15(d) of the Exchange Act subsequent to the date of the Prospectus and for so long as the delivery of a prospectus (or in lieu thereof, the notice referred to in Rule 173(a) under the Act) is required in connection with the offering or sale of the Shares; to advise you, promptly after it receives notice thereof, of the issuance by the Commission or any of the Canadian Securities Commissions of any stop order or of any order preventing or suspending the use of any preliminary prospectus or other prospectus in respect of the Shares, of any notice of objection of the Commission to the use of the Registration Statement or any post-effective amendment thereto pursuant to Rule 401(g)(2) under the Act, of the suspension of the qualification of the Shares for offering or sale in any jurisdiction, of the initiation or threatening of any proceeding for any such purpose, of any written communication received by the Company from any Canadian Securities Commission, the TSX or any governmental authority or of any request by the Commission or any Canadian Securities Commission for the amending or supplementing of the Registration Statement, the U.S. Prospectus or the Canadian Prospectus, as applicable, or for additional information; and, in the event of the issuance of any stop order or of any order preventing or suspending the use of any preliminary prospectus or other prospectus or suspending any such qualification, to promptly use its reasonable best efforts to obtain the withdrawal of such order; and in the event of any such issuance of a notice of objection, promptly to take such steps including, without limitation, amending the Registration Statement or filing a new registration statement, or amending the Canadian Prospectus or filing a new prospectus that will hereunder constitute the Canadian Prospectus, in each case, at its own expense, as may be necessary to permit offers and sales of the Shares by the Underwriters (references herein to the Registration Statement shall include any such amendment or new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deliver to the Underwriters contemporaneously, as nearly as practicable, with the execution and delivery of this Agreement, in each case to the extent not previously delivered to the Underwriters: (i) electronic copies of the Canadian Base Prospectus as supplemented by the Canadian preliminary (draft) prospectus supplement dated the date hereof (where not included in the definition of Canadian Prospectus hereunder, the “</w:t>
      </w:r>
      <w:r>
        <w:rPr>
          <w:rFonts w:ascii="Times New Roman;Times;Serif" w:hAnsi="Times New Roman;Times;Serif"/>
          <w:b/>
          <w:i w:val="false"/>
          <w:caps w:val="false"/>
          <w:smallCaps w:val="false"/>
          <w:sz w:val="20"/>
        </w:rPr>
        <w:t>Canadian Preliminary Prospectus</w:t>
      </w:r>
      <w:r>
        <w:rPr>
          <w:rFonts w:ascii="Times New Roman;Times;Serif" w:hAnsi="Times New Roman;Times;Serif"/>
          <w:b w:val="false"/>
          <w:i w:val="false"/>
          <w:caps w:val="false"/>
          <w:smallCaps w:val="false"/>
          <w:sz w:val="20"/>
        </w:rPr>
        <w:t>”) and the Canadian Prospectus in each of the French and English language signed and certified as required by Canadian Securities Laws in each of the Canadian Qualifying Jurisdictions, subject to receiving the requisite executed copies of same from all signatories other than, to the extent required, the Company or any of its directors or officers; (ii) a copy of all such documents and certificates that were filed with the Canadian Base Prospectus and the Canadian Prospectus under Canadian Securities Laws; and (iii) opinions of the auditors of the Company, KPMG LLP, dated the date of the Canadian Preliminary Prospectus and the Canadian Final Prospectus Supplement, addressed to the Underwriters and the Company, in form and substance satisfactory to the Underwriters and their counsel, to the effect that the French language version of certain financial information (the “</w:t>
      </w:r>
      <w:r>
        <w:rPr>
          <w:rFonts w:ascii="Times New Roman;Times;Serif" w:hAnsi="Times New Roman;Times;Serif"/>
          <w:b/>
          <w:i w:val="false"/>
          <w:caps w:val="false"/>
          <w:smallCaps w:val="false"/>
          <w:sz w:val="20"/>
        </w:rPr>
        <w:t>Financial Information</w:t>
      </w:r>
      <w:r>
        <w:rPr>
          <w:rFonts w:ascii="Times New Roman;Times;Serif" w:hAnsi="Times New Roman;Times;Serif"/>
          <w:b w:val="false"/>
          <w:i w:val="false"/>
          <w:caps w:val="false"/>
          <w:smallCaps w:val="false"/>
          <w:sz w:val="20"/>
        </w:rPr>
        <w:t>”) contained in or incorporated by reference in the Canadian Preliminary Prospectus or the Canadian Prospectus includes the same information and in all material respects carries the same meaning as the English language version thereof; (iv) opinions of Blake, Cassels &amp; Graydon LLP, dated the date of the Canadian Preliminary Prospectus and the Canadian Final Prospectus Supplement, addressed to the Underwriters and the Company, in form and substance satisfactory to the Underwriters and their counsel, to the effect that the French Language version of each of the Canadian Preliminary Prospectus and the Canadian Prospectus, respectively, including the applicable documents incorporated by reference therein, except for the Financial Information, as to which no opinion need be expressed by such counsel, is, in all material respects, a complete and proper translation of the English language version thereof. The deliveries set forth in clause (i) above shall also constitute the Company’s consent to the Underwriters’ use of the Canadian Prospectus for the distribution of the Shares in the Canadian Qualifying Jurisdictions in compliance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required by Rule 430B(h) under the Act, to prepare a form of prospectus in a form approved by you and to file such form of prospectus pursuant to Rule 424(b) under the Act not later than may be required by Rule 424(b) under the Act; and to make no further amendment or supplement to such form of prospectus which shall be disapproved by you promptly after reasonable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by the third anniversary (the “</w:t>
      </w:r>
      <w:r>
        <w:rPr>
          <w:rFonts w:ascii="Times New Roman;Times;Serif" w:hAnsi="Times New Roman;Times;Serif"/>
          <w:b/>
          <w:i w:val="false"/>
          <w:caps w:val="false"/>
          <w:smallCaps w:val="false"/>
          <w:sz w:val="20"/>
        </w:rPr>
        <w:t>Renewal Deadline</w:t>
      </w:r>
      <w:r>
        <w:rPr>
          <w:rFonts w:ascii="Times New Roman;Times;Serif" w:hAnsi="Times New Roman;Times;Serif"/>
          <w:b w:val="false"/>
          <w:i w:val="false"/>
          <w:caps w:val="false"/>
          <w:smallCaps w:val="false"/>
          <w:sz w:val="20"/>
        </w:rPr>
        <w:t>”) of the initial effective date of the Registration Statement, any of the Shares remain unsold by the Underwriters, the Company will file, if it has not already done so and is eligible to do so, a new automatic shelf registration statement relating to the Shares, in a form satisfactory to you. If at the Renewal Deadline the Company is no longer eligible to file an automatic shelf registration statement, the Company will, if it has not already done so, file a new shelf registration statement relating to the Shares, in a form satisfactory to you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from time to time to take such action as you may reasonably request to qualify the Shares for offering and sale under the securities laws of such U.S. and Canadian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to subject itself to taxation or to file a general consent to service of process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Prior to 10:00 a.m., Eastern time, on the Business Day next succeeding the date of this Agreement and from time to time, to furnish the Underwriters with written and electronic copies of the U.S. Prospectus in New York City, in such quantities as you may reasonably request, and, if the delivery of a prospectus (or in lieu thereof, the notice referred to in Rule 173(a) under the Act) is required at any time prior to (with respect to the U.S. Prospectus) the later of the expiration of nine months after the time of issue of the U.S. Prospectus in connection with the offering or sale of the Shares and the completion of the distribution of such Shares, and if at such time (i) any event shall have occurred as a result of which the Prospectuses as then amended or supplemented would include an untrue statement of a material fact or omit to state any material fact necessary in order to make the statements therein, in the light of the circumstances under which they were made when such Prospectuses (or in lieu thereof, the notice referred to in Rule 173(a) under the Act) are delivered, not misleading, (ii) any event shall have occurred that would constitute a material change (as such term is defined under Canadian Securities Laws), or (iii) if for any other reason it shall be necessary during such same period to amend or supplement the U.S. Prospectus or Canadian Prospectus in order to comply with the Act or Canadian Securities Laws, as applicable, to notify you and upon your request to prepare and furnish without charge to each Underwriter and to any dealer in securities as many written and electronic copies as you may from time to time reasonably request of an amended U.S. Prospectus, or a supplement to the U.S. Prospectus, or to notify you and upon your request to prepare an amended Canadian Prospectus (in the English and French languages, or a supplement to the Canadian Prospectus (in the English and French languages), which will correct such statement or omission, reflect such change or effect such compliance; and in case any Underwriter is required to deliver a prospectus (or in lieu thereof, the notice referred to in Rule 173(a) under the Act) in connection with sales of any of the Shares at any time nine months or more after the time of issue of the U.S. Prospectus, upon your request but at the expense of such Underwriter, to prepare and deliver to such Underwriter as many written and electronic copies as you may request of an amended or supplemented U.S. Prospectus complying with Section 10(a)(3) of the Act; The Company has complied and will comply with the requirements of Part 6A of NI 44-102 to enable delivery of the Canadian Prospectus, or any amendment or supplement to the Canadian Prospectus, as the case may be, to be made through access thereto, and the Underwriters shall satisfy any request for electronic or paper copies of the Canadian Prospectus and amendment or supplement thereto, if any, in accordance with the requirements of NI 44-102, without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To promptly (and in any event within any applicable time limitation) comply with all legal requirements under the Act, other applicable U.S. securities laws and blue sky laws, Canadian Securities Laws, including Section 57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(Ontario) and the comparable provisions of the other Canadian Securities Laws, and the rules and by-laws governing the NYSE and TSX required as a result of an event described in subsection 5(f) in order to continue to qualify the distribution of the Shares in each of the Canadian Qualifying Jurisdictions and the offering of the Shares in the United States pursuant to this Agreement, including the prospectus amendment provisions of Canadian Securities Laws, and to prepare and file to the satisfaction of the Underwriters any amendment or supplement to the Registration Statement, the U.S. Prospectus and the Canadian Prospectus which, in the reasonable opinion of the Underwriters, may be necessary or advisable. In addition to the provisions of subsection 5(f) above, the Company will, in good faith, discuss with the Underwriters any change, event or fact contemplated in subsection 5(f) which is of such a nature that there may be reasonable doubt as to whether notice should be given to the Underwriters under subsection 5(f) and will consult with the Underwriters with respect to the form and content of any such supplement or amendment proposed to be filed by the Company, it being understood and agreed that no such supplement or amendment will be filed with the Commission or any Canadian Securities Commission prior to the review and approval by the Underwriters and their counsel. The Company shall also cooperate in all respects with the Underwriters and their counsel to allow and assist the Underwriters to participate in the preparation of any such supplement or amendment and to conduct all due diligence investigations which the Underwriters deem appropriate in order to fulfill their obligations as underwriters and to enable the Underwriters to responsibly execute any certificate related to such supplement or amendment required to be executed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make generally available to its security 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the period beginning from the date hereof and continuing to and including the date 60 days after the date of the Prospectuses (the “</w:t>
      </w:r>
      <w:r>
        <w:rPr>
          <w:rFonts w:ascii="Times New Roman;Times;Serif" w:hAnsi="Times New Roman;Times;Serif"/>
          <w:b/>
          <w:i w:val="false"/>
          <w:caps w:val="false"/>
          <w:smallCaps w:val="false"/>
          <w:sz w:val="20"/>
        </w:rPr>
        <w:t>Company Lock-Up Period</w:t>
      </w:r>
      <w:r>
        <w:rPr>
          <w:rFonts w:ascii="Times New Roman;Times;Serif" w:hAnsi="Times New Roman;Times;Serif"/>
          <w:b w:val="false"/>
          <w:i w:val="false"/>
          <w:caps w:val="false"/>
          <w:smallCaps w:val="false"/>
          <w:sz w:val="20"/>
        </w:rPr>
        <w:t>”), not to (i) offer, sell, contract to sell, pledge, grant any option to purchase, make any short sale or otherwise transfer or dispose of, directly or indirectly, or confidentially submit or file with the Commission a registration statement under the Act or prospectus under Canadian Securities Laws relating to any securities of the Company that are substantially similar to the Shares, including but not limited to any options or warrants to purchase Shares or any securities that are convertible into or exchangeable for, or that represent the right to receive, Shares or any such substantially similar securities, or publicly disclose the intention to make any offer, sale, pledge, disposition or filing or (ii) enter into any swap or other agreement that transfers, in whole or in part, any of the economic consequences of ownership of the Shares or any such other securities, whether any such transaction described in clause (i) or (ii) above is to be settled by delivery of Shares or such other securities, in cash or otherwise, without the prior written consent of Citigroup Global Markets Inc., BofA Securities, Inc. and TD Securities Inc. on behalf of the Underwriters, other than (A) the Shares to be sold hereunder, (B) the filing of any registration statement on Form S-8 relating to securities granted or to be granted pursuant to an equity incentive plan or share purchase plan of the Company described in the U.S. Pricing Prospectus, (C) the issuance of options or other equity awards, or the issuance of common shares upon exercise, redemption or settlement of such options or equity awards, pursuant to an equity incentive plan or share purchase plan of the Company described in the U.S. Pricing Prospectus, (D) to the extent conducted in the ordinary course of business and consistent with prior practice, the entry into total return swap agreements and the transactions thereunder in connection with the settlement of equity awards, (E) the entry into an agreement providing for the issuance by the Company of common shares or any security convertible into or exchangeable for common shares (including, without limitation, options, restricted stock, restricted stock units, or warrants) in connection with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(F) the entry into any agreement providing for the issuance of common shares or any security convertible into or exchangeable for common shares (including, without limitation, options, restricted stock, restricted stock units, or warrants) in connection with joint ventures, commercial relationships or other strategic transactions, and the issuance of any such securities pursuant to any such agreement, provided that the issuance of any such securities pursuant to clauses (E) or (F), in the aggregate, shall not exceed 10% of the total number of common shares outstanding immediately following the completion of the transactions contemplated by this Agreement including any Option Shares issued pursuant to this Agreement, (G) the issuance of common shares upon the conversion or exchange of convertible or exchangeable securities outstanding as of the date of this Agreement, or (H) the adoption of, or the issuance of common shares or any security convertible into or exchangeable for common shares (including, without limitation, options, restricted stock, restricted stock units, or warrants) pursuant to the terms of, a shareholder rights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furnish to its shareholders within the requisite period under law after the end of each fiscal year an annual report (including a statement of financial position, statement of income and comprehensive income, statement of change in equity and statement of cash flows of the Company and its consolidated subsidiaries certified by independent public accountants) and, within the requisite periods under law after the end of each of the first three quarters of each fiscal year (beginning with the fiscal quarter ending after the effective date of the Registration Statement), to make available to its shareholders consolidated summary financial information of the Company and its subsidiaries for such quarter in reasonable detail; provided, however, that the Company may satisfy the requirements of this subsection by making any such reports, communications or information generally available on its website or by electronically filing such information with the Commission or the Canadian Securities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During a period of five years from the effective date of the Registration Statement, to furnish to you copies of all reports or other communications (financial or other) furnished to shareholders, and to deliver to you (i) as soon as they are available, copies of any reports and financial statements furnished to or filed with the Commission or any Canadian Securities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shareholders generally or to the Commission or any Canadian Securities Commission); provided that any report, communication or financial statement furnished or filed with the Commission that is publicly available on the Commission’s EDGAR system or the Canadian Securities Commissions’ SEDAR+ system shall be deemed to have been furnished to you at the time furnished or filed with the Commission or the Canadian Securities Commissions,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use its best efforts to list or maintain the listing of the Shares for trading on the NYSE and the TSX;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w:t>
      </w:r>
      <w:r>
        <w:rPr>
          <w:rFonts w:ascii="Times New Roman;Times;Serif" w:hAnsi="Times New Roman;Times;Serif"/>
          <w:b/>
          <w:i w:val="false"/>
          <w:caps w:val="false"/>
          <w:smallCaps w:val="false"/>
          <w:sz w:val="20"/>
        </w:rPr>
        <w:t>License</w:t>
      </w:r>
      <w:r>
        <w:rPr>
          <w:rFonts w:ascii="Times New Roman;Times;Serif" w:hAnsi="Times New Roman;Times;Serif"/>
          <w:b w:val="false"/>
          <w:i w:val="false"/>
          <w:caps w:val="false"/>
          <w:smallCaps w:val="false"/>
          <w:sz w:val="20"/>
        </w:rPr>
        <w:t>”); provided, however, that the License shall be used solely for the purpose described above, is granted without any fee and may not be assigned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will (without duplication) indemnify and hold harmless the Underwriters against any documentary, stamp or similar issuance tax, including any interest and penalties, on the creation, issuance and sale of the Shares and on the execution and delivery of this Agreement. All payments to be made by the Company pursuant to this subsection shall be made without withholding or deduction for or on account of any present or future taxes, duties or governmental charges whatsoever unless the 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shall apply the net proceeds from the offering and sale of the Shares to be sold by the Company in the manner set forth in the U.S. Pricing Prospectus and the Prospectuses under “Use of Proceeds” and shall file such reports with the Commission with respect to the sale of the Shares and the application of the proceeds therefrom as may be required in accordance with Rule 463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The Company represents and agrees that, without the prior consent of the Underwriters, it has not made and will not make any offer relating to the Shares that would constitute a “free writing prospectus” as defined in Rule 405 under the Act; and each Underwriter represents and agrees that, without the prior consent of the Company and the Underwriters, it has not made and will not make any offer relating to the Shares that would constitute a free writing prospectus; any such free writing prospectus the use of which has been consented to by the Company and the Underwriters is listed on Schedule II(a) hereto; the Company represents and agrees that, without the prior consent of the Underwriters, it has not made and will not make use of any materials that would constitute marketing materials (as defined in NI 41-101) relating to the Shares, the Company or the offering; and each Underwriter represents and agrees that, without the prior consent of the Company and the Underwriters, it has not made and will not make use of any materials that would constitute marketing materials (as defined in NI 41-101) relating to the Shares, the Company or the offering; any such materials the use of which has been consented to by the Company and the Underwriters are the marketing materials (as defined in NI 41-101) listed on Schedule II(d) hereto and the Underwriters agree (severally and not jointly) to comply with Canadian Securities Laws and laws concerning the French language in Québec, to the extent applicable, in connection with the provision of any marketing materials or standard term sheet (each as defined in NI 41-101) to prospective purchasers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 the Company has complied and will comply with its requirements of NI 41-101, NI 44-101 and NI 44-102 applicable to any marketing materials (as defined in NI 41-101), including filing or delivery with the Canadian Securities Commissions in each of the Canadian Qualifying Jurisdictions of the template version (as defined in NI 41-101) of any marketing materials (as defined in NI 41-101) the use of which is consented to by the Company and the Underwriters not later than the day in respect of which the Underwriters have provided timely written notice to the Company that such marketing materials were first provided (as defined in NI 41-101) to a potential investor;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agrees that if at any time following issuance of an Issuer Free Writing Prospectus any event occurred or occurs as a result of which such Issuer Free Writing Prospectus would conflict with the information in the Registration Statement, the U.S. Pricing Prospectus or the Prospectuses or would include an untrue statement of a material fact or omit to state any material fact necessary in order to make the statements therein, in the light of the circumstances then prevailing, not misleading, the Company will give prompt notice thereof to the Underwriters and, if requested by the Underwriters, will prepare and furnish without charge to each Underwriter an Issuer Free Writing Prospectus or other document which will correct such conflict, statement or omission; provided, however, that this representation and warranty shall not apply to any statements or omissions in an Issuer Free Writing Prospectus made in reliance upon and in conformity with information furnished in writing to the Company by an Underwriter through the Underwriters or their counsel expressly for use therein in connection with the disclosure required by Form S-3 or Canadian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Company covenants and agrees with the several Underwriters: that the Company will pay or cause to be paid the following: (i) the fees, disbursements and expenses of the Company’s counsel and accountants in connection with the registration of the Shares under the Act, the qualification of the Shares for distribution by prospectus under Canadian Securities Laws and all other expenses in connection with the preparation, printing, reproduction and filing of the Registration Statement, any U.S. Preliminary Prospectus, any Issuer Free Writing Prospectus and the Prospectuses and amendments and supplements thereto and the mailing and delivering of copies thereof to the Underwriters and dealers; (ii) the cost of producing any Agreement among Underwriters, this Agreement, closing documents (including any compilations thereof) and any other documents in connection with the offering, purchase, sale and delivery of the Shares; (iii) all expenses in connection with the qualification of the Shares for offering and sale under U.S. state laws and Canadian Securities Laws as provided in Section 5(b) hereof, including the fees and disbursements of counsel for the Underwriters in connection with such qualification and in connection with any Blue Sky survey undertaken (such fees and expenses referenced in clause (ii) and (iii) not to exceed $5,000.00); (iv) all fees and expenses in connection with listing the Shares on the NYSE and the TSX; (v) the filing fees incident to, and the fees and disbursements of counsel for the Underwriters in connection with, any required review by FINRA of the terms of the sale of the Shares (such fee and expenses not to exceed $5,000.00); (vi) the cost of preparing share certificates, if applicable; (vii) the cost and charges of any transfer agent or registrar; and (viii) all other costs and expenses incident to the performance of its obligations hereunder which are not otherwise specifically provided for in this Section. Except as provided in this Section, and Sections 9 and 12 hereof, the Underwriters will pay all of their own costs and expenses, including the fees of their counsel, and any advertising expenses connected with any offers they may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obligations of the Underwriters hereunder, to purchase the Firm Shares on the Closing Date or any Option Shares on the Option Closing Date, as the case may be, shall be subject to the condition that all representations and warranties and other statements of the Company herein are, at and as of the Closing Date or any Option Closing Date, true and correct, the condition that the Company shall have performed all of its obligations hereunder theretofore to be performed, and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U.S.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the Canadian Final Prospectus Supplement shall have been filed with the Canadian Securities Commissions in accordance with Section 5(a) hereof; no stop order suspending the effectiveness of the Registration Statement or any part thereof shall have been issued and no proceeding for that purpose shall have been initiated or threatened by the Commission; no stop order suspending or preventing the use of the U.S. Prospectus or any Issuer Free Writing Prospectus shall have been initiated or threatened by the Commission; no order having the effect of ceasing or suspending the distribution of the Shares or the use of the Canadian Preliminary Prospectus or the Canadian Prospectus shall have been issued and no proceeding for that purpose shall have been initiated or threatened by any Canadian Securities Commission or the TSX; and all requests for additional information on the part of the Commission or any Canadian Securities Commission shall have been complied with to your reasonable satisfaction;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Paul, Weiss, Rifkind, Wharton &amp; Garrison LLP, U.S. counsel for the Underwriters, shall have furnished to you such negative assurance letter, dated the Closing Date and any Option Closing Date, in form and substance reasonably satisfactory to you, and such counsel shall have received such papers and information as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Osler, Hoskin &amp; Harcourt LLP, Canadian counsel for the Underwriters, shall have furnished to you such written opinion or opinions, dated the Closing Date and any Option Closing Date, in form and substance reasonably satisfactory to you, and such counsel shall have received such papers and information as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Skadden, Arps, Slate, Meagher &amp; Flom LLP, U.S. counsel for the Company, shall have furnished to you their written opinion and negative assurance letter, dated the Closing Date and any Option Closing Date, in form and substance reasonably satisfactory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Blake, Cassels &amp; Graydon LLP, Canadian counsel for the Company, shall have furnished to you their written opinion, dated the Closing Date and any Option Closing Date, in form and substance reasonably satisfactory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the time of the execution of this Agreement, the Underwriters shall have received from KPMG LLP a letter or letters, dated the date hereof, in form and substance reasonably satisfactory to the Underwriters, containing statements and information of the type ordinarily included in accountants’ “comfort letters” to underwriters with respect to the financial statements and certain financial information contained in and incorporated by reference into the Registration Statement, the Pricing Disclosure Package and the Canadian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Underwriters shall have received from KPMG LLP a letter or letters, dated as of the Closing Date and any Option Closing Date, to the effect that they reaffirm the statements made in the letter or letters furnished pursuant to subsection (h) of this Section, except that the specified date referred to shall be a date not more than three Business Days prior to the Closing Date or applicable Option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 Neither the Company nor any of its subsidiaries shall have sustained since the date of the latest audited financial statements included in the U.S. Pricing Prospectus and the Canadian Prospectus any loss or interference with its business from fire, explosion, flood or other calamity or from any labor dispute or court or governmental action, order or decree, other than as set forth or contemplated in the Pricing Disclosure Package and the Canadian Prospectus, and (ii) since the respective dates as of which information is given in the U.S. Pricing Prospectus and the Canadian Prospectus there shall not have been any change in the share capital or long-term debt of the Company or any of its subsidiaries or any change, or any development involving a prospective change, in or affecting the general affairs, management, financial position, shareholders’ equity or results of operations of the Company and its subsidiaries, other than as set forth or contemplated in the Pricing Disclosure Package and the Canadian Prospectus, the effect of which, in any such case described in clause (i) or (ii), is in your judgment so material and adverse as to make it impracticable or inadvisable to proceed with the public offering or the delivery of the Shares being delivered on the Closing Date or any Option Closing Date on the terms and in the manner contemplated in the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or after the Applicable Time (i) no downgrading shall have occurred in the rating accorded the Company’s debt securities by any “nationally recognized statistical rating organization”, as defined in Section 3(a)(62) of the Exchange Act, and (ii) no such organization shall have publicly announced that it has under surveillance or review, with possible negative implications, its rating of any of the Company’s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or after the Applicable Time there shall not have occurred any of the following: (i) a suspension or material limitation in trading in securities generally on the NYSE or the TSX; (ii) a suspension or material limitation in trading in the Company’s securities on the NYSE or the TSX; (iii) a general moratorium on commercial banking activities in the United States or Canada declared by the relevant authorities, or a material disruption in commercial banking or securities settlement or clearance services in the United States or Canada; (iv) the outbreak or escalation of hostilities involving the United States or Canada or the declaration by the United States or Canada of a national emergency or war; or (v) the occurrence of any other calamity or crisis or any change in financial, political or economic conditions in the United States or Canada or elsewhere, if the effect of any such event specified in clause (iv) or (v) in your judgment makes it impracticable or inadvisable to proceed with the public offering or the delivery of the Shares being delivered on the Closing Date or any Option Closing Date on the terms and in the manner contemplated in the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Shares to be sold on the Closing Date or any Option Closing Date, as the case may be, shall have been duly listed, subject to official notice of issuance, on the NYSE, and shall have been duly listed and posted for trading on the TSX as of the opening of trading on the Closing Date or any Option Closing Date, subject only to satisfaction of customary post-closing conditions imposed by the TSX in similar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have obtained and delivered to the Underwriters executed copies of an agreement, dated the date of this Agreement, from each person listed on Schedule III hereto, substantially to the effect set forth in Annex I hereto in form and substance reasonably satisfactory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have complied with the provisions of Section 5(f) hereof with respect to the furnishing of prospectuses within the prescribed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shall have furnished or caused to be furnished to you on the Closing Date and any Option Closing Date certificates of officers of the Company, reasonably satisfactory to you as to the accuracy of the representations and warranties of the Company herein in all material respects at and as of the Closing Date or any Option Closing Date, as to the performance by the Company of all of its obligations hereunder to be performed at or prior to the Closing Date or any Option Closing Date, as to such other matters as you may reasonably request, and the Company shall have furnished or caused to be furnished certificates as to the matters set forth in subsections (a), (h) and (i) of this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        The Company will indemnify and hold harmless each Underwriter against any losses, claims, damages or liabilities, joint or several, to which such Underwriter may become subject, under the Act, Canadian Securities Laws or otherwise, insofar as such losses, claims, damages or liabilities (or actions in respect thereof) arise out of or are based upon (i) an untrue statement or alleged untrue statement of a material fact contained in the Registration Statement, any U.S. Preliminary Prospectus, the U.S. Pricing Prospectus or the U.S.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or (ii) a misrepresentation or alleged misrepresentation (as that term is defined under applicable Canadian Securities Laws) contained in the Canadian Preliminary Prospectus, the Canadian Prospectus or any amendment or supplement thereto;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or misrepresentation or alleged misrepresentation (as that term is defined under applicable Canadian Securities Laws) made in the Registration Statement, any U.S. Preliminary Prospectus, Canadian Preliminary Prospectus, Canadian Prospectus, the U.S. Pricing Prospectus or the Prospectuses, or any amendment or supplement thereto, or any Issuer Free Writing Prospectus, in reliance upon and in conformity with the Underwriter Information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Underwriters, severally and not jointly, will indemnify and hold harmless the Company against any losses, claims, damages or liabilities to which the Company may become subject, under the Act, Canadian Securities Laws or otherwise, insofar as such losses, claims, damages or liabilities (or actions in respect thereof) arise out of or are based upon (i) an untrue statement or alleged untrue statement of a material fact contained in the Registration Statement, any U.S. Preliminary Prospectus, the U.S. Pricing Prospectus or the U.S. Prospectus, or any amendment or supplement thereto, or any Issuer Free Writing Prospectus, or arise out of or are based upon the omission or alleged omission to state therein a material fact required to be stated therein or necessary to make the statements therein not misleading, or (ii) a misrepresentation or alleged misrepresentation (as that term is defined under applicable Canadian Securities Laws) contained in the Canadian Preliminary Prospectus, the Canadian Prospectus or any amendment or supplement thereto; in each case to the extent, but only to the extent, that such untrue statement or alleged untrue statement or omission or alleged omission or misrepresentation or alleged misrepresentation (as that term is defined under applicable Canadian Securities Laws), as the case may be, was made in the Registration Statement, any U.S. Preliminary Prospectus, Canadian Preliminary Prospectus, Canadian Prospectus, the U.S. Pricing Prospectus or the Prospectuses, or any amendment or supplement thereto, or any Issuer Free Writing Prospectus, in reliance upon and in conformity with written information furnished to the Company by such Underwriter or its counsel expressly for use therein; and will reimburse the Company for any legal or other expenses reasonably incurred by the Company in connection with investigating or defending any such action or claim as such expenses are incurred. The Company acknowledges that the statements in any Canadian Prospectus set forth in the twelfth, thirteenth and fourteenth paragraphs under the heading “Plan of Distribution” and in any U.S. Prospectus set forth in the fourteenth, fifteenth and sixteenth paragraphs under the heading “Underwriting” (collectively, the “</w:t>
      </w:r>
      <w:r>
        <w:rPr>
          <w:rFonts w:ascii="Times New Roman;Times;Serif" w:hAnsi="Times New Roman;Times;Serif"/>
          <w:b/>
          <w:i w:val="false"/>
          <w:caps w:val="false"/>
          <w:smallCaps w:val="false"/>
          <w:sz w:val="20"/>
        </w:rPr>
        <w:t>Underwriter Information</w:t>
      </w:r>
      <w:r>
        <w:rPr>
          <w:rFonts w:ascii="Times New Roman;Times;Serif" w:hAnsi="Times New Roman;Times;Serif"/>
          <w:b w:val="false"/>
          <w:i w:val="false"/>
          <w:caps w:val="false"/>
          <w:smallCaps w:val="false"/>
          <w:sz w:val="20"/>
        </w:rPr>
        <w:t>”), constitute the only information furnished in writing by or on behalf of the Underwriters for inclusion in the Registration Statement, any U.S. Preliminary Prospectus, Canadian Preliminary Prospectus, Canadian Prospectus, the U.S. Pricing Prospectus or the Prospectuses, or any amendment or supplement thereto, or any Issuer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 than on account of this indemnity agreement. In the case of parties indemnified pursuant to Section 9(a) above, counsel to the indemnified parties shall be selected by you, and, in the case of parties indemnified pursuant to Section 9(b)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9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indemnification provided for in this Section 9 is unavailable to or insufficient to hold harmless an indemnified party under subsection (a) or (b) above in respect of any losses, claims, damages or liabilities (or actions in respect thereof) referred to therein (other than as a result of the limitations imposed on indemnification described in such preceding subsections of this Section 9),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commissions or discounts received by the Underwriters, in each case described in the Prospectuses.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Company under this Section 9 shall be in addition to any liability which the Company may otherwise have and shall extend, upon the same terms and conditions, to each officer, director or employee of each Underwriter and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director or employee of the Company (including any person who, with his or her consent, is named in the Registration Statement as about to become a director of the Company) and to each person, if any, who controls the Company within the meaning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           If any Underwriter shall default in its obligation to purchase the Shares that it has agreed to purchase hereunder on the Closing Date or on any Option Closing Date,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reasonably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the Closing Date or the applicable Option Closing Date, as the case may be, for a period of not more than seven days, in order to effect whatever changes may thereby be made necessary in the Registration Statement or the Prospectuses, or in any other documents or arrangements, and the Company agrees to file promptly any amendments or supplements to the Registration Statement or the Prospectuses which in your opinion may thereby be made necessary. The term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as used in this Agreement shall include any person substituted under this Section with like effect as if such person had originally been a party to this Agreement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after giving effect to any arrangements for the purchase of the Shares of a defaulting Underwriter or Underwriters by you or the Company as provided in subsection (a) above, the aggregate number of such Shares which remains unpurchased does not exceed one-tenth of the aggregate number of all the Shares to be purchased on the Closing Date or on the applicable Option Closing Date, as the case may be, then the Company shall have the right to require each non-defaulting Underwriter to purchase the number of Shares which such Underwriter agreed to purchase hereunder on the Closing Date or the Option Closing Date, as the case may be,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arrangements for the purchase of the Shares of a defaulting Underwriter or Underwriters by you or the Company as provided in subsection (a) above, the aggregate number of such Shares which remains unpurchased exceeds one-tenth of the aggregate number of all of the Shares to be purchased on the Closing Date or the Option Closing Date, as the case may be, or if the Company shall not exercise the right described in subsection (b) above to require non-defaulting Underwriters to purchase Shares of a defaulting Underwriter or Underwriters, then this Agreement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this Agreement shall be terminated pursuant to Section 10 hereof or as a result of a failure to satisfy the condition specified in Section 8(j) hereof, the Company shall not be under any liability to any Underwriter except as provided in Sections 7 and 9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All notices and other communications hereunder shall be in writing and shall be deemed to have been duly given if mailed or transmitted by any standard form of telecommunication.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the Underwriters shall be directed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br/>
        <w:t>388 Greenwich Street</w:t>
        <w:br/>
        <w:t>New York, New York 10013</w:t>
        <w:br/>
        <w:t>Attention: General Counsel</w:t>
        <w:br/>
        <w:t>Facsimile number: 1-646-291-1469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br/>
        <w:t>One Bryant Park</w:t>
        <w:br/>
        <w:t>New York, New York 10036</w:t>
        <w:br/>
        <w:t>Email:  dg.ecm_execution_services@bofa.com</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Syndicate Department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dg.capital_markets_legal@bofa.com</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Capital Markets 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Inc.</w:t>
        <w:br/>
        <w:t>TD Tower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66 Wellington Street West</w:t>
        <w:br/>
        <w:t>Toronto, ON M5K 1A2</w:t>
        <w:br/>
        <w:t>Email: [REDACTED]</w:t>
        <w:br/>
        <w:t>Attention: Chris John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Weiss, Rifkind, Wharton &amp; Garrison LLP</w:t>
        <w:br/>
        <w:t>1285 Avenue of the Americas</w:t>
        <w:br/>
        <w:t>New York, New York 10019-6064</w:t>
        <w:br/>
        <w:t>Attention: Christopher Cummings</w:t>
        <w:br/>
        <w:t>E-mail: ccummings@paulweiss.com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Osler, Hoskin &amp; Harcourt LLP</w:t>
        <w:br/>
        <w:t>First Canadian Place, 100 King St West, Suite #6200</w:t>
        <w:br/>
        <w:t>Toronto, ON M5X 1B8</w:t>
        <w:br/>
        <w:t>Attention: Rosalind Hunter</w:t>
        <w:br/>
        <w:t>E-mail: rhunter@osler.com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the Company shall be directed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Celestica Inc.</w:t>
        <w:br/>
        <w:t>5140 Yonge Street, Suite #1900</w:t>
        <w:br/>
        <w:t>Toronto, Ontario M2N 6L7</w:t>
        <w:br/>
        <w:t>Attention: Douglas Parker</w:t>
        <w:br/>
        <w:t>E-mail: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Blake, Cassels &amp; Graydon LLP</w:t>
        <w:br/>
        <w:t>199 Bay Street, Suite #4000</w:t>
        <w:br/>
        <w:t>Toronto, Ontario M5L 1A9</w:t>
        <w:br/>
        <w:t>Attention: Matthew Merkley</w:t>
        <w:br/>
        <w:t>E-mail: matthew.merkley@blakes.com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LLP</w:t>
        <w:br/>
        <w:t>One Manhattan West</w:t>
        <w:br/>
        <w:t>New York, New York 10001</w:t>
        <w:br/>
        <w:t>Attention: Ryan Dzierniejko</w:t>
        <w:br/>
        <w:t>E-mail: ryan.dzierniejko@skadden.com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any of the parties may designate by giving notice to the others in accordance with this Section 13. Each notice shall be personally delivered to the addressee or sent by e-mail to the addressee. A notice which is personally delivered or delivered by e-mail shall, if delivered prior to 5:00 p.m. (New York City time) on a Business Day, be deemed to be given and received on that day and, in any other case, be deemed to be given and received on the first Business Day following the day on which it is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In all dealings hereunder, you shall act on behalf of each of the Underwriters, and the parties hereto shall be entitled to act and rely upon any statement, request, notice or agreement on behalf of any Underwriter made or given by you jointly.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This Agreement shall be binding upon, and inure solely to the benefit of, the Underwriters and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Time shall be of the essence of this Agreement. As used herein, the term “business day” shall mean any day when the Commission’s office in Washington, D.C. is open for business and chartered banks in Canada are open for business in Toronto, Ontario.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has rendered advisory services of any nature or respect, or owes a fiduciary or similar duty to the Company, in connection with such transaction or the process leading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This Agreement supersedes all prior agreements and understandings (whether written or oral) between the Company and the Underwriters, or any of them,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 Company and each of the Underwriters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This Agreement may be executed by the parties to this Agreement in counterpart and may be executed and delivered by facsimile or by email in portable document (including any electronic signature covered by the U.S. federal ESIGN Act of 2000, Uniform Electronic Transactions Act, the Electronic Signatures and Records Act or other applicable law, e.g., </w:t>
      </w:r>
      <w:r>
        <w:rPr>
          <w:rFonts w:ascii="Times New Roman;Times;Serif" w:hAnsi="Times New Roman;Times;Serif"/>
          <w:b w:val="false"/>
          <w:i w:val="false"/>
          <w:caps w:val="false"/>
          <w:smallCaps w:val="false"/>
          <w:sz w:val="20"/>
          <w:u w:val="single"/>
        </w:rPr>
        <w:t>www.docusign.com</w:t>
      </w:r>
      <w:r>
        <w:rPr>
          <w:rFonts w:ascii="Times New Roman;Times;Serif" w:hAnsi="Times New Roman;Times;Serif"/>
          <w:b w:val="false"/>
          <w:i w:val="false"/>
          <w:caps w:val="false"/>
          <w:smallCaps w:val="false"/>
          <w:sz w:val="20"/>
        </w:rPr>
        <w:t>) or other similar format and all such counterparts and electronic copies shall together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90"/>
        <w:gridCol w:w="9871"/>
      </w:tblGrid>
      <w:tr>
        <w:trPr/>
        <w:tc>
          <w:tcPr>
            <w:tcW w:w="4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20"/>
              </w:rPr>
            </w:pPr>
            <w:r>
              <w:rPr>
                <w:sz w:val="20"/>
              </w:rPr>
              <w:t>(1)</w:t>
            </w:r>
          </w:p>
        </w:tc>
        <w:tc>
          <w:tcPr>
            <w:tcW w:w="9871" w:type="dxa"/>
            <w:tcBorders/>
            <w:vAlign w:val="center"/>
          </w:tcPr>
          <w:p>
            <w:pPr>
              <w:pStyle w:val="TableContents"/>
              <w:bidi w:val="0"/>
              <w:spacing w:before="0" w:after="283"/>
              <w:jc w:val="left"/>
              <w:rPr>
                <w:sz w:val="20"/>
              </w:rPr>
            </w:pPr>
            <w:r>
              <w:rPr>
                <w:sz w:val="20"/>
              </w:rPr>
              <w:t>a “covered entity” as that term is defined in, and interpreted in accordance with, 12 C.F.R. § 252.82(b);</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92"/>
        <w:gridCol w:w="9868"/>
      </w:tblGrid>
      <w:tr>
        <w:trPr/>
        <w:tc>
          <w:tcPr>
            <w:tcW w:w="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20"/>
              </w:rPr>
            </w:pPr>
            <w:r>
              <w:rPr>
                <w:sz w:val="20"/>
              </w:rPr>
              <w:t>(2)</w:t>
            </w:r>
          </w:p>
        </w:tc>
        <w:tc>
          <w:tcPr>
            <w:tcW w:w="9868" w:type="dxa"/>
            <w:tcBorders/>
            <w:vAlign w:val="center"/>
          </w:tcPr>
          <w:p>
            <w:pPr>
              <w:pStyle w:val="TableContents"/>
              <w:bidi w:val="0"/>
              <w:spacing w:before="0" w:after="283"/>
              <w:jc w:val="left"/>
              <w:rPr>
                <w:sz w:val="20"/>
              </w:rPr>
            </w:pPr>
            <w:r>
              <w:rPr>
                <w:sz w:val="20"/>
              </w:rPr>
              <w:t>a “covered bank” as that term is defined in, and interpreted in accordance with, 12 C.F.R. § 47.3(b);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01"/>
        <w:gridCol w:w="9858"/>
      </w:tblGrid>
      <w:tr>
        <w:trPr/>
        <w:tc>
          <w:tcPr>
            <w:tcW w:w="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20"/>
              </w:rPr>
            </w:pPr>
            <w:r>
              <w:rPr>
                <w:sz w:val="20"/>
              </w:rPr>
              <w:t>(3)</w:t>
            </w:r>
          </w:p>
        </w:tc>
        <w:tc>
          <w:tcPr>
            <w:tcW w:w="9858" w:type="dxa"/>
            <w:tcBorders/>
            <w:vAlign w:val="center"/>
          </w:tcPr>
          <w:p>
            <w:pPr>
              <w:pStyle w:val="TableContents"/>
              <w:bidi w:val="0"/>
              <w:spacing w:before="0" w:after="283"/>
              <w:jc w:val="left"/>
              <w:rPr>
                <w:sz w:val="20"/>
              </w:rPr>
            </w:pPr>
            <w:r>
              <w:rPr>
                <w:sz w:val="20"/>
              </w:rPr>
              <w:t>a “covered FSI” as that term is defined in, and interpreted in accordance with, 12 C.F.R. § 382.2(b).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(a)        This Agreement and any claim, controversy, or dispute arising under or related to 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submits to the exclusive jurisdiction of the U.S. federal and New York state courts in the Borough of Manhattan in The City of New York in any suit or proceeding arising out of or relating to this Agreement or the transactions contemplated hereby. The Company irrevocably waives, to the fullest extent permitted by law,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the Company is subject by a suit upon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irrevocably appoints The Corporation Trust Company, 1209 Orange Street, Wilmington, Delaware 19801, as its authorized agent in the United States upon which process may be served in any such suit or proceeding, and agrees that service of process upon such authorized agent, and written notice of such service to the Company by the person serving the same to the address provided in this Section 24, shall be deemed in every respect effective service of process upon the Company in any such suit or proceeding. The Company hereby represents and warrants that such authorized agent has accepted such appointment and has agreed to act as such authorized agent for service of process. The Company further agrees to take any and all action as may be necessary to maintain such designation and appointment of such authorized agent in full force and effect for a period of seven years from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purchased over the sum originally due to such Underwriter or controlling person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sign and return to us counterparts hereof, and upon the acceptance hereof by you, on behalf of each of the Underwriters, this letter and such acceptance hereof shall constitute a binding agreement among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335"/>
        <w:gridCol w:w="545"/>
        <w:gridCol w:w="1880"/>
        <w:gridCol w:w="75"/>
      </w:tblGrid>
      <w:tr>
        <w:trPr/>
        <w:tc>
          <w:tcPr>
            <w:tcW w:w="276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c>
          <w:tcPr>
            <w:tcW w:w="75" w:type="dxa"/>
            <w:tcBorders/>
            <w:vAlign w:val="center"/>
          </w:tcPr>
          <w:p>
            <w:pPr>
              <w:pStyle w:val="TableContents"/>
              <w:bidi w:val="0"/>
              <w:spacing w:before="0" w:after="283"/>
              <w:jc w:val="left"/>
              <w:rPr/>
            </w:pPr>
            <w:r>
              <w:rPr/>
              <w:t> </w:t>
            </w:r>
          </w:p>
        </w:tc>
      </w:tr>
      <w:tr>
        <w:trPr/>
        <w:tc>
          <w:tcPr>
            <w:tcW w:w="276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CELESTICA INC.</w:t>
            </w:r>
          </w:p>
        </w:tc>
        <w:tc>
          <w:tcPr>
            <w:tcW w:w="75" w:type="dxa"/>
            <w:tcBorders/>
            <w:vAlign w:val="center"/>
          </w:tcPr>
          <w:p>
            <w:pPr>
              <w:pStyle w:val="TableContents"/>
              <w:bidi w:val="0"/>
              <w:spacing w:before="0" w:after="283"/>
              <w:jc w:val="left"/>
              <w:rPr/>
            </w:pPr>
            <w:r>
              <w:rPr/>
              <w:t> </w:t>
            </w:r>
          </w:p>
        </w:tc>
      </w:tr>
      <w:tr>
        <w:trPr/>
        <w:tc>
          <w:tcPr>
            <w:tcW w:w="276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Mandeep Chawla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Mandeep Chawla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Underwriting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335"/>
        <w:gridCol w:w="545"/>
        <w:gridCol w:w="3875"/>
        <w:gridCol w:w="75"/>
      </w:tblGrid>
      <w:tr>
        <w:trPr/>
        <w:tc>
          <w:tcPr>
            <w:tcW w:w="4830" w:type="dxa"/>
            <w:gridSpan w:val="4"/>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Accepted as of the date hereof</w:t>
            </w:r>
          </w:p>
        </w:tc>
      </w:tr>
      <w:tr>
        <w:trPr/>
        <w:tc>
          <w:tcPr>
            <w:tcW w:w="4830" w:type="dxa"/>
            <w:gridSpan w:val="4"/>
            <w:tcBorders/>
            <w:vAlign w:val="center"/>
          </w:tcPr>
          <w:p>
            <w:pPr>
              <w:pStyle w:val="TableContents"/>
              <w:bidi w:val="0"/>
              <w:spacing w:before="0" w:after="283"/>
              <w:jc w:val="left"/>
              <w:rPr/>
            </w:pPr>
            <w:r>
              <w:rPr/>
              <w:t> </w:t>
            </w:r>
          </w:p>
        </w:tc>
      </w:tr>
      <w:tr>
        <w:trPr/>
        <w:tc>
          <w:tcPr>
            <w:tcW w:w="4830" w:type="dxa"/>
            <w:gridSpan w:val="4"/>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CITIGROUP GLOBAL MARKETS INC.</w:t>
            </w:r>
          </w:p>
        </w:tc>
      </w:tr>
      <w:tr>
        <w:trPr/>
        <w:tc>
          <w:tcPr>
            <w:tcW w:w="4830" w:type="dxa"/>
            <w:gridSpan w:val="4"/>
            <w:tcBorders/>
            <w:vAlign w:val="center"/>
          </w:tcPr>
          <w:p>
            <w:pPr>
              <w:pStyle w:val="TableContents"/>
              <w:bidi w:val="0"/>
              <w:spacing w:before="0" w:after="283"/>
              <w:jc w:val="left"/>
              <w:rPr/>
            </w:pPr>
            <w:r>
              <w:rPr/>
              <w:t> </w:t>
            </w:r>
          </w:p>
        </w:tc>
      </w:tr>
      <w:tr>
        <w:trPr/>
        <w:tc>
          <w:tcPr>
            <w:tcW w:w="4830" w:type="dxa"/>
            <w:gridSpan w:val="4"/>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42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Dan Mallegni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Dan Mallegni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 of Global Electronics Investment banking</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335"/>
        <w:gridCol w:w="590"/>
        <w:gridCol w:w="4175"/>
        <w:gridCol w:w="75"/>
      </w:tblGrid>
      <w:tr>
        <w:trPr/>
        <w:tc>
          <w:tcPr>
            <w:tcW w:w="5100"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BOFA SECURITIES, INC.</w:t>
            </w:r>
          </w:p>
        </w:tc>
        <w:tc>
          <w:tcPr>
            <w:tcW w:w="75" w:type="dxa"/>
            <w:tcBorders/>
            <w:vAlign w:val="center"/>
          </w:tcPr>
          <w:p>
            <w:pPr>
              <w:pStyle w:val="TableContents"/>
              <w:bidi w:val="0"/>
              <w:spacing w:before="0" w:after="283"/>
              <w:jc w:val="left"/>
              <w:rPr/>
            </w:pPr>
            <w:r>
              <w:rPr/>
              <w:t> </w:t>
            </w:r>
          </w:p>
        </w:tc>
      </w:tr>
      <w:tr>
        <w:trPr/>
        <w:tc>
          <w:tcPr>
            <w:tcW w:w="510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6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Magdalena Heinrich</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Magdalena Heinrich</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75" w:type="dxa"/>
            <w:tcBorders/>
            <w:vAlign w:val="center"/>
          </w:tcPr>
          <w:p>
            <w:pPr>
              <w:pStyle w:val="TableContents"/>
              <w:bidi w:val="0"/>
              <w:spacing w:before="0" w:after="283"/>
              <w:jc w:val="left"/>
              <w:rPr>
                <w:sz w:val="20"/>
              </w:rPr>
            </w:pPr>
            <w:r>
              <w:rPr>
                <w:sz w:val="20"/>
              </w:rPr>
              <w:t>Managing Director, Head of US Technology ECM  </w:t>
            </w:r>
          </w:p>
        </w:tc>
        <w:tc>
          <w:tcPr>
            <w:tcW w:w="75" w:type="dxa"/>
            <w:tcBorders/>
            <w:vAlign w:val="center"/>
          </w:tcPr>
          <w:p>
            <w:pPr>
              <w:pStyle w:val="TableContents"/>
              <w:bidi w:val="0"/>
              <w:spacing w:before="0" w:after="283"/>
              <w:jc w:val="left"/>
              <w:rPr/>
            </w:pPr>
            <w:r>
              <w:rPr/>
              <w:t> </w:t>
            </w:r>
          </w:p>
        </w:tc>
      </w:tr>
      <w:tr>
        <w:trPr/>
        <w:tc>
          <w:tcPr>
            <w:tcW w:w="5175" w:type="dxa"/>
            <w:gridSpan w:val="4"/>
            <w:tcBorders/>
            <w:vAlign w:val="center"/>
          </w:tcPr>
          <w:p>
            <w:pPr>
              <w:pStyle w:val="TableContents"/>
              <w:bidi w:val="0"/>
              <w:spacing w:before="0" w:after="283"/>
              <w:jc w:val="both"/>
              <w:rPr/>
            </w:pPr>
            <w:r>
              <w:rPr/>
              <w:t> </w:t>
            </w:r>
          </w:p>
        </w:tc>
      </w:tr>
      <w:tr>
        <w:trPr/>
        <w:tc>
          <w:tcPr>
            <w:tcW w:w="5175" w:type="dxa"/>
            <w:gridSpan w:val="4"/>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TD SECURITIES INC.</w:t>
            </w:r>
          </w:p>
        </w:tc>
      </w:tr>
      <w:tr>
        <w:trPr/>
        <w:tc>
          <w:tcPr>
            <w:tcW w:w="5175" w:type="dxa"/>
            <w:gridSpan w:val="4"/>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76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Christopher John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Christopher John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4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5004" w:type="dxa"/>
        <w:jc w:val="left"/>
        <w:tblInd w:w="0" w:type="dxa"/>
        <w:tblLayout w:type="fixed"/>
        <w:tblCellMar>
          <w:top w:w="0" w:type="dxa"/>
          <w:left w:w="0" w:type="dxa"/>
          <w:bottom w:w="28" w:type="dxa"/>
          <w:right w:w="0" w:type="dxa"/>
        </w:tblCellMar>
      </w:tblPr>
      <w:tblGrid>
        <w:gridCol w:w="3440"/>
        <w:gridCol w:w="60"/>
        <w:gridCol w:w="94"/>
        <w:gridCol w:w="1335"/>
        <w:gridCol w:w="75"/>
      </w:tblGrid>
      <w:tr>
        <w:trPr/>
        <w:tc>
          <w:tcPr>
            <w:tcW w:w="3440" w:type="dxa"/>
            <w:tcBorders>
              <w:bottom w:val="single" w:sz="8" w:space="0" w:color="000000"/>
            </w:tcBorders>
            <w:vAlign w:val="center"/>
          </w:tcPr>
          <w:p>
            <w:pPr>
              <w:pStyle w:val="TableContents"/>
              <w:bidi w:val="0"/>
              <w:spacing w:before="0" w:after="283"/>
              <w:jc w:val="center"/>
              <w:rPr>
                <w:b/>
                <w:sz w:val="20"/>
              </w:rPr>
            </w:pPr>
            <w:r>
              <w:rPr>
                <w:b/>
                <w:sz w:val="20"/>
              </w:rPr>
              <w:t>Underwriter</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8" w:space="0" w:color="000000"/>
            </w:tcBorders>
            <w:vAlign w:val="center"/>
          </w:tcPr>
          <w:p>
            <w:pPr>
              <w:pStyle w:val="TableContents"/>
              <w:bidi w:val="0"/>
              <w:spacing w:before="0" w:after="283"/>
              <w:jc w:val="center"/>
              <w:rPr>
                <w:b/>
                <w:sz w:val="20"/>
              </w:rPr>
            </w:pPr>
            <w:r>
              <w:rPr>
                <w:b/>
                <w:sz w:val="20"/>
              </w:rPr>
              <w:t>Total Number of</w:t>
              <w:br/>
              <w:t>Firm Shares</w:t>
              <w:br/>
              <w:t>to be Purchased</w:t>
            </w:r>
          </w:p>
        </w:tc>
        <w:tc>
          <w:tcPr>
            <w:tcW w:w="75" w:type="dxa"/>
            <w:tcBorders/>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2,134,408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2,134,408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1,710,890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CIBC World Markets Corp.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920,743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920,743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920,743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255,132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255,132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170,088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170,088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Canaccord Genuity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42,522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Stifel, Nicolaus &amp; Company, Incorporated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8" w:space="0" w:color="000000"/>
            </w:tcBorders>
            <w:shd w:fill="FFFFFF" w:val="clear"/>
            <w:vAlign w:val="center"/>
          </w:tcPr>
          <w:p>
            <w:pPr>
              <w:pStyle w:val="TableContents"/>
              <w:bidi w:val="0"/>
              <w:spacing w:before="0" w:after="283"/>
              <w:jc w:val="left"/>
              <w:rPr/>
            </w:pPr>
            <w:r>
              <w:rPr/>
              <w:t> </w:t>
            </w:r>
          </w:p>
        </w:tc>
        <w:tc>
          <w:tcPr>
            <w:tcW w:w="1335" w:type="dxa"/>
            <w:tcBorders>
              <w:bottom w:val="single" w:sz="8" w:space="0" w:color="000000"/>
            </w:tcBorders>
            <w:shd w:fill="FFFFFF" w:val="clear"/>
            <w:vAlign w:val="center"/>
          </w:tcPr>
          <w:p>
            <w:pPr>
              <w:pStyle w:val="TableContents"/>
              <w:bidi w:val="0"/>
              <w:spacing w:before="0" w:after="283"/>
              <w:jc w:val="right"/>
              <w:rPr>
                <w:sz w:val="20"/>
              </w:rPr>
            </w:pPr>
            <w:r>
              <w:rPr>
                <w:sz w:val="20"/>
              </w:rPr>
              <w:t>45,522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jc w:val="left"/>
              <w:rPr/>
            </w:pPr>
            <w:r>
              <w:rPr/>
              <w:t> </w:t>
            </w:r>
          </w:p>
        </w:tc>
        <w:tc>
          <w:tcPr>
            <w:tcW w:w="1335" w:type="dxa"/>
            <w:tcBorders>
              <w:bottom w:val="double" w:sz="6" w:space="0" w:color="000000"/>
            </w:tcBorders>
            <w:shd w:fill="CCEEFF" w:val="clear"/>
            <w:vAlign w:val="center"/>
          </w:tcPr>
          <w:p>
            <w:pPr>
              <w:pStyle w:val="TableContents"/>
              <w:bidi w:val="0"/>
              <w:spacing w:before="0" w:after="283"/>
              <w:jc w:val="right"/>
              <w:rPr>
                <w:sz w:val="20"/>
              </w:rPr>
            </w:pPr>
            <w:r>
              <w:rPr>
                <w:sz w:val="20"/>
              </w:rPr>
              <w:t>9,677,419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 I - 1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Issuer Free Writing Prospectuses not included in the Pricing Disclosure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 dated August 5, 2026.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Presentation dated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Additional 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Information other than the U.S. Pricing Prospectus that comprise the Pricing Disclosure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Shares, which shall be $304.885 per Share.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purchased by the Underwriters is 9,677,419.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Marketing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presentation dated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 II - 1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A. Mionis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Kulvinder (Kelly) Ahuja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A. Cascella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Colpitts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Françoise Colpron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Jill Kale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Laurette Koellner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Amar Maletira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Reeder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Mandeep Chawla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Yann Etienvre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Cooper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Dorwart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Leila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Parker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Theodore Tzevelekis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 III - 1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ANNEX 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Celestica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br/>
        <w:t>One Bryant Park</w:t>
        <w:b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Tower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66 Wellington Street West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 M5K 1A2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Celestica Inc. -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you (the “Underwriters”), propose to enter into an underwriting agreement (the “Underwriting Agreement”) with Celestica Inc., an Ontario corporation (the “Company”), providing for a public offering (the “Public Offering”) of common shares (the “Common Shares”) of the Company (the “Shares”) pursuant to (i) an automatic shelf registration statement on Form S-3ASR (File No. 333-285515) filed with the Securities and Exchange Commission (the “SEC”) as supplemented by a prospectus supplement and (ii) a short form base shelf prospectus for each of the provinces and territories of Canada, as supplemented by a final prospectus supplement to be filed with the Canadian securities regulatory authorities in each of the provinces and territories of Canada. Capitalized terms used but not defined herein shall have the meanings set forth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agreement by the Underwriters to purchase the Shares, and of other good and valuable consideration the receipt and sufficiency of which is hereby acknowledged, the undersigned agrees that, during the period beginning from the date of this Lock-Up Agreement and continuing to and including the date 60 days after the date of the Underwriting Agreement (such period, the “Lock-Up Period”), the undersigned shall not, and shall not cause or direct any of its affiliates to, without the prior written consent of the Underwriters (i) offer, sell, contract to sell, pledge, grant any option, right or warrant to purchase, purchase any option or contract to sell, lend or otherwise transfer or dispose of any Common Shares of the Company, or any options or warrants to purchase any Common Shares of the Company, or any securities convertible into, exchangeable for or that represent the right to receive Common Shares of the Company (such Common Shares of the Company,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Shares of the Company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 III - 2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undersigned may: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transfer the undersigned’s Lock-Up Securities (i) as one or more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gifts or charitable contributions, or for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estate planning purposes, (ii) upon death by will, testamentary document or intestate succession, (iii) 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 (iv) to a partnership, limited liability company or other entity of which the undersigned and the immediate family of the undersigned are the legal and beneficial owner of all of the outstanding equity securities or similar interests, (v) to a nominee or custodian of a person or entity to whom a disposition or transfer would be permissible under clauses (a)(i) through (iv) above, (vi) if the undersigned is a corporation, partnership, limited liability company or other business entity, (A) to another corporation, partnership, limited liability company or other business entity that is an affiliate (as defined in Rule 405 under the Securities Act of 1933, as amended) of the undersigned, or to any investment fund or other entity which fund or entity is controlled or managed by the undersigned or affiliates of the undersigned, or (B) as part of a distribution by the undersigned to its stockholders, partners, members or other equityholders or to the estate of any such stockholders, partners, members or other equityholders, (vii) by operation of law, such as pursuant to a qualified domestic order, divorce settlement, divorce decree or separation agreement or other order of a court or regulatory agency, (viii) to the Company from an employee of the Company upon death, disability or termination of employment, in each case, of such employee, (ix) in connection with a sale of the undersigned’s Common Shares acquired (A) from the Underwriters in the Public Offering or (B) in open market transactions after the closing date of the Public Offering, (x) to the Company in connection with the vesting, settlement or exercise of restricted stock units, options, warrants or other rights to purchase Common Shares of the Company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U.S. and Canadian preliminary prospectuses relating to the Shares included in the Registration Statement immediately prior to the time the Underwriting Agreement is executed and the U.S. and Canadian final prospectus supplements, provided that any securities received upon such vesting, settlement, exercise or conversion shall be subject to the terms of this Lock-Up Agreement, or (xi) with the prior written consent of the Underwriters; provided that (A) in the case of clauses (a)(i), (ii), (iii), (iv), (v) and (vi) above, such transfer or distribution shall not involve a disposition for value (other than, with respect to (vi), dispositions for value in connection with transfers for the purpose of tax-efficient structuring),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 (ii), (iii), (iv), (v) and (vi) above, no filing by any party (including, without limitation, any donor, donee, devisee, transferor, transferee, distributor or distributee) under Section 16(a) of the Securities Exchange Act of 1934, as amended (the “Exchange Act”), or other public filing, report or announcement reporting a reduction in beneficial ownership of Lock-Up Securities shall be required or shall be voluntarily made during the Lock-Up Period in connection with such transfer or distribution, and (D) in the case of clauses (a)(vii), (viii), (ix) and (x) above, no filing under Section 16(a) of the Exchange Act or other public filing, report or announcement shall be voluntarily made during the Lock-Up Period,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 (a)(vii) above, that the donee, devisee, transferee or distributee has agreed to be bound by a lock-up agreement in the form of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required or shall be voluntarily made regarding the establishment of such plan during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transfer the undersigned’s Lock-Up Securities pursuant to a 10b5-1 Plan existing as of the date hereof (an “Existing 10b5-1 Plan”), in accordance with the terms of such Existing 10b5-1 Plan in existence as of the date hereof without any further amendment or modification, provided that, (i) any filing made pursuant to Section 16(a) of the Exchange Act reporting any such transfer made pursuant to this exception shall indicate that the transfer was made pursuant to the Existing 10b5-1 Plan; and (ii) such Existing 10b5-1 Plan has been disclosed to the Underwriters prior to the execution of this Lock-Up Agreement by the undersigned;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an officer or director of the Company, the undersigned further agrees that the foregoing provisions shall be equally applicable to any issuer-directed or other Shares the undersigned may purchase in the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now has, and, except as contemplated by clauses (a), (c) and (d)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Common Shares of the Company, and nothing set forth in such disclosures or herein is intended to suggest that any Underwriter is making such a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shall automatically terminate and the undersigned shall be released from all of his, her or its obligations hereunder upon the earlier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and (iii) the date on which the Company notifies the Underwriters, in writing and prior to the execution of the Underwriting Agreement, that it does not intend to proceed with the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560"/>
        <w:gridCol w:w="1910"/>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[please print full name]</w:t>
            </w:r>
          </w:p>
        </w:tc>
      </w:tr>
      <w:tr>
        <w:trPr/>
        <w:tc>
          <w:tcPr>
            <w:tcW w:w="2470" w:type="dxa"/>
            <w:gridSpan w:val="2"/>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[please print full 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6" w:name="tm2621135d2_ex5-1.htm"/>
      <w:bookmarkStart w:id="27" w:name="kstm2621135d2_ex51"/>
      <w:bookmarkEnd w:id="26"/>
      <w:bookmarkEnd w:id="27"/>
      <w:r>
        <w:rPr/>
        <w:t> </w:t>
      </w:r>
      <w:r>
        <w:br w:type="page"/>
      </w:r>
    </w:p>
    <w:p>
      <w:pPr>
        <w:pStyle w:val="TextBody"/>
        <w:bidi w:val="0"/>
        <w:jc w:val="right"/>
        <w:rPr>
          <w:b/>
          <w:sz w:val="20"/>
        </w:rPr>
      </w:pPr>
      <w:r>
        <w:rPr>
          <w:b/>
          <w:sz w:val="20"/>
        </w:rPr>
        <w:t>Exhibit 5.1</w:t>
      </w:r>
    </w:p>
    <w:p>
      <w:pPr>
        <w:pStyle w:val="TextBody"/>
        <w:bidi w:val="0"/>
        <w:spacing w:before="0" w:after="283"/>
        <w:jc w:val="left"/>
        <w:rPr/>
      </w:pPr>
      <w:r>
        <w:rPr/>
        <w:t> </w:t>
      </w:r>
    </w:p>
    <w:p>
      <w:pPr>
        <w:pStyle w:val="TextBody"/>
        <w:bidi w:val="0"/>
        <w:jc w:val="center"/>
        <w:rPr/>
      </w:pPr>
      <w:r>
        <w:rPr/>
        <w:drawing>
          <wp:inline distT="0" distB="0" distL="0" distR="0">
            <wp:extent cx="8096250"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857250"/>
                    </a:xfrm>
                    <a:prstGeom prst="rect">
                      <a:avLst/>
                    </a:prstGeom>
                  </pic:spPr>
                </pic:pic>
              </a:graphicData>
            </a:graphic>
          </wp:inline>
        </w:drawing>
      </w:r>
      <w:r>
        <w:rPr/>
        <w:t> </w:t>
      </w:r>
    </w:p>
    <w:p>
      <w:pPr>
        <w:pStyle w:val="TextBody"/>
        <w:bidi w:val="0"/>
        <w:jc w:val="left"/>
        <w:rPr>
          <w:rFonts w:ascii="Times New Roman;Times;Serif" w:hAnsi="Times New Roman;Times;Serif"/>
          <w:sz w:val="20"/>
        </w:rPr>
      </w:pPr>
      <w:r>
        <w:rPr>
          <w:rFonts w:ascii="Times New Roman;Times;Serif" w:hAnsi="Times New Roman;Times;Serif"/>
          <w:sz w:val="20"/>
        </w:rPr>
        <w:t>August 7, 2026</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Celestica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5140 Yonge Street, Suite 1900</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Canada M2N 6L7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2150"/>
        <w:gridCol w:w="7840"/>
      </w:tblGrid>
      <w:tr>
        <w:trPr/>
        <w:tc>
          <w:tcPr>
            <w:tcW w:w="21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b/>
              </w:rPr>
            </w:pPr>
            <w:r>
              <w:rPr>
                <w:b/>
              </w:rPr>
              <w:t>Re:</w:t>
            </w:r>
          </w:p>
        </w:tc>
        <w:tc>
          <w:tcPr>
            <w:tcW w:w="7840" w:type="dxa"/>
            <w:tcBorders/>
            <w:vAlign w:val="center"/>
          </w:tcPr>
          <w:p>
            <w:pPr>
              <w:pStyle w:val="TableContents"/>
              <w:bidi w:val="0"/>
              <w:spacing w:before="0" w:after="283"/>
              <w:jc w:val="both"/>
              <w:rPr>
                <w:b/>
              </w:rPr>
            </w:pPr>
            <w:r>
              <w:rPr>
                <w:b/>
              </w:rPr>
              <w:t>Celestica Inc.</w:t>
            </w:r>
          </w:p>
        </w:tc>
      </w:tr>
    </w:tbl>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S-3ASR Filed on March 3, 2025 (File No. 333-285515)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Sirs/Mesdames: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Canadian counsel to Celestica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its public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9,677,419 common shares in the capital of the Company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pursuant to the terms and conditions of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dated as of August 5, 2026 between the Company and BofA Securities Inc., Citigroup Global Markets Inc. and TD Securities Inc., on their own behalf and as representatives of their Canadian affiliates and of the other underwriters in the Underwriting Agreement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The Company has also granted to the Underwriters an option (the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to purchase up to an additional 1,451,612 Common Shares (the “</w:t>
      </w:r>
      <w:r>
        <w:rPr>
          <w:rFonts w:ascii="Times New Roman;Times;Serif" w:hAnsi="Times New Roman;Times;Serif"/>
          <w:b/>
          <w:i w:val="false"/>
          <w:caps w:val="false"/>
          <w:smallCaps w:val="false"/>
          <w:sz w:val="20"/>
        </w:rPr>
        <w:t>Option Shares</w:t>
      </w:r>
      <w:r>
        <w:rPr>
          <w:rFonts w:ascii="Times New Roman;Times;Serif" w:hAnsi="Times New Roman;Times;Serif"/>
          <w:b w:val="false"/>
          <w:i w:val="false"/>
          <w:caps w:val="false"/>
          <w:smallCaps w:val="false"/>
          <w:sz w:val="20"/>
        </w:rPr>
        <w:t>”). The Underwriters have elected to exercise the Option for 1,451,612 Option Shares on the Option Closing Date (as defined in the Underwriting Agreement). The Common Shares and Option Shares are collectively referred to herein as the “</w:t>
      </w:r>
      <w:r>
        <w:rPr>
          <w:rFonts w:ascii="Times New Roman;Times;Serif" w:hAnsi="Times New Roman;Times;Serif"/>
          <w:b/>
          <w:i w:val="false"/>
          <w:caps w:val="false"/>
          <w:smallCaps w:val="false"/>
          <w:sz w:val="20"/>
        </w:rPr>
        <w:t>Offered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registration statement of the Company on Form S-3ASR (File No. 333-285515)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including the prospectus constituting a part thereof, filed on March 3, 2025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the preliminary prospectus supplement filed on August 5, 2026 (the “</w:t>
      </w:r>
      <w:r>
        <w:rPr>
          <w:rFonts w:ascii="Times New Roman;Times;Serif" w:hAnsi="Times New Roman;Times;Serif"/>
          <w:b/>
          <w:i w:val="false"/>
          <w:caps w:val="false"/>
          <w:smallCaps w:val="false"/>
          <w:sz w:val="20"/>
        </w:rPr>
        <w:t>Preliminary Prospectus Supplement</w:t>
      </w:r>
      <w:r>
        <w:rPr>
          <w:rFonts w:ascii="Times New Roman;Times;Serif" w:hAnsi="Times New Roman;Times;Serif"/>
          <w:b w:val="false"/>
          <w:i w:val="false"/>
          <w:caps w:val="false"/>
          <w:smallCaps w:val="false"/>
          <w:sz w:val="20"/>
        </w:rPr>
        <w:t>”), the final prospectus supplement filed on August 6, 2026 (together with the Preliminary Prospectus Supplement,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and, together with the Base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filed with the U.S. Securities and Exchange Commission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considered such questions of law, examined such statutes and regulations and examined copies certified, authenticated or otherwise identified to our satisfaction of such records of proceedings, documents, records, certificates, opinions and instruments and have made such other investigations as we have considered necessary or desirable in connection with the opinion hereinafter set forth, including, but not so as to limit the generality of the foregoing, a certificate dated the date hereof signed by an officer of the Company as to certain factual matters (the “</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opinion expressed herein, we have assumed that: all signatures examined by us are genuine; the extent that any person has signed a document electronically, such person has applied their own electronic signature to the document; all individuals signing any documents had the requisite legal capacity; all photostatic, electronic or facsimile, certified, notarial or other copies of documents conform to the originals; and all facts set forth in the Officer’s Certificate are complete, true and accurate as at the date hereof.</w:t>
      </w:r>
    </w:p>
    <w:p>
      <w:pPr>
        <w:pStyle w:val="TextBody"/>
        <w:bidi w:val="0"/>
        <w:spacing w:before="0" w:after="0"/>
        <w:ind w:left="0" w:right="0" w:hanging="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5038"/>
        <w:gridCol w:w="1040"/>
      </w:tblGrid>
      <w:tr>
        <w:trPr/>
        <w:tc>
          <w:tcPr>
            <w:tcW w:w="5038" w:type="dxa"/>
            <w:tcBorders/>
            <w:vAlign w:val="center"/>
          </w:tcPr>
          <w:p>
            <w:pPr>
              <w:pStyle w:val="TableContents"/>
              <w:bidi w:val="0"/>
              <w:spacing w:before="0" w:after="283"/>
              <w:ind w:left="0" w:right="0" w:firstLine="43"/>
              <w:jc w:val="both"/>
              <w:rPr/>
            </w:pPr>
            <w:r>
              <w:rPr/>
              <w:drawing>
                <wp:inline distT="0" distB="0" distL="0" distR="0">
                  <wp:extent cx="316230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62300" cy="200025"/>
                          </a:xfrm>
                          <a:prstGeom prst="rect">
                            <a:avLst/>
                          </a:prstGeom>
                        </pic:spPr>
                      </pic:pic>
                    </a:graphicData>
                  </a:graphic>
                </wp:inline>
              </w:drawing>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01 / 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0" cy="381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028950" cy="657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28950" cy="657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contained herein are limited to matters governed by the laws of the Province of Ontario and the federal laws of Canada applicable therein (“</w:t>
      </w:r>
      <w:r>
        <w:rPr>
          <w:rFonts w:ascii="Times New Roman;Times;Serif" w:hAnsi="Times New Roman;Times;Serif"/>
          <w:b/>
          <w:i w:val="false"/>
          <w:caps w:val="false"/>
          <w:smallCaps w:val="false"/>
          <w:sz w:val="20"/>
        </w:rPr>
        <w:t>Domestic Law</w:t>
      </w:r>
      <w:r>
        <w:rPr>
          <w:rFonts w:ascii="Times New Roman;Times;Serif" w:hAnsi="Times New Roman;Times;Serif"/>
          <w:b w:val="false"/>
          <w:i w:val="false"/>
          <w:caps w:val="false"/>
          <w:smallCaps w:val="false"/>
          <w:sz w:val="20"/>
        </w:rPr>
        <w:t>”). Such opinions are expressed with respect to the Domestic Law in effect on the date of this opinion and we do not accept any responsibility to take into account or inform the addressee, or any other person authorized to rely on this opinion, of any changes in law, facts or other developments subsequent to this date that do or may affect the opinions we express, nor do we have any obligation to advise you of any other change in any matter addressed in this opinion or to consider whether it would be appropriate for any other person other than the addressee to rely on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and relying upon and subject to the qualifications set forth herein, we are of the opinion that the Offered Shares have been validly issued and are outstanding as fully paid and non-assessable shares in the capital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rendered solely in connection with the Registration Statement and the transactions covered thereby, is expressly limited to the matters stated herein, and no opinions may be implied or inferred beyond matters expressly stated herein. This opinion may not be used or relied upon by you for any other purpose or used or relied upon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references to us under the heading “</w:t>
      </w:r>
      <w:r>
        <w:rPr>
          <w:rFonts w:ascii="Times New Roman;Times;Serif" w:hAnsi="Times New Roman;Times;Serif"/>
          <w:b w:val="false"/>
          <w:i/>
          <w:caps w:val="false"/>
          <w:smallCaps w:val="false"/>
          <w:sz w:val="20"/>
        </w:rPr>
        <w:t>Legal Matters</w:t>
      </w:r>
      <w:r>
        <w:rPr>
          <w:rFonts w:ascii="Times New Roman;Times;Serif" w:hAnsi="Times New Roman;Times;Serif"/>
          <w:b w:val="false"/>
          <w:i w:val="false"/>
          <w:caps w:val="false"/>
          <w:smallCaps w:val="false"/>
          <w:sz w:val="20"/>
        </w:rPr>
        <w:t>” in the Prospectus included in the Registration Statement. In giving such consent, we do not thereby admit that we come within the category of persons whose consent is required by the Act or the rules and regulations promulgated thereunder. This opinion may not be quoted from or referred to in any documents other than the Registration Statement as provided for herein without our prior written consent.</w:t>
      </w:r>
    </w:p>
    <w:p>
      <w:pPr>
        <w:pStyle w:val="TextBody"/>
        <w:bidi w:val="0"/>
        <w:spacing w:before="0" w:after="0"/>
        <w:ind w:left="0" w:right="0" w:hanging="0"/>
        <w:jc w:val="left"/>
        <w:rPr>
          <w:caps w:val="false"/>
          <w:smallCaps w:val="false"/>
        </w:rPr>
      </w:pPr>
      <w:r>
        <w:rPr>
          <w:caps w:val="false"/>
          <w:smallCaps w:val="false"/>
        </w:rPr>
        <w:t> </w:t>
      </w:r>
    </w:p>
    <w:tbl>
      <w:tblPr>
        <w:tblW w:w="2855" w:type="dxa"/>
        <w:jc w:val="left"/>
        <w:tblInd w:w="0" w:type="dxa"/>
        <w:tblLayout w:type="fixed"/>
        <w:tblCellMar>
          <w:top w:w="0" w:type="dxa"/>
          <w:left w:w="0" w:type="dxa"/>
          <w:bottom w:w="0" w:type="dxa"/>
          <w:right w:w="0" w:type="dxa"/>
        </w:tblCellMar>
      </w:tblPr>
      <w:tblGrid>
        <w:gridCol w:w="75"/>
        <w:gridCol w:w="2780"/>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very truly,</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Blake, Cassels &amp; Graydon LLP</w:t>
            </w:r>
          </w:p>
        </w:tc>
      </w:tr>
    </w:tbl>
    <w:p>
      <w:pPr>
        <w:pStyle w:val="TextBody"/>
        <w:bidi w:val="0"/>
        <w:spacing w:before="0" w:after="0"/>
        <w:ind w:left="0" w:right="0" w:hanging="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5038"/>
        <w:gridCol w:w="1040"/>
      </w:tblGrid>
      <w:tr>
        <w:trPr/>
        <w:tc>
          <w:tcPr>
            <w:tcW w:w="5038" w:type="dxa"/>
            <w:tcBorders/>
            <w:vAlign w:val="center"/>
          </w:tcPr>
          <w:p>
            <w:pPr>
              <w:pStyle w:val="TableContents"/>
              <w:bidi w:val="0"/>
              <w:spacing w:before="0" w:after="283"/>
              <w:ind w:left="0" w:right="0" w:firstLine="43"/>
              <w:jc w:val="both"/>
              <w:rPr/>
            </w:pPr>
            <w:r>
              <w:rPr/>
              <w:drawing>
                <wp:inline distT="0" distB="0" distL="0" distR="0">
                  <wp:extent cx="3162300" cy="200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162300" cy="200025"/>
                          </a:xfrm>
                          <a:prstGeom prst="rect">
                            <a:avLst/>
                          </a:prstGeom>
                        </pic:spPr>
                      </pic:pic>
                    </a:graphicData>
                  </a:graphic>
                </wp:inline>
              </w:drawing>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02 / 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8" w:name="tm2621135d2_ex23-1.htm"/>
      <w:bookmarkStart w:id="29" w:name="kstm2621135d2_ex231"/>
      <w:bookmarkEnd w:id="28"/>
      <w:bookmarkEnd w:id="29"/>
      <w:r>
        <w:rPr/>
        <w:t> </w:t>
      </w:r>
      <w:r>
        <w:br w:type="page"/>
      </w:r>
    </w:p>
    <w:p>
      <w:pPr>
        <w:pStyle w:val="TextBody"/>
        <w:bidi w:val="0"/>
        <w:jc w:val="right"/>
        <w:rPr>
          <w:b/>
          <w:sz w:val="20"/>
        </w:rPr>
      </w:pPr>
      <w:r>
        <w:rPr>
          <w:b/>
          <w:sz w:val="20"/>
        </w:rPr>
        <w:t>Exhibit 23.1</w:t>
      </w:r>
    </w:p>
    <w:p>
      <w:pPr>
        <w:pStyle w:val="TextBody"/>
        <w:bidi w:val="0"/>
        <w:spacing w:before="0" w:after="283"/>
        <w:jc w:val="left"/>
        <w:rPr/>
      </w:pPr>
      <w:r>
        <w:rPr/>
        <w:t> </w:t>
      </w:r>
    </w:p>
    <w:p>
      <w:pPr>
        <w:pStyle w:val="TextBody"/>
        <w:bidi w:val="0"/>
        <w:jc w:val="center"/>
        <w:rPr/>
      </w:pPr>
      <w:r>
        <w:rPr/>
        <w:drawing>
          <wp:inline distT="0" distB="0" distL="0" distR="0">
            <wp:extent cx="8096250" cy="857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96250" cy="857250"/>
                    </a:xfrm>
                    <a:prstGeom prst="rect">
                      <a:avLst/>
                    </a:prstGeom>
                  </pic:spPr>
                </pic:pic>
              </a:graphicData>
            </a:graphic>
          </wp:inline>
        </w:drawing>
      </w:r>
      <w:r>
        <w:rPr/>
        <w:t> </w:t>
      </w:r>
    </w:p>
    <w:p>
      <w:pPr>
        <w:pStyle w:val="TextBody"/>
        <w:bidi w:val="0"/>
        <w:jc w:val="left"/>
        <w:rPr>
          <w:rFonts w:ascii="Times New Roman;Times;Serif" w:hAnsi="Times New Roman;Times;Serif"/>
          <w:sz w:val="20"/>
        </w:rPr>
      </w:pPr>
      <w:r>
        <w:rPr>
          <w:rFonts w:ascii="Times New Roman;Times;Serif" w:hAnsi="Times New Roman;Times;Serif"/>
          <w:sz w:val="20"/>
        </w:rPr>
        <w:t>August 7, 2026</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Celestica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5140 Yonge Street, Suite 1900</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Canada M2N 6L7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2150"/>
        <w:gridCol w:w="7840"/>
      </w:tblGrid>
      <w:tr>
        <w:trPr/>
        <w:tc>
          <w:tcPr>
            <w:tcW w:w="21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b/>
              </w:rPr>
            </w:pPr>
            <w:r>
              <w:rPr>
                <w:b/>
              </w:rPr>
              <w:t>Re:</w:t>
            </w:r>
          </w:p>
        </w:tc>
        <w:tc>
          <w:tcPr>
            <w:tcW w:w="7840" w:type="dxa"/>
            <w:tcBorders/>
            <w:vAlign w:val="center"/>
          </w:tcPr>
          <w:p>
            <w:pPr>
              <w:pStyle w:val="TableContents"/>
              <w:bidi w:val="0"/>
              <w:spacing w:before="0" w:after="283"/>
              <w:jc w:val="both"/>
              <w:rPr>
                <w:b/>
              </w:rPr>
            </w:pPr>
            <w:r>
              <w:rPr>
                <w:b/>
              </w:rPr>
              <w:t>Celestica Inc.</w:t>
            </w:r>
          </w:p>
        </w:tc>
      </w:tr>
    </w:tbl>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S-3ASR Filed on March 3, 2025 (File No. 333-285515)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Sirs/Mesdames: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Canadian counsel to Celestica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its public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9,677,419 common shares in the capital of the Company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pursuant to the terms and conditions of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dated as of August 5, 2026 between the Company and BofA Securities Inc., Citigroup Global Markets Inc. and TD Securities Inc., on their own behalf and as representatives of their Canadian affiliates and of the other underwriters in the Underwriting Agreement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The Company has also granted to the Underwriters an option (the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to purchase up to an additional 1,451,612 Common Shares (the “</w:t>
      </w:r>
      <w:r>
        <w:rPr>
          <w:rFonts w:ascii="Times New Roman;Times;Serif" w:hAnsi="Times New Roman;Times;Serif"/>
          <w:b/>
          <w:i w:val="false"/>
          <w:caps w:val="false"/>
          <w:smallCaps w:val="false"/>
          <w:sz w:val="20"/>
        </w:rPr>
        <w:t>Option Shares</w:t>
      </w:r>
      <w:r>
        <w:rPr>
          <w:rFonts w:ascii="Times New Roman;Times;Serif" w:hAnsi="Times New Roman;Times;Serif"/>
          <w:b w:val="false"/>
          <w:i w:val="false"/>
          <w:caps w:val="false"/>
          <w:smallCaps w:val="false"/>
          <w:sz w:val="20"/>
        </w:rPr>
        <w:t>”). The Underwriters have elected to exercise the Option for 1,451,612 Option Shares on the Option Closing Date (as defined in the Underwriting Agreement). The Common Shares and Option Shares are collectively referred to herein as the “</w:t>
      </w:r>
      <w:r>
        <w:rPr>
          <w:rFonts w:ascii="Times New Roman;Times;Serif" w:hAnsi="Times New Roman;Times;Serif"/>
          <w:b/>
          <w:i w:val="false"/>
          <w:caps w:val="false"/>
          <w:smallCaps w:val="false"/>
          <w:sz w:val="20"/>
        </w:rPr>
        <w:t>Offered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registration statement of the Company on Form S-3ASR (File No. 333-285515)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including the prospectus constituting a part thereof, filed on March 3, 2025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the preliminary prospectus supplement filed on August 5, 2026 (the “</w:t>
      </w:r>
      <w:r>
        <w:rPr>
          <w:rFonts w:ascii="Times New Roman;Times;Serif" w:hAnsi="Times New Roman;Times;Serif"/>
          <w:b/>
          <w:i w:val="false"/>
          <w:caps w:val="false"/>
          <w:smallCaps w:val="false"/>
          <w:sz w:val="20"/>
        </w:rPr>
        <w:t>Preliminary Prospectus Supplement</w:t>
      </w:r>
      <w:r>
        <w:rPr>
          <w:rFonts w:ascii="Times New Roman;Times;Serif" w:hAnsi="Times New Roman;Times;Serif"/>
          <w:b w:val="false"/>
          <w:i w:val="false"/>
          <w:caps w:val="false"/>
          <w:smallCaps w:val="false"/>
          <w:sz w:val="20"/>
        </w:rPr>
        <w:t>”), the final prospectus supplement filed on August 6, 2026 (together with the Preliminary Prospectus Supplement,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and, together with the Base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filed with the U.S. Securities and Exchange Commission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considered such questions of law, examined such statutes and regulations and examined copies certified, authenticated or otherwise identified to our satisfaction of such records of proceedings, documents, records, certificates, opinions and instruments and have made such other investigations as we have considered necessary or desirable in connection with the opinion hereinafter set forth, including, but not so as to limit the generality of the foregoing, a certificate dated the date hereof signed by an officer of the Company as to certain factual matters (the “</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opinion expressed herein, we have assumed that: all signatures examined by us are genuine; the extent that any person has signed a document electronically, such person has applied their own electronic signature to the document; all individuals signing any documents had the requisite legal capacity; all photostatic, electronic or facsimile, certified, notarial or other copies of documents conform to the originals; and all facts set forth in the Officer’s Certificate are complete, true and accurate as at the date hereof.</w:t>
      </w:r>
    </w:p>
    <w:p>
      <w:pPr>
        <w:pStyle w:val="TextBody"/>
        <w:bidi w:val="0"/>
        <w:spacing w:before="0" w:after="0"/>
        <w:ind w:left="0" w:right="0" w:hanging="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5038"/>
        <w:gridCol w:w="1040"/>
      </w:tblGrid>
      <w:tr>
        <w:trPr/>
        <w:tc>
          <w:tcPr>
            <w:tcW w:w="5038" w:type="dxa"/>
            <w:tcBorders/>
            <w:vAlign w:val="center"/>
          </w:tcPr>
          <w:p>
            <w:pPr>
              <w:pStyle w:val="TableContents"/>
              <w:bidi w:val="0"/>
              <w:spacing w:before="0" w:after="283"/>
              <w:ind w:left="0" w:right="0" w:firstLine="43"/>
              <w:jc w:val="both"/>
              <w:rPr/>
            </w:pPr>
            <w:r>
              <w:rPr/>
              <w:drawing>
                <wp:inline distT="0" distB="0" distL="0" distR="0">
                  <wp:extent cx="3162300" cy="200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162300" cy="200025"/>
                          </a:xfrm>
                          <a:prstGeom prst="rect">
                            <a:avLst/>
                          </a:prstGeom>
                        </pic:spPr>
                      </pic:pic>
                    </a:graphicData>
                  </a:graphic>
                </wp:inline>
              </w:drawing>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01 / 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381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96250"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028950" cy="657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028950" cy="657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contained herein are limited to matters governed by the laws of the Province of Ontario and the federal laws of Canada applicable therein (“</w:t>
      </w:r>
      <w:r>
        <w:rPr>
          <w:rFonts w:ascii="Times New Roman;Times;Serif" w:hAnsi="Times New Roman;Times;Serif"/>
          <w:b/>
          <w:i w:val="false"/>
          <w:caps w:val="false"/>
          <w:smallCaps w:val="false"/>
          <w:sz w:val="20"/>
        </w:rPr>
        <w:t>Domestic Law</w:t>
      </w:r>
      <w:r>
        <w:rPr>
          <w:rFonts w:ascii="Times New Roman;Times;Serif" w:hAnsi="Times New Roman;Times;Serif"/>
          <w:b w:val="false"/>
          <w:i w:val="false"/>
          <w:caps w:val="false"/>
          <w:smallCaps w:val="false"/>
          <w:sz w:val="20"/>
        </w:rPr>
        <w:t>”). Such opinions are expressed with respect to the Domestic Law in effect on the date of this opinion and we do not accept any responsibility to take into account or inform the addressee, or any other person authorized to rely on this opinion, of any changes in law, facts or other developments subsequent to this date that do or may affect the opinions we express, nor do we have any obligation to advise you of any other change in any matter addressed in this opinion or to consider whether it would be appropriate for any other person other than the addressee to rely on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and relying upon and subject to the qualifications set forth herein, we are of the opinion that the Offered Shares have been validly issued and are outstanding as fully paid and non-assessable shares in the capital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rendered solely in connection with the Registration Statement and the transactions covered thereby, is expressly limited to the matters stated herein, and no opinions may be implied or inferred beyond matters expressly stated herein. This opinion may not be used or relied upon by you for any other purpose or used or relied upon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references to us under the heading “</w:t>
      </w:r>
      <w:r>
        <w:rPr>
          <w:rFonts w:ascii="Times New Roman;Times;Serif" w:hAnsi="Times New Roman;Times;Serif"/>
          <w:b w:val="false"/>
          <w:i/>
          <w:caps w:val="false"/>
          <w:smallCaps w:val="false"/>
          <w:sz w:val="20"/>
        </w:rPr>
        <w:t>Legal Matters</w:t>
      </w:r>
      <w:r>
        <w:rPr>
          <w:rFonts w:ascii="Times New Roman;Times;Serif" w:hAnsi="Times New Roman;Times;Serif"/>
          <w:b w:val="false"/>
          <w:i w:val="false"/>
          <w:caps w:val="false"/>
          <w:smallCaps w:val="false"/>
          <w:sz w:val="20"/>
        </w:rPr>
        <w:t>” in the Prospectus included in the Registration Statement. In giving such consent, we do not thereby admit that we come within the category of persons whose consent is required by the Act or the rules and regulations promulgated thereunder. This opinion may not be quoted from or referred to in any documents other than the Registration Statement as provided for herein without our prior written consent.</w:t>
      </w:r>
    </w:p>
    <w:p>
      <w:pPr>
        <w:pStyle w:val="TextBody"/>
        <w:bidi w:val="0"/>
        <w:spacing w:before="0" w:after="0"/>
        <w:ind w:left="0" w:right="0" w:hanging="0"/>
        <w:jc w:val="left"/>
        <w:rPr>
          <w:caps w:val="false"/>
          <w:smallCaps w:val="false"/>
        </w:rPr>
      </w:pPr>
      <w:r>
        <w:rPr>
          <w:caps w:val="false"/>
          <w:smallCaps w:val="false"/>
        </w:rPr>
        <w:t> </w:t>
      </w:r>
    </w:p>
    <w:tbl>
      <w:tblPr>
        <w:tblW w:w="2855" w:type="dxa"/>
        <w:jc w:val="left"/>
        <w:tblInd w:w="0" w:type="dxa"/>
        <w:tblLayout w:type="fixed"/>
        <w:tblCellMar>
          <w:top w:w="0" w:type="dxa"/>
          <w:left w:w="0" w:type="dxa"/>
          <w:bottom w:w="0" w:type="dxa"/>
          <w:right w:w="0" w:type="dxa"/>
        </w:tblCellMar>
      </w:tblPr>
      <w:tblGrid>
        <w:gridCol w:w="75"/>
        <w:gridCol w:w="2780"/>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very truly,</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Blake, Cassels &amp; Graydon LLP</w:t>
            </w:r>
          </w:p>
        </w:tc>
      </w:tr>
    </w:tbl>
    <w:p>
      <w:pPr>
        <w:pStyle w:val="TextBody"/>
        <w:bidi w:val="0"/>
        <w:spacing w:before="0" w:after="0"/>
        <w:ind w:left="0" w:right="0" w:hanging="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5038"/>
        <w:gridCol w:w="1040"/>
      </w:tblGrid>
      <w:tr>
        <w:trPr/>
        <w:tc>
          <w:tcPr>
            <w:tcW w:w="5038" w:type="dxa"/>
            <w:tcBorders/>
            <w:vAlign w:val="center"/>
          </w:tcPr>
          <w:p>
            <w:pPr>
              <w:pStyle w:val="TableContents"/>
              <w:bidi w:val="0"/>
              <w:spacing w:before="0" w:after="283"/>
              <w:ind w:left="0" w:right="0" w:firstLine="43"/>
              <w:jc w:val="both"/>
              <w:rPr/>
            </w:pPr>
            <w:r>
              <w:rPr/>
              <w:drawing>
                <wp:inline distT="0" distB="0" distL="0" distR="0">
                  <wp:extent cx="3162300" cy="200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162300" cy="200025"/>
                          </a:xfrm>
                          <a:prstGeom prst="rect">
                            <a:avLst/>
                          </a:prstGeom>
                        </pic:spPr>
                      </pic:pic>
                    </a:graphicData>
                  </a:graphic>
                </wp:inline>
              </w:drawing>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02 / 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24260</Words>
  <Characters>128680</Characters>
  <CharactersWithSpaces>154234</CharactersWithSpaces>
  <Paragraphs>894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