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185420</wp:posOffset>
            </wp:positionH>
            <wp:positionV relativeFrom="page">
              <wp:posOffset>180340</wp:posOffset>
            </wp:positionV>
            <wp:extent cx="7178040" cy="114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11430"/>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203200</wp:posOffset>
            </wp:positionV>
            <wp:extent cx="71780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5715"/>
                    </a:xfrm>
                    <a:prstGeom prst="rect">
                      <a:avLst/>
                    </a:prstGeom>
                    <a:noFill/>
                  </pic:spPr>
                </pic:pic>
              </a:graphicData>
            </a:graphic>
          </wp:anchor>
        </w:drawing>
        <w:t>UNITED STATES</w:t>
      </w:r>
    </w:p>
    <w:p>
      <w:pPr>
        <w:spacing w:after="0" w:line="2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2"/>
          <w:szCs w:val="12"/>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2686685</wp:posOffset>
            </wp:positionH>
            <wp:positionV relativeFrom="paragraph">
              <wp:posOffset>95250</wp:posOffset>
            </wp:positionV>
            <wp:extent cx="179451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94510" cy="5715"/>
                    </a:xfrm>
                    <a:prstGeom prst="rect">
                      <a:avLst/>
                    </a:prstGeom>
                    <a:noFill/>
                  </pic:spPr>
                </pic:pic>
              </a:graphicData>
            </a:graphic>
          </wp:anchor>
        </w:drawing>
      </w:r>
    </w:p>
    <w:p>
      <w:pPr>
        <w:spacing w:after="0" w:line="2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2686685</wp:posOffset>
            </wp:positionH>
            <wp:positionV relativeFrom="paragraph">
              <wp:posOffset>104775</wp:posOffset>
            </wp:positionV>
            <wp:extent cx="179451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94510" cy="5715"/>
                    </a:xfrm>
                    <a:prstGeom prst="rect">
                      <a:avLst/>
                    </a:prstGeom>
                    <a:noFill/>
                  </pic:spPr>
                </pic:pic>
              </a:graphicData>
            </a:graphic>
          </wp:anchor>
        </w:drawing>
      </w:r>
    </w:p>
    <w:p>
      <w:pPr>
        <w:spacing w:after="0" w:line="3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CURRENT REPORT</w:t>
      </w:r>
    </w:p>
    <w:p>
      <w:pPr>
        <w:spacing w:after="0" w:line="150" w:lineRule="exact"/>
        <w:rPr>
          <w:sz w:val="24"/>
          <w:szCs w:val="24"/>
          <w:color w:val="auto"/>
        </w:rPr>
      </w:pPr>
    </w:p>
    <w:p>
      <w:pPr>
        <w:ind w:left="4680"/>
        <w:spacing w:after="0"/>
        <w:rPr>
          <w:sz w:val="20"/>
          <w:szCs w:val="20"/>
          <w:color w:val="auto"/>
        </w:rPr>
      </w:pPr>
      <w:r>
        <w:rPr>
          <w:rFonts w:ascii="Times New Roman" w:cs="Times New Roman" w:eastAsia="Times New Roman" w:hAnsi="Times New Roman"/>
          <w:sz w:val="12"/>
          <w:szCs w:val="12"/>
          <w:b w:val="1"/>
          <w:bCs w:val="1"/>
          <w:color w:val="auto"/>
        </w:rPr>
        <w:t>Pursuant to Section 13 or 15(d) of the</w:t>
      </w:r>
    </w:p>
    <w:p>
      <w:pPr>
        <w:spacing w:after="0" w:line="21"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12"/>
          <w:szCs w:val="12"/>
          <w:b w:val="1"/>
          <w:bCs w:val="1"/>
          <w:color w:val="auto"/>
        </w:rPr>
        <w:t>Securities Exchange Act of 1934</w:t>
      </w:r>
    </w:p>
    <w:p>
      <w:pPr>
        <w:spacing w:after="0" w:line="1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Date of Report (Date of earliest event reported): October 28,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2686685</wp:posOffset>
            </wp:positionH>
            <wp:positionV relativeFrom="paragraph">
              <wp:posOffset>104775</wp:posOffset>
            </wp:positionV>
            <wp:extent cx="179451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94510" cy="5715"/>
                    </a:xfrm>
                    <a:prstGeom prst="rect">
                      <a:avLst/>
                    </a:prstGeom>
                    <a:noFill/>
                  </pic:spPr>
                </pic:pic>
              </a:graphicData>
            </a:graphic>
          </wp:anchor>
        </w:drawing>
      </w:r>
    </w:p>
    <w:p>
      <w:pPr>
        <w:spacing w:after="0" w:line="2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Celestica Inc.</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2686685</wp:posOffset>
            </wp:positionH>
            <wp:positionV relativeFrom="paragraph">
              <wp:posOffset>94615</wp:posOffset>
            </wp:positionV>
            <wp:extent cx="179451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94510" cy="5715"/>
                    </a:xfrm>
                    <a:prstGeom prst="rect">
                      <a:avLst/>
                    </a:prstGeom>
                    <a:noFill/>
                  </pic:spPr>
                </pic:pic>
              </a:graphicData>
            </a:graphic>
          </wp:anchor>
        </w:drawing>
      </w:r>
    </w:p>
    <w:p>
      <w:pPr>
        <w:spacing w:after="0" w:line="276" w:lineRule="exact"/>
        <w:rPr>
          <w:sz w:val="24"/>
          <w:szCs w:val="24"/>
          <w:color w:val="auto"/>
        </w:rPr>
      </w:pPr>
    </w:p>
    <w:tbl>
      <w:tblPr>
        <w:tblLayout w:type="fixed"/>
        <w:tblInd w:w="800" w:type="dxa"/>
        <w:tblCellMar>
          <w:top w:w="0" w:type="dxa"/>
          <w:left w:w="0" w:type="dxa"/>
          <w:bottom w:w="0" w:type="dxa"/>
          <w:right w:w="0" w:type="dxa"/>
        </w:tblCellMar>
      </w:tblPr>
      <w:tr>
        <w:trPr>
          <w:trHeight w:val="144"/>
        </w:trPr>
        <w:tc>
          <w:tcPr>
            <w:tcW w:w="2980" w:type="dxa"/>
            <w:vAlign w:val="bottom"/>
          </w:tcPr>
          <w:p>
            <w:pPr>
              <w:jc w:val="center"/>
              <w:ind w:right="20"/>
              <w:spacing w:after="0"/>
              <w:rPr>
                <w:sz w:val="20"/>
                <w:szCs w:val="20"/>
                <w:color w:val="auto"/>
              </w:rPr>
            </w:pPr>
            <w:r>
              <w:rPr>
                <w:rFonts w:ascii="Times New Roman" w:cs="Times New Roman" w:eastAsia="Times New Roman" w:hAnsi="Times New Roman"/>
                <w:sz w:val="12"/>
                <w:szCs w:val="12"/>
                <w:b w:val="1"/>
                <w:bCs w:val="1"/>
                <w:color w:val="auto"/>
                <w:w w:val="99"/>
              </w:rPr>
              <w:t>Ontario, Canada</w:t>
            </w:r>
          </w:p>
        </w:tc>
        <w:tc>
          <w:tcPr>
            <w:tcW w:w="4020" w:type="dxa"/>
            <w:vAlign w:val="bottom"/>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9"/>
              </w:rPr>
              <w:t>001-14832</w:t>
            </w:r>
          </w:p>
        </w:tc>
        <w:tc>
          <w:tcPr>
            <w:tcW w:w="2120" w:type="dxa"/>
            <w:vAlign w:val="bottom"/>
          </w:tcPr>
          <w:p>
            <w:pPr>
              <w:jc w:val="center"/>
              <w:ind w:left="300"/>
              <w:spacing w:after="0"/>
              <w:rPr>
                <w:sz w:val="20"/>
                <w:szCs w:val="20"/>
                <w:color w:val="auto"/>
              </w:rPr>
            </w:pPr>
            <w:r>
              <w:rPr>
                <w:rFonts w:ascii="Times New Roman" w:cs="Times New Roman" w:eastAsia="Times New Roman" w:hAnsi="Times New Roman"/>
                <w:sz w:val="12"/>
                <w:szCs w:val="12"/>
                <w:b w:val="1"/>
                <w:bCs w:val="1"/>
                <w:color w:val="auto"/>
                <w:w w:val="96"/>
              </w:rPr>
              <w:t>N/A</w:t>
            </w:r>
          </w:p>
        </w:tc>
      </w:tr>
      <w:tr>
        <w:trPr>
          <w:trHeight w:val="159"/>
        </w:trPr>
        <w:tc>
          <w:tcPr>
            <w:tcW w:w="29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(State or other jurisdiction of incorporation)</w:t>
            </w:r>
          </w:p>
        </w:tc>
        <w:tc>
          <w:tcPr>
            <w:tcW w:w="4020" w:type="dxa"/>
            <w:vAlign w:val="bottom"/>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9"/>
              </w:rPr>
              <w:t>(Commission File Number)</w:t>
            </w:r>
          </w:p>
        </w:tc>
        <w:tc>
          <w:tcPr>
            <w:tcW w:w="2120" w:type="dxa"/>
            <w:vAlign w:val="bottom"/>
          </w:tcPr>
          <w:p>
            <w:pPr>
              <w:jc w:val="center"/>
              <w:ind w:left="300"/>
              <w:spacing w:after="0"/>
              <w:rPr>
                <w:sz w:val="20"/>
                <w:szCs w:val="20"/>
                <w:color w:val="auto"/>
              </w:rPr>
            </w:pPr>
            <w:r>
              <w:rPr>
                <w:rFonts w:ascii="Times New Roman" w:cs="Times New Roman" w:eastAsia="Times New Roman" w:hAnsi="Times New Roman"/>
                <w:sz w:val="12"/>
                <w:szCs w:val="12"/>
                <w:b w:val="1"/>
                <w:bCs w:val="1"/>
                <w:color w:val="auto"/>
              </w:rPr>
              <w:t>(IRS Employer Identification No.)</w:t>
            </w:r>
          </w:p>
        </w:tc>
      </w:tr>
      <w:tr>
        <w:trPr>
          <w:trHeight w:val="273"/>
        </w:trPr>
        <w:tc>
          <w:tcPr>
            <w:tcW w:w="2980" w:type="dxa"/>
            <w:vAlign w:val="bottom"/>
          </w:tcPr>
          <w:p>
            <w:pPr>
              <w:jc w:val="center"/>
              <w:ind w:right="20"/>
              <w:spacing w:after="0"/>
              <w:rPr>
                <w:sz w:val="20"/>
                <w:szCs w:val="20"/>
                <w:color w:val="auto"/>
              </w:rPr>
            </w:pPr>
            <w:r>
              <w:rPr>
                <w:rFonts w:ascii="Times New Roman" w:cs="Times New Roman" w:eastAsia="Times New Roman" w:hAnsi="Times New Roman"/>
                <w:sz w:val="12"/>
                <w:szCs w:val="12"/>
                <w:b w:val="1"/>
                <w:bCs w:val="1"/>
                <w:color w:val="auto"/>
                <w:w w:val="98"/>
              </w:rPr>
              <w:t>5140 Yonge Street, Suite 1900, Toronto, Ontario, Canada</w:t>
            </w:r>
          </w:p>
        </w:tc>
        <w:tc>
          <w:tcPr>
            <w:tcW w:w="4020" w:type="dxa"/>
            <w:vAlign w:val="bottom"/>
          </w:tcPr>
          <w:p>
            <w:pPr>
              <w:spacing w:after="0"/>
              <w:rPr>
                <w:sz w:val="23"/>
                <w:szCs w:val="23"/>
                <w:color w:val="auto"/>
              </w:rPr>
            </w:pPr>
          </w:p>
        </w:tc>
        <w:tc>
          <w:tcPr>
            <w:tcW w:w="2120" w:type="dxa"/>
            <w:vAlign w:val="bottom"/>
          </w:tcPr>
          <w:p>
            <w:pPr>
              <w:jc w:val="center"/>
              <w:ind w:left="300"/>
              <w:spacing w:after="0"/>
              <w:rPr>
                <w:sz w:val="20"/>
                <w:szCs w:val="20"/>
                <w:color w:val="auto"/>
              </w:rPr>
            </w:pPr>
            <w:r>
              <w:rPr>
                <w:rFonts w:ascii="Times New Roman" w:cs="Times New Roman" w:eastAsia="Times New Roman" w:hAnsi="Times New Roman"/>
                <w:sz w:val="12"/>
                <w:szCs w:val="12"/>
                <w:b w:val="1"/>
                <w:bCs w:val="1"/>
                <w:color w:val="auto"/>
                <w:w w:val="97"/>
              </w:rPr>
              <w:t>M2N 6L7</w:t>
            </w:r>
          </w:p>
        </w:tc>
      </w:tr>
      <w:tr>
        <w:trPr>
          <w:trHeight w:val="159"/>
        </w:trPr>
        <w:tc>
          <w:tcPr>
            <w:tcW w:w="2980" w:type="dxa"/>
            <w:vAlign w:val="bottom"/>
          </w:tcPr>
          <w:p>
            <w:pPr>
              <w:jc w:val="center"/>
              <w:ind w:right="20"/>
              <w:spacing w:after="0"/>
              <w:rPr>
                <w:sz w:val="20"/>
                <w:szCs w:val="20"/>
                <w:color w:val="auto"/>
              </w:rPr>
            </w:pPr>
            <w:r>
              <w:rPr>
                <w:rFonts w:ascii="Times New Roman" w:cs="Times New Roman" w:eastAsia="Times New Roman" w:hAnsi="Times New Roman"/>
                <w:sz w:val="12"/>
                <w:szCs w:val="12"/>
                <w:b w:val="1"/>
                <w:bCs w:val="1"/>
                <w:color w:val="auto"/>
                <w:w w:val="99"/>
              </w:rPr>
              <w:t>(Address of principal executive offices)</w:t>
            </w:r>
          </w:p>
        </w:tc>
        <w:tc>
          <w:tcPr>
            <w:tcW w:w="4020" w:type="dxa"/>
            <w:vAlign w:val="bottom"/>
          </w:tcPr>
          <w:p>
            <w:pPr>
              <w:spacing w:after="0"/>
              <w:rPr>
                <w:sz w:val="13"/>
                <w:szCs w:val="13"/>
                <w:color w:val="auto"/>
              </w:rPr>
            </w:pPr>
          </w:p>
        </w:tc>
        <w:tc>
          <w:tcPr>
            <w:tcW w:w="2120" w:type="dxa"/>
            <w:vAlign w:val="bottom"/>
          </w:tcPr>
          <w:p>
            <w:pPr>
              <w:jc w:val="center"/>
              <w:ind w:left="300"/>
              <w:spacing w:after="0"/>
              <w:rPr>
                <w:sz w:val="20"/>
                <w:szCs w:val="20"/>
                <w:color w:val="auto"/>
              </w:rPr>
            </w:pPr>
            <w:r>
              <w:rPr>
                <w:rFonts w:ascii="Times New Roman" w:cs="Times New Roman" w:eastAsia="Times New Roman" w:hAnsi="Times New Roman"/>
                <w:sz w:val="12"/>
                <w:szCs w:val="12"/>
                <w:b w:val="1"/>
                <w:bCs w:val="1"/>
                <w:color w:val="auto"/>
              </w:rPr>
              <w:t>(Zip Code)</w:t>
            </w:r>
          </w:p>
        </w:tc>
      </w:tr>
      <w:tr>
        <w:trPr>
          <w:trHeight w:val="288"/>
        </w:trPr>
        <w:tc>
          <w:tcPr>
            <w:tcW w:w="2980" w:type="dxa"/>
            <w:vAlign w:val="bottom"/>
          </w:tcPr>
          <w:p>
            <w:pPr>
              <w:spacing w:after="0"/>
              <w:rPr>
                <w:sz w:val="24"/>
                <w:szCs w:val="24"/>
                <w:color w:val="auto"/>
              </w:rPr>
            </w:pPr>
          </w:p>
        </w:tc>
        <w:tc>
          <w:tcPr>
            <w:tcW w:w="4020" w:type="dxa"/>
            <w:vAlign w:val="bottom"/>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8"/>
              </w:rPr>
              <w:t>Registrant’s Telephone Number, Including Area Code: (416) 448-5800</w:t>
            </w:r>
          </w:p>
        </w:tc>
        <w:tc>
          <w:tcPr>
            <w:tcW w:w="212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2686685</wp:posOffset>
            </wp:positionH>
            <wp:positionV relativeFrom="paragraph">
              <wp:posOffset>114300</wp:posOffset>
            </wp:positionV>
            <wp:extent cx="179451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94510" cy="5715"/>
                    </a:xfrm>
                    <a:prstGeom prst="rect">
                      <a:avLst/>
                    </a:prstGeom>
                    <a:noFill/>
                  </pic:spPr>
                </pic:pic>
              </a:graphicData>
            </a:graphic>
          </wp:anchor>
        </w:drawing>
      </w:r>
    </w:p>
    <w:p>
      <w:pPr>
        <w:spacing w:after="0" w:line="356"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Check the appropriate box below if the Form 8-K is intended to simultaneously satisfy the filing obligation of the registrant under any of the following provisions:</w:t>
      </w:r>
    </w:p>
    <w:p>
      <w:pPr>
        <w:spacing w:after="0" w:line="150" w:lineRule="exact"/>
        <w:rPr>
          <w:sz w:val="24"/>
          <w:szCs w:val="24"/>
          <w:color w:val="auto"/>
        </w:rPr>
      </w:pPr>
    </w:p>
    <w:p>
      <w:pPr>
        <w:ind w:left="480" w:hanging="456"/>
        <w:spacing w:after="0"/>
        <w:tabs>
          <w:tab w:leader="none" w:pos="48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150" w:lineRule="exact"/>
        <w:rPr>
          <w:rFonts w:ascii="MS PGothic" w:cs="MS PGothic" w:eastAsia="MS PGothic" w:hAnsi="MS PGothic"/>
          <w:sz w:val="12"/>
          <w:szCs w:val="12"/>
          <w:color w:val="auto"/>
        </w:rPr>
      </w:pPr>
    </w:p>
    <w:p>
      <w:pPr>
        <w:ind w:left="480" w:hanging="456"/>
        <w:spacing w:after="0"/>
        <w:tabs>
          <w:tab w:leader="none" w:pos="48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150" w:lineRule="exact"/>
        <w:rPr>
          <w:rFonts w:ascii="MS PGothic" w:cs="MS PGothic" w:eastAsia="MS PGothic" w:hAnsi="MS PGothic"/>
          <w:sz w:val="12"/>
          <w:szCs w:val="12"/>
          <w:color w:val="auto"/>
        </w:rPr>
      </w:pPr>
    </w:p>
    <w:p>
      <w:pPr>
        <w:ind w:left="480" w:hanging="456"/>
        <w:spacing w:after="0"/>
        <w:tabs>
          <w:tab w:leader="none" w:pos="48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14d-2(b) under the Exchange Act (17 CFR 240.14d-2(b))</w:t>
      </w:r>
    </w:p>
    <w:p>
      <w:pPr>
        <w:spacing w:after="0" w:line="150" w:lineRule="exact"/>
        <w:rPr>
          <w:rFonts w:ascii="MS PGothic" w:cs="MS PGothic" w:eastAsia="MS PGothic" w:hAnsi="MS PGothic"/>
          <w:sz w:val="12"/>
          <w:szCs w:val="12"/>
          <w:color w:val="auto"/>
        </w:rPr>
      </w:pPr>
    </w:p>
    <w:p>
      <w:pPr>
        <w:ind w:right="5500" w:firstLine="24"/>
        <w:spacing w:after="0" w:line="497" w:lineRule="auto"/>
        <w:tabs>
          <w:tab w:leader="none" w:pos="491"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13e-4(c) under the Exchange Act (17 CFR 240.13e-4(c) Securities registered pursuant to Section 12(b) of the Act:</w:t>
      </w:r>
    </w:p>
    <w:tbl>
      <w:tblPr>
        <w:tblLayout w:type="fixed"/>
        <w:tblInd w:w="0" w:type="dxa"/>
        <w:tblCellMar>
          <w:top w:w="0" w:type="dxa"/>
          <w:left w:w="0" w:type="dxa"/>
          <w:bottom w:w="0" w:type="dxa"/>
          <w:right w:w="0" w:type="dxa"/>
        </w:tblCellMar>
      </w:tblPr>
      <w:tr>
        <w:trPr>
          <w:trHeight w:val="159"/>
        </w:trPr>
        <w:tc>
          <w:tcPr>
            <w:tcW w:w="418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9"/>
              </w:rPr>
              <w:t>Title of each class</w:t>
            </w:r>
          </w:p>
        </w:tc>
        <w:tc>
          <w:tcPr>
            <w:tcW w:w="316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9"/>
              </w:rPr>
              <w:t>Trading</w:t>
            </w:r>
          </w:p>
        </w:tc>
        <w:tc>
          <w:tcPr>
            <w:tcW w:w="39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Name of each exchange on which registered</w:t>
            </w:r>
          </w:p>
        </w:tc>
      </w:tr>
      <w:tr>
        <w:trPr>
          <w:trHeight w:val="144"/>
        </w:trPr>
        <w:tc>
          <w:tcPr>
            <w:tcW w:w="39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Common Shares without par value</w:t>
            </w:r>
          </w:p>
        </w:tc>
        <w:tc>
          <w:tcPr>
            <w:tcW w:w="220" w:type="dxa"/>
            <w:vAlign w:val="bottom"/>
          </w:tcPr>
          <w:p>
            <w:pPr>
              <w:spacing w:after="0"/>
              <w:rPr>
                <w:sz w:val="12"/>
                <w:szCs w:val="12"/>
                <w:color w:val="auto"/>
              </w:rPr>
            </w:pPr>
          </w:p>
        </w:tc>
        <w:tc>
          <w:tcPr>
            <w:tcW w:w="29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CLS</w:t>
            </w:r>
          </w:p>
        </w:tc>
        <w:tc>
          <w:tcPr>
            <w:tcW w:w="220" w:type="dxa"/>
            <w:vAlign w:val="bottom"/>
          </w:tcPr>
          <w:p>
            <w:pPr>
              <w:spacing w:after="0"/>
              <w:rPr>
                <w:sz w:val="12"/>
                <w:szCs w:val="12"/>
                <w:color w:val="auto"/>
              </w:rPr>
            </w:pPr>
          </w:p>
        </w:tc>
        <w:tc>
          <w:tcPr>
            <w:tcW w:w="39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New York Stock Exchange</w:t>
            </w:r>
          </w:p>
        </w:tc>
      </w:tr>
    </w:tbl>
    <w:p>
      <w:pPr>
        <w:spacing w:after="0" w:line="122" w:lineRule="exact"/>
        <w:rPr>
          <w:sz w:val="24"/>
          <w:szCs w:val="24"/>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3" w:lineRule="exact"/>
        <w:rPr>
          <w:sz w:val="24"/>
          <w:szCs w:val="24"/>
          <w:color w:val="auto"/>
        </w:rPr>
      </w:pPr>
    </w:p>
    <w:p>
      <w:pPr>
        <w:spacing w:after="0" w:line="138" w:lineRule="exact"/>
        <w:rPr>
          <w:sz w:val="20"/>
          <w:szCs w:val="20"/>
          <w:color w:val="auto"/>
        </w:rPr>
      </w:pPr>
      <w:r>
        <w:rPr>
          <w:rFonts w:ascii="Times New Roman" w:cs="Times New Roman" w:eastAsia="Times New Roman" w:hAnsi="Times New Roman"/>
          <w:sz w:val="12"/>
          <w:szCs w:val="12"/>
          <w:color w:val="auto"/>
        </w:rPr>
        <w:t xml:space="preserve">Emerging growth company </w:t>
      </w:r>
      <w:r>
        <w:rPr>
          <w:rFonts w:ascii="MS PGothic" w:cs="MS PGothic" w:eastAsia="MS PGothic" w:hAnsi="MS PGothic"/>
          <w:sz w:val="12"/>
          <w:szCs w:val="12"/>
          <w:color w:val="auto"/>
        </w:rPr>
        <w:t>☐</w:t>
      </w:r>
    </w:p>
    <w:p>
      <w:pPr>
        <w:spacing w:after="0" w:line="178" w:lineRule="exact"/>
        <w:rPr>
          <w:sz w:val="24"/>
          <w:szCs w:val="24"/>
          <w:color w:val="auto"/>
        </w:rPr>
      </w:pPr>
    </w:p>
    <w:p>
      <w:pPr>
        <w:jc w:val="both"/>
        <w:ind w:right="20"/>
        <w:spacing w:after="0" w:line="159"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103505</wp:posOffset>
            </wp:positionV>
            <wp:extent cx="717804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120650</wp:posOffset>
            </wp:positionV>
            <wp:extent cx="7178040" cy="114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8040" cy="1143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509270</wp:posOffset>
            </wp:positionV>
            <wp:extent cx="7178040" cy="5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494" w:right="299" w:bottom="1440" w:gutter="0" w:footer="0" w:header="0"/>
        </w:sectPr>
      </w:pPr>
    </w:p>
    <w:bookmarkStart w:id="1" w:name="page2"/>
    <w:bookmarkEnd w:id="1"/>
    <w:p>
      <w:pPr>
        <w:spacing w:after="0"/>
        <w:tabs>
          <w:tab w:leader="none" w:pos="1100" w:val="left"/>
        </w:tabs>
        <w:rPr>
          <w:sz w:val="20"/>
          <w:szCs w:val="20"/>
          <w:color w:val="auto"/>
        </w:rPr>
      </w:pPr>
      <w:r>
        <w:rPr>
          <w:rFonts w:ascii="Times New Roman" w:cs="Times New Roman" w:eastAsia="Times New Roman" w:hAnsi="Times New Roman"/>
          <w:sz w:val="12"/>
          <w:szCs w:val="12"/>
          <w:b w:val="1"/>
          <w:bCs w:val="1"/>
          <w:color w:val="auto"/>
        </w:rPr>
        <w:t>Item 7.01.</w:t>
      </w:r>
      <w:r>
        <w:rPr>
          <w:sz w:val="20"/>
          <w:szCs w:val="20"/>
          <w:color w:val="auto"/>
        </w:rPr>
        <w:tab/>
      </w:r>
      <w:r>
        <w:rPr>
          <w:rFonts w:ascii="Times New Roman" w:cs="Times New Roman" w:eastAsia="Times New Roman" w:hAnsi="Times New Roman"/>
          <w:sz w:val="11"/>
          <w:szCs w:val="11"/>
          <w:b w:val="1"/>
          <w:bCs w:val="1"/>
          <w:color w:val="auto"/>
        </w:rPr>
        <w:t>Regulation FD Disclosure.</w:t>
      </w:r>
    </w:p>
    <w:p>
      <w:pPr>
        <w:spacing w:after="0" w:line="15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As previously disclosed, Celestica Inc. (the "Company") will hold a conference call on October 28, 2025 regarding its financial results for the quarter ended September 30, 2025 and Investor and Analyst Day. On October 28, 2025, the Company posted an Investor and Analyst Day presentation (the "Presentation") on the investors section of its website to be used in connection with the related conference call. A copy of the Presentation is included in this Report as Exhibit 99.1.</w:t>
      </w:r>
    </w:p>
    <w:p>
      <w:pPr>
        <w:spacing w:after="0" w:line="119"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The information furnished with this Item 7.01, including Exhibit 99.1, shall not be deemed "filed" for purposes of Section 18 of the Securities Exchange Act of 1934, as amended (the "Exchange Act"), or otherwise subject to the liabilities of that section, nor shall it be deemed incorporated by reference into any other filing under the Securities Act of 1933, as amended, or the Exchange Act, except as expressly set forth by specific reference in such a filing.</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112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Item 9.01.</w:t>
            </w:r>
          </w:p>
        </w:tc>
        <w:tc>
          <w:tcPr>
            <w:tcW w:w="1018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Financial Statements and Exhibits.</w:t>
            </w:r>
          </w:p>
        </w:tc>
      </w:tr>
      <w:tr>
        <w:trPr>
          <w:trHeight w:val="288"/>
        </w:trPr>
        <w:tc>
          <w:tcPr>
            <w:tcW w:w="112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Exhibit No.</w:t>
            </w:r>
          </w:p>
        </w:tc>
        <w:tc>
          <w:tcPr>
            <w:tcW w:w="1018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Description</w:t>
            </w:r>
          </w:p>
        </w:tc>
      </w:tr>
      <w:tr>
        <w:trPr>
          <w:trHeight w:val="261"/>
        </w:trPr>
        <w:tc>
          <w:tcPr>
            <w:tcW w:w="1120" w:type="dxa"/>
            <w:vAlign w:val="bottom"/>
            <w:gridSpan w:val="2"/>
          </w:tcPr>
          <w:p>
            <w:pPr>
              <w:spacing w:after="0"/>
              <w:rPr>
                <w:sz w:val="20"/>
                <w:szCs w:val="20"/>
                <w:color w:val="auto"/>
              </w:rPr>
            </w:pPr>
            <w:r>
              <w:rPr>
                <w:rFonts w:ascii="Times New Roman" w:cs="Times New Roman" w:eastAsia="Times New Roman" w:hAnsi="Times New Roman"/>
                <w:sz w:val="12"/>
                <w:szCs w:val="12"/>
                <w:color w:val="0000EE"/>
              </w:rPr>
              <w:t>99.</w:t>
            </w:r>
            <w:r>
              <w:rPr>
                <w:rFonts w:ascii="Times New Roman" w:cs="Times New Roman" w:eastAsia="Times New Roman" w:hAnsi="Times New Roman"/>
                <w:sz w:val="12"/>
                <w:szCs w:val="12"/>
                <w:u w:val="single" w:color="auto"/>
                <w:color w:val="0000EE"/>
              </w:rPr>
              <w:t>1</w:t>
            </w:r>
          </w:p>
        </w:tc>
        <w:tc>
          <w:tcPr>
            <w:tcW w:w="10180" w:type="dxa"/>
            <w:vAlign w:val="bottom"/>
            <w:gridSpan w:val="2"/>
          </w:tcPr>
          <w:p>
            <w:pPr>
              <w:spacing w:after="0"/>
              <w:rPr>
                <w:sz w:val="20"/>
                <w:szCs w:val="20"/>
                <w:color w:val="auto"/>
              </w:rPr>
            </w:pPr>
            <w:r>
              <w:rPr>
                <w:rFonts w:ascii="Times New Roman" w:cs="Times New Roman" w:eastAsia="Times New Roman" w:hAnsi="Times New Roman"/>
                <w:sz w:val="12"/>
                <w:szCs w:val="12"/>
                <w:color w:val="0000EE"/>
              </w:rPr>
              <w:t>Investor and Analyst Day Presentation</w:t>
            </w:r>
          </w:p>
        </w:tc>
      </w:tr>
      <w:tr>
        <w:trPr>
          <w:trHeight w:val="20"/>
        </w:trPr>
        <w:tc>
          <w:tcPr>
            <w:tcW w:w="200" w:type="dxa"/>
            <w:vAlign w:val="bottom"/>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60" w:type="dxa"/>
            <w:vAlign w:val="bottom"/>
            <w:shd w:val="clear" w:color="auto" w:fill="0000EE"/>
          </w:tcPr>
          <w:p>
            <w:pPr>
              <w:spacing w:after="0" w:line="20" w:lineRule="exact"/>
              <w:rPr>
                <w:sz w:val="1"/>
                <w:szCs w:val="1"/>
                <w:color w:val="auto"/>
              </w:rPr>
            </w:pPr>
          </w:p>
        </w:tc>
        <w:tc>
          <w:tcPr>
            <w:tcW w:w="8320" w:type="dxa"/>
            <w:vAlign w:val="bottom"/>
          </w:tcPr>
          <w:p>
            <w:pPr>
              <w:spacing w:after="0" w:line="20" w:lineRule="exact"/>
              <w:rPr>
                <w:sz w:val="1"/>
                <w:szCs w:val="1"/>
                <w:color w:val="auto"/>
              </w:rPr>
            </w:pPr>
          </w:p>
        </w:tc>
      </w:tr>
      <w:tr>
        <w:trPr>
          <w:trHeight w:val="151"/>
        </w:trPr>
        <w:tc>
          <w:tcPr>
            <w:tcW w:w="200" w:type="dxa"/>
            <w:vAlign w:val="bottom"/>
          </w:tcPr>
          <w:p>
            <w:pPr>
              <w:spacing w:after="0"/>
              <w:rPr>
                <w:sz w:val="20"/>
                <w:szCs w:val="20"/>
                <w:color w:val="auto"/>
              </w:rPr>
            </w:pPr>
            <w:r>
              <w:rPr>
                <w:rFonts w:ascii="Times New Roman" w:cs="Times New Roman" w:eastAsia="Times New Roman" w:hAnsi="Times New Roman"/>
                <w:sz w:val="12"/>
                <w:szCs w:val="12"/>
                <w:color w:val="auto"/>
                <w:w w:val="99"/>
              </w:rPr>
              <w:t>104</w:t>
            </w:r>
          </w:p>
        </w:tc>
        <w:tc>
          <w:tcPr>
            <w:tcW w:w="920" w:type="dxa"/>
            <w:vAlign w:val="bottom"/>
          </w:tcPr>
          <w:p>
            <w:pPr>
              <w:spacing w:after="0"/>
              <w:rPr>
                <w:sz w:val="13"/>
                <w:szCs w:val="13"/>
                <w:color w:val="auto"/>
              </w:rPr>
            </w:pPr>
          </w:p>
        </w:tc>
        <w:tc>
          <w:tcPr>
            <w:tcW w:w="101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Cover Page Interactive Data File (embedded within the Inline XBRL document)</w:t>
            </w:r>
          </w:p>
        </w:tc>
      </w:tr>
      <w:tr>
        <w:trPr>
          <w:trHeight w:val="450"/>
        </w:trPr>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832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647" w:right="299" w:bottom="1440" w:gutter="0" w:footer="0" w:header="0"/>
        </w:sectPr>
      </w:pPr>
    </w:p>
    <w:bookmarkStart w:id="2" w:name="page3"/>
    <w:bookmarkEnd w:id="2"/>
    <w:p>
      <w:pPr>
        <w:ind w:left="5260"/>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2"/>
          <w:szCs w:val="12"/>
          <w:b w:val="1"/>
          <w:bCs w:val="1"/>
          <w:color w:val="auto"/>
        </w:rPr>
        <w:t>CELESTICA INC.</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Date: October 28, 2025</w:t>
      </w:r>
    </w:p>
    <w:p>
      <w:pPr>
        <w:spacing w:after="0" w:line="17" w:lineRule="exact"/>
        <w:rPr>
          <w:sz w:val="20"/>
          <w:szCs w:val="20"/>
          <w:color w:val="auto"/>
        </w:rPr>
      </w:pPr>
    </w:p>
    <w:p>
      <w:pPr>
        <w:ind w:left="5660"/>
        <w:spacing w:after="0"/>
        <w:tabs>
          <w:tab w:leader="none" w:pos="5960" w:val="left"/>
        </w:tabs>
        <w:rPr>
          <w:sz w:val="20"/>
          <w:szCs w:val="20"/>
          <w:color w:val="auto"/>
        </w:rPr>
      </w:pPr>
      <w:r>
        <w:rPr>
          <w:rFonts w:ascii="Times New Roman" w:cs="Times New Roman" w:eastAsia="Times New Roman" w:hAnsi="Times New Roman"/>
          <w:sz w:val="12"/>
          <w:szCs w:val="12"/>
          <w:color w:val="auto"/>
        </w:rPr>
        <w:t>By:</w:t>
        <w:tab/>
        <w:t>/s/ Douglas Parker</w:t>
      </w:r>
    </w:p>
    <w:p>
      <w:pPr>
        <w:spacing w:after="0" w:line="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2"/>
          <w:szCs w:val="12"/>
          <w:color w:val="auto"/>
        </w:rPr>
        <w:t>Name: Douglas Parker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3801110</wp:posOffset>
            </wp:positionH>
            <wp:positionV relativeFrom="paragraph">
              <wp:posOffset>-86995</wp:posOffset>
            </wp:positionV>
            <wp:extent cx="3371850" cy="5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71850" cy="5715"/>
                    </a:xfrm>
                    <a:prstGeom prst="rect">
                      <a:avLst/>
                    </a:prstGeom>
                    <a:noFill/>
                  </pic:spPr>
                </pic:pic>
              </a:graphicData>
            </a:graphic>
          </wp:anchor>
        </w:drawing>
      </w:r>
    </w:p>
    <w:p>
      <w:pPr>
        <w:ind w:left="5980"/>
        <w:spacing w:after="0"/>
        <w:rPr>
          <w:sz w:val="20"/>
          <w:szCs w:val="20"/>
          <w:color w:val="auto"/>
        </w:rPr>
      </w:pPr>
      <w:r>
        <w:rPr>
          <w:rFonts w:ascii="Times New Roman" w:cs="Times New Roman" w:eastAsia="Times New Roman" w:hAnsi="Times New Roman"/>
          <w:sz w:val="12"/>
          <w:szCs w:val="12"/>
          <w:color w:val="auto"/>
        </w:rPr>
        <w:t>Title: Chief Legal Officer and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289560</wp:posOffset>
            </wp:positionV>
            <wp:extent cx="7178040"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159"/>
          </w:cols>
          <w:pgMar w:left="300" w:top="647" w:right="1440" w:bottom="1440" w:gutter="0" w:footer="0" w:header="0"/>
        </w:sectPr>
      </w:pPr>
    </w:p>
    <w:bookmarkStart w:id="3" w:name="page4"/>
    <w:bookmarkEnd w:id="3"/>
    <w:p>
      <w:pPr>
        <w:ind w:left="9420"/>
        <w:spacing w:after="0"/>
        <w:rPr>
          <w:sz w:val="20"/>
          <w:szCs w:val="20"/>
          <w:color w:val="auto"/>
        </w:rPr>
      </w:pPr>
      <w:r>
        <w:rPr>
          <w:rFonts w:ascii="Times New Roman" w:cs="Times New Roman" w:eastAsia="Times New Roman" w:hAnsi="Times New Roman"/>
          <w:sz w:val="14"/>
          <w:szCs w:val="14"/>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116205</wp:posOffset>
            </wp:positionV>
            <wp:extent cx="7218680" cy="50292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0" w:num="1">
            <w:col w:w="10160"/>
          </w:cols>
          <w:pgMar w:left="1440" w:top="281" w:right="299" w:bottom="1440"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406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18680" cy="50406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4063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18680" cy="50406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4063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18680" cy="50406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2025-10-28T06:15:17Z</dcterms:created>
  <dcterms:modified xsi:type="dcterms:W3CDTF">2025-10-28T06:15:17Z</dcterms:modified>
</cp:coreProperties>
</file>