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MIONIS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37"/>
        <w:gridCol w:w="446"/>
        <w:gridCol w:w="882"/>
        <w:gridCol w:w="1150"/>
        <w:gridCol w:w="988"/>
        <w:gridCol w:w="98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21,476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19,182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16,702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14,112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3,403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453,697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210,445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One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plan adopted by the reporting person on March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$360.00-$360.99,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from $361.00-$361.99,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$362.00-$362.84,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transactions at prices ranging from $363.12-$364.11,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transactions at prices ranging from $364.12-$365.07,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 weighted average price. These shares were sold in multiple transactions at prices ranging from $365.13-$366.10,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in Column 4 is a weighted average price. These shares were sold in multiple transactions at prices ranging from $366.13-$367.00,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in Column 4 is a weighted average price. These shares were sold in multiple transactions at prices ranging from $367.24-$367.45,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5655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1207</Words>
  <Characters>6397</Characters>
  <CharactersWithSpaces>7457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