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19, 2026</w:t>
      </w:r>
    </w:p>
    <w:p>
      <w:pPr>
        <w:spacing w:after="0" w:line="4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Celestica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001-14832</w:t>
            </w:r>
          </w:p>
        </w:tc>
        <w:tc>
          <w:tcPr>
            <w:tcW w:w="26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98-0185558</w:t>
            </w:r>
          </w:p>
        </w:tc>
      </w:tr>
      <w:tr>
        <w:trPr>
          <w:trHeight w:val="190"/>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609"/>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8"/>
              </w:rPr>
              <w:t>5140 Yonge Street, Suite 1900</w:t>
            </w:r>
          </w:p>
        </w:tc>
        <w:tc>
          <w:tcPr>
            <w:tcW w:w="4320" w:type="dxa"/>
            <w:vAlign w:val="bottom"/>
          </w:tcPr>
          <w:p>
            <w:pPr>
              <w:spacing w:after="0"/>
              <w:rPr>
                <w:sz w:val="24"/>
                <w:szCs w:val="24"/>
                <w:color w:val="auto"/>
              </w:rPr>
            </w:pPr>
          </w:p>
        </w:tc>
        <w:tc>
          <w:tcPr>
            <w:tcW w:w="26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M2N 6L7</w:t>
            </w:r>
          </w:p>
        </w:tc>
      </w:tr>
      <w:tr>
        <w:trPr>
          <w:trHeight w:val="227"/>
        </w:trPr>
        <w:tc>
          <w:tcPr>
            <w:tcW w:w="296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8"/>
              </w:rPr>
              <w:t>Toronto, Ontario, Canada</w:t>
            </w:r>
          </w:p>
        </w:tc>
        <w:tc>
          <w:tcPr>
            <w:tcW w:w="4320" w:type="dxa"/>
            <w:vAlign w:val="bottom"/>
          </w:tcPr>
          <w:p>
            <w:pPr>
              <w:spacing w:after="0"/>
              <w:rPr>
                <w:sz w:val="19"/>
                <w:szCs w:val="19"/>
                <w:color w:val="auto"/>
              </w:rPr>
            </w:pPr>
          </w:p>
        </w:tc>
        <w:tc>
          <w:tcPr>
            <w:tcW w:w="26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2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officers)</w:t>
            </w:r>
          </w:p>
        </w:tc>
        <w:tc>
          <w:tcPr>
            <w:tcW w:w="432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526"/>
        </w:trPr>
        <w:tc>
          <w:tcPr>
            <w:tcW w:w="2960" w:type="dxa"/>
            <w:vAlign w:val="bottom"/>
          </w:tcPr>
          <w:p>
            <w:pPr>
              <w:spacing w:after="0"/>
              <w:rPr>
                <w:sz w:val="24"/>
                <w:szCs w:val="24"/>
                <w:color w:val="auto"/>
              </w:rPr>
            </w:pPr>
          </w:p>
        </w:tc>
        <w:tc>
          <w:tcPr>
            <w:tcW w:w="4320" w:type="dxa"/>
            <w:vAlign w:val="bottom"/>
          </w:tcPr>
          <w:p>
            <w:pPr>
              <w:jc w:val="right"/>
              <w:ind w:right="1643"/>
              <w:spacing w:after="0"/>
              <w:rPr>
                <w:sz w:val="20"/>
                <w:szCs w:val="20"/>
                <w:color w:val="auto"/>
              </w:rPr>
            </w:pPr>
            <w:r>
              <w:rPr>
                <w:rFonts w:ascii="Times New Roman" w:cs="Times New Roman" w:eastAsia="Times New Roman" w:hAnsi="Times New Roman"/>
                <w:sz w:val="14"/>
                <w:szCs w:val="14"/>
                <w:b w:val="1"/>
                <w:bCs w:val="1"/>
                <w:color w:val="auto"/>
              </w:rPr>
              <w:t>(416) 448-2211</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40" w:type="dxa"/>
            <w:vAlign w:val="bottom"/>
          </w:tcPr>
          <w:p>
            <w:pPr>
              <w:spacing w:after="0"/>
              <w:rPr>
                <w:sz w:val="17"/>
                <w:szCs w:val="17"/>
                <w:color w:val="auto"/>
              </w:rPr>
            </w:pPr>
          </w:p>
        </w:tc>
      </w:tr>
      <w:tr>
        <w:trPr>
          <w:trHeight w:val="445"/>
        </w:trPr>
        <w:tc>
          <w:tcPr>
            <w:tcW w:w="296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640" w:type="dxa"/>
            <w:vAlign w:val="bottom"/>
          </w:tcPr>
          <w:p>
            <w:pPr>
              <w:spacing w:after="0"/>
              <w:rPr>
                <w:sz w:val="17"/>
                <w:szCs w:val="17"/>
                <w:color w:val="auto"/>
              </w:rPr>
            </w:pPr>
          </w:p>
        </w:tc>
      </w:tr>
      <w:tr>
        <w:trPr>
          <w:trHeight w:val="199"/>
        </w:trPr>
        <w:tc>
          <w:tcPr>
            <w:tcW w:w="2960" w:type="dxa"/>
            <w:vAlign w:val="bottom"/>
          </w:tcPr>
          <w:p>
            <w:pPr>
              <w:spacing w:after="0"/>
              <w:rPr>
                <w:sz w:val="17"/>
                <w:szCs w:val="17"/>
                <w:color w:val="auto"/>
              </w:rPr>
            </w:pPr>
          </w:p>
        </w:tc>
        <w:tc>
          <w:tcPr>
            <w:tcW w:w="4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________________________________________________</w:t>
            </w:r>
          </w:p>
        </w:tc>
        <w:tc>
          <w:tcPr>
            <w:tcW w:w="2640" w:type="dxa"/>
            <w:vAlign w:val="bottom"/>
          </w:tcPr>
          <w:p>
            <w:pPr>
              <w:spacing w:after="0"/>
              <w:rPr>
                <w:sz w:val="17"/>
                <w:szCs w:val="17"/>
                <w:color w:val="auto"/>
              </w:rPr>
            </w:pPr>
          </w:p>
        </w:tc>
      </w:tr>
    </w:tbl>
    <w:p>
      <w:pPr>
        <w:spacing w:after="0" w:line="292" w:lineRule="exact"/>
        <w:rPr>
          <w:sz w:val="24"/>
          <w:szCs w:val="24"/>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38"/>
        </w:trPr>
        <w:tc>
          <w:tcPr>
            <w:tcW w:w="4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34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CLS</w:t>
            </w:r>
          </w:p>
        </w:tc>
        <w:tc>
          <w:tcPr>
            <w:tcW w:w="3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line="2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May 19, 2026, Celestica Inc. (the “Company”), held its 2026 annual meeting of shareholders (the “Meeting”). A total of 75,880,933 of the Company’s common shares were present or represented by proxy at the meeting, representing approximately 66.00% of the Company’s 114,969,189 common shares that were outstanding and entitled to vote at the Meeting as of the record date of March 27, 2026. Set forth below are the matters acted upon by the Company’s shareholders at the Meeting, and the final voting results on each matter. Each of the matters are described in further detail in the Company’s definitive proxy statement dated April 9, 2026, filed with the Securities and Exchange Commission (the “SEC”) via EDGAR on the SEC’s website at www.sec.gov, and with the applicable Canadian regulatory authorities via SEDAR+ at www.sedarplus.ca on April 9,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Matter 1: Election of Directors</w:t>
            </w:r>
          </w:p>
        </w:tc>
        <w:tc>
          <w:tcPr>
            <w:tcW w:w="2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57"/>
        </w:trPr>
        <w:tc>
          <w:tcPr>
            <w:tcW w:w="30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Kulvinder (Kelly) Ahuja</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71,583,055</w:t>
            </w:r>
          </w:p>
        </w:tc>
        <w:tc>
          <w:tcPr>
            <w:tcW w:w="2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354,035</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3,943,843</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Cascella</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67,994,342</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3,942,748</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3,943,843</w:t>
            </w:r>
          </w:p>
        </w:tc>
      </w:tr>
      <w:tr>
        <w:trPr>
          <w:trHeight w:val="25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W. Colpitts</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71,837,402</w:t>
            </w:r>
          </w:p>
        </w:tc>
        <w:tc>
          <w:tcPr>
            <w:tcW w:w="2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99,689</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3,943,842</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Françoise Colpron</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67,276,010</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4,661,081</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3,943,842</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Kale</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71,592,159</w:t>
            </w:r>
          </w:p>
        </w:tc>
        <w:tc>
          <w:tcPr>
            <w:tcW w:w="2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344,932</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3,943,842</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Laurette T. Koellner</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66,610,878</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5,326,212</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3,943,843</w:t>
            </w:r>
          </w:p>
        </w:tc>
      </w:tr>
      <w:tr>
        <w:trPr>
          <w:trHeight w:val="25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 Maletira</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70,781,945</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1,155,147</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3,943,841</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Mionis</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68,015,476</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3,921,616</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3,943,841</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Reeder</w:t>
            </w:r>
          </w:p>
        </w:tc>
        <w:tc>
          <w:tcPr>
            <w:tcW w:w="2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71,778,785</w:t>
            </w:r>
          </w:p>
        </w:tc>
        <w:tc>
          <w:tcPr>
            <w:tcW w:w="2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158,305</w:t>
            </w:r>
          </w:p>
        </w:tc>
        <w:tc>
          <w:tcPr>
            <w:tcW w:w="2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3,943,843</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Matter 2: Approval of Appointment of Auditor and Authority of Board to Fix Auditor Remuneration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70,403,709</w:t>
            </w:r>
          </w:p>
        </w:tc>
      </w:tr>
      <w:tr>
        <w:trPr>
          <w:trHeight w:val="257"/>
        </w:trPr>
        <w:tc>
          <w:tcPr>
            <w:tcW w:w="63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5,477,221</w:t>
            </w:r>
          </w:p>
        </w:tc>
      </w:tr>
      <w:tr>
        <w:trPr>
          <w:trHeight w:val="256"/>
        </w:trPr>
        <w:tc>
          <w:tcPr>
            <w:tcW w:w="63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54"/>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Matter 3: Advisory Vote to Approve Named Executive Officer Compensation</w:t>
            </w:r>
          </w:p>
        </w:tc>
        <w:tc>
          <w:tcPr>
            <w:tcW w:w="1500" w:type="dxa"/>
            <w:vAlign w:val="bottom"/>
          </w:tcPr>
          <w:p>
            <w:pPr>
              <w:spacing w:after="0"/>
              <w:rPr>
                <w:sz w:val="24"/>
                <w:szCs w:val="24"/>
                <w:color w:val="auto"/>
              </w:rPr>
            </w:pPr>
          </w:p>
        </w:tc>
      </w:tr>
      <w:tr>
        <w:trPr>
          <w:trHeight w:val="256"/>
        </w:trPr>
        <w:tc>
          <w:tcPr>
            <w:tcW w:w="63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68,478,147</w:t>
            </w:r>
          </w:p>
        </w:tc>
      </w:tr>
      <w:tr>
        <w:trPr>
          <w:trHeight w:val="257"/>
        </w:trPr>
        <w:tc>
          <w:tcPr>
            <w:tcW w:w="63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2,539,538</w:t>
            </w:r>
          </w:p>
        </w:tc>
      </w:tr>
      <w:tr>
        <w:trPr>
          <w:trHeight w:val="256"/>
        </w:trPr>
        <w:tc>
          <w:tcPr>
            <w:tcW w:w="63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919,400</w:t>
            </w:r>
          </w:p>
        </w:tc>
      </w:tr>
      <w:tr>
        <w:trPr>
          <w:trHeight w:val="257"/>
        </w:trPr>
        <w:tc>
          <w:tcPr>
            <w:tcW w:w="63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3,943,848</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19, 2026, the Company issued a press release announcing the voting results from the Meeting. A copy of the press release is attached as Exhibit 99.1 to this Current Report on Form 8-K.</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3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the Company dated May 19, 2026</w:t>
            </w:r>
          </w:p>
        </w:tc>
        <w:tc>
          <w:tcPr>
            <w:tcW w:w="6120" w:type="dxa"/>
            <w:vAlign w:val="bottom"/>
          </w:tcPr>
          <w:p>
            <w:pPr>
              <w:spacing w:after="0"/>
              <w:rPr>
                <w:sz w:val="24"/>
                <w:szCs w:val="24"/>
                <w:color w:val="auto"/>
              </w:rPr>
            </w:pPr>
          </w:p>
        </w:tc>
      </w:tr>
      <w:tr>
        <w:trPr>
          <w:trHeight w:val="25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62"/>
        </w:trPr>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0" w:lineRule="exact"/>
        <w:rPr>
          <w:sz w:val="20"/>
          <w:szCs w:val="20"/>
          <w:color w:val="auto"/>
        </w:rPr>
      </w:pPr>
    </w:p>
    <w:p>
      <w:pPr>
        <w:ind w:left="60" w:right="88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2"/>
          </w:tcPr>
          <w:p>
            <w:pPr>
              <w:ind w:left="5520"/>
              <w:spacing w:after="0"/>
              <w:rPr>
                <w:sz w:val="20"/>
                <w:szCs w:val="20"/>
                <w:color w:val="auto"/>
              </w:rPr>
            </w:pPr>
            <w:r>
              <w:rPr>
                <w:rFonts w:ascii="Times New Roman" w:cs="Times New Roman" w:eastAsia="Times New Roman" w:hAnsi="Times New Roman"/>
                <w:sz w:val="18"/>
                <w:szCs w:val="18"/>
                <w:b w:val="1"/>
                <w:bCs w:val="1"/>
                <w:color w:val="auto"/>
              </w:rPr>
              <w:t>CELESTICA INC.</w:t>
            </w:r>
          </w:p>
        </w:tc>
      </w:tr>
      <w:tr>
        <w:trPr>
          <w:trHeight w:val="441"/>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5000" w:type="dxa"/>
            <w:vAlign w:val="bottom"/>
          </w:tcPr>
          <w:p>
            <w:pPr>
              <w:spacing w:after="0"/>
              <w:rPr>
                <w:sz w:val="24"/>
                <w:szCs w:val="24"/>
                <w:color w:val="auto"/>
              </w:rPr>
            </w:pPr>
          </w:p>
        </w:tc>
      </w:tr>
      <w:tr>
        <w:trPr>
          <w:trHeight w:val="234"/>
        </w:trPr>
        <w:tc>
          <w:tcPr>
            <w:tcW w:w="622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Parker</w:t>
            </w:r>
          </w:p>
        </w:tc>
      </w:tr>
      <w:tr>
        <w:trPr>
          <w:trHeight w:val="218"/>
        </w:trPr>
        <w:tc>
          <w:tcPr>
            <w:tcW w:w="62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Douglas Parker</w:t>
            </w:r>
          </w:p>
        </w:tc>
      </w:tr>
      <w:tr>
        <w:trPr>
          <w:trHeight w:val="234"/>
        </w:trPr>
        <w:tc>
          <w:tcPr>
            <w:tcW w:w="62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tc>
      </w:tr>
    </w:tbl>
    <w:p>
      <w:pPr>
        <w:sectPr>
          <w:pgSz w:w="11900" w:h="16838" w:orient="portrait"/>
          <w:cols w:equalWidth="0" w:num="1">
            <w:col w:w="11220"/>
          </w:cols>
          <w:pgMar w:left="340" w:top="11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37310"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8006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622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4980" w:type="dxa"/>
            <w:vAlign w:val="bottom"/>
          </w:tcPr>
          <w:p>
            <w:pPr>
              <w:ind w:left="3880"/>
              <w:spacing w:after="0"/>
              <w:rPr>
                <w:sz w:val="20"/>
                <w:szCs w:val="20"/>
                <w:color w:val="auto"/>
              </w:rPr>
            </w:pPr>
            <w:r>
              <w:rPr>
                <w:rFonts w:ascii="Arial" w:cs="Arial" w:eastAsia="Arial" w:hAnsi="Arial"/>
                <w:sz w:val="18"/>
                <w:szCs w:val="18"/>
                <w:b w:val="1"/>
                <w:bCs w:val="1"/>
                <w:color w:val="auto"/>
                <w:w w:val="98"/>
              </w:rPr>
              <w:t>May 19, 2026</w:t>
            </w: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Announces Election of Directors</w:t>
      </w:r>
    </w:p>
    <w:p>
      <w:pPr>
        <w:spacing w:after="0" w:line="26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TORONTO, Canada - Celestica Inc. (NYSE: CLS) (TSX: CLS), a global leader in data center infrastructure and advanced technology solutions, today announced, in accordance with the requirements of the Toronto Stock Exchange, that the nominees listed in its definitive proxy statement were elected as directors of the company at its Annual Meeting of Shareholders held earlier today.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a vote by ballot, each of the following nine nominees proposed by management was elected as a director of Celestica:</w:t>
      </w:r>
    </w:p>
    <w:p>
      <w:pPr>
        <w:spacing w:after="0" w:line="291"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Nominee</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 Votes For</w:t>
            </w:r>
          </w:p>
        </w:tc>
        <w:tc>
          <w:tcPr>
            <w:tcW w:w="21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Votes Withheld</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Votes Withheld</w:t>
            </w:r>
          </w:p>
        </w:tc>
      </w:tr>
      <w:tr>
        <w:trPr>
          <w:trHeight w:val="24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Kulvinder (Kelly) Ahuja</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71,583,055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99.51%</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354,035</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0.49%</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Cascella</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67,994,342</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94.52%</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3,942,748</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5.48%</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Christopher W. Colpitts</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71,837,402</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99.86%</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99,689</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0.14%</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Françoise Colpron</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67,276,010</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93.52%</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4,661,081</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6.48%</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Jill Kale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71,592,159</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99.52%</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344,932</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0.48%</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Laurette T. Koellner</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66,610,878</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92.60%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5,326,212</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7.40%</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1"/>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Amar Maletira</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70,781,945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98.39%</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1,155,147</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1.61%</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0"/>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Mionis</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68,015,476</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94.55%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3,921,616</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5.45%</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r>
        <w:trPr>
          <w:trHeight w:val="240"/>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David Reeder</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71,778,785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99.78%</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158,305</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0.22%</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Celestica</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Celestica is a technology leader dedicated to driving customer success and market advancements. With deep expertise in design, engineering, manufacturing, supply chain, and platform solutions, Celestica enables critical data center infrastructure for AI, cloud and hybrid cloud, and advances technologies in high-growth markets. With a talented team and a strategic global network, Celestica helps its customers achieve competitive advantages. For more information on Celestica, visit </w:t>
      </w:r>
      <w:r>
        <w:rPr>
          <w:rFonts w:ascii="Arial" w:cs="Arial" w:eastAsia="Arial" w:hAnsi="Arial"/>
          <w:sz w:val="18"/>
          <w:szCs w:val="18"/>
          <w:u w:val="single" w:color="auto"/>
          <w:color w:val="0000FF"/>
        </w:rPr>
        <w:t>www.celestica.com</w:t>
      </w:r>
      <w:r>
        <w:rPr>
          <w:rFonts w:ascii="Arial" w:cs="Arial" w:eastAsia="Arial" w:hAnsi="Arial"/>
          <w:sz w:val="18"/>
          <w:szCs w:val="18"/>
          <w:color w:val="auto"/>
        </w:rPr>
        <w:t xml:space="preserve">. Our securities filings can be accessed at </w:t>
      </w:r>
      <w:r>
        <w:rPr>
          <w:rFonts w:ascii="Arial" w:cs="Arial" w:eastAsia="Arial" w:hAnsi="Arial"/>
          <w:sz w:val="18"/>
          <w:szCs w:val="18"/>
          <w:u w:val="single" w:color="auto"/>
          <w:color w:val="0000FF"/>
        </w:rPr>
        <w:t>www.sedarplus.ca</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www.sec.gov</w:t>
      </w:r>
      <w:r>
        <w:rPr>
          <w:rFonts w:ascii="Arial" w:cs="Arial" w:eastAsia="Arial" w:hAnsi="Arial"/>
          <w:sz w:val="18"/>
          <w:szCs w:val="18"/>
          <w:color w:val="000000"/>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Contacts:</w:t>
            </w:r>
          </w:p>
        </w:tc>
        <w:tc>
          <w:tcPr>
            <w:tcW w:w="600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528"/>
        </w:trPr>
        <w:tc>
          <w:tcPr>
            <w:tcW w:w="2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Celestica Global Communications</w:t>
            </w:r>
          </w:p>
        </w:tc>
        <w:tc>
          <w:tcPr>
            <w:tcW w:w="2220" w:type="dxa"/>
            <w:vAlign w:val="bottom"/>
            <w:gridSpan w:val="2"/>
          </w:tcPr>
          <w:p>
            <w:pPr>
              <w:spacing w:after="0"/>
              <w:rPr>
                <w:sz w:val="20"/>
                <w:szCs w:val="20"/>
                <w:color w:val="auto"/>
              </w:rPr>
            </w:pPr>
            <w:r>
              <w:rPr>
                <w:rFonts w:ascii="Arial" w:cs="Arial" w:eastAsia="Arial" w:hAnsi="Arial"/>
                <w:sz w:val="18"/>
                <w:szCs w:val="18"/>
                <w:color w:val="auto"/>
                <w:w w:val="98"/>
              </w:rPr>
              <w:t>Celestica Investor Relations</w:t>
            </w:r>
          </w:p>
        </w:tc>
      </w:tr>
      <w:tr>
        <w:trPr>
          <w:trHeight w:val="216"/>
        </w:trPr>
        <w:tc>
          <w:tcPr>
            <w:tcW w:w="1780" w:type="dxa"/>
            <w:vAlign w:val="bottom"/>
            <w:gridSpan w:val="3"/>
          </w:tcPr>
          <w:p>
            <w:pPr>
              <w:ind w:left="20"/>
              <w:spacing w:after="0"/>
              <w:rPr>
                <w:sz w:val="20"/>
                <w:szCs w:val="20"/>
                <w:color w:val="auto"/>
              </w:rPr>
            </w:pPr>
            <w:r>
              <w:rPr>
                <w:rFonts w:ascii="Arial" w:cs="Arial" w:eastAsia="Arial" w:hAnsi="Arial"/>
                <w:sz w:val="18"/>
                <w:szCs w:val="18"/>
                <w:color w:val="auto"/>
              </w:rPr>
              <w:t>(416) 448-2200</w:t>
            </w:r>
          </w:p>
        </w:tc>
        <w:tc>
          <w:tcPr>
            <w:tcW w:w="50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(416) 448-2211</w:t>
            </w:r>
          </w:p>
        </w:tc>
        <w:tc>
          <w:tcPr>
            <w:tcW w:w="6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6820" w:type="dxa"/>
            <w:vAlign w:val="bottom"/>
            <w:gridSpan w:val="3"/>
          </w:tcPr>
          <w:p>
            <w:pPr>
              <w:spacing w:after="0" w:line="195" w:lineRule="exact"/>
              <w:rPr>
                <w:sz w:val="20"/>
                <w:szCs w:val="20"/>
                <w:color w:val="auto"/>
              </w:rPr>
            </w:pPr>
            <w:r>
              <w:rPr>
                <w:rFonts w:ascii="Arial" w:cs="Arial" w:eastAsia="Arial" w:hAnsi="Arial"/>
                <w:sz w:val="18"/>
                <w:szCs w:val="18"/>
                <w:color w:val="0000FF"/>
              </w:rPr>
              <w:t>media@celestica.com</w:t>
            </w:r>
          </w:p>
        </w:tc>
        <w:tc>
          <w:tcPr>
            <w:tcW w:w="2220" w:type="dxa"/>
            <w:vAlign w:val="bottom"/>
            <w:gridSpan w:val="2"/>
          </w:tcPr>
          <w:p>
            <w:pPr>
              <w:spacing w:after="0" w:line="195" w:lineRule="exact"/>
              <w:rPr>
                <w:sz w:val="20"/>
                <w:szCs w:val="20"/>
                <w:color w:val="auto"/>
              </w:rPr>
            </w:pPr>
            <w:r>
              <w:rPr>
                <w:rFonts w:ascii="Arial" w:cs="Arial" w:eastAsia="Arial" w:hAnsi="Arial"/>
                <w:sz w:val="18"/>
                <w:szCs w:val="18"/>
                <w:color w:val="0000FF"/>
              </w:rPr>
              <w:t>clsir@celestica.com</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2026-05-19T15:26:45Z</dcterms:created>
  <dcterms:modified xsi:type="dcterms:W3CDTF">2026-05-19T15:26:45Z</dcterms:modified>
</cp:coreProperties>
</file>