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28, 2026</w:t>
      </w:r>
    </w:p>
    <w:p>
      <w:pPr>
        <w:spacing w:after="0" w:line="4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Celestica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001-14832</w:t>
            </w:r>
          </w:p>
        </w:tc>
        <w:tc>
          <w:tcPr>
            <w:tcW w:w="26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98-0185558</w:t>
            </w:r>
          </w:p>
        </w:tc>
      </w:tr>
      <w:tr>
        <w:trPr>
          <w:trHeight w:val="190"/>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609"/>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8"/>
              </w:rPr>
              <w:t>5140 Yonge Street, Suite 1900</w:t>
            </w:r>
          </w:p>
        </w:tc>
        <w:tc>
          <w:tcPr>
            <w:tcW w:w="4320" w:type="dxa"/>
            <w:vAlign w:val="bottom"/>
          </w:tcPr>
          <w:p>
            <w:pPr>
              <w:spacing w:after="0"/>
              <w:rPr>
                <w:sz w:val="24"/>
                <w:szCs w:val="24"/>
                <w:color w:val="auto"/>
              </w:rPr>
            </w:pPr>
          </w:p>
        </w:tc>
        <w:tc>
          <w:tcPr>
            <w:tcW w:w="26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M2N 6L7</w:t>
            </w:r>
          </w:p>
        </w:tc>
      </w:tr>
      <w:tr>
        <w:trPr>
          <w:trHeight w:val="227"/>
        </w:trPr>
        <w:tc>
          <w:tcPr>
            <w:tcW w:w="296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8"/>
              </w:rPr>
              <w:t>Toronto, Ontario, Canada</w:t>
            </w:r>
          </w:p>
        </w:tc>
        <w:tc>
          <w:tcPr>
            <w:tcW w:w="4320" w:type="dxa"/>
            <w:vAlign w:val="bottom"/>
          </w:tcPr>
          <w:p>
            <w:pPr>
              <w:spacing w:after="0"/>
              <w:rPr>
                <w:sz w:val="19"/>
                <w:szCs w:val="19"/>
                <w:color w:val="auto"/>
              </w:rPr>
            </w:pPr>
          </w:p>
        </w:tc>
        <w:tc>
          <w:tcPr>
            <w:tcW w:w="26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2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officers)</w:t>
            </w:r>
          </w:p>
        </w:tc>
        <w:tc>
          <w:tcPr>
            <w:tcW w:w="432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526"/>
        </w:trPr>
        <w:tc>
          <w:tcPr>
            <w:tcW w:w="2960" w:type="dxa"/>
            <w:vAlign w:val="bottom"/>
          </w:tcPr>
          <w:p>
            <w:pPr>
              <w:spacing w:after="0"/>
              <w:rPr>
                <w:sz w:val="24"/>
                <w:szCs w:val="24"/>
                <w:color w:val="auto"/>
              </w:rPr>
            </w:pPr>
          </w:p>
        </w:tc>
        <w:tc>
          <w:tcPr>
            <w:tcW w:w="4320" w:type="dxa"/>
            <w:vAlign w:val="bottom"/>
          </w:tcPr>
          <w:p>
            <w:pPr>
              <w:jc w:val="right"/>
              <w:ind w:right="1643"/>
              <w:spacing w:after="0"/>
              <w:rPr>
                <w:sz w:val="20"/>
                <w:szCs w:val="20"/>
                <w:color w:val="auto"/>
              </w:rPr>
            </w:pPr>
            <w:r>
              <w:rPr>
                <w:rFonts w:ascii="Times New Roman" w:cs="Times New Roman" w:eastAsia="Times New Roman" w:hAnsi="Times New Roman"/>
                <w:sz w:val="14"/>
                <w:szCs w:val="14"/>
                <w:b w:val="1"/>
                <w:bCs w:val="1"/>
                <w:color w:val="auto"/>
              </w:rPr>
              <w:t>(416) 448-2211</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40" w:type="dxa"/>
            <w:vAlign w:val="bottom"/>
          </w:tcPr>
          <w:p>
            <w:pPr>
              <w:spacing w:after="0"/>
              <w:rPr>
                <w:sz w:val="17"/>
                <w:szCs w:val="17"/>
                <w:color w:val="auto"/>
              </w:rPr>
            </w:pPr>
          </w:p>
        </w:tc>
      </w:tr>
      <w:tr>
        <w:trPr>
          <w:trHeight w:val="445"/>
        </w:trPr>
        <w:tc>
          <w:tcPr>
            <w:tcW w:w="296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640" w:type="dxa"/>
            <w:vAlign w:val="bottom"/>
          </w:tcPr>
          <w:p>
            <w:pPr>
              <w:spacing w:after="0"/>
              <w:rPr>
                <w:sz w:val="17"/>
                <w:szCs w:val="17"/>
                <w:color w:val="auto"/>
              </w:rPr>
            </w:pPr>
          </w:p>
        </w:tc>
      </w:tr>
      <w:tr>
        <w:trPr>
          <w:trHeight w:val="199"/>
        </w:trPr>
        <w:tc>
          <w:tcPr>
            <w:tcW w:w="2960" w:type="dxa"/>
            <w:vAlign w:val="bottom"/>
          </w:tcPr>
          <w:p>
            <w:pPr>
              <w:spacing w:after="0"/>
              <w:rPr>
                <w:sz w:val="17"/>
                <w:szCs w:val="17"/>
                <w:color w:val="auto"/>
              </w:rPr>
            </w:pPr>
          </w:p>
        </w:tc>
        <w:tc>
          <w:tcPr>
            <w:tcW w:w="4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________________________________________________</w:t>
            </w:r>
          </w:p>
        </w:tc>
        <w:tc>
          <w:tcPr>
            <w:tcW w:w="2640" w:type="dxa"/>
            <w:vAlign w:val="bottom"/>
          </w:tcPr>
          <w:p>
            <w:pPr>
              <w:spacing w:after="0"/>
              <w:rPr>
                <w:sz w:val="17"/>
                <w:szCs w:val="17"/>
                <w:color w:val="auto"/>
              </w:rPr>
            </w:pPr>
          </w:p>
        </w:tc>
      </w:tr>
    </w:tbl>
    <w:p>
      <w:pPr>
        <w:spacing w:after="0" w:line="292" w:lineRule="exact"/>
        <w:rPr>
          <w:sz w:val="24"/>
          <w:szCs w:val="24"/>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38"/>
        </w:trPr>
        <w:tc>
          <w:tcPr>
            <w:tcW w:w="4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34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CLS</w:t>
            </w:r>
          </w:p>
        </w:tc>
        <w:tc>
          <w:tcPr>
            <w:tcW w:w="3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2026, Celestica Inc. (the "Company") issued a press release and will hold a conference call on January 29, 2026 regarding its financial results for the quarter and full year ended December 31, 2025. A copy of the press release is furnished as Exhibit 99.1 to this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Press Release of the Company dated January 28, 2026</w:t>
            </w:r>
          </w:p>
        </w:tc>
      </w:tr>
      <w:tr>
        <w:trPr>
          <w:trHeight w:val="2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63"/>
        </w:trPr>
        <w:tc>
          <w:tcPr>
            <w:tcW w:w="11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0" w:lineRule="exact"/>
        <w:rPr>
          <w:sz w:val="20"/>
          <w:szCs w:val="20"/>
          <w:color w:val="auto"/>
        </w:rPr>
      </w:pPr>
    </w:p>
    <w:p>
      <w:pPr>
        <w:ind w:left="60" w:right="88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2"/>
          </w:tcPr>
          <w:p>
            <w:pPr>
              <w:ind w:left="5520"/>
              <w:spacing w:after="0"/>
              <w:rPr>
                <w:sz w:val="20"/>
                <w:szCs w:val="20"/>
                <w:color w:val="auto"/>
              </w:rPr>
            </w:pPr>
            <w:r>
              <w:rPr>
                <w:rFonts w:ascii="Times New Roman" w:cs="Times New Roman" w:eastAsia="Times New Roman" w:hAnsi="Times New Roman"/>
                <w:sz w:val="18"/>
                <w:szCs w:val="18"/>
                <w:b w:val="1"/>
                <w:bCs w:val="1"/>
                <w:color w:val="auto"/>
              </w:rPr>
              <w:t>CELESTICA INC.</w:t>
            </w:r>
          </w:p>
        </w:tc>
      </w:tr>
      <w:tr>
        <w:trPr>
          <w:trHeight w:val="441"/>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2026</w:t>
            </w:r>
          </w:p>
        </w:tc>
        <w:tc>
          <w:tcPr>
            <w:tcW w:w="5000" w:type="dxa"/>
            <w:vAlign w:val="bottom"/>
          </w:tcPr>
          <w:p>
            <w:pPr>
              <w:spacing w:after="0"/>
              <w:rPr>
                <w:sz w:val="24"/>
                <w:szCs w:val="24"/>
                <w:color w:val="auto"/>
              </w:rPr>
            </w:pPr>
          </w:p>
        </w:tc>
      </w:tr>
      <w:tr>
        <w:trPr>
          <w:trHeight w:val="234"/>
        </w:trPr>
        <w:tc>
          <w:tcPr>
            <w:tcW w:w="622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Parker</w:t>
            </w:r>
          </w:p>
        </w:tc>
      </w:tr>
      <w:tr>
        <w:trPr>
          <w:trHeight w:val="218"/>
        </w:trPr>
        <w:tc>
          <w:tcPr>
            <w:tcW w:w="62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Douglas Parker</w:t>
            </w:r>
          </w:p>
        </w:tc>
      </w:tr>
      <w:tr>
        <w:trPr>
          <w:trHeight w:val="234"/>
        </w:trPr>
        <w:tc>
          <w:tcPr>
            <w:tcW w:w="62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tc>
      </w:tr>
    </w:tbl>
    <w:p>
      <w:pPr>
        <w:sectPr>
          <w:pgSz w:w="11900" w:h="16838" w:orient="portrait"/>
          <w:cols w:equalWidth="0" w:num="1">
            <w:col w:w="11220"/>
          </w:cols>
          <w:pgMar w:left="340" w:top="11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IMMEDIATE RELEASE </w:t>
      </w:r>
      <w:r>
        <w:rPr>
          <w:rFonts w:ascii="Arial" w:cs="Arial" w:eastAsia="Arial" w:hAnsi="Arial"/>
          <w:sz w:val="21"/>
          <w:szCs w:val="21"/>
          <w:b w:val="1"/>
          <w:bCs w:val="1"/>
          <w:color w:val="auto"/>
        </w:rPr>
        <w:t>January 28, 2026</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(All amounts in U.S. dollars)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CELESTICA ANNOUNCES FOURTH QUARTER AND FY 2025 FINANCIAL RESULTS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Q4 2025 revenue and adjusted EPS* above the high end of our guidance ranges;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Raising 2026 annual outlook</w:t>
      </w:r>
    </w:p>
    <w:p>
      <w:pPr>
        <w:spacing w:after="0" w:line="23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TORONTO, Canada - Celestica Inc.</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(NYSE: CLS) (TSX: CLS), a global leader in data center infrastructure and advanced technology solutions, today announced its financial results for the fourth quarter ended December 31, 2025 (Q4 2025).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2025 Highlights</w:t>
      </w:r>
    </w:p>
    <w:p>
      <w:pPr>
        <w:spacing w:after="0" w:line="252"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$3.65 billion, increased 44% compared to $2.55 billion for the fourth quarter of 2024 (Q4 2024).</w:t>
      </w:r>
    </w:p>
    <w:p>
      <w:pPr>
        <w:spacing w:after="0" w:line="49"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earnings from operations as a % of revenue: 8.6%, compared to 8.0% for Q4 2024.</w:t>
      </w:r>
    </w:p>
    <w:p>
      <w:pPr>
        <w:spacing w:after="0" w:line="36"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operating margin (non-GAAP)*: 7.7%, compared to 6.8% for Q4 2024.</w:t>
      </w:r>
    </w:p>
    <w:p>
      <w:pPr>
        <w:spacing w:after="0" w:line="47"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(EPS): $2.31, compared to $1.29 for Q4 2024.</w:t>
      </w:r>
    </w:p>
    <w:p>
      <w:pPr>
        <w:spacing w:after="0" w:line="12" w:lineRule="exact"/>
        <w:rPr>
          <w:rFonts w:ascii="Arial" w:cs="Arial" w:eastAsia="Arial" w:hAnsi="Arial"/>
          <w:sz w:val="18"/>
          <w:szCs w:val="18"/>
          <w:color w:val="auto"/>
        </w:rPr>
      </w:pPr>
    </w:p>
    <w:p>
      <w:pPr>
        <w:ind w:left="480" w:hanging="472"/>
        <w:spacing w:after="0" w:line="220"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(non-GAAP)*: $1.89, compared to $1.11 for Q4 2024.</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Repurchased 0.1 million common shares for cancellation for $35.7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2025 Highlights</w:t>
      </w:r>
    </w:p>
    <w:p>
      <w:pPr>
        <w:spacing w:after="0" w:line="252"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$12.39 billion, increased 28% compared to $9.65 billion for 2024.</w:t>
      </w:r>
    </w:p>
    <w:p>
      <w:pPr>
        <w:spacing w:after="0" w:line="47"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EPS</w:t>
      </w:r>
      <w:r>
        <w:rPr>
          <w:rFonts w:ascii="Arial" w:cs="Arial" w:eastAsia="Arial" w:hAnsi="Arial"/>
          <w:sz w:val="23"/>
          <w:szCs w:val="23"/>
          <w:color w:val="auto"/>
          <w:vertAlign w:val="superscript"/>
        </w:rPr>
        <w:t>2</w:t>
      </w:r>
      <w:r>
        <w:rPr>
          <w:rFonts w:ascii="Arial" w:cs="Arial" w:eastAsia="Arial" w:hAnsi="Arial"/>
          <w:sz w:val="18"/>
          <w:szCs w:val="18"/>
          <w:color w:val="auto"/>
        </w:rPr>
        <w:t>: $7.16, compared to $3.61 for 2024.</w:t>
      </w:r>
    </w:p>
    <w:p>
      <w:pPr>
        <w:spacing w:after="0" w:line="12"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(non-GAAP)*: $6.05, compared to $3.88 for 2024.</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financial performance in the fourth quarter was very strong, with revenue of $3.65 billion and adjusted EPS (non-GAAP)* of $1.89, both exceeding the high end of our guidance ranges. We had a solid finish to 2025, achieving revenue of $12.4 billion, up 28%, while our adjusted EPS (non-GAAP)* grew 56% year-over-year,” said Rob Mionis, President and CEO of Celestica.</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“Driven by very strong results in 2025, and improved momentum into 2026, we are pleased to be raising our annual outlook. As demand for AI-related data center technologies continues to strengthen, we now expect revenue of $17.0 billion and adjusted EPS (non-GAAP)* of $8.75 for 2026.”</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continuing to align with our largest customers on their multi-year capacity roadmaps in support of their long-term AI infrastructure investments. We believe the revenue growth trajectory that we anticipate in 2026 will be sustained into 2027, and as a result, we are strategically increasing our planned capital investments to $1 billion this year. Importantly, we anticipate being able to fully fund this expansion organically through our operating cash flow.”</w:t>
      </w:r>
    </w:p>
    <w:p>
      <w:pPr>
        <w:spacing w:after="0" w:line="213" w:lineRule="exact"/>
        <w:rPr>
          <w:sz w:val="20"/>
          <w:szCs w:val="20"/>
          <w:color w:val="auto"/>
        </w:rPr>
      </w:pPr>
    </w:p>
    <w:p>
      <w:pPr>
        <w:jc w:val="both"/>
        <w:ind w:firstLine="8"/>
        <w:spacing w:after="0" w:line="234" w:lineRule="auto"/>
        <w:tabs>
          <w:tab w:leader="none" w:pos="9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Celestica has two operating and reportable segments: Connectivity &amp; Cloud Solutions (CCS) (consists of our Communications and Enterprise (servers and storage) end markets) and Advanced Technology Solutions (ATS) (comprised of our Aerospace and Defense, Industrial, HealthTech, and Capital Equipment businesses). Segment performance is evaluated based on segment revenue, segment income, and segment margin (segment income as a percentage of segment revenue).</w:t>
      </w:r>
    </w:p>
    <w:p>
      <w:pPr>
        <w:ind w:left="100" w:hanging="92"/>
        <w:spacing w:after="0" w:line="238" w:lineRule="auto"/>
        <w:tabs>
          <w:tab w:leader="none" w:pos="10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Per share information included in this press release is based on diluted shares outstanding unless otherwise noted.</w:t>
      </w:r>
    </w:p>
    <w:p>
      <w:pPr>
        <w:spacing w:after="0" w:line="26" w:lineRule="exact"/>
        <w:rPr>
          <w:sz w:val="20"/>
          <w:szCs w:val="20"/>
          <w:color w:val="auto"/>
        </w:rPr>
      </w:pPr>
    </w:p>
    <w:p>
      <w:pPr>
        <w:jc w:val="both"/>
        <w:ind w:firstLine="8"/>
        <w:spacing w:after="0" w:line="283" w:lineRule="auto"/>
        <w:tabs>
          <w:tab w:leader="none" w:pos="99"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Use of Non-GAAP Measures and Schedule 1 for, among other items, non-GAAP financial measures (and ratios) included in this press release, their definitions, uses, and a reconciliation of non-GAAP financial measures to the most directly comparable GAAP financial measures. Non-GAAP measures in this press release are denoted with an asterisk (*).</w:t>
      </w:r>
    </w:p>
    <w:p>
      <w:pPr>
        <w:sectPr>
          <w:pgSz w:w="11900" w:h="16838" w:orient="portrait"/>
          <w:cols w:equalWidth="0" w:num="1">
            <w:col w:w="11240"/>
          </w:cols>
          <w:pgMar w:left="320" w:top="1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First Quarter of 2026 (Q1 2026) Guidance</w:t>
            </w:r>
          </w:p>
        </w:tc>
        <w:tc>
          <w:tcPr>
            <w:tcW w:w="40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5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(in billions)</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Q1 2026 Guidance</w:t>
            </w:r>
          </w:p>
        </w:tc>
        <w:tc>
          <w:tcPr>
            <w:tcW w:w="0" w:type="dxa"/>
            <w:vAlign w:val="bottom"/>
          </w:tcPr>
          <w:p>
            <w:pPr>
              <w:spacing w:after="0"/>
              <w:rPr>
                <w:sz w:val="1"/>
                <w:szCs w:val="1"/>
                <w:color w:val="auto"/>
              </w:rPr>
            </w:pPr>
          </w:p>
        </w:tc>
      </w:tr>
      <w:tr>
        <w:trPr>
          <w:trHeight w:val="218"/>
        </w:trPr>
        <w:tc>
          <w:tcPr>
            <w:tcW w:w="7520" w:type="dxa"/>
            <w:vAlign w:val="bottom"/>
            <w:gridSpan w:val="2"/>
            <w:vMerge w:val="continue"/>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rPr>
              <w:t>$3.850 to $4.150</w:t>
            </w:r>
          </w:p>
        </w:tc>
        <w:tc>
          <w:tcPr>
            <w:tcW w:w="0" w:type="dxa"/>
            <w:vAlign w:val="bottom"/>
          </w:tcPr>
          <w:p>
            <w:pPr>
              <w:spacing w:after="0"/>
              <w:rPr>
                <w:sz w:val="1"/>
                <w:szCs w:val="1"/>
                <w:color w:val="auto"/>
              </w:rPr>
            </w:pPr>
          </w:p>
        </w:tc>
      </w:tr>
      <w:tr>
        <w:trPr>
          <w:trHeight w:val="181"/>
        </w:trPr>
        <w:tc>
          <w:tcPr>
            <w:tcW w:w="752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operating margin (non-GAAP)*</w:t>
            </w:r>
          </w:p>
        </w:tc>
        <w:tc>
          <w:tcPr>
            <w:tcW w:w="3720" w:type="dxa"/>
            <w:vAlign w:val="bottom"/>
          </w:tcPr>
          <w:p>
            <w:pPr>
              <w:jc w:val="center"/>
              <w:spacing w:after="0" w:line="181" w:lineRule="exact"/>
              <w:rPr>
                <w:sz w:val="20"/>
                <w:szCs w:val="20"/>
                <w:color w:val="auto"/>
              </w:rPr>
            </w:pPr>
            <w:r>
              <w:rPr>
                <w:rFonts w:ascii="Arial" w:cs="Arial" w:eastAsia="Arial" w:hAnsi="Arial"/>
                <w:sz w:val="18"/>
                <w:szCs w:val="18"/>
                <w:color w:val="auto"/>
                <w:w w:val="99"/>
              </w:rPr>
              <w:t>7.8% at the mid-point of our</w:t>
            </w:r>
          </w:p>
        </w:tc>
        <w:tc>
          <w:tcPr>
            <w:tcW w:w="0" w:type="dxa"/>
            <w:vAlign w:val="bottom"/>
          </w:tcPr>
          <w:p>
            <w:pPr>
              <w:spacing w:after="0"/>
              <w:rPr>
                <w:sz w:val="1"/>
                <w:szCs w:val="1"/>
                <w:color w:val="auto"/>
              </w:rPr>
            </w:pPr>
          </w:p>
        </w:tc>
      </w:tr>
      <w:tr>
        <w:trPr>
          <w:trHeight w:val="184"/>
        </w:trPr>
        <w:tc>
          <w:tcPr>
            <w:tcW w:w="7520" w:type="dxa"/>
            <w:vAlign w:val="bottom"/>
            <w:gridSpan w:val="2"/>
            <w:vMerge w:val="continue"/>
          </w:tcPr>
          <w:p>
            <w:pPr>
              <w:spacing w:after="0"/>
              <w:rPr>
                <w:sz w:val="15"/>
                <w:szCs w:val="15"/>
                <w:color w:val="auto"/>
              </w:rPr>
            </w:pPr>
          </w:p>
        </w:tc>
        <w:tc>
          <w:tcPr>
            <w:tcW w:w="3720" w:type="dxa"/>
            <w:vAlign w:val="bottom"/>
          </w:tcPr>
          <w:p>
            <w:pPr>
              <w:jc w:val="center"/>
              <w:spacing w:after="0" w:line="183" w:lineRule="exact"/>
              <w:rPr>
                <w:sz w:val="20"/>
                <w:szCs w:val="20"/>
                <w:color w:val="auto"/>
              </w:rPr>
            </w:pPr>
            <w:r>
              <w:rPr>
                <w:rFonts w:ascii="Arial" w:cs="Arial" w:eastAsia="Arial" w:hAnsi="Arial"/>
                <w:sz w:val="18"/>
                <w:szCs w:val="18"/>
                <w:color w:val="auto"/>
                <w:w w:val="99"/>
              </w:rPr>
              <w:t>revenue and adjusted</w:t>
            </w:r>
          </w:p>
        </w:tc>
        <w:tc>
          <w:tcPr>
            <w:tcW w:w="0" w:type="dxa"/>
            <w:vAlign w:val="bottom"/>
          </w:tcPr>
          <w:p>
            <w:pPr>
              <w:spacing w:after="0"/>
              <w:rPr>
                <w:sz w:val="1"/>
                <w:szCs w:val="1"/>
                <w:color w:val="auto"/>
              </w:rPr>
            </w:pPr>
          </w:p>
        </w:tc>
      </w:tr>
      <w:tr>
        <w:trPr>
          <w:trHeight w:val="229"/>
        </w:trPr>
        <w:tc>
          <w:tcPr>
            <w:tcW w:w="752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EPS (non-GAAP)*</w:t>
            </w:r>
            <w:r>
              <w:rPr>
                <w:rFonts w:ascii="Arial" w:cs="Arial" w:eastAsia="Arial" w:hAnsi="Arial"/>
                <w:sz w:val="23"/>
                <w:szCs w:val="23"/>
                <w:color w:val="auto"/>
                <w:vertAlign w:val="superscript"/>
              </w:rPr>
              <w:t>(1)</w:t>
            </w:r>
          </w:p>
        </w:tc>
        <w:tc>
          <w:tcPr>
            <w:tcW w:w="3720" w:type="dxa"/>
            <w:vAlign w:val="bottom"/>
          </w:tcPr>
          <w:p>
            <w:pPr>
              <w:jc w:val="center"/>
              <w:spacing w:after="0"/>
              <w:rPr>
                <w:sz w:val="20"/>
                <w:szCs w:val="20"/>
                <w:color w:val="auto"/>
              </w:rPr>
            </w:pPr>
            <w:r>
              <w:rPr>
                <w:rFonts w:ascii="Arial" w:cs="Arial" w:eastAsia="Arial" w:hAnsi="Arial"/>
                <w:sz w:val="18"/>
                <w:szCs w:val="18"/>
                <w:color w:val="auto"/>
                <w:w w:val="99"/>
              </w:rPr>
              <w:t>EPS (non-GAAP) guidance ranges</w:t>
            </w:r>
          </w:p>
        </w:tc>
        <w:tc>
          <w:tcPr>
            <w:tcW w:w="0" w:type="dxa"/>
            <w:vAlign w:val="bottom"/>
          </w:tcPr>
          <w:p>
            <w:pPr>
              <w:spacing w:after="0"/>
              <w:rPr>
                <w:sz w:val="1"/>
                <w:szCs w:val="1"/>
                <w:color w:val="auto"/>
              </w:rPr>
            </w:pPr>
          </w:p>
        </w:tc>
      </w:tr>
      <w:tr>
        <w:trPr>
          <w:trHeight w:val="308"/>
        </w:trPr>
        <w:tc>
          <w:tcPr>
            <w:tcW w:w="7520" w:type="dxa"/>
            <w:vAlign w:val="bottom"/>
            <w:gridSpan w:val="2"/>
            <w:vMerge w:val="continue"/>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rPr>
              <w:t>$1.95 to $2.15</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180" w:hanging="172"/>
        <w:spacing w:after="0" w:line="234" w:lineRule="auto"/>
        <w:tabs>
          <w:tab w:leader="none" w:pos="29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Q1 2026 guidance excludes a negative $0.35 to $0.41 per share (pre-tax) aggregate impact on net earnings on a GAAP basis for employee stock-based compensation (SBC) expense, amortization of intangible assets (excluding computer software), and restructuring charges. Q1 2026 guidance assumes an adjusted effective tax rate (non-GAAP)* of approximately 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2026 Annual Outlook Update</w:t>
      </w:r>
    </w:p>
    <w:p>
      <w:pPr>
        <w:spacing w:after="0" w:line="13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Revenue of $17.0 billion (previous outlook $16.0 billion) </w:t>
      </w:r>
      <w:r>
        <w:rPr>
          <w:rFonts w:ascii="Arial" w:cs="Arial" w:eastAsia="Arial" w:hAnsi="Arial"/>
          <w:sz w:val="23"/>
          <w:szCs w:val="23"/>
          <w:color w:val="auto"/>
          <w:vertAlign w:val="superscript"/>
        </w:rPr>
        <w:t>(1)</w:t>
      </w: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Adjusted EPS (non-GAAP)* of $8.75 (previous outlook $8.20) </w:t>
      </w:r>
      <w:r>
        <w:rPr>
          <w:rFonts w:ascii="Arial" w:cs="Arial" w:eastAsia="Arial" w:hAnsi="Arial"/>
          <w:sz w:val="23"/>
          <w:szCs w:val="23"/>
          <w:color w:val="auto"/>
          <w:vertAlign w:val="superscript"/>
        </w:rPr>
        <w:t>(1)(2)</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previous adjusted operating margin (non-GAAP)* outlook of 7.8% and free cash flow (non-GAAP)* outlook of $500 million remain unchanged.</w:t>
      </w:r>
    </w:p>
    <w:p>
      <w:pPr>
        <w:spacing w:after="0" w:line="16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The increase of our 2026 annual outlook is driven by expected stronger customer demand for Q1 2026 and improvements in our demand visibility for the remainder of 2026.</w:t>
      </w:r>
    </w:p>
    <w:p>
      <w:pPr>
        <w:spacing w:after="0" w:line="39" w:lineRule="exact"/>
        <w:rPr>
          <w:rFonts w:ascii="Arial" w:cs="Arial" w:eastAsia="Arial" w:hAnsi="Arial"/>
          <w:sz w:val="19"/>
          <w:szCs w:val="19"/>
          <w:color w:val="auto"/>
          <w:vertAlign w:val="superscript"/>
        </w:rPr>
      </w:pPr>
    </w:p>
    <w:p>
      <w:pPr>
        <w:ind w:left="220" w:hanging="212"/>
        <w:spacing w:after="0" w:line="193" w:lineRule="auto"/>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2026 guidance assumes an adjusted effective tax rate (non-GAAP)* of approximately 21%.</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2026 Annual Outlook Update assumes no material changes to tariffs or trade restrictions compared to what are in effect as of January 28, 2026 and no material changes from current macroeconomic trends and uncertainties. Substantially all tariffs paid by Celestica are expected to continue to be recovered from our customers, and are not expected to materially impact our adjusted operating earnings (adjusted EBIAT) (non-GAAP)* or adjusted net earnings (non-GAAP)* dollars.</w:t>
      </w:r>
    </w:p>
    <w:p>
      <w:pPr>
        <w:spacing w:after="0" w:line="213" w:lineRule="exact"/>
        <w:rPr>
          <w:sz w:val="20"/>
          <w:szCs w:val="20"/>
          <w:color w:val="auto"/>
        </w:rPr>
      </w:pPr>
    </w:p>
    <w:p>
      <w:pPr>
        <w:jc w:val="both"/>
        <w:ind w:firstLine="8"/>
        <w:spacing w:after="0" w:line="266" w:lineRule="auto"/>
        <w:tabs>
          <w:tab w:leader="none" w:pos="108"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Use of Non-GAAP Measures and Schedule 1. For our Q1 2026 Guidance and 2026 Annual Outlook Update, we present certain forward-looking non-GAAP metrics. A reconciliation of such forward-looking non-GAAP measures to the most directly comparable GAAP measures on a forward-looking basis has not been provided because the items that we exclude from GAAP to calculate the comparable non-GAAP measure are dependent on future events that management is not able to reliably predict and are not part of our routine operating activities. We are unable to provide such a reconciliation without unreasonable effort due to the uncertainty and inherent difficulty in predicting the occurrence, the financial impact and the periods in which the adjustments may be recognized. The occurrence, timing and amount of any of the items excluded from GAAP to calculate non-GAAP could significantly impact our GAAP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Summary of Selected Q4 2025 Results</w:t>
            </w:r>
          </w:p>
        </w:tc>
        <w:tc>
          <w:tcPr>
            <w:tcW w:w="2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96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Revenue (in billions) </w:t>
            </w:r>
            <w:r>
              <w:rPr>
                <w:rFonts w:ascii="Arial" w:cs="Arial" w:eastAsia="Arial" w:hAnsi="Arial"/>
                <w:sz w:val="23"/>
                <w:szCs w:val="23"/>
                <w:color w:val="auto"/>
                <w:vertAlign w:val="superscript"/>
              </w:rPr>
              <w:t>(1)</w:t>
            </w:r>
          </w:p>
        </w:tc>
        <w:tc>
          <w:tcPr>
            <w:tcW w:w="2180" w:type="dxa"/>
            <w:vAlign w:val="bottom"/>
            <w:gridSpan w:val="2"/>
          </w:tcPr>
          <w:p>
            <w:pPr>
              <w:ind w:left="400"/>
              <w:spacing w:after="0"/>
              <w:rPr>
                <w:sz w:val="20"/>
                <w:szCs w:val="20"/>
                <w:color w:val="auto"/>
              </w:rPr>
            </w:pPr>
            <w:r>
              <w:rPr>
                <w:rFonts w:ascii="Arial" w:cs="Arial" w:eastAsia="Arial" w:hAnsi="Arial"/>
                <w:sz w:val="18"/>
                <w:szCs w:val="18"/>
                <w:b w:val="1"/>
                <w:bCs w:val="1"/>
                <w:color w:val="auto"/>
              </w:rPr>
              <w:t>Q4 2025 Actual</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7"/>
              </w:rPr>
              <w:t>Q4 2025 Guidance</w:t>
            </w:r>
            <w:r>
              <w:rPr>
                <w:rFonts w:ascii="Arial" w:cs="Arial" w:eastAsia="Arial" w:hAnsi="Arial"/>
                <w:sz w:val="23"/>
                <w:szCs w:val="23"/>
                <w:b w:val="1"/>
                <w:bCs w:val="1"/>
                <w:color w:val="auto"/>
                <w:w w:val="97"/>
                <w:vertAlign w:val="superscript"/>
              </w:rPr>
              <w:t>(3)</w:t>
            </w:r>
          </w:p>
        </w:tc>
        <w:tc>
          <w:tcPr>
            <w:tcW w:w="0" w:type="dxa"/>
            <w:vAlign w:val="bottom"/>
          </w:tcPr>
          <w:p>
            <w:pPr>
              <w:spacing w:after="0"/>
              <w:rPr>
                <w:sz w:val="1"/>
                <w:szCs w:val="1"/>
                <w:color w:val="auto"/>
              </w:rPr>
            </w:pPr>
          </w:p>
        </w:tc>
      </w:tr>
      <w:tr>
        <w:trPr>
          <w:trHeight w:val="218"/>
        </w:trPr>
        <w:tc>
          <w:tcPr>
            <w:tcW w:w="5960" w:type="dxa"/>
            <w:vAlign w:val="bottom"/>
            <w:gridSpan w:val="2"/>
            <w:vMerge w:val="continue"/>
          </w:tcPr>
          <w:p>
            <w:pPr>
              <w:spacing w:after="0"/>
              <w:rPr>
                <w:sz w:val="18"/>
                <w:szCs w:val="18"/>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$3.655</w:t>
            </w:r>
          </w:p>
        </w:tc>
        <w:tc>
          <w:tcPr>
            <w:tcW w:w="80" w:type="dxa"/>
            <w:vAlign w:val="bottom"/>
          </w:tcPr>
          <w:p>
            <w:pPr>
              <w:spacing w:after="0"/>
              <w:rPr>
                <w:sz w:val="18"/>
                <w:szCs w:val="18"/>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$3.325 to $3.575</w:t>
            </w:r>
          </w:p>
        </w:tc>
        <w:tc>
          <w:tcPr>
            <w:tcW w:w="0" w:type="dxa"/>
            <w:vAlign w:val="bottom"/>
          </w:tcPr>
          <w:p>
            <w:pPr>
              <w:spacing w:after="0"/>
              <w:rPr>
                <w:sz w:val="1"/>
                <w:szCs w:val="1"/>
                <w:color w:val="auto"/>
              </w:rPr>
            </w:pPr>
          </w:p>
        </w:tc>
      </w:tr>
      <w:tr>
        <w:trPr>
          <w:trHeight w:val="227"/>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GAAP earnings from operations as a % of revenue</w:t>
            </w:r>
          </w:p>
        </w:tc>
        <w:tc>
          <w:tcPr>
            <w:tcW w:w="2100" w:type="dxa"/>
            <w:vAlign w:val="bottom"/>
          </w:tcPr>
          <w:p>
            <w:pPr>
              <w:jc w:val="center"/>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5960" w:type="dxa"/>
            <w:vAlign w:val="bottom"/>
            <w:gridSpan w:val="2"/>
          </w:tcPr>
          <w:p>
            <w:pPr>
              <w:ind w:left="20"/>
              <w:spacing w:after="0" w:line="232" w:lineRule="exact"/>
              <w:rPr>
                <w:sz w:val="20"/>
                <w:szCs w:val="20"/>
                <w:color w:val="auto"/>
              </w:rPr>
            </w:pPr>
            <w:r>
              <w:rPr>
                <w:rFonts w:ascii="Arial" w:cs="Arial" w:eastAsia="Arial" w:hAnsi="Arial"/>
                <w:sz w:val="18"/>
                <w:szCs w:val="18"/>
                <w:color w:val="auto"/>
              </w:rPr>
              <w:t xml:space="preserve">GAAP EPS </w:t>
            </w:r>
            <w:r>
              <w:rPr>
                <w:rFonts w:ascii="Arial" w:cs="Arial" w:eastAsia="Arial" w:hAnsi="Arial"/>
                <w:sz w:val="23"/>
                <w:szCs w:val="23"/>
                <w:color w:val="auto"/>
                <w:vertAlign w:val="superscript"/>
              </w:rPr>
              <w:t>(2)</w:t>
            </w:r>
          </w:p>
        </w:tc>
        <w:tc>
          <w:tcPr>
            <w:tcW w:w="2100" w:type="dxa"/>
            <w:vAlign w:val="bottom"/>
          </w:tcPr>
          <w:p>
            <w:pPr>
              <w:jc w:val="center"/>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81"/>
        </w:trPr>
        <w:tc>
          <w:tcPr>
            <w:tcW w:w="596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operating margin (non-GAAP)*</w:t>
            </w: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5"/>
                <w:szCs w:val="15"/>
                <w:color w:val="auto"/>
              </w:rPr>
            </w:pPr>
          </w:p>
        </w:tc>
        <w:tc>
          <w:tcPr>
            <w:tcW w:w="3100" w:type="dxa"/>
            <w:vAlign w:val="bottom"/>
          </w:tcPr>
          <w:p>
            <w:pPr>
              <w:jc w:val="center"/>
              <w:spacing w:after="0" w:line="181" w:lineRule="exact"/>
              <w:rPr>
                <w:sz w:val="20"/>
                <w:szCs w:val="20"/>
                <w:color w:val="auto"/>
              </w:rPr>
            </w:pPr>
            <w:r>
              <w:rPr>
                <w:rFonts w:ascii="Arial" w:cs="Arial" w:eastAsia="Arial" w:hAnsi="Arial"/>
                <w:sz w:val="18"/>
                <w:szCs w:val="18"/>
                <w:color w:val="auto"/>
              </w:rPr>
              <w:t>7.6% at the mid-point of our</w:t>
            </w:r>
          </w:p>
        </w:tc>
        <w:tc>
          <w:tcPr>
            <w:tcW w:w="0" w:type="dxa"/>
            <w:vAlign w:val="bottom"/>
          </w:tcPr>
          <w:p>
            <w:pPr>
              <w:spacing w:after="0"/>
              <w:rPr>
                <w:sz w:val="1"/>
                <w:szCs w:val="1"/>
                <w:color w:val="auto"/>
              </w:rPr>
            </w:pPr>
          </w:p>
        </w:tc>
      </w:tr>
      <w:tr>
        <w:trPr>
          <w:trHeight w:val="184"/>
        </w:trPr>
        <w:tc>
          <w:tcPr>
            <w:tcW w:w="5960" w:type="dxa"/>
            <w:vAlign w:val="bottom"/>
            <w:gridSpan w:val="2"/>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jc w:val="center"/>
              <w:spacing w:after="0" w:line="183" w:lineRule="exact"/>
              <w:rPr>
                <w:sz w:val="20"/>
                <w:szCs w:val="20"/>
                <w:color w:val="auto"/>
              </w:rPr>
            </w:pPr>
            <w:r>
              <w:rPr>
                <w:rFonts w:ascii="Arial" w:cs="Arial" w:eastAsia="Arial" w:hAnsi="Arial"/>
                <w:sz w:val="18"/>
                <w:szCs w:val="18"/>
                <w:color w:val="auto"/>
              </w:rPr>
              <w:t>revenue and adjusted</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rPr>
              <w:t>EPS (non-GAAP) guidance ranges</w:t>
            </w:r>
          </w:p>
        </w:tc>
        <w:tc>
          <w:tcPr>
            <w:tcW w:w="0" w:type="dxa"/>
            <w:vAlign w:val="bottom"/>
          </w:tcPr>
          <w:p>
            <w:pPr>
              <w:spacing w:after="0"/>
              <w:rPr>
                <w:sz w:val="1"/>
                <w:szCs w:val="1"/>
                <w:color w:val="auto"/>
              </w:rPr>
            </w:pPr>
          </w:p>
        </w:tc>
      </w:tr>
      <w:tr>
        <w:trPr>
          <w:trHeight w:val="23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Adjusted EPS (non-GAAP)*</w:t>
            </w:r>
          </w:p>
        </w:tc>
        <w:tc>
          <w:tcPr>
            <w:tcW w:w="2100" w:type="dxa"/>
            <w:vAlign w:val="bottom"/>
          </w:tcPr>
          <w:p>
            <w:pPr>
              <w:jc w:val="center"/>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$1.65 to $1.81</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CCS segment revenue: $2.86 billion, increased 64% compared to Q4 2024; CCS segment margin</w:t>
      </w:r>
      <w:r>
        <w:rPr>
          <w:rFonts w:ascii="Arial" w:cs="Arial" w:eastAsia="Arial" w:hAnsi="Arial"/>
          <w:sz w:val="23"/>
          <w:szCs w:val="23"/>
          <w:color w:val="auto"/>
          <w:vertAlign w:val="superscript"/>
        </w:rPr>
        <w:t>(4)</w:t>
      </w:r>
      <w:r>
        <w:rPr>
          <w:rFonts w:ascii="Arial" w:cs="Arial" w:eastAsia="Arial" w:hAnsi="Arial"/>
          <w:sz w:val="18"/>
          <w:szCs w:val="18"/>
          <w:color w:val="auto"/>
        </w:rPr>
        <w:t>: 8.4% compared to 7.9% for Q4 2024.</w:t>
      </w:r>
    </w:p>
    <w:p>
      <w:pPr>
        <w:spacing w:after="0"/>
        <w:rPr>
          <w:sz w:val="20"/>
          <w:szCs w:val="20"/>
          <w:color w:val="auto"/>
        </w:rPr>
      </w:pPr>
      <w:r>
        <w:rPr>
          <w:rFonts w:ascii="Arial" w:cs="Arial" w:eastAsia="Arial" w:hAnsi="Arial"/>
          <w:sz w:val="18"/>
          <w:szCs w:val="18"/>
          <w:color w:val="auto"/>
        </w:rPr>
        <w:t>Hardware Platform Solutions (HPS) revenue of approximately $1.4 billion increased 72% compared to Q4 2024.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ATS segment revenue: $0.80 billion, decreased 1% compared to Q4 2024; ATS segment margin</w:t>
      </w:r>
      <w:r>
        <w:rPr>
          <w:rFonts w:ascii="Arial" w:cs="Arial" w:eastAsia="Arial" w:hAnsi="Arial"/>
          <w:sz w:val="23"/>
          <w:szCs w:val="23"/>
          <w:color w:val="auto"/>
          <w:vertAlign w:val="superscript"/>
        </w:rPr>
        <w:t>(4)</w:t>
      </w:r>
      <w:r>
        <w:rPr>
          <w:rFonts w:ascii="Arial" w:cs="Arial" w:eastAsia="Arial" w:hAnsi="Arial"/>
          <w:sz w:val="18"/>
          <w:szCs w:val="18"/>
          <w:color w:val="auto"/>
        </w:rPr>
        <w:t>: 5.3% compared to 4.6% for Q4 2024.</w:t>
      </w:r>
    </w:p>
    <w:p>
      <w:pPr>
        <w:spacing w:after="0" w:line="200" w:lineRule="exact"/>
        <w:rPr>
          <w:sz w:val="20"/>
          <w:szCs w:val="20"/>
          <w:color w:val="auto"/>
        </w:rPr>
      </w:pPr>
    </w:p>
    <w:p>
      <w:pPr>
        <w:spacing w:after="0" w:line="223"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ii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78" w:right="339" w:bottom="1440" w:gutter="0" w:footer="0" w:header="0"/>
        </w:sectPr>
      </w:pPr>
    </w:p>
    <w:bookmarkStart w:id="5" w:name="page6"/>
    <w:bookmarkEnd w:id="5"/>
    <w:p>
      <w:pPr>
        <w:ind w:left="260" w:hanging="252"/>
        <w:spacing w:after="0"/>
        <w:tabs>
          <w:tab w:leader="none" w:pos="2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 Q4 2025, three customers individually represented 10% or more of our total revenue (36%, 15%, and 12%).</w:t>
      </w:r>
    </w:p>
    <w:p>
      <w:pPr>
        <w:spacing w:after="0" w:line="93" w:lineRule="exact"/>
        <w:rPr>
          <w:rFonts w:ascii="Arial" w:cs="Arial" w:eastAsia="Arial" w:hAnsi="Arial"/>
          <w:sz w:val="19"/>
          <w:szCs w:val="19"/>
          <w:color w:val="auto"/>
          <w:vertAlign w:val="superscript"/>
        </w:rPr>
      </w:pPr>
    </w:p>
    <w:p>
      <w:pPr>
        <w:jc w:val="both"/>
        <w:ind w:left="180" w:hanging="172"/>
        <w:spacing w:after="0" w:line="234" w:lineRule="auto"/>
        <w:tabs>
          <w:tab w:leader="none" w:pos="31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GAAP EPS of $2.31 for Q4 2025 included an aggregate charge of $0.25 per share (pre-tax) for employee SBC expense, amortization of intangible assets (excluding computer software), and restructuring charges (Q4 2024 — $0.17 per share (pre-tax)). This aggregate charge was within our previously communicated Q4 2025 anticipated range of between $0.23 to $0.29 per share (pre-tax) for these items.</w:t>
      </w:r>
    </w:p>
    <w:p>
      <w:pPr>
        <w:spacing w:after="0" w:line="94" w:lineRule="exact"/>
        <w:rPr>
          <w:sz w:val="20"/>
          <w:szCs w:val="20"/>
          <w:color w:val="auto"/>
        </w:rPr>
      </w:pPr>
    </w:p>
    <w:p>
      <w:pPr>
        <w:ind w:left="180"/>
        <w:spacing w:after="0" w:line="305" w:lineRule="auto"/>
        <w:rPr>
          <w:sz w:val="20"/>
          <w:szCs w:val="20"/>
          <w:color w:val="auto"/>
        </w:rPr>
      </w:pPr>
      <w:r>
        <w:rPr>
          <w:rFonts w:ascii="Arial" w:cs="Arial" w:eastAsia="Arial" w:hAnsi="Arial"/>
          <w:sz w:val="14"/>
          <w:szCs w:val="14"/>
          <w:color w:val="auto"/>
        </w:rPr>
        <w:t>GAAP EPS for Q4 2025 also included a $0.53 per share (pre-tax) positive impact attributable to our total return swap agreement (Q4 2024 — $0.44 per share (pre-tax) positive impact).</w:t>
      </w:r>
    </w:p>
    <w:p>
      <w:pPr>
        <w:spacing w:after="0" w:line="50" w:lineRule="exact"/>
        <w:rPr>
          <w:sz w:val="20"/>
          <w:szCs w:val="20"/>
          <w:color w:val="auto"/>
        </w:rPr>
      </w:pPr>
    </w:p>
    <w:p>
      <w:pPr>
        <w:jc w:val="both"/>
        <w:ind w:left="180" w:hanging="172"/>
        <w:spacing w:after="0" w:line="245" w:lineRule="auto"/>
        <w:tabs>
          <w:tab w:leader="none" w:pos="185"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Q4 2025, our revenue exceeded the high end of our guidance range due to higher than anticipated customer demand, particularly in our CCS segment. Our adjusted operating margin (non-GAAP) for Q4 2025 exceeded the mid-point of our revenue and adjusted EPS (non-GAAP) guidance ranges and our Q4 2025 adjusted EPS (non-GAAP) exceeded the high end of our guidance range, primarily driven by stronger than anticipated operating leverage in our CCS segment. Our GAAP effective tax rate for Q4 2025 was 11%. Our adjusted effective tax rate (non-GAAP) for Q4 2025 was 19%, lower than our anticipated estimate of approximately 20%, primarily due to a valuation allowance release, which was largely offset by accruals for tax uncertainties and jurisdictional profit mix.</w:t>
      </w:r>
    </w:p>
    <w:p>
      <w:pPr>
        <w:spacing w:after="0" w:line="91" w:lineRule="exact"/>
        <w:rPr>
          <w:rFonts w:ascii="Arial" w:cs="Arial" w:eastAsia="Arial" w:hAnsi="Arial"/>
          <w:sz w:val="19"/>
          <w:szCs w:val="19"/>
          <w:color w:val="auto"/>
          <w:vertAlign w:val="superscript"/>
        </w:rPr>
      </w:pPr>
    </w:p>
    <w:p>
      <w:pPr>
        <w:jc w:val="both"/>
        <w:ind w:left="180" w:hanging="172"/>
        <w:spacing w:after="0"/>
        <w:tabs>
          <w:tab w:leader="none" w:pos="29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Segment margin is segment income as a percentage of segment revenue. Segment income is defined as a segment’s revenue less its cost of sales and its allocatable portion of selling, general and administrative expenses (SG&amp;A) and research and development expenses. Segment income excludes Miscellaneous Expense (Income), FCC Transitional ADJ, employee SBC expense, TRS FVAs, amortization of intangible assets (excluding computer software), restructuring and other charges, net of recoveries (each defined in Schedule 1 below) and finance costs.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Summary of Selected Full Year 2025 Results</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2025 Outlook</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16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2025 Actual</w:t>
            </w:r>
          </w:p>
        </w:tc>
        <w:tc>
          <w:tcPr>
            <w:tcW w:w="30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(previously published on October</w:t>
            </w:r>
          </w:p>
        </w:tc>
        <w:tc>
          <w:tcPr>
            <w:tcW w:w="0" w:type="dxa"/>
            <w:vAlign w:val="bottom"/>
          </w:tcPr>
          <w:p>
            <w:pPr>
              <w:spacing w:after="0"/>
              <w:rPr>
                <w:sz w:val="1"/>
                <w:szCs w:val="1"/>
                <w:color w:val="auto"/>
              </w:rPr>
            </w:pPr>
          </w:p>
        </w:tc>
      </w:tr>
      <w:tr>
        <w:trPr>
          <w:trHeight w:val="235"/>
        </w:trPr>
        <w:tc>
          <w:tcPr>
            <w:tcW w:w="588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Revenue (in billions) </w:t>
            </w:r>
            <w:r>
              <w:rPr>
                <w:rFonts w:ascii="Arial" w:cs="Arial" w:eastAsia="Arial" w:hAnsi="Arial"/>
                <w:sz w:val="23"/>
                <w:szCs w:val="23"/>
                <w:color w:val="auto"/>
                <w:vertAlign w:val="superscript"/>
              </w:rPr>
              <w:t>(1)</w:t>
            </w:r>
          </w:p>
        </w:tc>
        <w:tc>
          <w:tcPr>
            <w:tcW w:w="2160" w:type="dxa"/>
            <w:vAlign w:val="bottom"/>
            <w:gridSpan w:val="2"/>
            <w:vMerge w:val="continue"/>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27, 2025)</w:t>
            </w:r>
          </w:p>
        </w:tc>
        <w:tc>
          <w:tcPr>
            <w:tcW w:w="0" w:type="dxa"/>
            <w:vAlign w:val="bottom"/>
          </w:tcPr>
          <w:p>
            <w:pPr>
              <w:spacing w:after="0"/>
              <w:rPr>
                <w:sz w:val="1"/>
                <w:szCs w:val="1"/>
                <w:color w:val="auto"/>
              </w:rPr>
            </w:pPr>
          </w:p>
        </w:tc>
      </w:tr>
      <w:tr>
        <w:trPr>
          <w:trHeight w:val="218"/>
        </w:trPr>
        <w:tc>
          <w:tcPr>
            <w:tcW w:w="5880" w:type="dxa"/>
            <w:vAlign w:val="bottom"/>
            <w:gridSpan w:val="2"/>
            <w:vMerge w:val="continue"/>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$12.2</w:t>
            </w:r>
          </w:p>
        </w:tc>
        <w:tc>
          <w:tcPr>
            <w:tcW w:w="0" w:type="dxa"/>
            <w:vAlign w:val="bottom"/>
          </w:tcPr>
          <w:p>
            <w:pPr>
              <w:spacing w:after="0"/>
              <w:rPr>
                <w:sz w:val="1"/>
                <w:szCs w:val="1"/>
                <w:color w:val="auto"/>
              </w:rPr>
            </w:pPr>
          </w:p>
        </w:tc>
      </w:tr>
      <w:tr>
        <w:trPr>
          <w:trHeight w:val="227"/>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GAAP earnings from operations as a % of revenue</w:t>
            </w:r>
          </w:p>
        </w:tc>
        <w:tc>
          <w:tcPr>
            <w:tcW w:w="2060" w:type="dxa"/>
            <w:vAlign w:val="bottom"/>
          </w:tcPr>
          <w:p>
            <w:pPr>
              <w:jc w:val="center"/>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5880" w:type="dxa"/>
            <w:vAlign w:val="bottom"/>
            <w:gridSpan w:val="2"/>
          </w:tcPr>
          <w:p>
            <w:pPr>
              <w:ind w:left="20"/>
              <w:spacing w:after="0" w:line="232" w:lineRule="exact"/>
              <w:rPr>
                <w:sz w:val="20"/>
                <w:szCs w:val="20"/>
                <w:color w:val="auto"/>
              </w:rPr>
            </w:pPr>
            <w:r>
              <w:rPr>
                <w:rFonts w:ascii="Arial" w:cs="Arial" w:eastAsia="Arial" w:hAnsi="Arial"/>
                <w:sz w:val="18"/>
                <w:szCs w:val="18"/>
                <w:color w:val="auto"/>
              </w:rPr>
              <w:t xml:space="preserve">GAAP EPS </w:t>
            </w:r>
            <w:r>
              <w:rPr>
                <w:rFonts w:ascii="Arial" w:cs="Arial" w:eastAsia="Arial" w:hAnsi="Arial"/>
                <w:sz w:val="23"/>
                <w:szCs w:val="23"/>
                <w:color w:val="auto"/>
                <w:vertAlign w:val="superscript"/>
              </w:rPr>
              <w:t>(2)</w:t>
            </w:r>
          </w:p>
        </w:tc>
        <w:tc>
          <w:tcPr>
            <w:tcW w:w="2060" w:type="dxa"/>
            <w:vAlign w:val="bottom"/>
          </w:tcPr>
          <w:p>
            <w:pPr>
              <w:jc w:val="center"/>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GAAP cash provided by operations (in millions)</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$659.5</w:t>
            </w:r>
          </w:p>
        </w:tc>
        <w:tc>
          <w:tcPr>
            <w:tcW w:w="1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81"/>
        </w:trPr>
        <w:tc>
          <w:tcPr>
            <w:tcW w:w="588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operating margin (non-GAAP)*</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3040" w:type="dxa"/>
            <w:vAlign w:val="bottom"/>
          </w:tcPr>
          <w:p>
            <w:pPr>
              <w:jc w:val="center"/>
              <w:spacing w:after="0" w:line="181" w:lineRule="exact"/>
              <w:rPr>
                <w:sz w:val="20"/>
                <w:szCs w:val="20"/>
                <w:color w:val="auto"/>
              </w:rPr>
            </w:pPr>
            <w:r>
              <w:rPr>
                <w:rFonts w:ascii="Arial" w:cs="Arial" w:eastAsia="Arial" w:hAnsi="Arial"/>
                <w:sz w:val="18"/>
                <w:szCs w:val="18"/>
                <w:color w:val="auto"/>
                <w:w w:val="99"/>
              </w:rPr>
              <w:t>7.4% at the mid-point of our</w:t>
            </w:r>
          </w:p>
        </w:tc>
        <w:tc>
          <w:tcPr>
            <w:tcW w:w="0" w:type="dxa"/>
            <w:vAlign w:val="bottom"/>
          </w:tcPr>
          <w:p>
            <w:pPr>
              <w:spacing w:after="0"/>
              <w:rPr>
                <w:sz w:val="1"/>
                <w:szCs w:val="1"/>
                <w:color w:val="auto"/>
              </w:rPr>
            </w:pPr>
          </w:p>
        </w:tc>
      </w:tr>
      <w:tr>
        <w:trPr>
          <w:trHeight w:val="184"/>
        </w:trPr>
        <w:tc>
          <w:tcPr>
            <w:tcW w:w="588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jc w:val="center"/>
              <w:spacing w:after="0" w:line="183" w:lineRule="exact"/>
              <w:rPr>
                <w:sz w:val="20"/>
                <w:szCs w:val="20"/>
                <w:color w:val="auto"/>
              </w:rPr>
            </w:pPr>
            <w:r>
              <w:rPr>
                <w:rFonts w:ascii="Arial" w:cs="Arial" w:eastAsia="Arial" w:hAnsi="Arial"/>
                <w:sz w:val="18"/>
                <w:szCs w:val="18"/>
                <w:color w:val="auto"/>
                <w:w w:val="99"/>
              </w:rPr>
              <w:t>revenue and adjusted</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EPS (non-GAAP) guidance ranges</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Adjusted EPS (non-GAAP)*</w:t>
            </w:r>
          </w:p>
        </w:tc>
        <w:tc>
          <w:tcPr>
            <w:tcW w:w="2060" w:type="dxa"/>
            <w:vAlign w:val="bottom"/>
          </w:tcPr>
          <w:p>
            <w:pPr>
              <w:jc w:val="center"/>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$5.90</w:t>
            </w:r>
          </w:p>
        </w:tc>
        <w:tc>
          <w:tcPr>
            <w:tcW w:w="0" w:type="dxa"/>
            <w:vAlign w:val="bottom"/>
          </w:tcPr>
          <w:p>
            <w:pPr>
              <w:spacing w:after="0"/>
              <w:rPr>
                <w:sz w:val="1"/>
                <w:szCs w:val="1"/>
                <w:color w:val="auto"/>
              </w:rPr>
            </w:pPr>
          </w:p>
        </w:tc>
      </w:tr>
      <w:tr>
        <w:trPr>
          <w:trHeight w:val="23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Free cash flow (non-GAAP)* (in millions)</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$458.3</w:t>
            </w:r>
          </w:p>
        </w:tc>
        <w:tc>
          <w:tcPr>
            <w:tcW w:w="1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$425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 2025, three customers individually represented 10% or more of total revenue (32%, 14% and 12%).</w:t>
      </w:r>
    </w:p>
    <w:p>
      <w:pPr>
        <w:spacing w:after="0" w:line="79" w:lineRule="exact"/>
        <w:rPr>
          <w:rFonts w:ascii="Arial" w:cs="Arial" w:eastAsia="Arial" w:hAnsi="Arial"/>
          <w:sz w:val="19"/>
          <w:szCs w:val="19"/>
          <w:color w:val="auto"/>
          <w:vertAlign w:val="superscript"/>
        </w:rPr>
      </w:pPr>
    </w:p>
    <w:p>
      <w:pPr>
        <w:ind w:right="220" w:firstLine="8"/>
        <w:spacing w:after="0" w:line="466" w:lineRule="auto"/>
        <w:tabs>
          <w:tab w:leader="none" w:pos="218" w:val="left"/>
        </w:tabs>
        <w:numPr>
          <w:ilvl w:val="0"/>
          <w:numId w:val="13"/>
        </w:numPr>
        <w:rPr>
          <w:rFonts w:ascii="Arial" w:cs="Arial" w:eastAsia="Arial" w:hAnsi="Arial"/>
          <w:sz w:val="9"/>
          <w:szCs w:val="9"/>
          <w:color w:val="auto"/>
        </w:rPr>
      </w:pPr>
      <w:r>
        <w:rPr>
          <w:rFonts w:ascii="Arial" w:cs="Arial" w:eastAsia="Arial" w:hAnsi="Arial"/>
          <w:sz w:val="14"/>
          <w:szCs w:val="14"/>
          <w:color w:val="auto"/>
        </w:rPr>
        <w:t>GAAP EPS for 2025 included $2.18 per share (pre-tax) positive impact attributable to our total return swap agreement (2024 — $0.77 per share (pre-tax) positive impact). * See Use of Non-GAAP Measures and Schedule 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announce the following developments with respect to investments in our business and new program wins: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Celestica’s investments to support Google’s US production of TPU systems</w:t>
      </w:r>
    </w:p>
    <w:p>
      <w:pPr>
        <w:spacing w:after="0" w:line="2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Celestica is pleased to announce it is expanding its manufacturing capacity in the United States, to support the growing demand for next-generation AI infrastructure. This expansion, scheduled for completion in 2027, is designed to enhance Celestica's ability to support the production of complex data center hardware, including Google Tensor Processing Unit (TPU) systems.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a preferred manufacturing partner for Google’s data center hardware and systems, Celestica remains strategically aligned with Google to provide the advanced technical capabilities required for the continued evolution of the TPU platform.</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Celestica will also continue to invest in the growth of its manufacturing capacity in South East Asia, to support Google’s TPU platform and leading-edge networking technologies.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By strategically expanding its global network, Celestica is reinforcing its commitment to support its customers with high-reliability manufacturing capacity, industry-leading design engineering and supply chain services.</w:t>
      </w:r>
    </w:p>
    <w:p>
      <w:pPr>
        <w:spacing w:after="0" w:line="163" w:lineRule="exact"/>
        <w:rPr>
          <w:sz w:val="20"/>
          <w:szCs w:val="20"/>
          <w:color w:val="auto"/>
        </w:rPr>
      </w:pPr>
    </w:p>
    <w:p>
      <w:pPr>
        <w:ind w:left="554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iii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72"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8"/>
          <w:szCs w:val="18"/>
          <w:color w:val="auto"/>
        </w:rPr>
        <w:t>These investments empower Celestica to serve as a vital partner in deploying the next generation of data center infrastructure to enable the future of AI applications.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capital investment plans enabling capacity to support multi-year demand outlook</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increasing our capital investment plans for 2026 and 2027 in order to align our global design and manufacturing footprint with our data center customers’ multi-year capacity plans.</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now anticipate our 2026 capital expenditures will be approximately $1 billion, or approximately 6% of our latest annual revenue outlook. The additional capacity is expected to become available throughout 2026 and 2027, and is intended to enable our network with the necessary scale and capabilities to support anticipated growth in demand, particularly in our CCS segment.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multi-year view on capacity requirements has been developed through close collaboration in planning with several of our key customers, and is supported by accelerating growth in the scale of our existing engagements, and improved long-term demand visibility.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investments will include a combination of capacity additions, upgrades to manufacturing capabilities, including investments in power, and new customer driven investments in the United States. Some highlights of the planned investments include the expansion of our manufacturing footprint in the Dallas-Fort Worth, Texas metro area, the construction of multiple new buildings at our Thailand campus, investments in our existing sites in Mexico and Japan, as well as new HPS design centers in Asia and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to fully fund our increased 2026 capital expenditures organically with cash provided by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1.6T program award with a hyperscaler customer</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Celestica has been awarded the program for the design and manufacturing of the 1.6 terabyte switching platform with a third hyperscaler customer. The HPS program is expected to begin ramping production in 2027.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2025 Financial Results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will host its Q4 2025 financial results conference call on January 29, 2026 at 8:00 a.m. Eastern Time (ET). The webcast can be accessed at www.celestica.com.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Measures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disclosing detailed operating results in accordance with GAAP, Celestica provides supplementary non-GAAP financial measures to consider in evaluating our operating performance. Management uses adjusted net earnings and other non-GAAP financial measures to assess operating performance, financial leverage and the effective use and allocation of resources; to provide more normalized period-to-period comparisons of operating results; to enhance investors’ understanding of the core operating results of Celestica’s business; and to set management incentive targets. We believe investors use both GAAP and non-GAAP financial measures to assess management's decisions associated with our priorities and capital allocation, as well as to analyze how our business operates in, or responds to, macroeconomic trends or other events that impact our core operations. See Schedule 1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Celestica</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Celestica is a technology leader dedicated to driving customer success and market advancements. With deep expertise in design, engineering, manufacturing, supply chain, and platform solutions, Celestica enables critical data center infrastructure for AI, cloud, and hybrid cloud and advances technologies in high-growth markets. With a talented team and a strategic global network, Celestica helps its customers achieve competitive advantages. For more information on Celestica, visit www.celestica.com. Our securities filings can be accessed at www.sedarplus.ca and www.sec.gov.</w:t>
      </w:r>
    </w:p>
    <w:p>
      <w:pPr>
        <w:spacing w:after="0" w:line="200" w:lineRule="exact"/>
        <w:rPr>
          <w:sz w:val="20"/>
          <w:szCs w:val="20"/>
          <w:color w:val="auto"/>
        </w:rPr>
      </w:pPr>
    </w:p>
    <w:p>
      <w:pPr>
        <w:spacing w:after="0" w:line="232" w:lineRule="exact"/>
        <w:rPr>
          <w:sz w:val="20"/>
          <w:szCs w:val="20"/>
          <w:color w:val="auto"/>
        </w:rPr>
      </w:pPr>
    </w:p>
    <w:p>
      <w:pPr>
        <w:ind w:left="554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iv</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0" w:right="339" w:bottom="1440" w:gutter="0" w:footer="0" w:header="0"/>
        </w:sectPr>
      </w:pPr>
    </w:p>
    <w:bookmarkStart w:id="7" w:name="page8"/>
    <w:bookmarkEnd w:id="7"/>
    <w:p>
      <w:pPr>
        <w:jc w:val="both"/>
        <w:ind w:right="20"/>
        <w:spacing w:after="0" w:line="287" w:lineRule="auto"/>
        <w:rPr>
          <w:sz w:val="20"/>
          <w:szCs w:val="20"/>
          <w:color w:val="auto"/>
        </w:rPr>
      </w:pPr>
      <w:r>
        <w:rPr>
          <w:rFonts w:ascii="Arial" w:cs="Arial" w:eastAsia="Arial" w:hAnsi="Arial"/>
          <w:sz w:val="18"/>
          <w:szCs w:val="18"/>
          <w:color w:val="auto"/>
        </w:rPr>
        <w:t>The information contained on or accessible through www.celestica.com is not incorporated by reference into, and does not form part of, this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This press release contains forward-looking statements, including, without limitation, those related to: strengthening demand in our businesses, demand environment and customer forecasts, our anticipated financial and/or operational results, guidance and outlook, including statements under the headings "2025 Highlights", "First Quarter of 2026 (Q1 2026) Guidance”, “2026 Annual Outlook Update”, and “Business Updates”, and including statements with respect to timelines referenced therein, the third 1.6T program award with a hyperscaler customer, and expanded capital investment plans, and capacity additions and the funding therefor, market opportunities and investments in technology platforms and roadmaps, expected research and development and other capital expenditures, developments related to new customer or program wins, timing of production ramps, deliveries and availabilities of certain key components, anticipated economic conditions, industry and market trends and projections, underlying market growth rates, customer demand, prospects and opportunities, and strategic initiatives. Such forward-looking statements may, without limitation, be preceded by, followed by, or include words such as “believes,” “expects,” “anticipates,” “estimates,” “intends,” “plans,” “continues,” “project,” "target," "outlook," "goal," "guidance,"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for forward-looking information under applicable Canadian securities laws.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Forward-looking statements are provided to assist readers in understanding management’s current expectations and plans relating to the future. Forward-looking statements reflect our current estimates, beliefs and assumptions, which are based on management’s perception of historic trends, current conditions and expected future developments, as well as other factors it believes are appropriate in the circumstances, including certain assumptions about: accelerated revenue growth in 2026, and sustained growth into 2027; demand levels across our businesses, including continued growth in demand from data center customers; new program and production ramps occurring as anticipated, including our 800G and 1.6T networking, and AI/ML compute programs with data center customers; technology upgrade cycles; our ability to retain programs and customers; continuing operating leverage and improving mix; the impact of anticipated market conditions on our businesses; the reliability of third party market forecasts and customer indications of future demands and roadmaps, including with respect to data center infrastructure; continued advancement and commercialization of AI technologies and cloud computing; supporting sustained high levels of capital expenditure investments by leading hyperscaler, AI, and data center customers; our ability to develop new capabilities; scaling of our operations to meet the anticipated growth in customer demand; the successful recruitment and retention of skilled talent; capital investments proceeding as anticipated, including timely completion of construction and operationalization of assets, securing required materials, utilities, and equipment for our expansion plans; alignment of our capacity with our business demands; the economy; our customers; our suppliers; tax and interest rates; no material changes to tariffs or trade restrictions compared to what are in effect as of January 28, 2026; that our customers will retain liability for and we will continue to be able to recover substantially all costs from customers relating to product/component tariffs and countermeasures; no material changes in business activities resulting from current macroeconomic trends and uncertainties, including evolving global tariff and trade negotiations; our ability to achieve our strategic goals; the availability of cash on hand to fund planned capital investments; the availability of capital resources for, and the permissibility under our credit facility of, repurchases of outstanding common shares under our current normal course issuer bid; as well as other market, financial and operational assumptions. Readers are cautioned that such information may not be appropriate for other purposes. Readers should not place undue reliance on such forward-looking information.</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Forward-looking statements are not guarantees of future performance and are subject to known and unknown risks and uncertainties that could cause actual results to differ materially from those expressed or implied in such forward-looking statements, including, among others, risks related to: customer and segment concentration; reduction in customer revenue; erosion in customer market competitiveness; changes in revenue mix and margins; uncertain market, industry, political and economic conditions; customer requests to transfer manufacturing of products from one facility to another; changes to policies or legislation; operational challenges (including inventory management and supply chain constraints); program ramps; the cyclical nature and/or volatility of certain of our businesses; talent management and inefficient employee utilization, including recruiting training and retaining sufficient qualified personnel in required jurisdictions and within required timeframes; our expansion plans or consolidation of our operations; planned increases in capital expenditures to support anticipated growth in customer demand; competition risk from evolving AI technologies, including lower-cost/open-source AI models; energy, power and water constraints in the data center ecosystem; cash flow, revenue, and operating results; tax and interest rates variability; technology and IT disruption; increasing legal, tax and regulatory complexity and uncertainty (including in relation to our or our customers' businesses); integrating and achieving the anticipated benefits from acquisitions; and the potential adverse impacts of events outside of our control.</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For more exhaustive information on the foregoing and other material risks, uncertainties and assumptions, readers should refer to our public filings at www.sedarplus.ca and www.sec.gov, including in our most recent Management's Discussion and Analysis of Financial Condition and Results of Operations, Annual Report on Form 10-K, Quarterly Reports on Form 10-Q,</w:t>
      </w:r>
    </w:p>
    <w:p>
      <w:pPr>
        <w:spacing w:after="0" w:line="170"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0" w:right="339" w:bottom="1440" w:gutter="0" w:footer="0" w:header="0"/>
        </w:sectPr>
      </w:pPr>
    </w:p>
    <w:bookmarkStart w:id="8" w:name="page9"/>
    <w:bookmarkEnd w:id="8"/>
    <w:p>
      <w:pPr>
        <w:spacing w:after="0" w:line="283" w:lineRule="auto"/>
        <w:rPr>
          <w:sz w:val="20"/>
          <w:szCs w:val="20"/>
          <w:color w:val="auto"/>
        </w:rPr>
      </w:pPr>
      <w:r>
        <w:rPr>
          <w:rFonts w:ascii="Arial" w:cs="Arial" w:eastAsia="Arial" w:hAnsi="Arial"/>
          <w:sz w:val="16"/>
          <w:szCs w:val="16"/>
          <w:i w:val="1"/>
          <w:iCs w:val="1"/>
          <w:color w:val="auto"/>
        </w:rPr>
        <w:t>Current Reports on Form 8-K and other documents filed with, or furnished to, the U.S. Securities and Exchange Commission, and the Canadian Securities Administrators, as applicable.</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Forward-looking statements speak only as of the date on which they are made, and we disclaim any intention or obligation to update or revise any forward-looking statements, whether as a result of new information, future events or otherwise, except as expressly required by applicable law.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forward-looking statements attributable to us are expressly qualified by these cautionary statements.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Contacts:</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26"/>
        </w:trPr>
        <w:tc>
          <w:tcPr>
            <w:tcW w:w="2760" w:type="dxa"/>
            <w:vAlign w:val="bottom"/>
            <w:gridSpan w:val="3"/>
          </w:tcPr>
          <w:p>
            <w:pPr>
              <w:spacing w:after="0"/>
              <w:rPr>
                <w:sz w:val="20"/>
                <w:szCs w:val="20"/>
                <w:color w:val="auto"/>
              </w:rPr>
            </w:pPr>
            <w:r>
              <w:rPr>
                <w:rFonts w:ascii="Arial" w:cs="Arial" w:eastAsia="Arial" w:hAnsi="Arial"/>
                <w:sz w:val="18"/>
                <w:szCs w:val="18"/>
                <w:color w:val="auto"/>
              </w:rPr>
              <w:t>Celestica Global Communications</w:t>
            </w:r>
          </w:p>
        </w:tc>
        <w:tc>
          <w:tcPr>
            <w:tcW w:w="2760" w:type="dxa"/>
            <w:vAlign w:val="bottom"/>
            <w:gridSpan w:val="2"/>
          </w:tcPr>
          <w:p>
            <w:pPr>
              <w:ind w:left="540"/>
              <w:spacing w:after="0"/>
              <w:rPr>
                <w:sz w:val="20"/>
                <w:szCs w:val="20"/>
                <w:color w:val="auto"/>
              </w:rPr>
            </w:pPr>
            <w:r>
              <w:rPr>
                <w:rFonts w:ascii="Arial" w:cs="Arial" w:eastAsia="Arial" w:hAnsi="Arial"/>
                <w:sz w:val="18"/>
                <w:szCs w:val="18"/>
                <w:color w:val="auto"/>
                <w:w w:val="98"/>
              </w:rPr>
              <w:t>Celestica Investor Relations</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(416) 448-2200</w:t>
            </w:r>
          </w:p>
        </w:tc>
        <w:tc>
          <w:tcPr>
            <w:tcW w:w="2580" w:type="dxa"/>
            <w:vAlign w:val="bottom"/>
            <w:gridSpan w:val="2"/>
          </w:tcPr>
          <w:p>
            <w:pPr>
              <w:jc w:val="right"/>
              <w:ind w:right="610"/>
              <w:spacing w:after="0"/>
              <w:rPr>
                <w:sz w:val="20"/>
                <w:szCs w:val="20"/>
                <w:color w:val="auto"/>
              </w:rPr>
            </w:pPr>
            <w:r>
              <w:rPr>
                <w:rFonts w:ascii="Arial" w:cs="Arial" w:eastAsia="Arial" w:hAnsi="Arial"/>
                <w:sz w:val="18"/>
                <w:szCs w:val="18"/>
                <w:color w:val="auto"/>
              </w:rPr>
              <w:t>(416) 448-2211</w:t>
            </w:r>
          </w:p>
        </w:tc>
        <w:tc>
          <w:tcPr>
            <w:tcW w:w="1160" w:type="dxa"/>
            <w:vAlign w:val="bottom"/>
          </w:tcPr>
          <w:p>
            <w:pPr>
              <w:spacing w:after="0"/>
              <w:rPr>
                <w:sz w:val="18"/>
                <w:szCs w:val="18"/>
                <w:color w:val="auto"/>
              </w:rPr>
            </w:pPr>
          </w:p>
        </w:tc>
      </w:tr>
      <w:tr>
        <w:trPr>
          <w:trHeight w:val="194"/>
        </w:trPr>
        <w:tc>
          <w:tcPr>
            <w:tcW w:w="1780" w:type="dxa"/>
            <w:vAlign w:val="bottom"/>
            <w:tcBorders>
              <w:bottom w:val="single" w:sz="8" w:color="auto"/>
            </w:tcBorders>
            <w:gridSpan w:val="2"/>
          </w:tcPr>
          <w:p>
            <w:pPr>
              <w:spacing w:after="0" w:line="195" w:lineRule="exact"/>
              <w:rPr>
                <w:sz w:val="20"/>
                <w:szCs w:val="20"/>
                <w:color w:val="auto"/>
              </w:rPr>
            </w:pPr>
            <w:r>
              <w:rPr>
                <w:rFonts w:ascii="Arial" w:cs="Arial" w:eastAsia="Arial" w:hAnsi="Arial"/>
                <w:sz w:val="18"/>
                <w:szCs w:val="18"/>
                <w:color w:val="auto"/>
                <w:w w:val="99"/>
              </w:rPr>
              <w:t>media@celestica.com</w:t>
            </w:r>
          </w:p>
        </w:tc>
        <w:tc>
          <w:tcPr>
            <w:tcW w:w="980" w:type="dxa"/>
            <w:vAlign w:val="bottom"/>
          </w:tcPr>
          <w:p>
            <w:pPr>
              <w:spacing w:after="0"/>
              <w:rPr>
                <w:sz w:val="16"/>
                <w:szCs w:val="16"/>
                <w:color w:val="auto"/>
              </w:rPr>
            </w:pPr>
          </w:p>
        </w:tc>
        <w:tc>
          <w:tcPr>
            <w:tcW w:w="16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clsir@celestica.com</w:t>
            </w:r>
          </w:p>
        </w:tc>
        <w:tc>
          <w:tcPr>
            <w:tcW w:w="1160" w:type="dxa"/>
            <w:vAlign w:val="bottom"/>
          </w:tcPr>
          <w:p>
            <w:pPr>
              <w:spacing w:after="0"/>
              <w:rPr>
                <w:sz w:val="16"/>
                <w:szCs w:val="16"/>
                <w:color w:val="auto"/>
              </w:rPr>
            </w:pPr>
          </w:p>
        </w:tc>
      </w:tr>
    </w:tbl>
    <w:p>
      <w:pPr>
        <w:spacing w:after="0" w:line="234" w:lineRule="exact"/>
        <w:rPr>
          <w:sz w:val="20"/>
          <w:szCs w:val="20"/>
          <w:color w:val="auto"/>
        </w:rPr>
      </w:pPr>
    </w:p>
    <w:p>
      <w:pPr>
        <w:ind w:left="554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7"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Supplementary Non-GAAP Financial Measures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non-GAAP financial measures included in this press release are: adjusted gross profit, adjusted SG&amp;A, adjusted operating earnings (or adjusted EBIAT), adjusted net earnings, and each of the foregoing measures as a percentage of revenue, adjusted EPS, adjusted return on invested capital (ROIC), free cash flow, adjusted tax expense and adjusted effective tax rate. As used herein, "Q1," "Q2," "Q3," and "Q4" followed by a year refers to the first quarter, second quarter, third quarter and fourth quarter of such year, respectively.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the non-GAAP financial measures herein enable investors to evaluate and compare our results from operations by excluding specific items that we do not consider to be reflective of our core operations, to evaluate cash resources that we generate from our business each period, to analyze operating results using the same measures our chief operating decision maker uses to measure performance, and to help compare our results with those of our competitors. In addition, management believes that the use of adjusted tax expense and adjusted effective tax rate provides additional transparency into the tax effects of our core operations, and are useful to management and investors for historical comparisons and forecasting. These non-GAAP financial measures reflect management’s belief that the excluded items are not indicative of our core operations.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Non-GAAP financial measures do not have any standardized meaning prescribed by GAAP and therefore may not be directly comparable to similar measures presented by other companies. 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provide reconciliations for our forward-looking non-GAAP financial measures, as we are unable to reasonably estimate the items that we exclude from GAAP to calculate comparable non-GAAP measures without unreasonable effort. This is due to the inherent difficulty of forecasting the timing or financial impacts of various events that have not yet occurred, are out of our control and/or cannot be reasonably predicted, and that would impact the most directly comparable forward-looking GAAP financial measure. For these same reasons, we are unable to address the probable significance of the unavailable information. Forward-looking non-GAAP financial measures may vary materially from the corresponding GAAP financial measures.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are calculated by making the following adjustments (as applicable) to our GAAP financial measures: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Employee SBC expense</w:t>
      </w:r>
      <w:r>
        <w:rPr>
          <w:rFonts w:ascii="Arial" w:cs="Arial" w:eastAsia="Arial" w:hAnsi="Arial"/>
          <w:sz w:val="18"/>
          <w:szCs w:val="18"/>
          <w:color w:val="auto"/>
        </w:rPr>
        <w:t>, which represents the estimated fair value of stock options, restricted share units and performance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employees, is excluded because grant activities vary significantly from quarter-to-quarter in both quantity and fair value. We believe excluding this expense allows us to compare core operating results with those of our competitors, who also generally exclude employee SBC expense in assessing operating performance, and may have different granting patterns, equity awards and valuation assumptions.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Total return swap fair value adjustments (TRS FVAs) </w:t>
      </w:r>
      <w:r>
        <w:rPr>
          <w:rFonts w:ascii="Arial" w:cs="Arial" w:eastAsia="Arial" w:hAnsi="Arial"/>
          <w:sz w:val="18"/>
          <w:szCs w:val="18"/>
          <w:color w:val="auto"/>
        </w:rPr>
        <w:t>represent mark-to-market adjustments to our TRS Agreement, as the TRS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is re-measured at fair value at each quarter end. We exclude the impact of these non-cash fair value adjustments (which reflect fluctuations in the market price of our common shares recorded in cost of sales and SG&amp;A) from period to period as such fluctuations do not represent our ongoing operating performance. In addition, we believe that excluding these non-cash adjustments permits a helpful comparison of our core operating results to our competitors.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Transitional hedge reclassifications and adjustments related to foreign currency forward exchange contracts (FCC Transitional ADJ) </w:t>
      </w:r>
      <w:r>
        <w:rPr>
          <w:rFonts w:ascii="Arial" w:cs="Arial" w:eastAsia="Arial" w:hAnsi="Arial"/>
          <w:sz w:val="18"/>
          <w:szCs w:val="18"/>
          <w:color w:val="auto"/>
        </w:rPr>
        <w:t>were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driven by our transition from IFRS to GAAP. For the purpose of determining our non-GAAP measures, FCC Transitional ADJ were made to cost of sales and SG&amp;A. Our foreign currency forward exchange contracts that we entered prior to 2024 were accounted for as either cash flow hedges (qualified for hedge accounting) or economic hedges under IFRS. However, those contracts were not accounted for as such under GAAP until January 1, 2024, resulting in FCC Transitional ADJ. Had we been able to designate those foreign currency forward exchange contracts under GAAP from their inception, they would have qualified as cash flow or economic hedges under GAAP, and no FCC Transitional ADJ would have been required under GAAP. FCC Transitional ADJ do not reflect the on-going operational impacts of our hedging activities and are excluded in assessing operating performance.</w:t>
      </w:r>
    </w:p>
    <w:p>
      <w:pPr>
        <w:spacing w:after="0" w:line="195"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vii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0" w:right="33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8"/>
          <w:szCs w:val="18"/>
          <w:i w:val="1"/>
          <w:iCs w:val="1"/>
          <w:color w:val="auto"/>
        </w:rPr>
        <w:t xml:space="preserve">Amortization of intangible assets (excluding computer software) </w:t>
      </w:r>
      <w:r>
        <w:rPr>
          <w:rFonts w:ascii="Arial" w:cs="Arial" w:eastAsia="Arial" w:hAnsi="Arial"/>
          <w:sz w:val="18"/>
          <w:szCs w:val="18"/>
          <w:color w:val="auto"/>
        </w:rPr>
        <w:t>consist of non-cash charges for intangible assets that are impacted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Restructuring and Other Charges (Recoveries) </w:t>
      </w:r>
      <w:r>
        <w:rPr>
          <w:rFonts w:ascii="Arial" w:cs="Arial" w:eastAsia="Arial" w:hAnsi="Arial"/>
          <w:sz w:val="18"/>
          <w:szCs w:val="18"/>
          <w:color w:val="auto"/>
        </w:rPr>
        <w:t>consist of, when applicable: Restructuring Charges (Recoveries) (defined below); Transition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(Recoveries) (defined below); consulting, transaction and integration costs related to potential and completed acquisitions; legal settlements (recoveries); and commencing in Q2 2023, related costs pertaining to our transition as a U.S. domestic filer. We exclude these charges and 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Restructuring Charges (Recoveries)</w:t>
      </w:r>
      <w:r>
        <w:rPr>
          <w:rFonts w:ascii="Arial" w:cs="Arial" w:eastAsia="Arial" w:hAnsi="Arial"/>
          <w:sz w:val="18"/>
          <w:szCs w:val="18"/>
          <w:color w:val="auto"/>
        </w:rPr>
        <w:t>, consist of costs or recoveries relating to: employee severance, site closings and consolidations,</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depreciation of owned and leased property and equipment which are no longer used and are held for sale, and reductions in infrastructure.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Transition Costs (Recoveries) </w:t>
      </w:r>
      <w:r>
        <w:rPr>
          <w:rFonts w:ascii="Arial" w:cs="Arial" w:eastAsia="Arial" w:hAnsi="Arial"/>
          <w:sz w:val="18"/>
          <w:szCs w:val="18"/>
          <w:color w:val="auto"/>
        </w:rPr>
        <w:t>consist of costs and recoveries in connection with: (i) the transfer of manufacturing lines from closed sites to</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sites within our global network; (ii) the sale of real properties unrelated to restructuring actions; and (iii) specified charges or recoveries related to the Purchaser Lease (defined below). Transition Costs consist of direct relocation and duplicate costs (such as rent expense, utility costs, depreciation charges, and personnel costs) incurred during the transition periods, as well as cease -use and other costs incurred in connection with idle or vacated portions of the relevant premises that we would not have incurred but for these relocations, transfers and dispositions. As part of our 2019 Toronto real property sale, we entered into a related 10-year lease for our then-anticipated headquarters (Purchaser Lease). In November 2022, we extended the lease (on a long-term basis) on our current corporate headquarters due to several Purchaser Lease commencement date delays. In Q3 2023 and Q2 2025, we executed sublease agreements for the leased space under the Purchaser Lease. We record charges related to the sublet of the Purchaser Lease (which commenced in June 2024) as Transition Costs. We believe that excluding Transition Costs and Recoveries permits a helpful comparison of our core operating results from period-to-period, as they do not reflect our ongoing operations once these specified events are complete.</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Miscellaneous Expense (Income) </w:t>
      </w:r>
      <w:r>
        <w:rPr>
          <w:rFonts w:ascii="Arial" w:cs="Arial" w:eastAsia="Arial" w:hAnsi="Arial"/>
          <w:sz w:val="18"/>
          <w:szCs w:val="18"/>
          <w:color w:val="auto"/>
        </w:rPr>
        <w:t>consists primarily of: (i) certain net periodic benefit costs (credits) related to our pension and post-employment benefit plans consisting of interest costs, expected returns on plan balances, and amortization of actuarial gains or losses; (ii) gains on insurance claims settlement; and (iii) gains or losses related to foreign currency forward exchange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 Miscellaneous Expense (Income). See FCC Transitional ADJ above. We exclude such items because we believe they are not directly related to our ongoing operating results.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Tax effects of the non-core items, which include our non-GAAP adjustments above, are excluded from GAAP tax expense to calculate adjusted tax expense (non-GAAP), as we do not believe these costs or recoveries reflect our core operating performance and vary significantly among our competitors who also generally exclude such items in assessing operating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include the following: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Adjusted operating earnings (Adjusted EBIAT) </w:t>
      </w:r>
      <w:r>
        <w:rPr>
          <w:rFonts w:ascii="Arial" w:cs="Arial" w:eastAsia="Arial" w:hAnsi="Arial"/>
          <w:sz w:val="18"/>
          <w:szCs w:val="18"/>
          <w:color w:val="auto"/>
        </w:rPr>
        <w:t>is defined as GAAP earnings from operations excluding the impact of Employee SBC</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TRS FVAs, FCC Transitional ADJ, Amortization of intangible assets (excluding computer software), and Restructuring and Other Charges (Recoveries). Adjusted operating margin is adjusted operating earnings as a percentage of GAAP revenue. Management uses adjusted operating earnings (adjusted EBIAT) as a measure to assess performance related to our core operations.</w:t>
      </w:r>
    </w:p>
    <w:p>
      <w:pPr>
        <w:spacing w:after="0" w:line="200" w:lineRule="exact"/>
        <w:rPr>
          <w:sz w:val="20"/>
          <w:szCs w:val="20"/>
          <w:color w:val="auto"/>
        </w:rPr>
      </w:pPr>
    </w:p>
    <w:p>
      <w:pPr>
        <w:spacing w:after="0" w:line="229" w:lineRule="exact"/>
        <w:rPr>
          <w:sz w:val="20"/>
          <w:szCs w:val="20"/>
          <w:color w:val="auto"/>
        </w:rPr>
      </w:pPr>
    </w:p>
    <w:p>
      <w:pPr>
        <w:ind w:left="550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viii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133" w:right="339" w:bottom="1440" w:gutter="0" w:footer="0" w:header="0"/>
        </w:sectPr>
      </w:pPr>
    </w:p>
    <w:bookmarkStart w:id="11" w:name="page12"/>
    <w:bookmarkEnd w:id="11"/>
    <w:p>
      <w:pPr>
        <w:jc w:val="both"/>
        <w:spacing w:after="0" w:line="262" w:lineRule="auto"/>
        <w:rPr>
          <w:sz w:val="20"/>
          <w:szCs w:val="20"/>
          <w:color w:val="auto"/>
        </w:rPr>
      </w:pPr>
      <w:r>
        <w:rPr>
          <w:rFonts w:ascii="Arial" w:cs="Arial" w:eastAsia="Arial" w:hAnsi="Arial"/>
          <w:sz w:val="18"/>
          <w:szCs w:val="18"/>
          <w:i w:val="1"/>
          <w:iCs w:val="1"/>
          <w:color w:val="auto"/>
        </w:rPr>
        <w:t xml:space="preserve">Adjusted net earnings </w:t>
      </w:r>
      <w:r>
        <w:rPr>
          <w:rFonts w:ascii="Arial" w:cs="Arial" w:eastAsia="Arial" w:hAnsi="Arial"/>
          <w:sz w:val="18"/>
          <w:szCs w:val="18"/>
          <w:color w:val="auto"/>
        </w:rPr>
        <w:t>is defined as GAAP net earnings excluding the impact of Employee SBC expense, TRS FVAs, FCC Transitional ADJ,</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intangible assets (excluding computer software), Restructuring and Other Charges (Recoveries), Miscellaneous Expense (Income) and adjustment for taxes. Adjusted EPS is calculated by dividing adjusted net earnings by the number of diluted weighted average shares outstanding. Management uses adjusted net earnings as a measure to assess performance related to our core operations.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is defined as cash provided by (used in) operations less the purchase of property, plant and equipment (net of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certain surplus equipment and property, when applicable). Free cash flow does not represent residual cash flow available to Celestica for discretionary expenditures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Adjusted ROIC </w:t>
      </w:r>
      <w:r>
        <w:rPr>
          <w:rFonts w:ascii="Arial" w:cs="Arial" w:eastAsia="Arial" w:hAnsi="Arial"/>
          <w:sz w:val="18"/>
          <w:szCs w:val="18"/>
          <w:color w:val="auto"/>
        </w:rPr>
        <w:t>is calculated by dividing annualized adjusted EBIAT by average net invested capital for the period. Net invested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in the tables below) is derived from GAAP financial measures, and is defined as total assets less: cash, right-of-use (ROU) assets (operating and finance leases), accounts payable, accrued and other current liabilities and provisions (excluding finance and operating lease liabilities) and income taxes payable.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GAAP effective tax rate and adjusted effective tax rate (non-GAAP) is described in footnote 1 to the table below.</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(which is unaudited) sets forth, for the periods indicated, the various non-GAAP financial measures discussed above, and a reconciliation of such non-GAAP financial measures to the most directly comparable financial measures determined under GAAP (in millions, except percentages and per share amounts):</w:t>
      </w:r>
    </w:p>
    <w:p>
      <w:pPr>
        <w:spacing w:after="0" w:line="200" w:lineRule="exact"/>
        <w:rPr>
          <w:sz w:val="20"/>
          <w:szCs w:val="20"/>
          <w:color w:val="auto"/>
        </w:rPr>
      </w:pPr>
    </w:p>
    <w:p>
      <w:pPr>
        <w:spacing w:after="0" w:line="386" w:lineRule="exact"/>
        <w:rPr>
          <w:sz w:val="20"/>
          <w:szCs w:val="20"/>
          <w:color w:val="auto"/>
        </w:rPr>
      </w:pPr>
    </w:p>
    <w:p>
      <w:pPr>
        <w:ind w:left="554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ix</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0" w:right="339" w:bottom="1440" w:gutter="0" w:footer="0" w:header="0"/>
        </w:sectPr>
      </w:pPr>
    </w:p>
    <w:bookmarkStart w:id="12" w:name="page13"/>
    <w:bookmarkEnd w:id="12"/>
    <w:tbl>
      <w:tblPr>
        <w:tblLayout w:type="fixed"/>
        <w:tblInd w:w="2832" w:type="dxa"/>
        <w:tblCellMar>
          <w:top w:w="0" w:type="dxa"/>
          <w:left w:w="0" w:type="dxa"/>
          <w:bottom w:w="0" w:type="dxa"/>
          <w:right w:w="0" w:type="dxa"/>
        </w:tblCellMar>
      </w:tblPr>
      <w:tr>
        <w:trPr>
          <w:trHeight w:val="217"/>
        </w:trPr>
        <w:tc>
          <w:tcPr>
            <w:tcW w:w="4240" w:type="dxa"/>
            <w:vAlign w:val="bottom"/>
            <w:gridSpan w:val="4"/>
          </w:tcPr>
          <w:p>
            <w:pPr>
              <w:ind w:left="760"/>
              <w:spacing w:after="0"/>
              <w:rPr>
                <w:sz w:val="20"/>
                <w:szCs w:val="20"/>
                <w:color w:val="auto"/>
              </w:rPr>
            </w:pPr>
            <w:r>
              <w:rPr>
                <w:rFonts w:ascii="Arial" w:cs="Arial" w:eastAsia="Arial" w:hAnsi="Arial"/>
                <w:sz w:val="16"/>
                <w:szCs w:val="16"/>
                <w:b w:val="1"/>
                <w:bCs w:val="1"/>
                <w:color w:val="auto"/>
              </w:rPr>
              <w:t>Three months ended December 31</w:t>
            </w:r>
          </w:p>
        </w:tc>
        <w:tc>
          <w:tcPr>
            <w:tcW w:w="4160" w:type="dxa"/>
            <w:vAlign w:val="bottom"/>
            <w:gridSpan w:val="3"/>
          </w:tcPr>
          <w:p>
            <w:pPr>
              <w:jc w:val="right"/>
              <w:ind w:right="1044"/>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20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6"/>
                <w:szCs w:val="16"/>
                <w:b w:val="1"/>
                <w:bCs w:val="1"/>
                <w:color w:val="auto"/>
              </w:rPr>
              <w:t>2024</w:t>
            </w:r>
          </w:p>
        </w:tc>
      </w:tr>
      <w:tr>
        <w:trPr>
          <w:trHeight w:val="188"/>
        </w:trPr>
        <w:tc>
          <w:tcPr>
            <w:tcW w:w="2120" w:type="dxa"/>
            <w:vAlign w:val="bottom"/>
            <w:gridSpan w:val="2"/>
          </w:tcPr>
          <w:p>
            <w:pPr>
              <w:ind w:left="1160"/>
              <w:spacing w:after="0"/>
              <w:rPr>
                <w:sz w:val="20"/>
                <w:szCs w:val="20"/>
                <w:color w:val="auto"/>
              </w:rPr>
            </w:pPr>
            <w:r>
              <w:rPr>
                <w:rFonts w:ascii="Arial" w:cs="Arial" w:eastAsia="Arial" w:hAnsi="Arial"/>
                <w:sz w:val="14"/>
                <w:szCs w:val="14"/>
                <w:color w:val="auto"/>
              </w:rPr>
              <w:t>% of revenue</w:t>
            </w:r>
          </w:p>
        </w:tc>
        <w:tc>
          <w:tcPr>
            <w:tcW w:w="2120" w:type="dxa"/>
            <w:vAlign w:val="bottom"/>
            <w:gridSpan w:val="2"/>
          </w:tcPr>
          <w:p>
            <w:pPr>
              <w:ind w:left="1160"/>
              <w:spacing w:after="0"/>
              <w:rPr>
                <w:sz w:val="20"/>
                <w:szCs w:val="20"/>
                <w:color w:val="auto"/>
              </w:rPr>
            </w:pPr>
            <w:r>
              <w:rPr>
                <w:rFonts w:ascii="Arial" w:cs="Arial" w:eastAsia="Arial" w:hAnsi="Arial"/>
                <w:sz w:val="14"/>
                <w:szCs w:val="14"/>
                <w:color w:val="auto"/>
              </w:rPr>
              <w:t>% of revenue</w:t>
            </w:r>
          </w:p>
        </w:tc>
        <w:tc>
          <w:tcPr>
            <w:tcW w:w="2140" w:type="dxa"/>
            <w:vAlign w:val="bottom"/>
            <w:gridSpan w:val="2"/>
          </w:tcPr>
          <w:p>
            <w:pPr>
              <w:ind w:left="1180"/>
              <w:spacing w:after="0"/>
              <w:rPr>
                <w:sz w:val="20"/>
                <w:szCs w:val="20"/>
                <w:color w:val="auto"/>
              </w:rPr>
            </w:pPr>
            <w:r>
              <w:rPr>
                <w:rFonts w:ascii="Arial" w:cs="Arial" w:eastAsia="Arial" w:hAnsi="Arial"/>
                <w:sz w:val="14"/>
                <w:szCs w:val="14"/>
                <w:color w:val="auto"/>
              </w:rPr>
              <w:t>% of revenue</w:t>
            </w:r>
          </w:p>
        </w:tc>
        <w:tc>
          <w:tcPr>
            <w:tcW w:w="2020" w:type="dxa"/>
            <w:vAlign w:val="bottom"/>
          </w:tcPr>
          <w:p>
            <w:pPr>
              <w:jc w:val="right"/>
              <w:spacing w:after="0"/>
              <w:rPr>
                <w:sz w:val="20"/>
                <w:szCs w:val="20"/>
                <w:color w:val="auto"/>
              </w:rPr>
            </w:pPr>
            <w:r>
              <w:rPr>
                <w:rFonts w:ascii="Arial" w:cs="Arial" w:eastAsia="Arial" w:hAnsi="Arial"/>
                <w:sz w:val="14"/>
                <w:szCs w:val="14"/>
                <w:color w:val="auto"/>
              </w:rPr>
              <w:t>% of 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5080</wp:posOffset>
            </wp:positionV>
            <wp:extent cx="1276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5080</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ectPr>
          <w:pgSz w:w="11900" w:h="16838" w:orient="portrait"/>
          <w:cols w:equalWidth="0" w:num="1">
            <w:col w:w="11232"/>
          </w:cols>
          <w:pgMar w:left="328" w:top="935" w:right="339" w:bottom="1440" w:gutter="0" w:footer="0" w:header="0"/>
        </w:sectPr>
      </w:pPr>
    </w:p>
    <w:tbl>
      <w:tblPr>
        <w:tblLayout w:type="fixed"/>
        <w:tblInd w:w="12" w:type="dxa"/>
        <w:tblCellMar>
          <w:top w:w="0" w:type="dxa"/>
          <w:left w:w="0" w:type="dxa"/>
          <w:bottom w:w="0" w:type="dxa"/>
          <w:right w:w="0" w:type="dxa"/>
        </w:tblCellMar>
      </w:tblPr>
      <w:tr>
        <w:trPr>
          <w:trHeight w:val="224"/>
        </w:trPr>
        <w:tc>
          <w:tcPr>
            <w:tcW w:w="2820" w:type="dxa"/>
            <w:vAlign w:val="bottom"/>
          </w:tcPr>
          <w:p>
            <w:pPr>
              <w:spacing w:after="0"/>
              <w:rPr>
                <w:sz w:val="20"/>
                <w:szCs w:val="20"/>
                <w:color w:val="auto"/>
              </w:rPr>
            </w:pPr>
            <w:r>
              <w:rPr>
                <w:rFonts w:ascii="Arial" w:cs="Arial" w:eastAsia="Arial" w:hAnsi="Arial"/>
                <w:sz w:val="16"/>
                <w:szCs w:val="16"/>
                <w:b w:val="1"/>
                <w:bCs w:val="1"/>
                <w:color w:val="auto"/>
              </w:rPr>
              <w:t>GAAP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3,654.9</w:t>
            </w:r>
          </w:p>
        </w:tc>
        <w:tc>
          <w:tcPr>
            <w:tcW w:w="880" w:type="dxa"/>
            <w:vAlign w:val="bottom"/>
            <w:tcBorders>
              <w:top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7"/>
        </w:trPr>
        <w:tc>
          <w:tcPr>
            <w:tcW w:w="2820" w:type="dxa"/>
            <w:vAlign w:val="bottom"/>
          </w:tcPr>
          <w:p>
            <w:pPr>
              <w:spacing w:after="0"/>
              <w:rPr>
                <w:sz w:val="20"/>
                <w:szCs w:val="20"/>
                <w:color w:val="auto"/>
              </w:rPr>
            </w:pPr>
            <w:r>
              <w:rPr>
                <w:rFonts w:ascii="Arial" w:cs="Arial" w:eastAsia="Arial" w:hAnsi="Arial"/>
                <w:sz w:val="16"/>
                <w:szCs w:val="16"/>
                <w:b w:val="1"/>
                <w:bCs w:val="1"/>
                <w:color w:val="auto"/>
              </w:rPr>
              <w:t>GAAP 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433.1</w:t>
            </w:r>
          </w:p>
        </w:tc>
        <w:tc>
          <w:tcPr>
            <w:tcW w:w="880" w:type="dxa"/>
            <w:vAlign w:val="bottom"/>
          </w:tcPr>
          <w:p>
            <w:pPr>
              <w:jc w:val="right"/>
              <w:spacing w:after="0"/>
              <w:rPr>
                <w:sz w:val="20"/>
                <w:szCs w:val="20"/>
                <w:color w:val="auto"/>
              </w:rPr>
            </w:pPr>
            <w:r>
              <w:rPr>
                <w:rFonts w:ascii="Arial" w:cs="Arial" w:eastAsia="Arial" w:hAnsi="Arial"/>
                <w:sz w:val="16"/>
                <w:szCs w:val="16"/>
                <w:color w:val="auto"/>
              </w:rPr>
              <w:t>11.8 %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TRS FVAs: (gains)</w:t>
            </w:r>
          </w:p>
        </w:tc>
        <w:tc>
          <w:tcPr>
            <w:tcW w:w="2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FCC Transitional ADJ</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Pr>
          <w:p>
            <w:pPr>
              <w:spacing w:after="0"/>
              <w:rPr>
                <w:sz w:val="20"/>
                <w:szCs w:val="20"/>
                <w:color w:val="auto"/>
              </w:rPr>
            </w:pPr>
            <w:r>
              <w:rPr>
                <w:rFonts w:ascii="Arial" w:cs="Arial" w:eastAsia="Arial" w:hAnsi="Arial"/>
                <w:sz w:val="16"/>
                <w:szCs w:val="16"/>
                <w:b w:val="1"/>
                <w:bCs w:val="1"/>
                <w:color w:val="auto"/>
              </w:rPr>
              <w:t>Adjusted gross profit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411.4</w:t>
            </w:r>
          </w:p>
        </w:tc>
        <w:tc>
          <w:tcPr>
            <w:tcW w:w="880" w:type="dxa"/>
            <w:vAlign w:val="bottom"/>
          </w:tcPr>
          <w:p>
            <w:pPr>
              <w:jc w:val="right"/>
              <w:spacing w:after="0"/>
              <w:rPr>
                <w:sz w:val="20"/>
                <w:szCs w:val="20"/>
                <w:color w:val="auto"/>
              </w:rPr>
            </w:pPr>
            <w:r>
              <w:rPr>
                <w:rFonts w:ascii="Arial" w:cs="Arial" w:eastAsia="Arial" w:hAnsi="Arial"/>
                <w:sz w:val="16"/>
                <w:szCs w:val="16"/>
                <w:color w:val="auto"/>
              </w:rPr>
              <w:t>11.3 %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820" w:type="dxa"/>
            <w:vAlign w:val="bottom"/>
          </w:tcPr>
          <w:p>
            <w:pPr>
              <w:spacing w:after="0"/>
              <w:rPr>
                <w:sz w:val="20"/>
                <w:szCs w:val="20"/>
                <w:color w:val="auto"/>
              </w:rPr>
            </w:pPr>
            <w:r>
              <w:rPr>
                <w:rFonts w:ascii="Arial" w:cs="Arial" w:eastAsia="Arial" w:hAnsi="Arial"/>
                <w:sz w:val="16"/>
                <w:szCs w:val="16"/>
                <w:b w:val="1"/>
                <w:bCs w:val="1"/>
                <w:color w:val="auto"/>
              </w:rPr>
              <w:t>GAAP SG&amp;A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70.1</w:t>
            </w:r>
          </w:p>
        </w:tc>
        <w:tc>
          <w:tcPr>
            <w:tcW w:w="880" w:type="dxa"/>
            <w:vAlign w:val="bottom"/>
          </w:tcPr>
          <w:p>
            <w:pPr>
              <w:jc w:val="right"/>
              <w:spacing w:after="0"/>
              <w:rPr>
                <w:sz w:val="20"/>
                <w:szCs w:val="20"/>
                <w:color w:val="auto"/>
              </w:rPr>
            </w:pPr>
            <w:r>
              <w:rPr>
                <w:rFonts w:ascii="Arial" w:cs="Arial" w:eastAsia="Arial" w:hAnsi="Arial"/>
                <w:sz w:val="16"/>
                <w:szCs w:val="16"/>
                <w:color w:val="auto"/>
              </w:rPr>
              <w:t>1.9 %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TRS FVAs: gains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33.7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FCC Transitional ADJ</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20" w:type="dxa"/>
            <w:vAlign w:val="bottom"/>
          </w:tcPr>
          <w:p>
            <w:pPr>
              <w:spacing w:after="0"/>
              <w:rPr>
                <w:sz w:val="20"/>
                <w:szCs w:val="20"/>
                <w:color w:val="auto"/>
              </w:rPr>
            </w:pPr>
            <w:r>
              <w:rPr>
                <w:rFonts w:ascii="Arial" w:cs="Arial" w:eastAsia="Arial" w:hAnsi="Arial"/>
                <w:sz w:val="16"/>
                <w:szCs w:val="16"/>
                <w:b w:val="1"/>
                <w:bCs w:val="1"/>
                <w:color w:val="auto"/>
              </w:rPr>
              <w:t>Adjusted SG&amp;A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96.8</w:t>
            </w:r>
          </w:p>
        </w:tc>
        <w:tc>
          <w:tcPr>
            <w:tcW w:w="880" w:type="dxa"/>
            <w:vAlign w:val="bottom"/>
          </w:tcPr>
          <w:p>
            <w:pPr>
              <w:jc w:val="right"/>
              <w:spacing w:after="0"/>
              <w:rPr>
                <w:sz w:val="20"/>
                <w:szCs w:val="20"/>
                <w:color w:val="auto"/>
              </w:rPr>
            </w:pPr>
            <w:r>
              <w:rPr>
                <w:rFonts w:ascii="Arial" w:cs="Arial" w:eastAsia="Arial" w:hAnsi="Arial"/>
                <w:sz w:val="16"/>
                <w:szCs w:val="16"/>
                <w:color w:val="auto"/>
              </w:rPr>
              <w:t>2.6 %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820" w:type="dxa"/>
            <w:vAlign w:val="bottom"/>
          </w:tcPr>
          <w:p>
            <w:pPr>
              <w:spacing w:after="0"/>
              <w:rPr>
                <w:sz w:val="20"/>
                <w:szCs w:val="20"/>
                <w:color w:val="auto"/>
              </w:rPr>
            </w:pPr>
            <w:r>
              <w:rPr>
                <w:rFonts w:ascii="Arial" w:cs="Arial" w:eastAsia="Arial" w:hAnsi="Arial"/>
                <w:sz w:val="16"/>
                <w:szCs w:val="16"/>
                <w:b w:val="1"/>
                <w:bCs w:val="1"/>
                <w:color w:val="auto"/>
              </w:rPr>
              <w:t>GAAP earnings from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314.4</w:t>
            </w:r>
          </w:p>
        </w:tc>
        <w:tc>
          <w:tcPr>
            <w:tcW w:w="880" w:type="dxa"/>
            <w:vAlign w:val="bottom"/>
          </w:tcPr>
          <w:p>
            <w:pPr>
              <w:jc w:val="right"/>
              <w:spacing w:after="0"/>
              <w:rPr>
                <w:sz w:val="20"/>
                <w:szCs w:val="20"/>
                <w:color w:val="auto"/>
              </w:rPr>
            </w:pPr>
            <w:r>
              <w:rPr>
                <w:rFonts w:ascii="Arial" w:cs="Arial" w:eastAsia="Arial" w:hAnsi="Arial"/>
                <w:sz w:val="16"/>
                <w:szCs w:val="16"/>
                <w:color w:val="auto"/>
              </w:rPr>
              <w:t>8.6 %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TRS FVAs: (gains)</w:t>
            </w:r>
          </w:p>
        </w:tc>
        <w:tc>
          <w:tcPr>
            <w:tcW w:w="2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(61.4)</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FCC Transitional ADJ</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line="164" w:lineRule="exact"/>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9.9</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(excluding computer software)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tcPr>
          <w:p>
            <w:pPr>
              <w:ind w:left="120"/>
              <w:spacing w:after="0" w:line="164" w:lineRule="exact"/>
              <w:rPr>
                <w:sz w:val="20"/>
                <w:szCs w:val="20"/>
                <w:color w:val="auto"/>
              </w:rPr>
            </w:pPr>
            <w:r>
              <w:rPr>
                <w:rFonts w:ascii="Arial" w:cs="Arial" w:eastAsia="Arial" w:hAnsi="Arial"/>
                <w:sz w:val="16"/>
                <w:szCs w:val="16"/>
                <w:color w:val="auto"/>
              </w:rPr>
              <w:t>Restructuring and other charges, net</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6.4</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of recoveries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line="144" w:lineRule="exact"/>
              <w:rPr>
                <w:sz w:val="20"/>
                <w:szCs w:val="20"/>
                <w:color w:val="auto"/>
              </w:rPr>
            </w:pPr>
            <w:r>
              <w:rPr>
                <w:rFonts w:ascii="Arial" w:cs="Arial" w:eastAsia="Arial" w:hAnsi="Arial"/>
                <w:sz w:val="16"/>
                <w:szCs w:val="16"/>
                <w:b w:val="1"/>
                <w:bCs w:val="1"/>
                <w:color w:val="auto"/>
              </w:rPr>
              <w:t>Adjusted operating earnings</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282.3</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7.7 %</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820" w:type="dxa"/>
            <w:vAlign w:val="bottom"/>
          </w:tcPr>
          <w:p>
            <w:pPr>
              <w:spacing w:after="0"/>
              <w:rPr>
                <w:sz w:val="20"/>
                <w:szCs w:val="20"/>
                <w:color w:val="auto"/>
              </w:rPr>
            </w:pPr>
            <w:r>
              <w:rPr>
                <w:rFonts w:ascii="Arial" w:cs="Arial" w:eastAsia="Arial" w:hAnsi="Arial"/>
                <w:sz w:val="16"/>
                <w:szCs w:val="16"/>
                <w:b w:val="1"/>
                <w:bCs w:val="1"/>
                <w:color w:val="auto"/>
              </w:rPr>
              <w:t>(adjusted EBIAT) (non-GAAP)</w:t>
            </w: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820" w:type="dxa"/>
            <w:vAlign w:val="bottom"/>
          </w:tcPr>
          <w:p>
            <w:pPr>
              <w:spacing w:after="0"/>
              <w:rPr>
                <w:sz w:val="20"/>
                <w:szCs w:val="20"/>
                <w:color w:val="auto"/>
              </w:rPr>
            </w:pPr>
            <w:r>
              <w:rPr>
                <w:rFonts w:ascii="Arial" w:cs="Arial" w:eastAsia="Arial" w:hAnsi="Arial"/>
                <w:sz w:val="16"/>
                <w:szCs w:val="16"/>
                <w:b w:val="1"/>
                <w:bCs w:val="1"/>
                <w:color w:val="auto"/>
              </w:rPr>
              <w:t>GAAP net earnings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267.5</w:t>
            </w:r>
          </w:p>
        </w:tc>
        <w:tc>
          <w:tcPr>
            <w:tcW w:w="880" w:type="dxa"/>
            <w:vAlign w:val="bottom"/>
          </w:tcPr>
          <w:p>
            <w:pPr>
              <w:jc w:val="right"/>
              <w:spacing w:after="0"/>
              <w:rPr>
                <w:sz w:val="20"/>
                <w:szCs w:val="20"/>
                <w:color w:val="auto"/>
              </w:rPr>
            </w:pPr>
            <w:r>
              <w:rPr>
                <w:rFonts w:ascii="Arial" w:cs="Arial" w:eastAsia="Arial" w:hAnsi="Arial"/>
                <w:sz w:val="16"/>
                <w:szCs w:val="16"/>
                <w:color w:val="auto"/>
              </w:rPr>
              <w:t>7.3 %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TRS FVAs: (gains)</w:t>
            </w:r>
          </w:p>
        </w:tc>
        <w:tc>
          <w:tcPr>
            <w:tcW w:w="2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(61.4)</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FCC Transitional ADJ</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line="164" w:lineRule="exact"/>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9.9</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(excluding computer software)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tcPr>
          <w:p>
            <w:pPr>
              <w:ind w:left="120"/>
              <w:spacing w:after="0" w:line="164" w:lineRule="exact"/>
              <w:rPr>
                <w:sz w:val="20"/>
                <w:szCs w:val="20"/>
                <w:color w:val="auto"/>
              </w:rPr>
            </w:pPr>
            <w:r>
              <w:rPr>
                <w:rFonts w:ascii="Arial" w:cs="Arial" w:eastAsia="Arial" w:hAnsi="Arial"/>
                <w:sz w:val="16"/>
                <w:szCs w:val="16"/>
                <w:color w:val="auto"/>
              </w:rPr>
              <w:t>Restructuring and other charges, net</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6.4</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of recoveries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Miscellaneous Expense</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120"/>
              <w:spacing w:after="0" w:line="218" w:lineRule="exact"/>
              <w:rPr>
                <w:sz w:val="20"/>
                <w:szCs w:val="20"/>
                <w:color w:val="auto"/>
              </w:rPr>
            </w:pPr>
            <w:r>
              <w:rPr>
                <w:rFonts w:ascii="Arial" w:cs="Arial" w:eastAsia="Arial" w:hAnsi="Arial"/>
                <w:sz w:val="16"/>
                <w:szCs w:val="16"/>
                <w:color w:val="auto"/>
              </w:rPr>
              <w:t>Adjustments for taxes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6"/>
                <w:szCs w:val="16"/>
                <w:b w:val="1"/>
                <w:bCs w:val="1"/>
                <w:color w:val="auto"/>
              </w:rPr>
              <w:t>Adjusted net earnings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218.8</w:t>
            </w:r>
          </w:p>
        </w:tc>
        <w:tc>
          <w:tcPr>
            <w:tcW w:w="880" w:type="dxa"/>
            <w:vAlign w:val="bottom"/>
          </w:tcPr>
          <w:p>
            <w:pPr>
              <w:jc w:val="right"/>
              <w:spacing w:after="0"/>
              <w:rPr>
                <w:sz w:val="20"/>
                <w:szCs w:val="20"/>
                <w:color w:val="auto"/>
              </w:rPr>
            </w:pPr>
            <w:r>
              <w:rPr>
                <w:rFonts w:ascii="Arial" w:cs="Arial" w:eastAsia="Arial" w:hAnsi="Arial"/>
                <w:sz w:val="16"/>
                <w:szCs w:val="16"/>
                <w:color w:val="auto"/>
              </w:rPr>
              <w:t>6.0 %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6"/>
                <w:szCs w:val="16"/>
                <w:b w:val="1"/>
                <w:bCs w:val="1"/>
                <w:color w:val="auto"/>
              </w:rPr>
              <w:t>Diluted EPS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820" w:type="dxa"/>
            <w:vAlign w:val="bottom"/>
          </w:tcPr>
          <w:p>
            <w:pPr>
              <w:ind w:left="120"/>
              <w:spacing w:after="0" w:line="163" w:lineRule="exact"/>
              <w:rPr>
                <w:sz w:val="20"/>
                <w:szCs w:val="20"/>
                <w:color w:val="auto"/>
              </w:rPr>
            </w:pPr>
            <w:r>
              <w:rPr>
                <w:rFonts w:ascii="Arial" w:cs="Arial" w:eastAsia="Arial" w:hAnsi="Arial"/>
                <w:sz w:val="16"/>
                <w:szCs w:val="16"/>
                <w:color w:val="auto"/>
              </w:rPr>
              <w:t>Weighted average # of shares (in</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115.9</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millions)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GAAP EPS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6"/>
                <w:szCs w:val="16"/>
                <w:color w:val="auto"/>
              </w:rPr>
              <w:t>Adjusted EPS (non-GAAP)</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1.89</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line="164" w:lineRule="exact"/>
              <w:rPr>
                <w:sz w:val="20"/>
                <w:szCs w:val="20"/>
                <w:color w:val="auto"/>
              </w:rPr>
            </w:pPr>
            <w:r>
              <w:rPr>
                <w:rFonts w:ascii="Arial" w:cs="Arial" w:eastAsia="Arial" w:hAnsi="Arial"/>
                <w:sz w:val="16"/>
                <w:szCs w:val="16"/>
                <w:color w:val="auto"/>
              </w:rPr>
              <w:t># of shares outstanding at period end</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114.9</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820" w:type="dxa"/>
            <w:vAlign w:val="bottom"/>
          </w:tcPr>
          <w:p>
            <w:pPr>
              <w:spacing w:after="0"/>
              <w:rPr>
                <w:sz w:val="20"/>
                <w:szCs w:val="20"/>
                <w:color w:val="auto"/>
              </w:rPr>
            </w:pPr>
            <w:r>
              <w:rPr>
                <w:rFonts w:ascii="Arial" w:cs="Arial" w:eastAsia="Arial" w:hAnsi="Arial"/>
                <w:sz w:val="16"/>
                <w:szCs w:val="16"/>
                <w:b w:val="1"/>
                <w:bCs w:val="1"/>
                <w:color w:val="auto"/>
              </w:rPr>
              <w:t>GAAP cash provided by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250.6</w:t>
            </w: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820" w:type="dxa"/>
            <w:vAlign w:val="bottom"/>
          </w:tcPr>
          <w:p>
            <w:pPr>
              <w:ind w:left="120"/>
              <w:spacing w:after="0" w:line="163" w:lineRule="exact"/>
              <w:rPr>
                <w:sz w:val="20"/>
                <w:szCs w:val="20"/>
                <w:color w:val="auto"/>
              </w:rPr>
            </w:pPr>
            <w:r>
              <w:rPr>
                <w:rFonts w:ascii="Arial" w:cs="Arial" w:eastAsia="Arial" w:hAnsi="Arial"/>
                <w:sz w:val="16"/>
                <w:szCs w:val="16"/>
                <w:color w:val="auto"/>
              </w:rPr>
              <w:t>Purchase of property, plant and</w:t>
            </w:r>
          </w:p>
        </w:tc>
        <w:tc>
          <w:tcPr>
            <w:tcW w:w="260" w:type="dxa"/>
            <w:vAlign w:val="bottom"/>
          </w:tcPr>
          <w:p>
            <w:pPr>
              <w:spacing w:after="0"/>
              <w:rPr>
                <w:sz w:val="14"/>
                <w:szCs w:val="14"/>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6"/>
                <w:szCs w:val="16"/>
                <w:color w:val="auto"/>
              </w:rPr>
              <w:t>(94.7)</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20"/>
              <w:spacing w:after="0"/>
              <w:rPr>
                <w:sz w:val="20"/>
                <w:szCs w:val="20"/>
                <w:color w:val="auto"/>
              </w:rPr>
            </w:pPr>
            <w:r>
              <w:rPr>
                <w:rFonts w:ascii="Arial" w:cs="Arial" w:eastAsia="Arial" w:hAnsi="Arial"/>
                <w:sz w:val="16"/>
                <w:szCs w:val="16"/>
                <w:color w:val="auto"/>
              </w:rPr>
              <w:t>equipment, net of sales proceeds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Pr>
          <w:p>
            <w:pPr>
              <w:spacing w:after="0"/>
              <w:rPr>
                <w:sz w:val="20"/>
                <w:szCs w:val="20"/>
                <w:color w:val="auto"/>
              </w:rPr>
            </w:pPr>
            <w:r>
              <w:rPr>
                <w:rFonts w:ascii="Arial" w:cs="Arial" w:eastAsia="Arial" w:hAnsi="Arial"/>
                <w:sz w:val="16"/>
                <w:szCs w:val="16"/>
                <w:b w:val="1"/>
                <w:bCs w:val="1"/>
                <w:color w:val="auto"/>
              </w:rPr>
              <w:t>Free cash flow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155.9</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820" w:type="dxa"/>
            <w:vAlign w:val="bottom"/>
          </w:tcPr>
          <w:p>
            <w:pPr>
              <w:spacing w:after="0"/>
              <w:rPr>
                <w:sz w:val="20"/>
                <w:szCs w:val="20"/>
                <w:color w:val="auto"/>
              </w:rPr>
            </w:pPr>
            <w:r>
              <w:rPr>
                <w:rFonts w:ascii="Arial" w:cs="Arial" w:eastAsia="Arial" w:hAnsi="Arial"/>
                <w:sz w:val="16"/>
                <w:szCs w:val="16"/>
                <w:b w:val="1"/>
                <w:bCs w:val="1"/>
                <w:color w:val="auto"/>
              </w:rPr>
              <w:t>GAAP ROIC %</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48.0 %</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6"/>
                <w:szCs w:val="16"/>
                <w:b w:val="1"/>
                <w:bCs w:val="1"/>
                <w:color w:val="auto"/>
              </w:rPr>
              <w:t>Adjusted ROIC % (non-GAAP)</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43.1 %</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w w:val="97"/>
              </w:rPr>
              <w:t>2,545.7</w:t>
            </w:r>
          </w:p>
        </w:tc>
        <w:tc>
          <w:tcPr>
            <w:tcW w:w="8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12,390.9</w:t>
            </w: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9,646.0</w:t>
            </w:r>
          </w:p>
        </w:tc>
      </w:tr>
      <w:tr>
        <w:trPr>
          <w:trHeight w:val="364"/>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297.2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11.7 %</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1,494.1</w:t>
            </w:r>
          </w:p>
        </w:tc>
        <w:tc>
          <w:tcPr>
            <w:tcW w:w="900" w:type="dxa"/>
            <w:vAlign w:val="bottom"/>
          </w:tcPr>
          <w:p>
            <w:pPr>
              <w:jc w:val="right"/>
              <w:spacing w:after="0"/>
              <w:rPr>
                <w:sz w:val="20"/>
                <w:szCs w:val="20"/>
                <w:color w:val="auto"/>
              </w:rPr>
            </w:pPr>
            <w:r>
              <w:rPr>
                <w:rFonts w:ascii="Arial" w:cs="Arial" w:eastAsia="Arial" w:hAnsi="Arial"/>
                <w:sz w:val="16"/>
                <w:szCs w:val="16"/>
                <w:color w:val="auto"/>
              </w:rPr>
              <w:t>12.1 %</w:t>
            </w: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1,033.7</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4.6</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30.2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24.8</w:t>
            </w:r>
          </w:p>
        </w:tc>
      </w:tr>
      <w:tr>
        <w:trPr>
          <w:trHeight w:val="216"/>
        </w:trPr>
        <w:tc>
          <w:tcPr>
            <w:tcW w:w="940" w:type="dxa"/>
            <w:vAlign w:val="bottom"/>
          </w:tcPr>
          <w:p>
            <w:pPr>
              <w:jc w:val="right"/>
              <w:ind w:right="259"/>
              <w:spacing w:after="0"/>
              <w:rPr>
                <w:sz w:val="20"/>
                <w:szCs w:val="20"/>
                <w:color w:val="auto"/>
              </w:rPr>
            </w:pPr>
            <w:r>
              <w:rPr>
                <w:rFonts w:ascii="Arial" w:cs="Arial" w:eastAsia="Arial" w:hAnsi="Arial"/>
                <w:sz w:val="16"/>
                <w:szCs w:val="16"/>
                <w:color w:val="auto"/>
              </w:rPr>
              <w:t>(22.4)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(109.3)</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(39.6)</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0.4</w:t>
            </w:r>
          </w:p>
        </w:tc>
        <w:tc>
          <w:tcPr>
            <w:tcW w:w="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r>
      <w:tr>
        <w:trPr>
          <w:trHeight w:val="212"/>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279.8</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11.0 %</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1,415.0</w:t>
            </w:r>
          </w:p>
        </w:tc>
        <w:tc>
          <w:tcPr>
            <w:tcW w:w="900" w:type="dxa"/>
            <w:vAlign w:val="bottom"/>
          </w:tcPr>
          <w:p>
            <w:pPr>
              <w:jc w:val="right"/>
              <w:spacing w:after="0"/>
              <w:rPr>
                <w:sz w:val="20"/>
                <w:szCs w:val="20"/>
                <w:color w:val="auto"/>
              </w:rPr>
            </w:pPr>
            <w:r>
              <w:rPr>
                <w:rFonts w:ascii="Arial" w:cs="Arial" w:eastAsia="Arial" w:hAnsi="Arial"/>
                <w:sz w:val="16"/>
                <w:szCs w:val="16"/>
                <w:color w:val="auto"/>
              </w:rPr>
              <w:t>11.4 %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1,019.0</w:t>
            </w: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29"/>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57.6</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2.3 %</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259.9</w:t>
            </w:r>
          </w:p>
        </w:tc>
        <w:tc>
          <w:tcPr>
            <w:tcW w:w="90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293.5</w:t>
            </w:r>
          </w:p>
        </w:tc>
      </w:tr>
      <w:tr>
        <w:trPr>
          <w:trHeight w:val="216"/>
        </w:trPr>
        <w:tc>
          <w:tcPr>
            <w:tcW w:w="940" w:type="dxa"/>
            <w:vAlign w:val="bottom"/>
          </w:tcPr>
          <w:p>
            <w:pPr>
              <w:jc w:val="right"/>
              <w:ind w:right="259"/>
              <w:spacing w:after="0"/>
              <w:rPr>
                <w:sz w:val="20"/>
                <w:szCs w:val="20"/>
                <w:color w:val="auto"/>
              </w:rPr>
            </w:pPr>
            <w:r>
              <w:rPr>
                <w:rFonts w:ascii="Arial" w:cs="Arial" w:eastAsia="Arial" w:hAnsi="Arial"/>
                <w:sz w:val="16"/>
                <w:szCs w:val="16"/>
                <w:color w:val="auto"/>
              </w:rPr>
              <w:t>(5.5)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(39.6)</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(32.6)</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29.1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143.7</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51.4</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w:t>
            </w:r>
          </w:p>
        </w:tc>
      </w:tr>
      <w:tr>
        <w:trPr>
          <w:trHeight w:val="212"/>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81.2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3.2 %</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364.0</w:t>
            </w:r>
          </w:p>
        </w:tc>
        <w:tc>
          <w:tcPr>
            <w:tcW w:w="90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313.7</w:t>
            </w:r>
          </w:p>
        </w:tc>
      </w:tr>
      <w:tr>
        <w:trPr>
          <w:trHeight w:val="21"/>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29"/>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202.6</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8.0 %</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1,040.7</w:t>
            </w:r>
          </w:p>
        </w:tc>
        <w:tc>
          <w:tcPr>
            <w:tcW w:w="900" w:type="dxa"/>
            <w:vAlign w:val="bottom"/>
          </w:tcPr>
          <w:p>
            <w:pPr>
              <w:jc w:val="right"/>
              <w:spacing w:after="0"/>
              <w:rPr>
                <w:sz w:val="20"/>
                <w:szCs w:val="20"/>
                <w:color w:val="auto"/>
              </w:rPr>
            </w:pPr>
            <w:r>
              <w:rPr>
                <w:rFonts w:ascii="Arial" w:cs="Arial" w:eastAsia="Arial" w:hAnsi="Arial"/>
                <w:sz w:val="16"/>
                <w:szCs w:val="16"/>
                <w:color w:val="auto"/>
              </w:rPr>
              <w:t>8.4 %</w:t>
            </w: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599.3</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10.1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69.8</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57.4</w:t>
            </w:r>
          </w:p>
        </w:tc>
      </w:tr>
      <w:tr>
        <w:trPr>
          <w:trHeight w:val="216"/>
        </w:trPr>
        <w:tc>
          <w:tcPr>
            <w:tcW w:w="940" w:type="dxa"/>
            <w:vAlign w:val="bottom"/>
          </w:tcPr>
          <w:p>
            <w:pPr>
              <w:jc w:val="right"/>
              <w:ind w:right="259"/>
              <w:spacing w:after="0"/>
              <w:rPr>
                <w:sz w:val="20"/>
                <w:szCs w:val="20"/>
                <w:color w:val="auto"/>
              </w:rPr>
            </w:pPr>
            <w:r>
              <w:rPr>
                <w:rFonts w:ascii="Arial" w:cs="Arial" w:eastAsia="Arial" w:hAnsi="Arial"/>
                <w:sz w:val="16"/>
                <w:szCs w:val="16"/>
                <w:color w:val="auto"/>
              </w:rPr>
              <w:t>(51.5)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(253.0)</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(91.0)</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0.4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378"/>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9.9</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39.8</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38.8</w:t>
            </w:r>
          </w:p>
        </w:tc>
      </w:tr>
      <w:tr>
        <w:trPr>
          <w:trHeight w:val="379"/>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2.1</w:t>
            </w:r>
          </w:p>
        </w:tc>
        <w:tc>
          <w:tcPr>
            <w:tcW w:w="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29.7</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19.4</w:t>
            </w:r>
          </w:p>
        </w:tc>
      </w:tr>
      <w:tr>
        <w:trPr>
          <w:trHeight w:val="332"/>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173.6</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6.8 %</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927.0</w:t>
            </w:r>
          </w:p>
        </w:tc>
        <w:tc>
          <w:tcPr>
            <w:tcW w:w="900" w:type="dxa"/>
            <w:vAlign w:val="bottom"/>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622.6</w:t>
            </w: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29"/>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151.7</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6.0 %</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832.5</w:t>
            </w:r>
          </w:p>
        </w:tc>
        <w:tc>
          <w:tcPr>
            <w:tcW w:w="900" w:type="dxa"/>
            <w:vAlign w:val="bottom"/>
          </w:tcPr>
          <w:p>
            <w:pPr>
              <w:jc w:val="right"/>
              <w:spacing w:after="0"/>
              <w:rPr>
                <w:sz w:val="20"/>
                <w:szCs w:val="20"/>
                <w:color w:val="auto"/>
              </w:rPr>
            </w:pPr>
            <w:r>
              <w:rPr>
                <w:rFonts w:ascii="Arial" w:cs="Arial" w:eastAsia="Arial" w:hAnsi="Arial"/>
                <w:sz w:val="16"/>
                <w:szCs w:val="16"/>
                <w:color w:val="auto"/>
              </w:rPr>
              <w:t>6.7 %</w:t>
            </w: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428.0</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10.1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69.8</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57.4</w:t>
            </w:r>
          </w:p>
        </w:tc>
      </w:tr>
      <w:tr>
        <w:trPr>
          <w:trHeight w:val="216"/>
        </w:trPr>
        <w:tc>
          <w:tcPr>
            <w:tcW w:w="940" w:type="dxa"/>
            <w:vAlign w:val="bottom"/>
          </w:tcPr>
          <w:p>
            <w:pPr>
              <w:jc w:val="right"/>
              <w:ind w:right="259"/>
              <w:spacing w:after="0"/>
              <w:rPr>
                <w:sz w:val="20"/>
                <w:szCs w:val="20"/>
                <w:color w:val="auto"/>
              </w:rPr>
            </w:pPr>
            <w:r>
              <w:rPr>
                <w:rFonts w:ascii="Arial" w:cs="Arial" w:eastAsia="Arial" w:hAnsi="Arial"/>
                <w:sz w:val="16"/>
                <w:szCs w:val="16"/>
                <w:color w:val="auto"/>
              </w:rPr>
              <w:t>(51.5)</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(253.0)</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(91.0)</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0.4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378"/>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9.9</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39.8</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38.8</w:t>
            </w:r>
          </w:p>
        </w:tc>
      </w:tr>
      <w:tr>
        <w:trPr>
          <w:trHeight w:val="378"/>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2.1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19.4</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1.2</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15.0</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6.3</w:t>
            </w:r>
          </w:p>
        </w:tc>
        <w:tc>
          <w:tcPr>
            <w:tcW w:w="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r>
      <w:tr>
        <w:trPr>
          <w:trHeight w:val="211"/>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130.2</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5.1 %</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703.2</w:t>
            </w:r>
          </w:p>
        </w:tc>
        <w:tc>
          <w:tcPr>
            <w:tcW w:w="900" w:type="dxa"/>
            <w:vAlign w:val="bottom"/>
          </w:tcPr>
          <w:p>
            <w:pPr>
              <w:jc w:val="right"/>
              <w:spacing w:after="0"/>
              <w:rPr>
                <w:sz w:val="20"/>
                <w:szCs w:val="20"/>
                <w:color w:val="auto"/>
              </w:rPr>
            </w:pPr>
            <w:r>
              <w:rPr>
                <w:rFonts w:ascii="Arial" w:cs="Arial" w:eastAsia="Arial" w:hAnsi="Arial"/>
                <w:sz w:val="16"/>
                <w:szCs w:val="16"/>
                <w:color w:val="auto"/>
              </w:rPr>
              <w:t>5.7 %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460.8</w:t>
            </w: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07"/>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117.3</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116.2</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118.7</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1.29</w:t>
            </w:r>
          </w:p>
        </w:tc>
        <w:tc>
          <w:tcPr>
            <w:tcW w:w="8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7.16</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3.61</w:t>
            </w:r>
          </w:p>
        </w:tc>
      </w:tr>
      <w:tr>
        <w:trPr>
          <w:trHeight w:val="216"/>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1.11</w:t>
            </w:r>
          </w:p>
        </w:tc>
        <w:tc>
          <w:tcPr>
            <w:tcW w:w="8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6.05</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3.88</w:t>
            </w:r>
          </w:p>
        </w:tc>
      </w:tr>
      <w:tr>
        <w:trPr>
          <w:trHeight w:val="378"/>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116.1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114.9</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116.1</w:t>
            </w:r>
          </w:p>
        </w:tc>
      </w:tr>
      <w:tr>
        <w:trPr>
          <w:trHeight w:val="365"/>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143.4</w:t>
            </w:r>
          </w:p>
        </w:tc>
        <w:tc>
          <w:tcPr>
            <w:tcW w:w="8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659.5</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473.9</w:t>
            </w:r>
          </w:p>
        </w:tc>
      </w:tr>
      <w:tr>
        <w:trPr>
          <w:trHeight w:val="378"/>
        </w:trPr>
        <w:tc>
          <w:tcPr>
            <w:tcW w:w="940" w:type="dxa"/>
            <w:vAlign w:val="bottom"/>
          </w:tcPr>
          <w:p>
            <w:pPr>
              <w:jc w:val="right"/>
              <w:ind w:right="259"/>
              <w:spacing w:after="0"/>
              <w:rPr>
                <w:sz w:val="20"/>
                <w:szCs w:val="20"/>
                <w:color w:val="auto"/>
              </w:rPr>
            </w:pPr>
            <w:r>
              <w:rPr>
                <w:rFonts w:ascii="Arial" w:cs="Arial" w:eastAsia="Arial" w:hAnsi="Arial"/>
                <w:sz w:val="16"/>
                <w:szCs w:val="16"/>
                <w:color w:val="auto"/>
              </w:rPr>
              <w:t>(47.6)</w:t>
            </w:r>
          </w:p>
        </w:tc>
        <w:tc>
          <w:tcPr>
            <w:tcW w:w="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(201.2)</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(168.0)</w:t>
            </w:r>
          </w:p>
        </w:tc>
      </w:tr>
      <w:tr>
        <w:trPr>
          <w:trHeight w:val="211"/>
        </w:trPr>
        <w:tc>
          <w:tcPr>
            <w:tcW w:w="940" w:type="dxa"/>
            <w:vAlign w:val="bottom"/>
          </w:tcPr>
          <w:p>
            <w:pPr>
              <w:jc w:val="right"/>
              <w:ind w:right="319"/>
              <w:spacing w:after="0"/>
              <w:rPr>
                <w:sz w:val="20"/>
                <w:szCs w:val="20"/>
                <w:color w:val="auto"/>
              </w:rPr>
            </w:pPr>
            <w:r>
              <w:rPr>
                <w:rFonts w:ascii="Arial" w:cs="Arial" w:eastAsia="Arial" w:hAnsi="Arial"/>
                <w:sz w:val="16"/>
                <w:szCs w:val="16"/>
                <w:color w:val="auto"/>
              </w:rPr>
              <w:t>95.8</w:t>
            </w: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458.3</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305.9</w:t>
            </w:r>
          </w:p>
        </w:tc>
      </w:tr>
      <w:tr>
        <w:trPr>
          <w:trHeight w:val="21"/>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29"/>
        </w:trPr>
        <w:tc>
          <w:tcPr>
            <w:tcW w:w="940" w:type="dxa"/>
            <w:vAlign w:val="bottom"/>
          </w:tcPr>
          <w:p>
            <w:pPr>
              <w:jc w:val="right"/>
              <w:ind w:right="119"/>
              <w:spacing w:after="0"/>
              <w:rPr>
                <w:sz w:val="20"/>
                <w:szCs w:val="20"/>
                <w:color w:val="auto"/>
              </w:rPr>
            </w:pPr>
            <w:r>
              <w:rPr>
                <w:rFonts w:ascii="Arial" w:cs="Arial" w:eastAsia="Arial" w:hAnsi="Arial"/>
                <w:sz w:val="16"/>
                <w:szCs w:val="16"/>
                <w:color w:val="auto"/>
              </w:rPr>
              <w:t>34.0 %</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41.6 %</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26.1 %</w:t>
            </w:r>
          </w:p>
        </w:tc>
      </w:tr>
      <w:tr>
        <w:trPr>
          <w:trHeight w:val="216"/>
        </w:trPr>
        <w:tc>
          <w:tcPr>
            <w:tcW w:w="940" w:type="dxa"/>
            <w:vAlign w:val="bottom"/>
          </w:tcPr>
          <w:p>
            <w:pPr>
              <w:jc w:val="right"/>
              <w:ind w:right="119"/>
              <w:spacing w:after="0"/>
              <w:rPr>
                <w:sz w:val="20"/>
                <w:szCs w:val="20"/>
                <w:color w:val="auto"/>
              </w:rPr>
            </w:pPr>
            <w:r>
              <w:rPr>
                <w:rFonts w:ascii="Arial" w:cs="Arial" w:eastAsia="Arial" w:hAnsi="Arial"/>
                <w:sz w:val="16"/>
                <w:szCs w:val="16"/>
                <w:color w:val="auto"/>
              </w:rPr>
              <w:t>29.1 %</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37.1 %</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-384175</wp:posOffset>
            </wp:positionV>
            <wp:extent cx="720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-358140</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-529590</wp:posOffset>
            </wp:positionV>
            <wp:extent cx="720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-2004060</wp:posOffset>
            </wp:positionV>
            <wp:extent cx="720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-1978025</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-2149475</wp:posOffset>
            </wp:positionV>
            <wp:extent cx="720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-3564255</wp:posOffset>
            </wp:positionV>
            <wp:extent cx="720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-3538220</wp:posOffset>
            </wp:positionV>
            <wp:extent cx="720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-3787140</wp:posOffset>
            </wp:positionV>
            <wp:extent cx="7200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-4926965</wp:posOffset>
            </wp:positionV>
            <wp:extent cx="7200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-4901565</wp:posOffset>
            </wp:positionV>
            <wp:extent cx="720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-5073015</wp:posOffset>
            </wp:positionV>
            <wp:extent cx="720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-5732780</wp:posOffset>
            </wp:positionV>
            <wp:extent cx="720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-5707380</wp:posOffset>
            </wp:positionV>
            <wp:extent cx="720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-5878830</wp:posOffset>
            </wp:positionV>
            <wp:extent cx="7200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10.7 %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10.6 %</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3.0 %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3.3 %</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6.5 %</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4.8 %</w:t>
      </w:r>
    </w:p>
    <w:p>
      <w:pPr>
        <w:spacing w:after="0" w:line="3370" w:lineRule="exact"/>
        <w:rPr>
          <w:sz w:val="20"/>
          <w:szCs w:val="20"/>
          <w:color w:val="auto"/>
        </w:rPr>
      </w:pPr>
    </w:p>
    <w:p>
      <w:pPr>
        <w:sectPr>
          <w:pgSz w:w="11900" w:h="16838" w:orient="portrait"/>
          <w:cols w:equalWidth="0" w:num="3">
            <w:col w:w="5072" w:space="260"/>
            <w:col w:w="5000" w:space="380"/>
            <w:col w:w="520"/>
          </w:cols>
          <w:pgMar w:left="328" w:top="935" w:right="339" w:bottom="1440" w:gutter="0" w:footer="0" w:header="0"/>
          <w:type w:val="continuous"/>
        </w:sectPr>
      </w:pPr>
    </w:p>
    <w:p>
      <w:pPr>
        <w:spacing w:after="0" w:line="36" w:lineRule="exact"/>
        <w:rPr>
          <w:sz w:val="20"/>
          <w:szCs w:val="20"/>
          <w:color w:val="auto"/>
        </w:rPr>
      </w:pPr>
    </w:p>
    <w:p>
      <w:pPr>
        <w:ind w:left="332" w:hanging="332"/>
        <w:spacing w:after="0" w:line="286"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adjustments for taxes represent the tax effects (reflecting applicable effective tax rates) of the non-core items, which include our non-GAAP adjustments above.</w:t>
      </w:r>
    </w:p>
    <w:p>
      <w:pPr>
        <w:sectPr>
          <w:pgSz w:w="11900" w:h="16838" w:orient="portrait"/>
          <w:cols w:equalWidth="0" w:num="1">
            <w:col w:w="11232"/>
          </w:cols>
          <w:pgMar w:left="328" w:top="935"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5552"/>
        <w:spacing w:after="0"/>
        <w:tabs>
          <w:tab w:leader="none" w:pos="10692" w:val="left"/>
        </w:tabs>
        <w:rPr>
          <w:sz w:val="20"/>
          <w:szCs w:val="20"/>
          <w:color w:val="auto"/>
        </w:rPr>
      </w:pPr>
      <w:r>
        <w:rPr>
          <w:rFonts w:ascii="Times New Roman" w:cs="Times New Roman" w:eastAsia="Times New Roman" w:hAnsi="Times New Roman"/>
          <w:sz w:val="34"/>
          <w:szCs w:val="34"/>
          <w:color w:val="auto"/>
          <w:vertAlign w:val="superscript"/>
        </w:rPr>
        <w:t>x</w:t>
      </w:r>
      <w:r>
        <w:rPr>
          <w:sz w:val="20"/>
          <w:szCs w:val="20"/>
          <w:color w:val="auto"/>
        </w:rPr>
        <w:tab/>
      </w:r>
      <w:r>
        <w:rPr>
          <w:rFonts w:ascii="Times New Roman" w:cs="Times New Roman" w:eastAsia="Times New Roman" w:hAnsi="Times New Roman"/>
          <w:sz w:val="17"/>
          <w:szCs w:val="17"/>
          <w:color w:val="auto"/>
        </w:rPr>
        <w:t>more...</w:t>
      </w:r>
    </w:p>
    <w:p>
      <w:pPr>
        <w:sectPr>
          <w:pgSz w:w="11900" w:h="16838" w:orient="portrait"/>
          <w:cols w:equalWidth="0" w:num="1">
            <w:col w:w="11232"/>
          </w:cols>
          <w:pgMar w:left="328" w:top="935" w:right="339" w:bottom="1440" w:gutter="0" w:footer="0" w:header="0"/>
          <w:type w:val="continuous"/>
        </w:sectPr>
      </w:pPr>
    </w:p>
    <w:bookmarkStart w:id="13" w:name="page14"/>
    <w:bookmarkEnd w:id="13"/>
    <w:p>
      <w:pPr>
        <w:jc w:val="both"/>
        <w:ind w:left="340"/>
        <w:spacing w:after="0" w:line="265" w:lineRule="auto"/>
        <w:rPr>
          <w:sz w:val="20"/>
          <w:szCs w:val="20"/>
          <w:color w:val="auto"/>
        </w:rPr>
      </w:pPr>
      <w:r>
        <w:rPr>
          <w:rFonts w:ascii="Arial" w:cs="Arial" w:eastAsia="Arial" w:hAnsi="Arial"/>
          <w:sz w:val="16"/>
          <w:szCs w:val="16"/>
          <w:color w:val="auto"/>
        </w:rPr>
        <w:t>Our GAAP effective tax rate is defined as (i) GAAP tax expense divided by (ii) earnings from operations minus finance costs and Miscellaneous Expense (Income) recorded on our statement of operations; our adjusted effective tax rate (non-GAAP) is defined as (i) adjusted tax expense (non-GAAP) divided by (ii) adjusted operating earnings (non-GAAP) minus finance costs. The following table sets forth, for the periods indicated, our calculation of GAAP effective tax rate and adjusted effective tax rate (non-GAAP):</w:t>
      </w:r>
    </w:p>
    <w:p>
      <w:pPr>
        <w:spacing w:after="0" w:line="119"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17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960" w:type="dxa"/>
            <w:vAlign w:val="bottom"/>
          </w:tcPr>
          <w:p>
            <w:pPr>
              <w:spacing w:after="0"/>
              <w:rPr>
                <w:sz w:val="18"/>
                <w:szCs w:val="18"/>
                <w:color w:val="auto"/>
              </w:rPr>
            </w:pPr>
          </w:p>
        </w:tc>
      </w:tr>
      <w:tr>
        <w:trPr>
          <w:trHeight w:val="217"/>
        </w:trPr>
        <w:tc>
          <w:tcPr>
            <w:tcW w:w="4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9"/>
        </w:trPr>
        <w:tc>
          <w:tcPr>
            <w:tcW w:w="4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208"/>
        </w:trPr>
        <w:tc>
          <w:tcPr>
            <w:tcW w:w="4720" w:type="dxa"/>
            <w:vAlign w:val="bottom"/>
          </w:tcPr>
          <w:p>
            <w:pPr>
              <w:spacing w:after="0"/>
              <w:rPr>
                <w:sz w:val="20"/>
                <w:szCs w:val="20"/>
                <w:color w:val="auto"/>
              </w:rPr>
            </w:pPr>
            <w:r>
              <w:rPr>
                <w:rFonts w:ascii="Arial" w:cs="Arial" w:eastAsia="Arial" w:hAnsi="Arial"/>
                <w:sz w:val="16"/>
                <w:szCs w:val="16"/>
                <w:color w:val="auto"/>
              </w:rPr>
              <w:t>GAAP tax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104.2</w:t>
            </w:r>
          </w:p>
        </w:tc>
      </w:tr>
      <w:tr>
        <w:trPr>
          <w:trHeight w:val="323"/>
        </w:trPr>
        <w:tc>
          <w:tcPr>
            <w:tcW w:w="472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314.4</w:t>
            </w:r>
          </w:p>
        </w:tc>
        <w:tc>
          <w:tcPr>
            <w:tcW w:w="10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1,040.7</w:t>
            </w:r>
          </w:p>
        </w:tc>
        <w:tc>
          <w:tcPr>
            <w:tcW w:w="10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599.3</w:t>
            </w:r>
          </w:p>
        </w:tc>
      </w:tr>
      <w:tr>
        <w:trPr>
          <w:trHeight w:val="216"/>
        </w:trPr>
        <w:tc>
          <w:tcPr>
            <w:tcW w:w="4720" w:type="dxa"/>
            <w:vAlign w:val="bottom"/>
          </w:tcPr>
          <w:p>
            <w:pPr>
              <w:ind w:left="100"/>
              <w:spacing w:after="0"/>
              <w:rPr>
                <w:sz w:val="20"/>
                <w:szCs w:val="20"/>
                <w:color w:val="auto"/>
              </w:rPr>
            </w:pPr>
            <w:r>
              <w:rPr>
                <w:rFonts w:ascii="Arial" w:cs="Arial" w:eastAsia="Arial" w:hAnsi="Arial"/>
                <w:sz w:val="16"/>
                <w:szCs w:val="16"/>
                <w:color w:val="auto"/>
              </w:rPr>
              <w:t>Finance costs</w:t>
            </w:r>
          </w:p>
        </w:tc>
        <w:tc>
          <w:tcPr>
            <w:tcW w:w="3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(52.1)</w:t>
            </w:r>
          </w:p>
        </w:tc>
      </w:tr>
      <w:tr>
        <w:trPr>
          <w:trHeight w:val="217"/>
        </w:trPr>
        <w:tc>
          <w:tcPr>
            <w:tcW w:w="4720" w:type="dxa"/>
            <w:vAlign w:val="bottom"/>
          </w:tcPr>
          <w:p>
            <w:pPr>
              <w:ind w:left="100"/>
              <w:spacing w:after="0"/>
              <w:rPr>
                <w:sz w:val="20"/>
                <w:szCs w:val="20"/>
                <w:color w:val="auto"/>
              </w:rPr>
            </w:pPr>
            <w:r>
              <w:rPr>
                <w:rFonts w:ascii="Arial" w:cs="Arial" w:eastAsia="Arial" w:hAnsi="Arial"/>
                <w:sz w:val="16"/>
                <w:szCs w:val="16"/>
                <w:color w:val="auto"/>
              </w:rPr>
              <w:t>Miscellaneous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w:t>
            </w:r>
          </w:p>
        </w:tc>
      </w:tr>
      <w:tr>
        <w:trPr>
          <w:trHeight w:val="210"/>
        </w:trPr>
        <w:tc>
          <w:tcPr>
            <w:tcW w:w="47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301.3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983.2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532.2</w:t>
            </w:r>
          </w:p>
        </w:tc>
      </w:tr>
      <w:tr>
        <w:trPr>
          <w:trHeight w:val="21"/>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8"/>
        </w:trPr>
        <w:tc>
          <w:tcPr>
            <w:tcW w:w="4720" w:type="dxa"/>
            <w:vAlign w:val="bottom"/>
          </w:tcPr>
          <w:p>
            <w:pPr>
              <w:spacing w:after="0"/>
              <w:rPr>
                <w:sz w:val="20"/>
                <w:szCs w:val="20"/>
                <w:color w:val="auto"/>
              </w:rPr>
            </w:pPr>
            <w:r>
              <w:rPr>
                <w:rFonts w:ascii="Arial" w:cs="Arial" w:eastAsia="Arial" w:hAnsi="Arial"/>
                <w:sz w:val="16"/>
                <w:szCs w:val="16"/>
                <w:color w:val="auto"/>
              </w:rPr>
              <w:t>GAAP effective tax rate</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432"/>
        </w:trPr>
        <w:tc>
          <w:tcPr>
            <w:tcW w:w="4720" w:type="dxa"/>
            <w:vAlign w:val="bottom"/>
          </w:tcPr>
          <w:p>
            <w:pPr>
              <w:spacing w:after="0"/>
              <w:rPr>
                <w:sz w:val="20"/>
                <w:szCs w:val="20"/>
                <w:color w:val="auto"/>
              </w:rPr>
            </w:pPr>
            <w:r>
              <w:rPr>
                <w:rFonts w:ascii="Arial" w:cs="Arial" w:eastAsia="Arial" w:hAnsi="Arial"/>
                <w:sz w:val="16"/>
                <w:szCs w:val="16"/>
                <w:color w:val="auto"/>
              </w:rPr>
              <w:t>Adjusted tax expense (non-GAAP)</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109.7</w:t>
            </w:r>
          </w:p>
        </w:tc>
      </w:tr>
      <w:tr>
        <w:trPr>
          <w:trHeight w:val="324"/>
        </w:trPr>
        <w:tc>
          <w:tcPr>
            <w:tcW w:w="4720" w:type="dxa"/>
            <w:vAlign w:val="bottom"/>
          </w:tcPr>
          <w:p>
            <w:pPr>
              <w:spacing w:after="0"/>
              <w:rPr>
                <w:sz w:val="20"/>
                <w:szCs w:val="20"/>
                <w:color w:val="auto"/>
              </w:rPr>
            </w:pPr>
            <w:r>
              <w:rPr>
                <w:rFonts w:ascii="Arial" w:cs="Arial" w:eastAsia="Arial" w:hAnsi="Arial"/>
                <w:sz w:val="16"/>
                <w:szCs w:val="16"/>
                <w:color w:val="auto"/>
              </w:rPr>
              <w:t>Adjusted operating earnings (non-GAAP)</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282.3</w:t>
            </w:r>
          </w:p>
        </w:tc>
        <w:tc>
          <w:tcPr>
            <w:tcW w:w="10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927.0</w:t>
            </w:r>
          </w:p>
        </w:tc>
        <w:tc>
          <w:tcPr>
            <w:tcW w:w="100" w:type="dxa"/>
            <w:vAlign w:val="bottom"/>
          </w:tcPr>
          <w:p>
            <w:pPr>
              <w:spacing w:after="0"/>
              <w:rPr>
                <w:sz w:val="24"/>
                <w:szCs w:val="24"/>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622.6</w:t>
            </w:r>
          </w:p>
        </w:tc>
      </w:tr>
      <w:tr>
        <w:trPr>
          <w:trHeight w:val="217"/>
        </w:trPr>
        <w:tc>
          <w:tcPr>
            <w:tcW w:w="4720" w:type="dxa"/>
            <w:vAlign w:val="bottom"/>
          </w:tcPr>
          <w:p>
            <w:pPr>
              <w:ind w:left="100"/>
              <w:spacing w:after="0"/>
              <w:rPr>
                <w:sz w:val="20"/>
                <w:szCs w:val="20"/>
                <w:color w:val="auto"/>
              </w:rPr>
            </w:pPr>
            <w:r>
              <w:rPr>
                <w:rFonts w:ascii="Arial" w:cs="Arial" w:eastAsia="Arial" w:hAnsi="Arial"/>
                <w:sz w:val="16"/>
                <w:szCs w:val="16"/>
                <w:color w:val="auto"/>
              </w:rPr>
              <w:t>Finance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(52.1)</w:t>
            </w:r>
          </w:p>
        </w:tc>
      </w:tr>
      <w:tr>
        <w:trPr>
          <w:trHeight w:val="210"/>
        </w:trPr>
        <w:tc>
          <w:tcPr>
            <w:tcW w:w="47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874.4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570.5</w:t>
            </w:r>
          </w:p>
        </w:tc>
      </w:tr>
      <w:tr>
        <w:trPr>
          <w:trHeight w:val="21"/>
        </w:trPr>
        <w:tc>
          <w:tcPr>
            <w:tcW w:w="4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8"/>
        </w:trPr>
        <w:tc>
          <w:tcPr>
            <w:tcW w:w="4720" w:type="dxa"/>
            <w:vAlign w:val="bottom"/>
          </w:tcPr>
          <w:p>
            <w:pPr>
              <w:spacing w:after="0"/>
              <w:rPr>
                <w:sz w:val="20"/>
                <w:szCs w:val="20"/>
                <w:color w:val="auto"/>
              </w:rPr>
            </w:pPr>
            <w:r>
              <w:rPr>
                <w:rFonts w:ascii="Arial" w:cs="Arial" w:eastAsia="Arial" w:hAnsi="Arial"/>
                <w:sz w:val="16"/>
                <w:szCs w:val="16"/>
                <w:color w:val="auto"/>
              </w:rPr>
              <w:t>Adjusted effective tax rate (non-GAAP)</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19 %</w:t>
            </w:r>
          </w:p>
        </w:tc>
      </w:tr>
    </w:tbl>
    <w:p>
      <w:pPr>
        <w:spacing w:after="0" w:line="3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for the periods indicated, our calculation of GAAP ROIC % and adjusted ROIC % (non-GAAP) (in millions, except GAAP ROIC % and adjusted ROIC % (non-GAAP)):</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17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960" w:type="dxa"/>
            <w:vAlign w:val="bottom"/>
          </w:tcPr>
          <w:p>
            <w:pPr>
              <w:spacing w:after="0"/>
              <w:rPr>
                <w:sz w:val="18"/>
                <w:szCs w:val="18"/>
                <w:color w:val="auto"/>
              </w:rPr>
            </w:pPr>
          </w:p>
        </w:tc>
      </w:tr>
      <w:tr>
        <w:trPr>
          <w:trHeight w:val="217"/>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08"/>
        </w:trPr>
        <w:tc>
          <w:tcPr>
            <w:tcW w:w="5060" w:type="dxa"/>
            <w:vAlign w:val="bottom"/>
          </w:tcPr>
          <w:p>
            <w:pPr>
              <w:spacing w:after="0"/>
              <w:rPr>
                <w:sz w:val="20"/>
                <w:szCs w:val="20"/>
                <w:color w:val="auto"/>
              </w:rPr>
            </w:pPr>
            <w:r>
              <w:rPr>
                <w:rFonts w:ascii="Arial" w:cs="Arial" w:eastAsia="Arial" w:hAnsi="Arial"/>
                <w:sz w:val="16"/>
                <w:szCs w:val="16"/>
                <w:color w:val="auto"/>
              </w:rPr>
              <w:t>GAAP earnings from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314.4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1,040.7</w:t>
            </w:r>
          </w:p>
        </w:tc>
        <w:tc>
          <w:tcPr>
            <w:tcW w:w="8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599.3</w:t>
            </w:r>
          </w:p>
        </w:tc>
      </w:tr>
      <w:tr>
        <w:trPr>
          <w:trHeight w:val="215"/>
        </w:trPr>
        <w:tc>
          <w:tcPr>
            <w:tcW w:w="5060" w:type="dxa"/>
            <w:vAlign w:val="bottom"/>
          </w:tcPr>
          <w:p>
            <w:pPr>
              <w:spacing w:after="0"/>
              <w:rPr>
                <w:sz w:val="20"/>
                <w:szCs w:val="20"/>
                <w:color w:val="auto"/>
              </w:rPr>
            </w:pPr>
            <w:r>
              <w:rPr>
                <w:rFonts w:ascii="Arial" w:cs="Arial" w:eastAsia="Arial" w:hAnsi="Arial"/>
                <w:sz w:val="16"/>
                <w:szCs w:val="16"/>
                <w:color w:val="auto"/>
              </w:rPr>
              <w:t>Multiplier to annualize earnings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r>
      <w:tr>
        <w:trPr>
          <w:trHeight w:val="211"/>
        </w:trPr>
        <w:tc>
          <w:tcPr>
            <w:tcW w:w="5060" w:type="dxa"/>
            <w:vAlign w:val="bottom"/>
          </w:tcPr>
          <w:p>
            <w:pPr>
              <w:spacing w:after="0"/>
              <w:rPr>
                <w:sz w:val="20"/>
                <w:szCs w:val="20"/>
                <w:color w:val="auto"/>
              </w:rPr>
            </w:pPr>
            <w:r>
              <w:rPr>
                <w:rFonts w:ascii="Arial" w:cs="Arial" w:eastAsia="Arial" w:hAnsi="Arial"/>
                <w:sz w:val="16"/>
                <w:szCs w:val="16"/>
                <w:color w:val="auto"/>
              </w:rPr>
              <w:t>Annualized GAAP earnings from operations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1,257.6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1,040.7</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599.3</w:t>
            </w:r>
          </w:p>
        </w:tc>
      </w:tr>
      <w:tr>
        <w:trPr>
          <w:trHeight w:val="303"/>
        </w:trPr>
        <w:tc>
          <w:tcPr>
            <w:tcW w:w="5060" w:type="dxa"/>
            <w:vAlign w:val="bottom"/>
          </w:tcPr>
          <w:p>
            <w:pPr>
              <w:spacing w:after="0"/>
              <w:rPr>
                <w:sz w:val="20"/>
                <w:szCs w:val="20"/>
                <w:color w:val="auto"/>
              </w:rPr>
            </w:pPr>
            <w:r>
              <w:rPr>
                <w:rFonts w:ascii="Arial" w:cs="Arial" w:eastAsia="Arial" w:hAnsi="Arial"/>
                <w:sz w:val="16"/>
                <w:szCs w:val="16"/>
                <w:color w:val="auto"/>
              </w:rPr>
              <w:t>Average net invested capital for the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2,619.5</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2,386.7</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2,498.7</w:t>
            </w:r>
          </w:p>
        </w:tc>
        <w:tc>
          <w:tcPr>
            <w:tcW w:w="8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2,292.4</w:t>
            </w:r>
          </w:p>
        </w:tc>
      </w:tr>
      <w:tr>
        <w:trPr>
          <w:trHeight w:val="324"/>
        </w:trPr>
        <w:tc>
          <w:tcPr>
            <w:tcW w:w="5060" w:type="dxa"/>
            <w:vAlign w:val="bottom"/>
          </w:tcPr>
          <w:p>
            <w:pPr>
              <w:spacing w:after="0"/>
              <w:rPr>
                <w:sz w:val="20"/>
                <w:szCs w:val="20"/>
                <w:color w:val="auto"/>
              </w:rPr>
            </w:pPr>
            <w:r>
              <w:rPr>
                <w:rFonts w:ascii="Arial" w:cs="Arial" w:eastAsia="Arial" w:hAnsi="Arial"/>
                <w:sz w:val="16"/>
                <w:szCs w:val="16"/>
                <w:color w:val="auto"/>
              </w:rPr>
              <w:t>GAAP ROIC %</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41.6 %</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26.1 %</w:t>
            </w:r>
          </w:p>
        </w:tc>
      </w:tr>
    </w:tbl>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17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960" w:type="dxa"/>
            <w:vAlign w:val="bottom"/>
          </w:tcPr>
          <w:p>
            <w:pPr>
              <w:spacing w:after="0"/>
              <w:rPr>
                <w:sz w:val="18"/>
                <w:szCs w:val="18"/>
                <w:color w:val="auto"/>
              </w:rPr>
            </w:pPr>
          </w:p>
        </w:tc>
      </w:tr>
      <w:tr>
        <w:trPr>
          <w:trHeight w:val="217"/>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08"/>
        </w:trPr>
        <w:tc>
          <w:tcPr>
            <w:tcW w:w="5060" w:type="dxa"/>
            <w:vAlign w:val="bottom"/>
          </w:tcPr>
          <w:p>
            <w:pPr>
              <w:spacing w:after="0"/>
              <w:rPr>
                <w:sz w:val="20"/>
                <w:szCs w:val="20"/>
                <w:color w:val="auto"/>
              </w:rPr>
            </w:pPr>
            <w:r>
              <w:rPr>
                <w:rFonts w:ascii="Arial" w:cs="Arial" w:eastAsia="Arial" w:hAnsi="Arial"/>
                <w:sz w:val="16"/>
                <w:szCs w:val="16"/>
                <w:color w:val="auto"/>
              </w:rPr>
              <w:t>Adjusted operating earnings (adjusted EBIAT) (non-GAAP)</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282.3</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927.0</w:t>
            </w:r>
          </w:p>
        </w:tc>
        <w:tc>
          <w:tcPr>
            <w:tcW w:w="8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622.6</w:t>
            </w:r>
          </w:p>
        </w:tc>
      </w:tr>
      <w:tr>
        <w:trPr>
          <w:trHeight w:val="215"/>
        </w:trPr>
        <w:tc>
          <w:tcPr>
            <w:tcW w:w="5060" w:type="dxa"/>
            <w:vAlign w:val="bottom"/>
          </w:tcPr>
          <w:p>
            <w:pPr>
              <w:spacing w:after="0"/>
              <w:rPr>
                <w:sz w:val="20"/>
                <w:szCs w:val="20"/>
                <w:color w:val="auto"/>
              </w:rPr>
            </w:pPr>
            <w:r>
              <w:rPr>
                <w:rFonts w:ascii="Arial" w:cs="Arial" w:eastAsia="Arial" w:hAnsi="Arial"/>
                <w:sz w:val="16"/>
                <w:szCs w:val="16"/>
                <w:color w:val="auto"/>
              </w:rPr>
              <w:t>Multiplier to annualize earnings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r>
      <w:tr>
        <w:trPr>
          <w:trHeight w:val="211"/>
        </w:trPr>
        <w:tc>
          <w:tcPr>
            <w:tcW w:w="5060" w:type="dxa"/>
            <w:vAlign w:val="bottom"/>
          </w:tcPr>
          <w:p>
            <w:pPr>
              <w:spacing w:after="0"/>
              <w:rPr>
                <w:sz w:val="20"/>
                <w:szCs w:val="20"/>
                <w:color w:val="auto"/>
              </w:rPr>
            </w:pPr>
            <w:r>
              <w:rPr>
                <w:rFonts w:ascii="Arial" w:cs="Arial" w:eastAsia="Arial" w:hAnsi="Arial"/>
                <w:sz w:val="16"/>
                <w:szCs w:val="16"/>
                <w:color w:val="auto"/>
              </w:rPr>
              <w:t>Annualized adjusted EBIAT (non-GAAP)</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1,129.2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927.0</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622.6</w:t>
            </w:r>
          </w:p>
        </w:tc>
      </w:tr>
      <w:tr>
        <w:trPr>
          <w:trHeight w:val="303"/>
        </w:trPr>
        <w:tc>
          <w:tcPr>
            <w:tcW w:w="5060" w:type="dxa"/>
            <w:vAlign w:val="bottom"/>
          </w:tcPr>
          <w:p>
            <w:pPr>
              <w:spacing w:after="0"/>
              <w:rPr>
                <w:sz w:val="20"/>
                <w:szCs w:val="20"/>
                <w:color w:val="auto"/>
              </w:rPr>
            </w:pPr>
            <w:r>
              <w:rPr>
                <w:rFonts w:ascii="Arial" w:cs="Arial" w:eastAsia="Arial" w:hAnsi="Arial"/>
                <w:sz w:val="16"/>
                <w:szCs w:val="16"/>
                <w:color w:val="auto"/>
              </w:rPr>
              <w:t>Average net invested capital for the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2,619.5</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2,386.7</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2,498.7</w:t>
            </w:r>
          </w:p>
        </w:tc>
        <w:tc>
          <w:tcPr>
            <w:tcW w:w="8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2,292.4</w:t>
            </w:r>
          </w:p>
        </w:tc>
      </w:tr>
      <w:tr>
        <w:trPr>
          <w:trHeight w:val="324"/>
        </w:trPr>
        <w:tc>
          <w:tcPr>
            <w:tcW w:w="5060" w:type="dxa"/>
            <w:vAlign w:val="bottom"/>
          </w:tcPr>
          <w:p>
            <w:pPr>
              <w:spacing w:after="0"/>
              <w:rPr>
                <w:sz w:val="20"/>
                <w:szCs w:val="20"/>
                <w:color w:val="auto"/>
              </w:rPr>
            </w:pPr>
            <w:r>
              <w:rPr>
                <w:rFonts w:ascii="Arial" w:cs="Arial" w:eastAsia="Arial" w:hAnsi="Arial"/>
                <w:sz w:val="16"/>
                <w:szCs w:val="16"/>
                <w:color w:val="auto"/>
              </w:rPr>
              <w:t>Adjusted ROIC % (non-GAAP)</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29.1 %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37.1 %</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27.2 %</w:t>
            </w:r>
          </w:p>
        </w:tc>
      </w:tr>
    </w:tbl>
    <w:p>
      <w:pPr>
        <w:spacing w:after="0" w:line="304" w:lineRule="exact"/>
        <w:rPr>
          <w:sz w:val="20"/>
          <w:szCs w:val="20"/>
          <w:color w:val="auto"/>
        </w:rPr>
      </w:pPr>
    </w:p>
    <w:p>
      <w:pPr>
        <w:ind w:left="554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xi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5" w:right="339" w:bottom="1440" w:gutter="0" w:footer="0" w:header="0"/>
        </w:sectPr>
      </w:pPr>
    </w:p>
    <w:bookmarkStart w:id="14" w:name="page15"/>
    <w:bookmarkEnd w:id="14"/>
    <w:tbl>
      <w:tblPr>
        <w:tblLayout w:type="fixed"/>
        <w:tblInd w:w="12"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660" w:type="dxa"/>
            <w:vAlign w:val="bottom"/>
            <w:vMerge w:val="restart"/>
          </w:tcPr>
          <w:p>
            <w:pPr>
              <w:spacing w:after="0"/>
              <w:rPr>
                <w:sz w:val="20"/>
                <w:szCs w:val="20"/>
                <w:color w:val="auto"/>
              </w:rPr>
            </w:pPr>
            <w:r>
              <w:rPr>
                <w:rFonts w:ascii="Arial" w:cs="Arial" w:eastAsia="Arial" w:hAnsi="Arial"/>
                <w:sz w:val="16"/>
                <w:szCs w:val="16"/>
                <w:color w:val="auto"/>
              </w:rPr>
              <w:t>Net invested capital consists of:</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4"/>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7,213.1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6,606.7</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6,241.1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5,834.9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5,988.2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Less: cash</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Less: ROU assets (operating and finance leases)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Less: accounts payable, accrued and 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80"/>
              <w:spacing w:after="0"/>
              <w:rPr>
                <w:sz w:val="20"/>
                <w:szCs w:val="20"/>
                <w:color w:val="auto"/>
              </w:rPr>
            </w:pPr>
            <w:r>
              <w:rPr>
                <w:rFonts w:ascii="Arial" w:cs="Arial" w:eastAsia="Arial" w:hAnsi="Arial"/>
                <w:sz w:val="16"/>
                <w:szCs w:val="16"/>
                <w:color w:val="auto"/>
              </w:rPr>
              <w:t>current liabilities and provisions (excluding</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80"/>
              <w:spacing w:after="0"/>
              <w:rPr>
                <w:sz w:val="20"/>
                <w:szCs w:val="20"/>
                <w:color w:val="auto"/>
              </w:rPr>
            </w:pPr>
            <w:r>
              <w:rPr>
                <w:rFonts w:ascii="Arial" w:cs="Arial" w:eastAsia="Arial" w:hAnsi="Arial"/>
                <w:sz w:val="16"/>
                <w:szCs w:val="16"/>
                <w:color w:val="auto"/>
              </w:rPr>
              <w:t>finance and operating lease liabilities) and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80"/>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3,445.4</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3,265.7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3,000.3</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2,969.2</w:t>
            </w:r>
          </w:p>
        </w:tc>
        <w:tc>
          <w:tcPr>
            <w:tcW w:w="0" w:type="dxa"/>
            <w:vAlign w:val="bottom"/>
          </w:tcPr>
          <w:p>
            <w:pPr>
              <w:spacing w:after="0"/>
              <w:rPr>
                <w:sz w:val="1"/>
                <w:szCs w:val="1"/>
                <w:color w:val="auto"/>
              </w:rPr>
            </w:pPr>
          </w:p>
        </w:tc>
      </w:tr>
      <w:tr>
        <w:trPr>
          <w:trHeight w:val="211"/>
        </w:trPr>
        <w:tc>
          <w:tcPr>
            <w:tcW w:w="3660" w:type="dxa"/>
            <w:vAlign w:val="bottom"/>
          </w:tcPr>
          <w:p>
            <w:pPr>
              <w:spacing w:after="0"/>
              <w:rPr>
                <w:sz w:val="20"/>
                <w:szCs w:val="20"/>
                <w:color w:val="auto"/>
              </w:rPr>
            </w:pPr>
            <w:r>
              <w:rPr>
                <w:rFonts w:ascii="Arial" w:cs="Arial" w:eastAsia="Arial" w:hAnsi="Arial"/>
                <w:sz w:val="16"/>
                <w:szCs w:val="16"/>
                <w:color w:val="auto"/>
              </w:rPr>
              <w:t>Net invested capital at period end*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660" w:type="dxa"/>
            <w:vAlign w:val="bottom"/>
            <w:vMerge w:val="restart"/>
          </w:tcPr>
          <w:p>
            <w:pPr>
              <w:spacing w:after="0"/>
              <w:rPr>
                <w:sz w:val="20"/>
                <w:szCs w:val="20"/>
                <w:color w:val="auto"/>
              </w:rPr>
            </w:pPr>
            <w:r>
              <w:rPr>
                <w:rFonts w:ascii="Arial" w:cs="Arial" w:eastAsia="Arial" w:hAnsi="Arial"/>
                <w:sz w:val="16"/>
                <w:szCs w:val="16"/>
                <w:color w:val="auto"/>
              </w:rPr>
              <w:t>Net invested capital consists of:</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4"/>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5,988.2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5,924.8</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5,872.8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5,711.5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5,890.5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Less: cash</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Less: ROU assets (operating and finance leases)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Less: accounts payable, accrued and 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80"/>
              <w:spacing w:after="0"/>
              <w:rPr>
                <w:sz w:val="20"/>
                <w:szCs w:val="20"/>
                <w:color w:val="auto"/>
              </w:rPr>
            </w:pPr>
            <w:r>
              <w:rPr>
                <w:rFonts w:ascii="Arial" w:cs="Arial" w:eastAsia="Arial" w:hAnsi="Arial"/>
                <w:sz w:val="16"/>
                <w:szCs w:val="16"/>
                <w:color w:val="auto"/>
              </w:rPr>
              <w:t>current liabilities and provisions (excluding</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80"/>
              <w:spacing w:after="0"/>
              <w:rPr>
                <w:sz w:val="20"/>
                <w:szCs w:val="20"/>
                <w:color w:val="auto"/>
              </w:rPr>
            </w:pPr>
            <w:r>
              <w:rPr>
                <w:rFonts w:ascii="Arial" w:cs="Arial" w:eastAsia="Arial" w:hAnsi="Arial"/>
                <w:sz w:val="16"/>
                <w:szCs w:val="16"/>
                <w:color w:val="auto"/>
              </w:rPr>
              <w:t>finance and operating lease liabilities) and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80"/>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2,981.6</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3,168.4</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6"/>
                <w:szCs w:val="16"/>
                <w:color w:val="auto"/>
              </w:rPr>
              <w:t>Net invested capital at period end*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2,181.7</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72" w:hanging="172"/>
        <w:spacing w:after="0" w:line="265" w:lineRule="auto"/>
        <w:tabs>
          <w:tab w:leader="none" w:pos="2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use a two-point average to calculate average net invested capital for the quarter and a five-point average to calculate average net invested capital for the 12-month period. Average net invested capital for Q4 2025 is the average of net invested capital as of December 31, 2025 and September 30, 2025 and average net invested capital for full year 2025 is the average of net invested capital as of December 31, 2025, September 30, 2025, June 30, 2025, March 31, 2025 and December 31, 2024.</w:t>
      </w:r>
    </w:p>
    <w:p>
      <w:pPr>
        <w:spacing w:after="0" w:line="358" w:lineRule="exact"/>
        <w:rPr>
          <w:sz w:val="20"/>
          <w:szCs w:val="20"/>
          <w:color w:val="auto"/>
        </w:rPr>
      </w:pPr>
    </w:p>
    <w:tbl>
      <w:tblPr>
        <w:tblLayout w:type="fixed"/>
        <w:tblInd w:w="5512"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xii</w:t>
            </w:r>
          </w:p>
        </w:tc>
        <w:tc>
          <w:tcPr>
            <w:tcW w:w="300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color w:val="auto"/>
                <w:w w:val="94"/>
              </w:rPr>
              <w:t>more...</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32"/>
          </w:cols>
          <w:pgMar w:left="328" w:top="1157" w:right="339" w:bottom="1440" w:gutter="0" w:footer="0" w:header="0"/>
        </w:sectPr>
      </w:pPr>
    </w:p>
    <w:bookmarkStart w:id="15" w:name="page16"/>
    <w:bookmarkEnd w:id="15"/>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7"/>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10"/>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4,512.2</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30"/>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5,988.2</w:t>
            </w:r>
          </w:p>
        </w:tc>
        <w:tc>
          <w:tcPr>
            <w:tcW w:w="0" w:type="dxa"/>
            <w:vAlign w:val="bottom"/>
          </w:tcPr>
          <w:p>
            <w:pPr>
              <w:spacing w:after="0"/>
              <w:rPr>
                <w:sz w:val="1"/>
                <w:szCs w:val="1"/>
                <w:color w:val="auto"/>
              </w:rPr>
            </w:pPr>
          </w:p>
        </w:tc>
      </w:tr>
      <w:tr>
        <w:trPr>
          <w:trHeight w:val="26"/>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borrowings under credit facility and finance lease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1,294.8</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 and provisions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1,606.6</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210"/>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3,021.4</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portion of borrowings under credit facility and finance lease obligations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Pension and non-pension post-employment benefit obligations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liabilities and provisions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0"/>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4,092.2</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1,896.0</w:t>
            </w: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5420"/>
        <w:spacing w:after="0"/>
        <w:tabs>
          <w:tab w:leader="none" w:pos="10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020"/>
          </w:cols>
          <w:pgMar w:left="480" w:top="927" w:right="399" w:bottom="1440" w:gutter="0" w:footer="0" w:header="0"/>
        </w:sectPr>
      </w:pPr>
    </w:p>
    <w:bookmarkStart w:id="16" w:name="page17"/>
    <w:bookmarkEnd w:id="1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3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3,654.9</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2,545.7</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12,390.9</w:t>
            </w:r>
          </w:p>
        </w:tc>
        <w:tc>
          <w:tcPr>
            <w:tcW w:w="8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9,646.0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3,221.8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10,896.8</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8,612.3</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charges, net of recoveries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(recovery)</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0" w:type="dxa"/>
            <w:vAlign w:val="bottom"/>
          </w:tcPr>
          <w:p>
            <w:pPr>
              <w:spacing w:after="0"/>
              <w:rPr>
                <w:sz w:val="1"/>
                <w:szCs w:val="1"/>
                <w:color w:val="auto"/>
              </w:rPr>
            </w:pPr>
          </w:p>
        </w:tc>
      </w:tr>
      <w:tr>
        <w:trPr>
          <w:trHeight w:val="219"/>
        </w:trPr>
        <w:tc>
          <w:tcPr>
            <w:tcW w:w="6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832.5</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0" w:type="dxa"/>
            <w:vAlign w:val="bottom"/>
          </w:tcPr>
          <w:p>
            <w:pPr>
              <w:spacing w:after="0"/>
              <w:rPr>
                <w:sz w:val="1"/>
                <w:szCs w:val="1"/>
                <w:color w:val="auto"/>
              </w:rPr>
            </w:pPr>
          </w:p>
        </w:tc>
      </w:tr>
      <w:tr>
        <w:trPr>
          <w:trHeight w:val="21"/>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6"/>
        </w:trPr>
        <w:tc>
          <w:tcPr>
            <w:tcW w:w="6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per share amounts (in millions):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16"/>
        </w:trPr>
        <w:tc>
          <w:tcPr>
            <w:tcW w:w="6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tabs>
          <w:tab w:leader="none" w:pos="106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180"/>
          </w:cols>
          <w:pgMar w:left="360" w:top="927"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198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194"/>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832.5</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to net cash flows from operating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Stock-based compensation (SBC)</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return swap (TRS) fair value adjustments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Unrealized losses on hedge derivatives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non-cash working capital items: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29"/>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accrued and other current liabilities, provisions and income taxes payable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0" w:type="dxa"/>
            <w:vAlign w:val="bottom"/>
          </w:tcPr>
          <w:p>
            <w:pPr>
              <w:spacing w:after="0"/>
              <w:rPr>
                <w:sz w:val="1"/>
                <w:szCs w:val="1"/>
                <w:color w:val="auto"/>
              </w:rPr>
            </w:pPr>
          </w:p>
        </w:tc>
      </w:tr>
      <w:tr>
        <w:trPr>
          <w:trHeight w:val="324"/>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business acquisition, net of cash acquired</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29"/>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324"/>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revolving loans</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revolving loans</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term loans</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term loans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capital stock</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capital stock for cancellation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TRS settlement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SBC cash settlement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30"/>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issuance costs paid</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0" w:type="dxa"/>
            <w:vAlign w:val="bottom"/>
          </w:tcPr>
          <w:p>
            <w:pPr>
              <w:spacing w:after="0"/>
              <w:rPr>
                <w:sz w:val="1"/>
                <w:szCs w:val="1"/>
                <w:color w:val="auto"/>
              </w:rPr>
            </w:pPr>
          </w:p>
        </w:tc>
      </w:tr>
      <w:tr>
        <w:trPr>
          <w:trHeight w:val="324"/>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6"/>
        </w:trPr>
        <w:tc>
          <w:tcPr>
            <w:tcW w:w="6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information: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6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29"/>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taxes paid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16"/>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Unpaid purchases of property, plant and equipment at end of period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40" w:top="927" w:right="359" w:bottom="1440" w:gutter="0" w:footer="0" w:header="0"/>
          <w:type w:val="continuous"/>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2026-01-28T15:45:05Z</dcterms:created>
  <dcterms:modified xsi:type="dcterms:W3CDTF">2026-01-28T15:45:05Z</dcterms:modified>
</cp:coreProperties>
</file>