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MIONIS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5140 YONGE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M2N 6L7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CELESTICA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837"/>
        <w:gridCol w:w="446"/>
        <w:gridCol w:w="882"/>
        <w:gridCol w:w="1150"/>
        <w:gridCol w:w="988"/>
        <w:gridCol w:w="98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5,554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360.37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41,338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Two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4,941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361.44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36,397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Two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3,440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362.58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32,957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Two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5,270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363.52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27,687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Two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4,030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364.49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23,657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Two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261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365.34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23,396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Two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453,697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210,445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One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plan adopted by the reporting person on March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These shares were sold in multiple transactions at prices ranging from $360.00-$360.99,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a weighted average price. These shares were sold in multiple transactions at prices ranging from $361.03-$362.01,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price. These shares were sold in multiple transactions at prices ranging from $362.11-$363.01,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a weighted average price. These shares were sold in multiple transactions at prices ranging from $363.12-$364.11,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in Column 4 is a weighted average price. These shares were sold in multiple transactions at prices ranging from $364.13-$365.06,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price reported in Column 4 is a weighted average price. These shares were sold in multiple transactions at prices ranging from $365.30-$365.39,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Connelly McGilley,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95655" TargetMode="External"/><Relationship Id="rId5" Type="http://schemas.openxmlformats.org/officeDocument/2006/relationships/hyperlink" Target="http://www.sec.gov/cgi-bin/browse-edgar?action=getcompany&amp;CIK=00010308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1053</Words>
  <Characters>5608</Characters>
  <CharactersWithSpaces>6534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